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56BB0">
      <w:pPr>
        <w:keepNext w:val="0"/>
        <w:keepLines w:val="0"/>
        <w:pageBreakBefore w:val="0"/>
        <w:widowControl w:val="0"/>
        <w:kinsoku/>
        <w:wordWrap/>
        <w:overflowPunct/>
        <w:topLinePunct/>
        <w:autoSpaceDE w:val="0"/>
        <w:autoSpaceDN/>
        <w:bidi w:val="0"/>
        <w:jc w:val="center"/>
        <w:textAlignment w:val="auto"/>
        <w:outlineLvl w:val="9"/>
        <w:rPr>
          <w:rFonts w:hint="default" w:ascii="Times New Roman" w:hAnsi="Times New Roman" w:eastAsia="宋体" w:cs="Times New Roman"/>
          <w:bCs/>
          <w:color w:val="auto"/>
          <w:sz w:val="72"/>
          <w:szCs w:val="72"/>
          <w:highlight w:val="none"/>
        </w:rPr>
      </w:pPr>
    </w:p>
    <w:p w14:paraId="571BC086">
      <w:pPr>
        <w:pStyle w:val="2"/>
        <w:rPr>
          <w:rFonts w:hint="default"/>
          <w:color w:val="auto"/>
        </w:rPr>
      </w:pPr>
    </w:p>
    <w:p w14:paraId="4E7C80AF">
      <w:pPr>
        <w:pStyle w:val="3"/>
        <w:rPr>
          <w:rFonts w:hint="default"/>
          <w:color w:val="auto"/>
        </w:rPr>
      </w:pPr>
    </w:p>
    <w:p w14:paraId="007C136F">
      <w:pPr>
        <w:pStyle w:val="3"/>
        <w:rPr>
          <w:rFonts w:hint="default"/>
          <w:color w:val="auto"/>
        </w:rPr>
      </w:pPr>
    </w:p>
    <w:p w14:paraId="5DB41892">
      <w:pPr>
        <w:keepNext w:val="0"/>
        <w:keepLines w:val="0"/>
        <w:pageBreakBefore w:val="0"/>
        <w:kinsoku/>
        <w:overflowPunct/>
        <w:topLinePunct/>
        <w:autoSpaceDE w:val="0"/>
        <w:bidi w:val="0"/>
        <w:adjustRightInd w:val="0"/>
        <w:snapToGrid w:val="0"/>
        <w:jc w:val="center"/>
        <w:outlineLvl w:val="0"/>
        <w:rPr>
          <w:rFonts w:hint="default" w:ascii="Times New Roman" w:hAnsi="Times New Roman" w:eastAsia="宋体" w:cs="Times New Roman"/>
          <w:b/>
          <w:bCs w:val="0"/>
          <w:color w:val="auto"/>
          <w:sz w:val="72"/>
          <w:szCs w:val="72"/>
          <w:highlight w:val="none"/>
        </w:rPr>
      </w:pPr>
      <w:bookmarkStart w:id="0" w:name="_Toc13529"/>
      <w:r>
        <w:rPr>
          <w:rFonts w:hint="default" w:ascii="Times New Roman" w:hAnsi="Times New Roman" w:eastAsia="宋体" w:cs="Times New Roman"/>
          <w:b/>
          <w:bCs w:val="0"/>
          <w:color w:val="auto"/>
          <w:sz w:val="72"/>
          <w:szCs w:val="72"/>
          <w:highlight w:val="none"/>
        </w:rPr>
        <w:t>建设项目环境影响报告表</w:t>
      </w:r>
      <w:bookmarkEnd w:id="0"/>
    </w:p>
    <w:p w14:paraId="68F7F8DF">
      <w:pPr>
        <w:keepNext w:val="0"/>
        <w:keepLines w:val="0"/>
        <w:pageBreakBefore w:val="0"/>
        <w:kinsoku/>
        <w:overflowPunct/>
        <w:topLinePunct/>
        <w:autoSpaceDE w:val="0"/>
        <w:bidi w:val="0"/>
        <w:adjustRightInd w:val="0"/>
        <w:snapToGrid w:val="0"/>
        <w:spacing w:before="192" w:beforeLines="80"/>
        <w:jc w:val="center"/>
        <w:rPr>
          <w:rFonts w:hint="default" w:ascii="Times New Roman" w:hAnsi="Times New Roman" w:eastAsia="宋体" w:cs="Times New Roman"/>
          <w:b/>
          <w:bCs w:val="0"/>
          <w:color w:val="auto"/>
          <w:sz w:val="48"/>
          <w:szCs w:val="48"/>
          <w:highlight w:val="none"/>
        </w:rPr>
      </w:pPr>
      <w:r>
        <w:rPr>
          <w:rFonts w:hint="default" w:ascii="Times New Roman" w:hAnsi="Times New Roman" w:eastAsia="宋体" w:cs="Times New Roman"/>
          <w:b/>
          <w:bCs w:val="0"/>
          <w:color w:val="auto"/>
          <w:sz w:val="48"/>
          <w:szCs w:val="48"/>
          <w:highlight w:val="none"/>
        </w:rPr>
        <w:t>（污染影响类）</w:t>
      </w:r>
    </w:p>
    <w:p w14:paraId="45BEA437">
      <w:pPr>
        <w:keepNext w:val="0"/>
        <w:keepLines w:val="0"/>
        <w:pageBreakBefore w:val="0"/>
        <w:widowControl w:val="0"/>
        <w:kinsoku/>
        <w:wordWrap/>
        <w:overflowPunct/>
        <w:topLinePunct/>
        <w:autoSpaceDE w:val="0"/>
        <w:autoSpaceDN/>
        <w:bidi w:val="0"/>
        <w:adjustRightInd w:val="0"/>
        <w:snapToGrid w:val="0"/>
        <w:spacing w:line="288" w:lineRule="auto"/>
        <w:jc w:val="center"/>
        <w:textAlignment w:val="auto"/>
        <w:outlineLvl w:val="9"/>
        <w:rPr>
          <w:rFonts w:hint="default" w:ascii="Times New Roman" w:hAnsi="Times New Roman" w:eastAsia="宋体" w:cs="Times New Roman"/>
          <w:color w:val="auto"/>
          <w:kern w:val="44"/>
          <w:sz w:val="44"/>
          <w:szCs w:val="44"/>
          <w:highlight w:val="none"/>
        </w:rPr>
      </w:pPr>
    </w:p>
    <w:p w14:paraId="66F2895A">
      <w:pPr>
        <w:keepNext w:val="0"/>
        <w:keepLines w:val="0"/>
        <w:pageBreakBefore w:val="0"/>
        <w:widowControl w:val="0"/>
        <w:kinsoku/>
        <w:wordWrap/>
        <w:overflowPunct/>
        <w:topLinePunct/>
        <w:autoSpaceDE w:val="0"/>
        <w:autoSpaceDN/>
        <w:bidi w:val="0"/>
        <w:jc w:val="center"/>
        <w:textAlignment w:val="auto"/>
        <w:outlineLvl w:val="9"/>
        <w:rPr>
          <w:rFonts w:hint="default" w:ascii="Times New Roman" w:hAnsi="Times New Roman" w:eastAsia="宋体" w:cs="Times New Roman"/>
          <w:color w:val="auto"/>
          <w:sz w:val="52"/>
          <w:szCs w:val="52"/>
          <w:highlight w:val="none"/>
        </w:rPr>
      </w:pPr>
    </w:p>
    <w:p w14:paraId="04DB6F4F">
      <w:pPr>
        <w:keepNext w:val="0"/>
        <w:keepLines w:val="0"/>
        <w:pageBreakBefore w:val="0"/>
        <w:widowControl w:val="0"/>
        <w:kinsoku/>
        <w:wordWrap/>
        <w:overflowPunct/>
        <w:topLinePunct/>
        <w:autoSpaceDE w:val="0"/>
        <w:autoSpaceDN/>
        <w:bidi w:val="0"/>
        <w:ind w:firstLine="1040"/>
        <w:textAlignment w:val="auto"/>
        <w:outlineLvl w:val="9"/>
        <w:rPr>
          <w:rFonts w:hint="default" w:ascii="Times New Roman" w:hAnsi="Times New Roman" w:eastAsia="宋体" w:cs="Times New Roman"/>
          <w:color w:val="auto"/>
          <w:sz w:val="44"/>
          <w:szCs w:val="44"/>
          <w:highlight w:val="none"/>
        </w:rPr>
      </w:pPr>
      <w:bookmarkStart w:id="16" w:name="_GoBack"/>
      <w:bookmarkEnd w:id="16"/>
    </w:p>
    <w:p w14:paraId="1295E1AB">
      <w:pPr>
        <w:keepNext w:val="0"/>
        <w:keepLines w:val="0"/>
        <w:pageBreakBefore w:val="0"/>
        <w:widowControl w:val="0"/>
        <w:kinsoku/>
        <w:wordWrap/>
        <w:overflowPunct/>
        <w:topLinePunct/>
        <w:autoSpaceDE w:val="0"/>
        <w:autoSpaceDN/>
        <w:bidi w:val="0"/>
        <w:ind w:firstLine="1040"/>
        <w:textAlignment w:val="auto"/>
        <w:outlineLvl w:val="9"/>
        <w:rPr>
          <w:rFonts w:hint="default" w:ascii="Times New Roman" w:hAnsi="Times New Roman" w:eastAsia="宋体" w:cs="Times New Roman"/>
          <w:color w:val="auto"/>
          <w:sz w:val="44"/>
          <w:szCs w:val="44"/>
          <w:highlight w:val="none"/>
        </w:rPr>
      </w:pPr>
    </w:p>
    <w:p w14:paraId="7D996090">
      <w:pPr>
        <w:keepNext w:val="0"/>
        <w:keepLines w:val="0"/>
        <w:pageBreakBefore w:val="0"/>
        <w:widowControl w:val="0"/>
        <w:kinsoku/>
        <w:wordWrap/>
        <w:overflowPunct/>
        <w:topLinePunct/>
        <w:autoSpaceDE w:val="0"/>
        <w:autoSpaceDN/>
        <w:bidi w:val="0"/>
        <w:adjustRightInd w:val="0"/>
        <w:snapToGrid w:val="0"/>
        <w:spacing w:line="288" w:lineRule="auto"/>
        <w:ind w:left="1800" w:hanging="1800" w:hangingChars="500"/>
        <w:textAlignment w:val="auto"/>
        <w:rPr>
          <w:rFonts w:hint="default" w:ascii="Times New Roman" w:hAnsi="Times New Roman" w:eastAsia="宋体" w:cs="Times New Roman"/>
          <w:color w:val="auto"/>
          <w:sz w:val="36"/>
          <w:szCs w:val="36"/>
          <w:highlight w:val="none"/>
        </w:rPr>
      </w:pPr>
    </w:p>
    <w:p w14:paraId="123D8C63">
      <w:pPr>
        <w:keepNext w:val="0"/>
        <w:keepLines w:val="0"/>
        <w:pageBreakBefore w:val="0"/>
        <w:widowControl w:val="0"/>
        <w:kinsoku/>
        <w:wordWrap/>
        <w:overflowPunct/>
        <w:topLinePunct/>
        <w:autoSpaceDE w:val="0"/>
        <w:autoSpaceDN/>
        <w:bidi w:val="0"/>
        <w:adjustRightInd w:val="0"/>
        <w:snapToGrid w:val="0"/>
        <w:spacing w:line="288" w:lineRule="auto"/>
        <w:ind w:left="1800" w:hanging="1800" w:hangingChars="500"/>
        <w:textAlignment w:val="auto"/>
        <w:rPr>
          <w:rFonts w:hint="default" w:ascii="Times New Roman" w:hAnsi="Times New Roman" w:eastAsia="宋体" w:cs="Times New Roman"/>
          <w:color w:val="auto"/>
          <w:sz w:val="36"/>
          <w:szCs w:val="36"/>
          <w:highlight w:val="none"/>
        </w:rPr>
      </w:pPr>
    </w:p>
    <w:p w14:paraId="07E3D763">
      <w:pPr>
        <w:pStyle w:val="19"/>
        <w:keepNext w:val="0"/>
        <w:keepLines w:val="0"/>
        <w:pageBreakBefore w:val="0"/>
        <w:kinsoku/>
        <w:overflowPunct/>
        <w:topLinePunct/>
        <w:autoSpaceDE w:val="0"/>
        <w:bidi w:val="0"/>
        <w:rPr>
          <w:rFonts w:hint="default" w:ascii="Times New Roman" w:hAnsi="Times New Roman" w:eastAsia="宋体" w:cs="Times New Roman"/>
          <w:color w:val="auto"/>
          <w:highlight w:val="none"/>
        </w:rPr>
      </w:pPr>
    </w:p>
    <w:p w14:paraId="61FBF9E1">
      <w:pPr>
        <w:keepNext w:val="0"/>
        <w:keepLines w:val="0"/>
        <w:pageBreakBefore w:val="0"/>
        <w:widowControl w:val="0"/>
        <w:kinsoku/>
        <w:wordWrap/>
        <w:overflowPunct/>
        <w:topLinePunct/>
        <w:autoSpaceDE w:val="0"/>
        <w:autoSpaceDN/>
        <w:bidi w:val="0"/>
        <w:adjustRightInd w:val="0"/>
        <w:snapToGrid w:val="0"/>
        <w:spacing w:line="288" w:lineRule="auto"/>
        <w:ind w:left="1800" w:hanging="1800" w:hangingChars="500"/>
        <w:textAlignment w:val="auto"/>
        <w:rPr>
          <w:rFonts w:hint="default" w:ascii="Times New Roman" w:hAnsi="Times New Roman" w:eastAsia="宋体" w:cs="Times New Roman"/>
          <w:color w:val="auto"/>
          <w:sz w:val="36"/>
          <w:szCs w:val="36"/>
          <w:highlight w:val="none"/>
        </w:rPr>
      </w:pPr>
    </w:p>
    <w:tbl>
      <w:tblPr>
        <w:tblStyle w:val="30"/>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2"/>
        <w:gridCol w:w="6100"/>
      </w:tblGrid>
      <w:tr w14:paraId="2246A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2" w:type="dxa"/>
          </w:tcPr>
          <w:p w14:paraId="22A1ABF7">
            <w:pPr>
              <w:keepNext w:val="0"/>
              <w:keepLines w:val="0"/>
              <w:pageBreakBefore w:val="0"/>
              <w:widowControl w:val="0"/>
              <w:kinsoku/>
              <w:wordWrap/>
              <w:overflowPunct/>
              <w:topLinePunct/>
              <w:autoSpaceDE w:val="0"/>
              <w:autoSpaceDN/>
              <w:bidi w:val="0"/>
              <w:spacing w:line="360" w:lineRule="auto"/>
              <w:jc w:val="distribute"/>
              <w:textAlignment w:val="auto"/>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项目名称：</w:t>
            </w:r>
          </w:p>
        </w:tc>
        <w:tc>
          <w:tcPr>
            <w:tcW w:w="6100" w:type="dxa"/>
          </w:tcPr>
          <w:p w14:paraId="73FE5A04">
            <w:pPr>
              <w:keepNext w:val="0"/>
              <w:keepLines w:val="0"/>
              <w:pageBreakBefore w:val="0"/>
              <w:widowControl w:val="0"/>
              <w:kinsoku/>
              <w:wordWrap/>
              <w:overflowPunct/>
              <w:topLinePunct/>
              <w:autoSpaceDE w:val="0"/>
              <w:autoSpaceDN/>
              <w:bidi w:val="0"/>
              <w:adjustRightInd/>
              <w:snapToGrid/>
              <w:spacing w:line="360" w:lineRule="auto"/>
              <w:ind w:left="0" w:firstLine="0" w:firstLineChars="0"/>
              <w:jc w:val="both"/>
              <w:textAlignment w:val="auto"/>
              <w:rPr>
                <w:rFonts w:hint="default" w:ascii="Times New Roman" w:hAnsi="Times New Roman" w:eastAsia="宋体" w:cs="Times New Roman"/>
                <w:b/>
                <w:color w:val="auto"/>
                <w:sz w:val="44"/>
                <w:szCs w:val="44"/>
                <w:highlight w:val="none"/>
                <w:u w:val="thick"/>
              </w:rPr>
            </w:pPr>
            <w:r>
              <w:rPr>
                <w:rFonts w:hint="default" w:ascii="Times New Roman" w:hAnsi="Times New Roman" w:eastAsia="宋体" w:cs="Times New Roman"/>
                <w:b/>
                <w:bCs w:val="0"/>
                <w:color w:val="auto"/>
                <w:sz w:val="36"/>
                <w:szCs w:val="36"/>
                <w:highlight w:val="none"/>
                <w:u w:val="single"/>
                <w:lang w:val="en-US" w:eastAsia="zh-CN"/>
              </w:rPr>
              <w:t>年产6000吨高品质水晶钻石新材料研发生产制造项目</w:t>
            </w:r>
            <w:r>
              <w:rPr>
                <w:rFonts w:hint="default" w:ascii="Times New Roman" w:hAnsi="Times New Roman" w:eastAsia="宋体" w:cs="Times New Roman"/>
                <w:b/>
                <w:color w:val="auto"/>
                <w:sz w:val="36"/>
                <w:szCs w:val="36"/>
                <w:highlight w:val="none"/>
                <w:u w:val="single"/>
                <w:lang w:val="en-US" w:eastAsia="zh-CN"/>
              </w:rPr>
              <w:t xml:space="preserve">                   </w:t>
            </w:r>
          </w:p>
        </w:tc>
      </w:tr>
      <w:tr w14:paraId="42A60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2" w:type="dxa"/>
          </w:tcPr>
          <w:p w14:paraId="40AAE0D8">
            <w:pPr>
              <w:keepNext w:val="0"/>
              <w:keepLines w:val="0"/>
              <w:pageBreakBefore w:val="0"/>
              <w:widowControl w:val="0"/>
              <w:kinsoku/>
              <w:wordWrap/>
              <w:overflowPunct/>
              <w:topLinePunct/>
              <w:autoSpaceDE w:val="0"/>
              <w:autoSpaceDN/>
              <w:bidi w:val="0"/>
              <w:adjustRightInd w:val="0"/>
              <w:snapToGrid w:val="0"/>
              <w:spacing w:line="360" w:lineRule="auto"/>
              <w:jc w:val="distribute"/>
              <w:textAlignment w:val="auto"/>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建设单位（盖章）：</w:t>
            </w:r>
          </w:p>
        </w:tc>
        <w:tc>
          <w:tcPr>
            <w:tcW w:w="6100" w:type="dxa"/>
          </w:tcPr>
          <w:p w14:paraId="148C526A">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b/>
                <w:color w:val="auto"/>
                <w:sz w:val="36"/>
                <w:szCs w:val="36"/>
                <w:highlight w:val="none"/>
                <w:u w:val="single"/>
              </w:rPr>
            </w:pPr>
            <w:r>
              <w:rPr>
                <w:rFonts w:hint="default" w:ascii="Times New Roman" w:hAnsi="Times New Roman" w:eastAsia="宋体" w:cs="Times New Roman"/>
                <w:b/>
                <w:bCs/>
                <w:color w:val="auto"/>
                <w:sz w:val="36"/>
                <w:szCs w:val="36"/>
                <w:highlight w:val="none"/>
                <w:u w:val="single"/>
                <w:lang w:eastAsia="zh-CN"/>
              </w:rPr>
              <w:t>云南元易新材料有限公司</w:t>
            </w: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bCs w:val="0"/>
                <w:color w:val="auto"/>
                <w:sz w:val="36"/>
                <w:szCs w:val="36"/>
                <w:highlight w:val="none"/>
                <w:u w:val="single"/>
                <w:lang w:val="en-US" w:eastAsia="zh-CN"/>
              </w:rPr>
              <w:t xml:space="preserve">                  </w:t>
            </w:r>
            <w:r>
              <w:rPr>
                <w:rFonts w:hint="default" w:ascii="Times New Roman" w:hAnsi="Times New Roman" w:eastAsia="宋体" w:cs="Times New Roman"/>
                <w:b/>
                <w:bCs w:val="0"/>
                <w:color w:val="auto"/>
                <w:sz w:val="36"/>
                <w:szCs w:val="36"/>
                <w:highlight w:val="none"/>
                <w:u w:val="single"/>
              </w:rPr>
              <w:t xml:space="preserve">     </w:t>
            </w:r>
          </w:p>
        </w:tc>
      </w:tr>
      <w:tr w14:paraId="1EFF8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2" w:type="dxa"/>
          </w:tcPr>
          <w:p w14:paraId="10AC3351">
            <w:pPr>
              <w:keepNext w:val="0"/>
              <w:keepLines w:val="0"/>
              <w:pageBreakBefore w:val="0"/>
              <w:widowControl w:val="0"/>
              <w:kinsoku/>
              <w:wordWrap/>
              <w:overflowPunct/>
              <w:topLinePunct/>
              <w:autoSpaceDE w:val="0"/>
              <w:autoSpaceDN/>
              <w:bidi w:val="0"/>
              <w:adjustRightInd w:val="0"/>
              <w:snapToGrid w:val="0"/>
              <w:spacing w:line="360" w:lineRule="auto"/>
              <w:jc w:val="distribute"/>
              <w:textAlignment w:val="auto"/>
              <w:rPr>
                <w:rFonts w:hint="default" w:ascii="Times New Roman" w:hAnsi="Times New Roman" w:eastAsia="宋体" w:cs="Times New Roman"/>
                <w:b/>
                <w:color w:val="auto"/>
                <w:sz w:val="36"/>
                <w:szCs w:val="36"/>
                <w:highlight w:val="none"/>
              </w:rPr>
            </w:pPr>
            <w:r>
              <w:rPr>
                <w:rFonts w:hint="default" w:ascii="Times New Roman" w:hAnsi="Times New Roman" w:eastAsia="宋体" w:cs="Times New Roman"/>
                <w:b/>
                <w:color w:val="auto"/>
                <w:sz w:val="36"/>
                <w:szCs w:val="36"/>
                <w:highlight w:val="none"/>
              </w:rPr>
              <w:t>编制日期：</w:t>
            </w:r>
          </w:p>
        </w:tc>
        <w:tc>
          <w:tcPr>
            <w:tcW w:w="6100" w:type="dxa"/>
          </w:tcPr>
          <w:p w14:paraId="0CC9D9CF">
            <w:pPr>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b/>
                <w:color w:val="auto"/>
                <w:sz w:val="36"/>
                <w:szCs w:val="36"/>
                <w:highlight w:val="none"/>
                <w:u w:val="single"/>
              </w:rPr>
            </w:pPr>
            <w:r>
              <w:rPr>
                <w:rFonts w:hint="default" w:ascii="Times New Roman" w:hAnsi="Times New Roman" w:eastAsia="宋体" w:cs="Times New Roman"/>
                <w:b/>
                <w:color w:val="auto"/>
                <w:sz w:val="36"/>
                <w:szCs w:val="36"/>
                <w:highlight w:val="none"/>
                <w:u w:val="single"/>
              </w:rPr>
              <w:t xml:space="preserve">        </w:t>
            </w:r>
            <w:r>
              <w:rPr>
                <w:rFonts w:hint="default" w:ascii="Times New Roman" w:hAnsi="Times New Roman" w:eastAsia="宋体" w:cs="Times New Roman"/>
                <w:b/>
                <w:bCs/>
                <w:color w:val="auto"/>
                <w:sz w:val="36"/>
                <w:szCs w:val="36"/>
                <w:highlight w:val="none"/>
                <w:u w:val="single"/>
                <w:lang w:val="en-US" w:eastAsia="zh-CN"/>
              </w:rPr>
              <w:t>2026年</w:t>
            </w:r>
            <w:r>
              <w:rPr>
                <w:rFonts w:hint="eastAsia" w:cs="Times New Roman"/>
                <w:b/>
                <w:bCs/>
                <w:color w:val="auto"/>
                <w:sz w:val="36"/>
                <w:szCs w:val="36"/>
                <w:highlight w:val="none"/>
                <w:u w:val="single"/>
                <w:lang w:val="en-US" w:eastAsia="zh-CN"/>
              </w:rPr>
              <w:t>6</w:t>
            </w:r>
            <w:r>
              <w:rPr>
                <w:rFonts w:hint="default" w:ascii="Times New Roman" w:hAnsi="Times New Roman" w:eastAsia="宋体" w:cs="Times New Roman"/>
                <w:b/>
                <w:bCs/>
                <w:color w:val="auto"/>
                <w:sz w:val="36"/>
                <w:szCs w:val="36"/>
                <w:highlight w:val="none"/>
                <w:u w:val="single"/>
                <w:lang w:val="en-US" w:eastAsia="zh-CN"/>
              </w:rPr>
              <w:t>月</w:t>
            </w: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color w:val="auto"/>
                <w:sz w:val="36"/>
                <w:szCs w:val="36"/>
                <w:highlight w:val="none"/>
                <w:u w:val="single"/>
              </w:rPr>
              <w:t xml:space="preserve"> </w:t>
            </w:r>
            <w:r>
              <w:rPr>
                <w:rFonts w:hint="default" w:ascii="Times New Roman" w:hAnsi="Times New Roman" w:eastAsia="宋体" w:cs="Times New Roman"/>
                <w:b/>
                <w:color w:val="auto"/>
                <w:sz w:val="36"/>
                <w:szCs w:val="36"/>
                <w:highlight w:val="none"/>
                <w:u w:val="single"/>
                <w:lang w:val="en-US" w:eastAsia="zh-CN"/>
              </w:rPr>
              <w:t xml:space="preserve"> </w:t>
            </w:r>
            <w:r>
              <w:rPr>
                <w:rFonts w:hint="default" w:ascii="Times New Roman" w:hAnsi="Times New Roman" w:eastAsia="宋体" w:cs="Times New Roman"/>
                <w:b/>
                <w:color w:val="auto"/>
                <w:sz w:val="36"/>
                <w:szCs w:val="36"/>
                <w:highlight w:val="none"/>
                <w:u w:val="single"/>
              </w:rPr>
              <w:t xml:space="preserve">        </w:t>
            </w:r>
          </w:p>
        </w:tc>
      </w:tr>
    </w:tbl>
    <w:p w14:paraId="0833E696">
      <w:pPr>
        <w:keepNext w:val="0"/>
        <w:keepLines w:val="0"/>
        <w:pageBreakBefore w:val="0"/>
        <w:kinsoku/>
        <w:overflowPunct/>
        <w:topLinePunct/>
        <w:autoSpaceDE w:val="0"/>
        <w:bidi w:val="0"/>
        <w:adjustRightInd w:val="0"/>
        <w:snapToGrid w:val="0"/>
        <w:spacing w:line="288" w:lineRule="auto"/>
        <w:ind w:firstLine="1040"/>
        <w:rPr>
          <w:rFonts w:hint="default" w:ascii="Times New Roman" w:hAnsi="Times New Roman" w:eastAsia="宋体" w:cs="Times New Roman"/>
          <w:color w:val="auto"/>
          <w:sz w:val="36"/>
          <w:szCs w:val="36"/>
          <w:highlight w:val="none"/>
        </w:rPr>
      </w:pPr>
      <w:bookmarkStart w:id="1" w:name="_Hlk57884087"/>
    </w:p>
    <w:p w14:paraId="76BA256A">
      <w:pPr>
        <w:keepNext w:val="0"/>
        <w:keepLines w:val="0"/>
        <w:pageBreakBefore w:val="0"/>
        <w:kinsoku/>
        <w:overflowPunct/>
        <w:topLinePunct/>
        <w:autoSpaceDE w:val="0"/>
        <w:bidi w:val="0"/>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1427DB34">
      <w:pPr>
        <w:keepNext w:val="0"/>
        <w:keepLines w:val="0"/>
        <w:pageBreakBefore w:val="0"/>
        <w:kinsoku/>
        <w:overflowPunct/>
        <w:topLinePunct/>
        <w:autoSpaceDE w:val="0"/>
        <w:bidi w:val="0"/>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1"/>
    <w:p w14:paraId="7F004628">
      <w:pPr>
        <w:keepNext w:val="0"/>
        <w:keepLines w:val="0"/>
        <w:pageBreakBefore w:val="0"/>
        <w:kinsoku/>
        <w:overflowPunct/>
        <w:topLinePunct/>
        <w:autoSpaceDE w:val="0"/>
        <w:bidi w:val="0"/>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7E41491C">
      <w:pPr>
        <w:keepNext w:val="0"/>
        <w:keepLines w:val="0"/>
        <w:pageBreakBefore w:val="0"/>
        <w:kinsoku/>
        <w:overflowPunct/>
        <w:topLinePunct/>
        <w:autoSpaceDE w:val="0"/>
        <w:bidi w:val="0"/>
        <w:adjustRightInd w:val="0"/>
        <w:snapToGrid w:val="0"/>
        <w:spacing w:line="288" w:lineRule="auto"/>
        <w:ind w:firstLine="1040"/>
        <w:rPr>
          <w:rFonts w:hint="default" w:ascii="Times New Roman" w:hAnsi="Times New Roman" w:eastAsia="宋体" w:cs="Times New Roman"/>
          <w:color w:val="auto"/>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sdt>
      <w:sdtPr>
        <w:rPr>
          <w:rFonts w:hint="default" w:ascii="Times New Roman" w:hAnsi="Times New Roman" w:eastAsia="宋体" w:cs="Times New Roman"/>
          <w:b/>
          <w:bCs/>
          <w:color w:val="auto"/>
          <w:kern w:val="2"/>
          <w:sz w:val="30"/>
          <w:szCs w:val="30"/>
          <w:highlight w:val="none"/>
          <w:lang w:val="en-US" w:eastAsia="zh-CN" w:bidi="ar-SA"/>
        </w:rPr>
        <w:id w:val="147473248"/>
        <w15:color w:val="DBDBDB"/>
        <w:docPartObj>
          <w:docPartGallery w:val="Table of Contents"/>
          <w:docPartUnique/>
        </w:docPartObj>
      </w:sdtPr>
      <w:sdtEndPr>
        <w:rPr>
          <w:rFonts w:hint="default" w:ascii="Times New Roman" w:hAnsi="Times New Roman" w:eastAsia="宋体" w:cs="Times New Roman"/>
          <w:b/>
          <w:bCs/>
          <w:color w:val="auto"/>
          <w:kern w:val="2"/>
          <w:sz w:val="30"/>
          <w:szCs w:val="30"/>
          <w:highlight w:val="none"/>
          <w:lang w:val="en-US" w:eastAsia="zh-CN" w:bidi="ar-SA"/>
        </w:rPr>
      </w:sdtEndPr>
      <w:sdtContent>
        <w:p w14:paraId="50461393">
          <w:pPr>
            <w:keepNext w:val="0"/>
            <w:keepLines w:val="0"/>
            <w:pageBreakBefore w:val="0"/>
            <w:widowControl w:val="0"/>
            <w:kinsoku/>
            <w:wordWrap/>
            <w:overflowPunct/>
            <w:topLinePunct/>
            <w:autoSpaceDE w:val="0"/>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目录</w:t>
          </w:r>
        </w:p>
        <w:p w14:paraId="22F3CB18">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_Toc6703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一、建设项目基本情况</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_Toc6703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2DBB2A54">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_Toc9579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二、建设项目工程分析</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_Toc9579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48</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0178D83F">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_Toc16297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三、区域环境质量现状、环境保护目标及评价标准</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_Toc16297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87</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31080401">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_Toc13326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四、主要环境影响和保护措施</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_Toc13326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96</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2F22673A">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_Toc26806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五、环境保护措施监督检查清单</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_Toc26806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158</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6BC7887D">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_Toc17315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六、结论</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_Toc17315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161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4526DA6B">
          <w:pPr>
            <w:pStyle w:val="25"/>
            <w:keepNext w:val="0"/>
            <w:keepLines w:val="0"/>
            <w:pageBreakBefore w:val="0"/>
            <w:tabs>
              <w:tab w:val="right" w:leader="dot" w:pos="8844"/>
            </w:tabs>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_Toc31965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附表</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_Toc31965 \h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162</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14:paraId="4AE14AD5">
          <w:pPr>
            <w:keepNext w:val="0"/>
            <w:keepLines w:val="0"/>
            <w:pageBreakBefore w:val="0"/>
            <w:kinsoku/>
            <w:wordWrap/>
            <w:overflowPunct/>
            <w:topLinePunct/>
            <w:autoSpaceDE w:val="0"/>
            <w:autoSpaceDN/>
            <w:bidi w:val="0"/>
            <w:adjustRightInd/>
            <w:snapToGrid/>
            <w:spacing w:line="48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8"/>
              <w:szCs w:val="28"/>
              <w:highlight w:val="none"/>
            </w:rPr>
            <w:fldChar w:fldCharType="end"/>
          </w:r>
        </w:p>
      </w:sdtContent>
    </w:sdt>
    <w:p w14:paraId="2ACA2553">
      <w:pPr>
        <w:keepNext w:val="0"/>
        <w:keepLines w:val="0"/>
        <w:pageBreakBefore w:val="0"/>
        <w:kinsoku/>
        <w:overflowPunct/>
        <w:topLinePunct/>
        <w:autoSpaceDE w:val="0"/>
        <w:bidi w:val="0"/>
        <w:rPr>
          <w:rFonts w:hint="default" w:ascii="Times New Roman" w:hAnsi="Times New Roman" w:eastAsia="宋体" w:cs="Times New Roman"/>
          <w:color w:val="auto"/>
          <w:highlight w:val="none"/>
        </w:rPr>
      </w:pPr>
    </w:p>
    <w:p w14:paraId="2EEA020E">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snapToGrid w:val="0"/>
          <w:color w:val="auto"/>
          <w:sz w:val="30"/>
          <w:szCs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2" w:name="_Toc6703"/>
    </w:p>
    <w:p w14:paraId="5A7DB109">
      <w:pPr>
        <w:keepNext w:val="0"/>
        <w:keepLines w:val="0"/>
        <w:pageBreakBefore w:val="0"/>
        <w:widowControl w:val="0"/>
        <w:kinsoku/>
        <w:wordWrap/>
        <w:overflowPunct/>
        <w:topLinePunct/>
        <w:autoSpaceDE w:val="0"/>
        <w:autoSpaceDN/>
        <w:bidi w:val="0"/>
        <w:adjustRightInd/>
        <w:snapToGrid/>
        <w:spacing w:before="0" w:beforeLines="0" w:after="0" w:afterLines="0" w:line="360" w:lineRule="auto"/>
        <w:ind w:left="0" w:leftChars="0" w:right="0" w:rightChars="0" w:firstLine="0" w:firstLineChars="0"/>
        <w:jc w:val="left"/>
        <w:textAlignment w:val="auto"/>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附件：</w:t>
      </w:r>
    </w:p>
    <w:p w14:paraId="5BC708AD">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 委托书；</w:t>
      </w:r>
    </w:p>
    <w:p w14:paraId="3748C42F">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附件2 项目投资备案证；</w:t>
      </w:r>
    </w:p>
    <w:p w14:paraId="093B27BC">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附件3 公司营业执照；</w:t>
      </w:r>
    </w:p>
    <w:p w14:paraId="1266BE63">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附件4 </w:t>
      </w:r>
      <w:r>
        <w:rPr>
          <w:rFonts w:hint="eastAsia" w:ascii="Times New Roman" w:hAnsi="Times New Roman" w:eastAsia="宋体" w:cs="Times New Roman"/>
          <w:b w:val="0"/>
          <w:bCs w:val="0"/>
          <w:color w:val="auto"/>
          <w:sz w:val="24"/>
          <w:szCs w:val="24"/>
          <w:highlight w:val="none"/>
          <w:lang w:val="en-US" w:eastAsia="zh-CN"/>
        </w:rPr>
        <w:t>关于项目</w:t>
      </w:r>
      <w:r>
        <w:rPr>
          <w:rFonts w:hint="default" w:ascii="Times New Roman" w:hAnsi="Times New Roman" w:eastAsia="宋体" w:cs="Times New Roman"/>
          <w:b w:val="0"/>
          <w:bCs w:val="0"/>
          <w:color w:val="auto"/>
          <w:sz w:val="24"/>
          <w:szCs w:val="24"/>
          <w:highlight w:val="none"/>
          <w:lang w:val="en-US" w:eastAsia="zh-CN"/>
        </w:rPr>
        <w:t>入园</w:t>
      </w:r>
      <w:r>
        <w:rPr>
          <w:rFonts w:hint="eastAsia" w:ascii="Times New Roman" w:hAnsi="Times New Roman" w:eastAsia="宋体" w:cs="Times New Roman"/>
          <w:b w:val="0"/>
          <w:bCs w:val="0"/>
          <w:color w:val="auto"/>
          <w:sz w:val="24"/>
          <w:szCs w:val="24"/>
          <w:highlight w:val="none"/>
          <w:lang w:val="en-US" w:eastAsia="zh-CN"/>
        </w:rPr>
        <w:t>的证明</w:t>
      </w:r>
      <w:r>
        <w:rPr>
          <w:rFonts w:hint="default" w:ascii="Times New Roman" w:hAnsi="Times New Roman" w:eastAsia="宋体" w:cs="Times New Roman"/>
          <w:b w:val="0"/>
          <w:bCs w:val="0"/>
          <w:color w:val="auto"/>
          <w:sz w:val="24"/>
          <w:szCs w:val="24"/>
          <w:highlight w:val="none"/>
          <w:lang w:val="en-US" w:eastAsia="zh-CN"/>
        </w:rPr>
        <w:t>；</w:t>
      </w:r>
    </w:p>
    <w:p w14:paraId="117BF16E">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附件5 项目投资协议书；</w:t>
      </w:r>
    </w:p>
    <w:p w14:paraId="7B2E5071">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附件6 项目地宗图；</w:t>
      </w:r>
    </w:p>
    <w:p w14:paraId="6FD4E795">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附件7 国有建设用地使用权出让合同；</w:t>
      </w:r>
    </w:p>
    <w:p w14:paraId="36D8908E">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附件8 园区规划环评审查意见的函（玉市环函〔2022〕32号）；</w:t>
      </w:r>
    </w:p>
    <w:p w14:paraId="765888CA">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附件9 易门县自然资源局关于项目“三区三线”查询结果；</w:t>
      </w:r>
    </w:p>
    <w:p w14:paraId="29C6369C">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附件10 </w:t>
      </w:r>
      <w:r>
        <w:rPr>
          <w:rFonts w:hint="eastAsia" w:ascii="Times New Roman" w:hAnsi="Times New Roman" w:eastAsia="宋体" w:cs="Times New Roman"/>
          <w:b w:val="0"/>
          <w:bCs w:val="0"/>
          <w:color w:val="auto"/>
          <w:sz w:val="24"/>
          <w:szCs w:val="24"/>
          <w:highlight w:val="none"/>
          <w:lang w:val="en-US" w:eastAsia="zh-CN"/>
        </w:rPr>
        <w:t>玉溪市生态环境局易门分局关于</w:t>
      </w:r>
      <w:r>
        <w:rPr>
          <w:rFonts w:hint="default" w:ascii="Times New Roman" w:hAnsi="Times New Roman" w:eastAsia="宋体" w:cs="Times New Roman"/>
          <w:b w:val="0"/>
          <w:bCs w:val="0"/>
          <w:color w:val="auto"/>
          <w:sz w:val="24"/>
          <w:szCs w:val="24"/>
          <w:highlight w:val="none"/>
          <w:lang w:val="en-US" w:eastAsia="zh-CN"/>
        </w:rPr>
        <w:t>项目坐标涉及生态环境管控单元与环境管控详情</w:t>
      </w:r>
      <w:r>
        <w:rPr>
          <w:rFonts w:hint="eastAsia" w:ascii="Times New Roman" w:hAnsi="Times New Roman" w:eastAsia="宋体" w:cs="Times New Roman"/>
          <w:b w:val="0"/>
          <w:bCs w:val="0"/>
          <w:color w:val="auto"/>
          <w:sz w:val="24"/>
          <w:szCs w:val="24"/>
          <w:highlight w:val="none"/>
          <w:lang w:val="en-US" w:eastAsia="zh-CN"/>
        </w:rPr>
        <w:t>查询；</w:t>
      </w:r>
    </w:p>
    <w:p w14:paraId="04DC7BA3">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 xml:space="preserve"> 园区管委会关于项目的排水意见；</w:t>
      </w:r>
    </w:p>
    <w:p w14:paraId="7CF95D2F">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污水处理厂</w:t>
      </w:r>
      <w:r>
        <w:rPr>
          <w:rFonts w:hint="eastAsia" w:ascii="Times New Roman" w:hAnsi="Times New Roman" w:eastAsia="宋体" w:cs="Times New Roman"/>
          <w:b w:val="0"/>
          <w:bCs w:val="0"/>
          <w:color w:val="auto"/>
          <w:sz w:val="24"/>
          <w:szCs w:val="24"/>
          <w:highlight w:val="none"/>
          <w:lang w:val="en-US" w:eastAsia="zh-CN"/>
        </w:rPr>
        <w:t>运营单位</w:t>
      </w:r>
      <w:r>
        <w:rPr>
          <w:rFonts w:hint="default" w:ascii="Times New Roman" w:hAnsi="Times New Roman" w:eastAsia="宋体" w:cs="Times New Roman"/>
          <w:b w:val="0"/>
          <w:bCs w:val="0"/>
          <w:color w:val="auto"/>
          <w:sz w:val="24"/>
          <w:szCs w:val="24"/>
          <w:highlight w:val="none"/>
          <w:lang w:val="en-US" w:eastAsia="zh-CN"/>
        </w:rPr>
        <w:t>关于项目废水接纳协议；</w:t>
      </w:r>
    </w:p>
    <w:p w14:paraId="5C986B01">
      <w:pPr>
        <w:pStyle w:val="19"/>
        <w:keepNext w:val="0"/>
        <w:keepLines w:val="0"/>
        <w:pageBreakBefore w:val="0"/>
        <w:widowControl w:val="0"/>
        <w:tabs>
          <w:tab w:val="left" w:pos="4830"/>
        </w:tabs>
        <w:kinsoku/>
        <w:wordWrap/>
        <w:overflowPunct/>
        <w:topLinePunct/>
        <w:autoSpaceDE w:val="0"/>
        <w:autoSpaceDN/>
        <w:bidi w:val="0"/>
        <w:adjustRightInd/>
        <w:snapToGrid/>
        <w:spacing w:before="0" w:after="0" w:line="360" w:lineRule="auto"/>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ascii="Times New Roman" w:hAnsi="Times New Roman" w:eastAsia="宋体" w:cs="Times New Roman"/>
          <w:b w:val="0"/>
          <w:bCs w:val="0"/>
          <w:color w:val="auto"/>
          <w:sz w:val="24"/>
          <w:szCs w:val="24"/>
          <w:highlight w:val="none"/>
          <w:lang w:val="en-US" w:eastAsia="zh-CN"/>
        </w:rPr>
        <w:t>3 建设单位</w:t>
      </w:r>
      <w:r>
        <w:rPr>
          <w:rFonts w:hint="default" w:ascii="Times New Roman" w:hAnsi="Times New Roman" w:eastAsia="宋体" w:cs="Times New Roman"/>
          <w:b w:val="0"/>
          <w:bCs w:val="0"/>
          <w:color w:val="auto"/>
          <w:sz w:val="24"/>
          <w:szCs w:val="24"/>
          <w:highlight w:val="none"/>
          <w:lang w:val="en-US" w:eastAsia="zh-CN"/>
        </w:rPr>
        <w:t>关于项目的排水承诺书</w:t>
      </w:r>
      <w:r>
        <w:rPr>
          <w:rFonts w:hint="eastAsia" w:ascii="Times New Roman" w:hAnsi="Times New Roman" w:eastAsia="宋体" w:cs="Times New Roman"/>
          <w:b w:val="0"/>
          <w:bCs w:val="0"/>
          <w:color w:val="auto"/>
          <w:sz w:val="24"/>
          <w:szCs w:val="24"/>
          <w:highlight w:val="none"/>
          <w:lang w:val="en-US" w:eastAsia="zh-CN"/>
        </w:rPr>
        <w:t>；</w:t>
      </w:r>
    </w:p>
    <w:p w14:paraId="31975605">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项目原料（</w:t>
      </w:r>
      <w:r>
        <w:rPr>
          <w:rFonts w:hint="default" w:cs="Times New Roman"/>
          <w:b w:val="0"/>
          <w:bCs w:val="0"/>
          <w:color w:val="auto"/>
          <w:sz w:val="24"/>
          <w:szCs w:val="24"/>
          <w:highlight w:val="none"/>
          <w:lang w:val="en-US" w:eastAsia="zh-CN"/>
        </w:rPr>
        <w:t>石英砂</w:t>
      </w:r>
      <w:r>
        <w:rPr>
          <w:rFonts w:hint="eastAsia" w:cs="Times New Roman"/>
          <w:b w:val="0"/>
          <w:bCs w:val="0"/>
          <w:color w:val="auto"/>
          <w:sz w:val="24"/>
          <w:szCs w:val="24"/>
          <w:highlight w:val="none"/>
          <w:lang w:val="en-US" w:eastAsia="zh-CN"/>
        </w:rPr>
        <w:t>）检测报告；</w:t>
      </w:r>
    </w:p>
    <w:p w14:paraId="72A65C41">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项目危险废物处置合同；</w:t>
      </w:r>
    </w:p>
    <w:p w14:paraId="0FEE33E3">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 xml:space="preserve"> </w:t>
      </w:r>
      <w:r>
        <w:rPr>
          <w:rFonts w:hint="eastAsia" w:cs="Times New Roman"/>
          <w:b w:val="0"/>
          <w:bCs w:val="0"/>
          <w:color w:val="auto"/>
          <w:sz w:val="24"/>
          <w:szCs w:val="24"/>
          <w:highlight w:val="none"/>
          <w:lang w:val="en-US" w:eastAsia="zh-CN"/>
        </w:rPr>
        <w:t>项目一般固废（沉渣）处置意向合作协议；</w:t>
      </w:r>
    </w:p>
    <w:p w14:paraId="6457738D">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附件</w:t>
      </w:r>
      <w:r>
        <w:rPr>
          <w:rFonts w:hint="default" w:ascii="Times New Roman" w:hAnsi="Times New Roman" w:eastAsia="宋体" w:cs="Times New Roman"/>
          <w:b w:val="0"/>
          <w:bCs w:val="0"/>
          <w:color w:val="auto"/>
          <w:kern w:val="2"/>
          <w:sz w:val="24"/>
          <w:szCs w:val="24"/>
          <w:highlight w:val="none"/>
          <w:lang w:val="en-US" w:eastAsia="zh-CN" w:bidi="ar-SA"/>
        </w:rPr>
        <w:t>1</w:t>
      </w:r>
      <w:r>
        <w:rPr>
          <w:rFonts w:hint="eastAsia" w:ascii="Times New Roman" w:hAnsi="Times New Roman" w:eastAsia="宋体" w:cs="Times New Roman"/>
          <w:b w:val="0"/>
          <w:bCs w:val="0"/>
          <w:color w:val="auto"/>
          <w:kern w:val="2"/>
          <w:sz w:val="24"/>
          <w:szCs w:val="24"/>
          <w:highlight w:val="none"/>
          <w:lang w:val="en-US" w:eastAsia="zh-CN" w:bidi="ar-SA"/>
        </w:rPr>
        <w:t>7</w:t>
      </w:r>
      <w:r>
        <w:rPr>
          <w:rFonts w:hint="default" w:ascii="Times New Roman" w:hAnsi="Times New Roman" w:eastAsia="宋体" w:cs="Times New Roman"/>
          <w:b w:val="0"/>
          <w:bCs w:val="0"/>
          <w:color w:val="auto"/>
          <w:kern w:val="2"/>
          <w:sz w:val="24"/>
          <w:szCs w:val="24"/>
          <w:highlight w:val="none"/>
          <w:lang w:val="en-US" w:eastAsia="zh-CN" w:bidi="ar-SA"/>
        </w:rPr>
        <w:t xml:space="preserve"> </w:t>
      </w:r>
      <w:r>
        <w:rPr>
          <w:rFonts w:hint="eastAsia" w:cs="Times New Roman"/>
          <w:b w:val="0"/>
          <w:bCs w:val="0"/>
          <w:color w:val="auto"/>
          <w:kern w:val="2"/>
          <w:sz w:val="24"/>
          <w:szCs w:val="24"/>
          <w:highlight w:val="none"/>
          <w:lang w:val="en-US" w:eastAsia="zh-CN" w:bidi="ar-SA"/>
        </w:rPr>
        <w:t>项目废胶粉处置合同；</w:t>
      </w:r>
    </w:p>
    <w:p w14:paraId="20C159B0">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 xml:space="preserve"> 项目环境质量现状监测报告；</w:t>
      </w:r>
    </w:p>
    <w:p w14:paraId="2E3A70D9">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附件1</w:t>
      </w:r>
      <w:r>
        <w:rPr>
          <w:rFonts w:hint="eastAsia"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 xml:space="preserve"> 项目环评合同；</w:t>
      </w:r>
    </w:p>
    <w:p w14:paraId="403B90B0">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w:t>
      </w:r>
      <w:r>
        <w:rPr>
          <w:rFonts w:hint="eastAsia" w:cs="Times New Roman"/>
          <w:b w:val="0"/>
          <w:bCs w:val="0"/>
          <w:color w:val="auto"/>
          <w:sz w:val="24"/>
          <w:szCs w:val="24"/>
          <w:highlight w:val="none"/>
          <w:lang w:val="en-US" w:eastAsia="zh-CN"/>
        </w:rPr>
        <w:t>20</w:t>
      </w:r>
      <w:r>
        <w:rPr>
          <w:rFonts w:hint="default" w:ascii="Times New Roman" w:hAnsi="Times New Roman" w:eastAsia="宋体" w:cs="Times New Roman"/>
          <w:b w:val="0"/>
          <w:bCs w:val="0"/>
          <w:color w:val="auto"/>
          <w:sz w:val="24"/>
          <w:szCs w:val="24"/>
          <w:highlight w:val="none"/>
          <w:lang w:val="en-US" w:eastAsia="zh-CN"/>
        </w:rPr>
        <w:t xml:space="preserve"> 项目工作进度表</w:t>
      </w:r>
      <w:r>
        <w:rPr>
          <w:rFonts w:hint="eastAsia" w:cs="Times New Roman"/>
          <w:b w:val="0"/>
          <w:bCs w:val="0"/>
          <w:color w:val="auto"/>
          <w:sz w:val="24"/>
          <w:szCs w:val="24"/>
          <w:highlight w:val="none"/>
          <w:lang w:val="en-US" w:eastAsia="zh-CN"/>
        </w:rPr>
        <w:t>及</w:t>
      </w:r>
      <w:r>
        <w:rPr>
          <w:rFonts w:hint="default" w:ascii="Times New Roman" w:hAnsi="Times New Roman" w:eastAsia="宋体" w:cs="Times New Roman"/>
          <w:b w:val="0"/>
          <w:bCs w:val="0"/>
          <w:color w:val="auto"/>
          <w:sz w:val="24"/>
          <w:szCs w:val="24"/>
          <w:highlight w:val="none"/>
          <w:lang w:val="en-US" w:eastAsia="zh-CN"/>
        </w:rPr>
        <w:t>三级审核表</w:t>
      </w:r>
      <w:r>
        <w:rPr>
          <w:rFonts w:hint="eastAsia" w:cs="Times New Roman"/>
          <w:b w:val="0"/>
          <w:bCs w:val="0"/>
          <w:color w:val="auto"/>
          <w:sz w:val="24"/>
          <w:szCs w:val="24"/>
          <w:highlight w:val="none"/>
          <w:lang w:val="en-US" w:eastAsia="zh-CN"/>
        </w:rPr>
        <w:t>；</w:t>
      </w:r>
    </w:p>
    <w:p w14:paraId="5114C495">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w:t>
      </w:r>
      <w:r>
        <w:rPr>
          <w:rFonts w:hint="eastAsia" w:ascii="Times New Roman" w:hAnsi="Times New Roman" w:eastAsia="宋体" w:cs="Times New Roman"/>
          <w:b w:val="0"/>
          <w:bCs w:val="0"/>
          <w:color w:val="auto"/>
          <w:sz w:val="24"/>
          <w:szCs w:val="24"/>
          <w:highlight w:val="none"/>
          <w:lang w:val="en-US" w:eastAsia="zh-CN"/>
        </w:rPr>
        <w:t xml:space="preserve">21 </w:t>
      </w:r>
      <w:r>
        <w:rPr>
          <w:rFonts w:hint="eastAsia"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评审意见及专家签到表；</w:t>
      </w:r>
    </w:p>
    <w:p w14:paraId="04752A04">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附件</w:t>
      </w:r>
      <w:r>
        <w:rPr>
          <w:rFonts w:hint="eastAsia" w:ascii="Times New Roman" w:hAnsi="Times New Roman" w:eastAsia="宋体" w:cs="Times New Roman"/>
          <w:b w:val="0"/>
          <w:bCs w:val="0"/>
          <w:color w:val="auto"/>
          <w:sz w:val="24"/>
          <w:szCs w:val="24"/>
          <w:highlight w:val="none"/>
          <w:lang w:val="en-US" w:eastAsia="zh-CN"/>
        </w:rPr>
        <w:t>22 修改清单</w:t>
      </w:r>
      <w:r>
        <w:rPr>
          <w:rFonts w:hint="default" w:ascii="Times New Roman" w:hAnsi="Times New Roman" w:eastAsia="宋体" w:cs="Times New Roman"/>
          <w:b w:val="0"/>
          <w:bCs w:val="0"/>
          <w:color w:val="auto"/>
          <w:sz w:val="24"/>
          <w:szCs w:val="24"/>
          <w:highlight w:val="none"/>
          <w:lang w:val="en-US" w:eastAsia="zh-CN"/>
        </w:rPr>
        <w:t>。</w:t>
      </w:r>
    </w:p>
    <w:p w14:paraId="1DF45141">
      <w:pPr>
        <w:keepNext w:val="0"/>
        <w:keepLines w:val="0"/>
        <w:pageBreakBefore w:val="0"/>
        <w:widowControl w:val="0"/>
        <w:kinsoku/>
        <w:wordWrap/>
        <w:overflowPunct/>
        <w:topLinePunct/>
        <w:autoSpaceDE w:val="0"/>
        <w:autoSpaceDN/>
        <w:bidi w:val="0"/>
        <w:adjustRightInd/>
        <w:snapToGrid/>
        <w:spacing w:before="0" w:beforeLines="0" w:after="0" w:afterLines="0" w:line="360" w:lineRule="auto"/>
        <w:ind w:left="0" w:leftChars="0" w:right="0" w:rightChars="0" w:firstLine="0" w:firstLineChars="0"/>
        <w:jc w:val="left"/>
        <w:textAlignment w:val="auto"/>
        <w:rPr>
          <w:rFonts w:hint="default" w:ascii="Times New Roman" w:hAnsi="Times New Roman" w:eastAsia="宋体" w:cs="Times New Roman"/>
          <w:b/>
          <w:bCs/>
          <w:color w:val="auto"/>
          <w:kern w:val="2"/>
          <w:sz w:val="28"/>
          <w:szCs w:val="28"/>
          <w:highlight w:val="none"/>
          <w:lang w:val="en-US" w:eastAsia="zh-CN" w:bidi="ar-SA"/>
        </w:rPr>
      </w:pPr>
    </w:p>
    <w:p w14:paraId="661096A1">
      <w:pPr>
        <w:keepNext w:val="0"/>
        <w:keepLines w:val="0"/>
        <w:pageBreakBefore w:val="0"/>
        <w:widowControl w:val="0"/>
        <w:kinsoku/>
        <w:wordWrap/>
        <w:overflowPunct/>
        <w:topLinePunct/>
        <w:autoSpaceDE w:val="0"/>
        <w:autoSpaceDN/>
        <w:bidi w:val="0"/>
        <w:adjustRightInd/>
        <w:snapToGrid/>
        <w:spacing w:before="0" w:beforeLines="0" w:after="0" w:afterLines="0" w:line="360" w:lineRule="auto"/>
        <w:ind w:left="0" w:leftChars="0" w:right="0" w:rightChars="0" w:firstLine="0" w:firstLineChars="0"/>
        <w:jc w:val="left"/>
        <w:textAlignment w:val="auto"/>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附图：</w:t>
      </w:r>
    </w:p>
    <w:p w14:paraId="1F5048CE">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附图1 项目地理位置图；</w:t>
      </w:r>
    </w:p>
    <w:p w14:paraId="49373784">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附图2 项目周边关系图；</w:t>
      </w:r>
    </w:p>
    <w:p w14:paraId="11ED7AB1">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附图3 项目区水系图；</w:t>
      </w:r>
    </w:p>
    <w:p w14:paraId="3DA81C75">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附图4 项目总平面布置图；</w:t>
      </w:r>
    </w:p>
    <w:p w14:paraId="72811310">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附图5 项目</w:t>
      </w:r>
      <w:r>
        <w:rPr>
          <w:rFonts w:hint="eastAsia" w:cs="Times New Roman"/>
          <w:b w:val="0"/>
          <w:bCs w:val="0"/>
          <w:color w:val="auto"/>
          <w:sz w:val="24"/>
          <w:szCs w:val="24"/>
          <w:highlight w:val="none"/>
          <w:lang w:val="en-US" w:eastAsia="zh-CN"/>
        </w:rPr>
        <w:t>雨污管网布置</w:t>
      </w:r>
      <w:r>
        <w:rPr>
          <w:rFonts w:hint="default" w:ascii="Times New Roman" w:hAnsi="Times New Roman" w:eastAsia="宋体" w:cs="Times New Roman"/>
          <w:b w:val="0"/>
          <w:bCs w:val="0"/>
          <w:color w:val="auto"/>
          <w:sz w:val="24"/>
          <w:szCs w:val="24"/>
          <w:highlight w:val="none"/>
          <w:lang w:val="en-US" w:eastAsia="zh-CN"/>
        </w:rPr>
        <w:t>图；</w:t>
      </w:r>
    </w:p>
    <w:p w14:paraId="0B2BB413">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附图6 项目与麦子田片区功能结构规划位置关系图；</w:t>
      </w:r>
    </w:p>
    <w:p w14:paraId="260C69B5">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附图7 项目与麦子田片区用地规划位置关系图；</w:t>
      </w:r>
    </w:p>
    <w:p w14:paraId="2AAE5F0A">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附图8 项目与易门县翠柏自然保护区位置关系示意图</w:t>
      </w:r>
      <w:r>
        <w:rPr>
          <w:rFonts w:hint="eastAsia" w:ascii="Times New Roman" w:hAnsi="Times New Roman" w:eastAsia="宋体" w:cs="Times New Roman"/>
          <w:b w:val="0"/>
          <w:bCs w:val="0"/>
          <w:color w:val="auto"/>
          <w:sz w:val="24"/>
          <w:szCs w:val="24"/>
          <w:highlight w:val="none"/>
          <w:lang w:val="en-US" w:eastAsia="zh-CN"/>
        </w:rPr>
        <w:t>；</w:t>
      </w:r>
    </w:p>
    <w:p w14:paraId="47C70497">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附图</w:t>
      </w:r>
      <w:r>
        <w:rPr>
          <w:rFonts w:hint="eastAsia"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 xml:space="preserve"> 项目现状监测点位布置图；</w:t>
      </w:r>
    </w:p>
    <w:p w14:paraId="38473040">
      <w:pPr>
        <w:pStyle w:val="19"/>
        <w:keepNext w:val="0"/>
        <w:keepLines w:val="0"/>
        <w:pageBreakBefore w:val="0"/>
        <w:widowControl w:val="0"/>
        <w:kinsoku/>
        <w:wordWrap/>
        <w:overflowPunct/>
        <w:topLinePunct/>
        <w:autoSpaceDE w:val="0"/>
        <w:autoSpaceDN/>
        <w:bidi w:val="0"/>
        <w:adjustRightInd/>
        <w:snapToGrid/>
        <w:spacing w:before="0" w:after="0"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附图10 项目分区防渗图</w:t>
      </w:r>
      <w:r>
        <w:rPr>
          <w:rFonts w:hint="default" w:ascii="Times New Roman" w:hAnsi="Times New Roman" w:eastAsia="宋体" w:cs="Times New Roman"/>
          <w:b w:val="0"/>
          <w:bCs w:val="0"/>
          <w:color w:val="auto"/>
          <w:sz w:val="24"/>
          <w:szCs w:val="24"/>
          <w:highlight w:val="none"/>
          <w:lang w:val="en-US" w:eastAsia="zh-CN"/>
        </w:rPr>
        <w:t>。</w:t>
      </w:r>
    </w:p>
    <w:p w14:paraId="0A092E91">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55632A3B">
      <w:pPr>
        <w:keepNext w:val="0"/>
        <w:keepLines w:val="0"/>
        <w:pageBreakBefore w:val="0"/>
        <w:widowControl w:val="0"/>
        <w:kinsoku/>
        <w:wordWrap/>
        <w:overflowPunct/>
        <w:topLinePunct/>
        <w:autoSpaceDE w:val="0"/>
        <w:autoSpaceDN/>
        <w:bidi w:val="0"/>
        <w:adjustRightInd/>
        <w:snapToGrid/>
        <w:spacing w:before="0" w:beforeLines="0" w:after="0" w:afterLines="0" w:line="360" w:lineRule="auto"/>
        <w:ind w:left="0" w:leftChars="0" w:right="0" w:rightChars="0" w:firstLine="0" w:firstLineChars="0"/>
        <w:jc w:val="left"/>
        <w:textAlignment w:val="auto"/>
        <w:rPr>
          <w:rFonts w:hint="default" w:ascii="Times New Roman" w:hAnsi="Times New Roman" w:eastAsia="宋体" w:cs="Times New Roman"/>
          <w:b/>
          <w:bCs/>
          <w:color w:val="auto"/>
          <w:kern w:val="2"/>
          <w:sz w:val="28"/>
          <w:szCs w:val="28"/>
          <w:highlight w:val="none"/>
          <w:lang w:val="en-US" w:eastAsia="zh-CN" w:bidi="ar-SA"/>
        </w:rPr>
        <w:sectPr>
          <w:footerReference r:id="rId7" w:type="default"/>
          <w:pgSz w:w="11906" w:h="16838"/>
          <w:pgMar w:top="1701" w:right="1531" w:bottom="1701" w:left="1531" w:header="851" w:footer="1417" w:gutter="0"/>
          <w:pgBorders>
            <w:top w:val="none" w:sz="0" w:space="0"/>
            <w:left w:val="none" w:sz="0" w:space="0"/>
            <w:bottom w:val="none" w:sz="0" w:space="0"/>
            <w:right w:val="none" w:sz="0" w:space="0"/>
          </w:pgBorders>
          <w:pgNumType w:fmt="decimal" w:start="1"/>
          <w:cols w:space="720" w:num="1"/>
          <w:docGrid w:linePitch="312" w:charSpace="0"/>
        </w:sectPr>
      </w:pPr>
    </w:p>
    <w:p w14:paraId="0E6CCA2A">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一、建设项目基本情况</w:t>
      </w:r>
      <w:bookmarkEnd w:id="2"/>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05"/>
        <w:gridCol w:w="1812"/>
        <w:gridCol w:w="2077"/>
        <w:gridCol w:w="2959"/>
      </w:tblGrid>
      <w:tr w14:paraId="1259A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5AFC21B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848" w:type="dxa"/>
            <w:gridSpan w:val="3"/>
            <w:vAlign w:val="center"/>
          </w:tcPr>
          <w:p w14:paraId="559A3D5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年产6000吨高品质水晶钻石新材料研发生产制造项目</w:t>
            </w:r>
          </w:p>
        </w:tc>
      </w:tr>
      <w:tr w14:paraId="18195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6FB991D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848" w:type="dxa"/>
            <w:gridSpan w:val="3"/>
            <w:vAlign w:val="center"/>
          </w:tcPr>
          <w:p w14:paraId="6FE18F2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2511-530425-04-01-346934</w:t>
            </w:r>
          </w:p>
        </w:tc>
      </w:tr>
      <w:tr w14:paraId="084E5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5EE852B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812" w:type="dxa"/>
            <w:vAlign w:val="center"/>
          </w:tcPr>
          <w:p w14:paraId="2F4CAB4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黄燕丽</w:t>
            </w:r>
          </w:p>
        </w:tc>
        <w:tc>
          <w:tcPr>
            <w:tcW w:w="2077" w:type="dxa"/>
            <w:vAlign w:val="center"/>
          </w:tcPr>
          <w:p w14:paraId="6A8F8CE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959" w:type="dxa"/>
            <w:vAlign w:val="center"/>
          </w:tcPr>
          <w:p w14:paraId="71A89E0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13868911088</w:t>
            </w:r>
          </w:p>
        </w:tc>
      </w:tr>
      <w:tr w14:paraId="3F7AF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074D1D9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848" w:type="dxa"/>
            <w:gridSpan w:val="3"/>
            <w:vAlign w:val="center"/>
          </w:tcPr>
          <w:p w14:paraId="722E418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玉溪</w:t>
            </w:r>
            <w:r>
              <w:rPr>
                <w:rFonts w:hint="default" w:ascii="Times New Roman" w:hAnsi="Times New Roman" w:eastAsia="宋体" w:cs="Times New Roman"/>
                <w:color w:val="auto"/>
                <w:sz w:val="24"/>
                <w:szCs w:val="24"/>
                <w:highlight w:val="none"/>
              </w:rPr>
              <w:t>市</w:t>
            </w:r>
            <w:r>
              <w:rPr>
                <w:rFonts w:hint="default" w:ascii="Times New Roman" w:hAnsi="Times New Roman" w:eastAsia="宋体" w:cs="Times New Roman"/>
                <w:color w:val="auto"/>
                <w:sz w:val="24"/>
                <w:szCs w:val="24"/>
                <w:highlight w:val="none"/>
                <w:lang w:eastAsia="zh-CN"/>
              </w:rPr>
              <w:t>易门</w:t>
            </w:r>
            <w:r>
              <w:rPr>
                <w:rFonts w:hint="default" w:ascii="Times New Roman" w:hAnsi="Times New Roman" w:eastAsia="宋体" w:cs="Times New Roman"/>
                <w:color w:val="auto"/>
                <w:sz w:val="24"/>
                <w:szCs w:val="24"/>
                <w:highlight w:val="none"/>
              </w:rPr>
              <w:t>县</w:t>
            </w:r>
            <w:r>
              <w:rPr>
                <w:rFonts w:hint="default" w:ascii="Times New Roman" w:hAnsi="Times New Roman" w:eastAsia="宋体" w:cs="Times New Roman"/>
                <w:color w:val="auto"/>
                <w:sz w:val="24"/>
                <w:szCs w:val="24"/>
                <w:highlight w:val="none"/>
                <w:lang w:eastAsia="zh-CN"/>
              </w:rPr>
              <w:t>龙泉</w:t>
            </w:r>
            <w:r>
              <w:rPr>
                <w:rFonts w:hint="default" w:ascii="Times New Roman" w:hAnsi="Times New Roman" w:eastAsia="宋体" w:cs="Times New Roman"/>
                <w:color w:val="auto"/>
                <w:sz w:val="24"/>
                <w:szCs w:val="24"/>
                <w:highlight w:val="none"/>
              </w:rPr>
              <w:t>街道</w:t>
            </w:r>
            <w:r>
              <w:rPr>
                <w:rFonts w:hint="default" w:ascii="Times New Roman" w:hAnsi="Times New Roman" w:eastAsia="宋体" w:cs="Times New Roman"/>
                <w:color w:val="auto"/>
                <w:sz w:val="24"/>
                <w:szCs w:val="24"/>
                <w:highlight w:val="none"/>
                <w:lang w:val="en-US" w:eastAsia="zh-CN"/>
              </w:rPr>
              <w:t>办事处水桥社区居民委员会</w:t>
            </w:r>
            <w:r>
              <w:rPr>
                <w:rFonts w:hint="default" w:ascii="Times New Roman" w:hAnsi="Times New Roman" w:eastAsia="宋体" w:cs="Times New Roman"/>
                <w:color w:val="auto"/>
                <w:sz w:val="24"/>
                <w:szCs w:val="24"/>
                <w:highlight w:val="none"/>
                <w:lang w:eastAsia="zh-CN"/>
              </w:rPr>
              <w:t>麦子田片区</w:t>
            </w:r>
          </w:p>
        </w:tc>
      </w:tr>
      <w:tr w14:paraId="0B24CC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4C54AEF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848" w:type="dxa"/>
            <w:gridSpan w:val="3"/>
            <w:vAlign w:val="center"/>
          </w:tcPr>
          <w:p w14:paraId="25A17890">
            <w:pPr>
              <w:keepNext w:val="0"/>
              <w:keepLines w:val="0"/>
              <w:pageBreakBefore w:val="0"/>
              <w:kinsoku/>
              <w:overflowPunct/>
              <w:topLinePunct/>
              <w:autoSpaceDE w:val="0"/>
              <w:bidi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东经</w:t>
            </w:r>
            <w:r>
              <w:rPr>
                <w:rFonts w:hint="default" w:ascii="Times New Roman" w:hAnsi="Times New Roman" w:eastAsia="宋体" w:cs="Times New Roman"/>
                <w:color w:val="auto"/>
                <w:sz w:val="24"/>
                <w:szCs w:val="24"/>
                <w:highlight w:val="none"/>
                <w:lang w:val="en-US" w:eastAsia="zh-CN"/>
              </w:rPr>
              <w:t>102</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32.542</w:t>
            </w:r>
            <w:r>
              <w:rPr>
                <w:rFonts w:hint="default" w:ascii="Times New Roman" w:hAnsi="Times New Roman" w:eastAsia="宋体" w:cs="Times New Roman"/>
                <w:color w:val="auto"/>
                <w:sz w:val="24"/>
                <w:szCs w:val="24"/>
                <w:highlight w:val="none"/>
              </w:rPr>
              <w:t>秒，</w:t>
            </w:r>
            <w:r>
              <w:rPr>
                <w:rFonts w:hint="eastAsia" w:cs="Times New Roman"/>
                <w:color w:val="auto"/>
                <w:sz w:val="24"/>
                <w:szCs w:val="24"/>
                <w:highlight w:val="none"/>
                <w:lang w:val="en-US" w:eastAsia="zh-CN"/>
              </w:rPr>
              <w:t>北纬</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lang w:val="en-US" w:eastAsia="zh-CN"/>
              </w:rPr>
              <w:t>46</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0.178</w:t>
            </w:r>
            <w:r>
              <w:rPr>
                <w:rFonts w:hint="default" w:ascii="Times New Roman" w:hAnsi="Times New Roman" w:eastAsia="宋体" w:cs="Times New Roman"/>
                <w:color w:val="auto"/>
                <w:sz w:val="24"/>
                <w:szCs w:val="24"/>
                <w:highlight w:val="none"/>
              </w:rPr>
              <w:t>秒</w:t>
            </w:r>
          </w:p>
        </w:tc>
      </w:tr>
      <w:tr w14:paraId="12B17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05" w:type="dxa"/>
            <w:tcMar>
              <w:top w:w="16" w:type="dxa"/>
              <w:left w:w="16" w:type="dxa"/>
              <w:right w:w="16" w:type="dxa"/>
            </w:tcMar>
            <w:vAlign w:val="center"/>
          </w:tcPr>
          <w:p w14:paraId="5FF2932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2CC2EF2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812" w:type="dxa"/>
            <w:vAlign w:val="center"/>
          </w:tcPr>
          <w:p w14:paraId="372B3953">
            <w:pPr>
              <w:keepNext w:val="0"/>
              <w:keepLines w:val="0"/>
              <w:pageBreakBefore w:val="0"/>
              <w:widowControl/>
              <w:suppressLineNumbers w:val="0"/>
              <w:kinsoku/>
              <w:overflowPunct/>
              <w:topLinePunct/>
              <w:autoSpaceDE w:val="0"/>
              <w:bidi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rPr>
              <w:t>C30</w:t>
            </w:r>
            <w:r>
              <w:rPr>
                <w:rFonts w:hint="default" w:ascii="Times New Roman" w:hAnsi="Times New Roman" w:eastAsia="宋体" w:cs="Times New Roman"/>
                <w:color w:val="auto"/>
                <w:sz w:val="24"/>
                <w:highlight w:val="none"/>
                <w:lang w:val="en-US" w:eastAsia="zh-CN"/>
              </w:rPr>
              <w:t>59</w:t>
            </w:r>
            <w:r>
              <w:rPr>
                <w:rFonts w:hint="default" w:ascii="Times New Roman" w:hAnsi="Times New Roman" w:eastAsia="宋体" w:cs="Times New Roman"/>
                <w:color w:val="auto"/>
                <w:kern w:val="0"/>
                <w:sz w:val="24"/>
                <w:szCs w:val="24"/>
                <w:highlight w:val="none"/>
                <w:lang w:val="en-US" w:eastAsia="zh-CN" w:bidi="ar"/>
              </w:rPr>
              <w:t>其他玻璃制品制造</w:t>
            </w:r>
          </w:p>
          <w:p w14:paraId="0863F132">
            <w:pPr>
              <w:keepNext w:val="0"/>
              <w:keepLines w:val="0"/>
              <w:pageBreakBefore w:val="0"/>
              <w:widowControl/>
              <w:suppressLineNumbers w:val="0"/>
              <w:kinsoku/>
              <w:overflowPunct/>
              <w:topLinePunct/>
              <w:autoSpaceDE w:val="0"/>
              <w:bidi w:val="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lang w:val="en-US" w:eastAsia="zh-CN"/>
              </w:rPr>
              <w:t>2439其他工艺美术及礼仪用品制造</w:t>
            </w:r>
          </w:p>
        </w:tc>
        <w:tc>
          <w:tcPr>
            <w:tcW w:w="2077" w:type="dxa"/>
            <w:vAlign w:val="center"/>
          </w:tcPr>
          <w:p w14:paraId="30F90DE7">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37B8671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959" w:type="dxa"/>
            <w:vAlign w:val="center"/>
          </w:tcPr>
          <w:p w14:paraId="512947B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二十七、非金属矿物制品业</w:t>
            </w:r>
          </w:p>
          <w:p w14:paraId="7FDF0970">
            <w:pPr>
              <w:keepNext w:val="0"/>
              <w:keepLines w:val="0"/>
              <w:pageBreakBefore w:val="0"/>
              <w:widowControl/>
              <w:numPr>
                <w:ilvl w:val="0"/>
                <w:numId w:val="0"/>
              </w:numPr>
              <w:suppressLineNumbers w:val="0"/>
              <w:kinsoku/>
              <w:overflowPunct/>
              <w:topLinePunct/>
              <w:autoSpaceDE w:val="0"/>
              <w:bidi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30-</w:t>
            </w:r>
            <w:r>
              <w:rPr>
                <w:rFonts w:hint="default" w:ascii="Times New Roman" w:hAnsi="Times New Roman" w:eastAsia="宋体" w:cs="Times New Roman"/>
                <w:color w:val="auto"/>
                <w:kern w:val="0"/>
                <w:sz w:val="24"/>
                <w:szCs w:val="24"/>
                <w:highlight w:val="none"/>
                <w:lang w:val="en-US" w:eastAsia="zh-CN" w:bidi="ar"/>
              </w:rPr>
              <w:t>石墨及其他非金属矿物制品制造 305中“玻璃制品制造”</w:t>
            </w:r>
          </w:p>
          <w:p w14:paraId="75232825">
            <w:pPr>
              <w:keepNext w:val="0"/>
              <w:keepLines w:val="0"/>
              <w:pageBreakBefore w:val="0"/>
              <w:widowControl/>
              <w:numPr>
                <w:ilvl w:val="0"/>
                <w:numId w:val="0"/>
              </w:numPr>
              <w:suppressLineNumbers w:val="0"/>
              <w:kinsoku/>
              <w:overflowPunct/>
              <w:topLinePunct/>
              <w:autoSpaceDE w:val="0"/>
              <w:bidi w:val="0"/>
              <w:ind w:left="0" w:leftChars="0" w:firstLine="0" w:firstLineChar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二十一、文教、工美、体育和娱乐用品制造业 24-工艺美术及礼仪用品制造 243中“</w:t>
            </w:r>
            <w:r>
              <w:rPr>
                <w:rFonts w:hint="default" w:ascii="Times New Roman" w:hAnsi="Times New Roman" w:eastAsia="宋体" w:cs="Times New Roman"/>
                <w:b w:val="0"/>
                <w:bCs w:val="0"/>
                <w:color w:val="auto"/>
                <w:sz w:val="24"/>
                <w:szCs w:val="24"/>
                <w:highlight w:val="none"/>
                <w:lang w:val="en-US" w:eastAsia="zh-CN"/>
              </w:rPr>
              <w:t>年用溶剂型涂料（含稀释剂）10吨及以下的</w:t>
            </w:r>
            <w:r>
              <w:rPr>
                <w:rFonts w:hint="default" w:ascii="Times New Roman" w:hAnsi="Times New Roman" w:eastAsia="宋体" w:cs="Times New Roman"/>
                <w:color w:val="auto"/>
                <w:kern w:val="0"/>
                <w:sz w:val="24"/>
                <w:szCs w:val="24"/>
                <w:highlight w:val="none"/>
                <w:lang w:val="en-US" w:eastAsia="zh-CN" w:bidi="ar"/>
              </w:rPr>
              <w:t>”</w:t>
            </w:r>
          </w:p>
        </w:tc>
      </w:tr>
      <w:tr w14:paraId="55828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05" w:type="dxa"/>
            <w:tcMar>
              <w:top w:w="16" w:type="dxa"/>
              <w:left w:w="16" w:type="dxa"/>
              <w:right w:w="16" w:type="dxa"/>
            </w:tcMar>
            <w:vAlign w:val="center"/>
          </w:tcPr>
          <w:p w14:paraId="081A94D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812" w:type="dxa"/>
            <w:vAlign w:val="center"/>
          </w:tcPr>
          <w:p w14:paraId="13C007E9">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38FC2DEA">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1FCCEB78">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7E90FC80">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077" w:type="dxa"/>
            <w:vAlign w:val="center"/>
          </w:tcPr>
          <w:p w14:paraId="3A78EED7">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677A1934">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59" w:type="dxa"/>
            <w:vAlign w:val="center"/>
          </w:tcPr>
          <w:p w14:paraId="7F52EAFD">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3ADB4F62">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41B846AF">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14:paraId="52B346E0">
            <w:pPr>
              <w:keepNext w:val="0"/>
              <w:keepLines w:val="0"/>
              <w:pageBreakBefore w:val="0"/>
              <w:kinsoku/>
              <w:overflowPunct/>
              <w:topLinePunct/>
              <w:autoSpaceDE w:val="0"/>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5917F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05" w:type="dxa"/>
            <w:tcMar>
              <w:top w:w="16" w:type="dxa"/>
              <w:left w:w="16" w:type="dxa"/>
              <w:right w:w="16" w:type="dxa"/>
            </w:tcMar>
            <w:vAlign w:val="center"/>
          </w:tcPr>
          <w:p w14:paraId="7ACD226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5F3F72F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1812" w:type="dxa"/>
            <w:vAlign w:val="center"/>
          </w:tcPr>
          <w:p w14:paraId="4CE65D3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易门县发展和改革局</w:t>
            </w:r>
          </w:p>
        </w:tc>
        <w:tc>
          <w:tcPr>
            <w:tcW w:w="2077" w:type="dxa"/>
            <w:vAlign w:val="center"/>
          </w:tcPr>
          <w:p w14:paraId="0CC0636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570C14D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959" w:type="dxa"/>
            <w:vAlign w:val="center"/>
          </w:tcPr>
          <w:p w14:paraId="6F42074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14:paraId="6555D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10CBADE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1812" w:type="dxa"/>
            <w:vAlign w:val="center"/>
          </w:tcPr>
          <w:p w14:paraId="34E7568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50000</w:t>
            </w:r>
          </w:p>
        </w:tc>
        <w:tc>
          <w:tcPr>
            <w:tcW w:w="2077" w:type="dxa"/>
            <w:tcMar>
              <w:top w:w="16" w:type="dxa"/>
              <w:left w:w="16" w:type="dxa"/>
              <w:right w:w="16" w:type="dxa"/>
            </w:tcMar>
            <w:vAlign w:val="center"/>
          </w:tcPr>
          <w:p w14:paraId="49CA3A4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59" w:type="dxa"/>
            <w:vAlign w:val="center"/>
          </w:tcPr>
          <w:p w14:paraId="0535175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8</w:t>
            </w:r>
            <w:r>
              <w:rPr>
                <w:rFonts w:hint="eastAsia" w:cs="Times New Roman"/>
                <w:strike w:val="0"/>
                <w:dstrike w:val="0"/>
                <w:color w:val="auto"/>
                <w:sz w:val="24"/>
                <w:szCs w:val="24"/>
                <w:highlight w:val="none"/>
                <w:lang w:val="en-US" w:eastAsia="zh-CN"/>
              </w:rPr>
              <w:t>12</w:t>
            </w:r>
          </w:p>
        </w:tc>
      </w:tr>
      <w:tr w14:paraId="42122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2105" w:type="dxa"/>
            <w:tcMar>
              <w:top w:w="16" w:type="dxa"/>
              <w:left w:w="16" w:type="dxa"/>
              <w:right w:w="16" w:type="dxa"/>
            </w:tcMar>
            <w:vAlign w:val="center"/>
          </w:tcPr>
          <w:p w14:paraId="00E583A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812" w:type="dxa"/>
            <w:vAlign w:val="center"/>
          </w:tcPr>
          <w:p w14:paraId="0A4CE9E7">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1.6</w:t>
            </w:r>
            <w:r>
              <w:rPr>
                <w:rFonts w:hint="eastAsia" w:cs="Times New Roman"/>
                <w:color w:val="auto"/>
                <w:sz w:val="24"/>
                <w:szCs w:val="24"/>
                <w:highlight w:val="none"/>
                <w:lang w:val="en-US" w:eastAsia="zh-CN"/>
              </w:rPr>
              <w:t>2</w:t>
            </w:r>
          </w:p>
        </w:tc>
        <w:tc>
          <w:tcPr>
            <w:tcW w:w="2077" w:type="dxa"/>
            <w:tcMar>
              <w:top w:w="16" w:type="dxa"/>
              <w:left w:w="16" w:type="dxa"/>
              <w:right w:w="16" w:type="dxa"/>
            </w:tcMar>
            <w:vAlign w:val="center"/>
          </w:tcPr>
          <w:p w14:paraId="604BD91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59" w:type="dxa"/>
            <w:vAlign w:val="center"/>
          </w:tcPr>
          <w:p w14:paraId="2F23738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12个月</w:t>
            </w:r>
          </w:p>
        </w:tc>
      </w:tr>
      <w:tr w14:paraId="2CE38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5" w:type="dxa"/>
            <w:tcMar>
              <w:top w:w="16" w:type="dxa"/>
              <w:left w:w="16" w:type="dxa"/>
              <w:right w:w="16" w:type="dxa"/>
            </w:tcMar>
            <w:vAlign w:val="center"/>
          </w:tcPr>
          <w:p w14:paraId="0FB4B67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1812" w:type="dxa"/>
            <w:vAlign w:val="center"/>
          </w:tcPr>
          <w:p w14:paraId="22A71F1B">
            <w:pPr>
              <w:keepNext w:val="0"/>
              <w:keepLines w:val="0"/>
              <w:pageBreakBefore w:val="0"/>
              <w:kinsoku/>
              <w:overflowPunct/>
              <w:topLinePunct/>
              <w:autoSpaceDE w:val="0"/>
              <w:bidi w:val="0"/>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91B6F57">
            <w:pPr>
              <w:keepNext w:val="0"/>
              <w:keepLines w:val="0"/>
              <w:pageBreakBefore w:val="0"/>
              <w:kinsoku/>
              <w:overflowPunct/>
              <w:topLinePunct/>
              <w:autoSpaceDE w:val="0"/>
              <w:bidi w:val="0"/>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2077" w:type="dxa"/>
            <w:tcMar>
              <w:top w:w="16" w:type="dxa"/>
              <w:left w:w="16" w:type="dxa"/>
              <w:right w:w="16" w:type="dxa"/>
            </w:tcMar>
            <w:vAlign w:val="center"/>
          </w:tcPr>
          <w:p w14:paraId="196DD9B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03B1DD1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59" w:type="dxa"/>
            <w:vAlign w:val="center"/>
          </w:tcPr>
          <w:p w14:paraId="6612215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69683（约104.53亩）</w:t>
            </w:r>
          </w:p>
        </w:tc>
      </w:tr>
      <w:tr w14:paraId="32864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5" w:type="dxa"/>
            <w:vAlign w:val="center"/>
          </w:tcPr>
          <w:p w14:paraId="0D473AA7">
            <w:pPr>
              <w:keepNext w:val="0"/>
              <w:keepLines w:val="0"/>
              <w:pageBreakBefore w:val="0"/>
              <w:kinsoku/>
              <w:overflowPunct/>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6848" w:type="dxa"/>
            <w:gridSpan w:val="3"/>
            <w:vAlign w:val="center"/>
          </w:tcPr>
          <w:p w14:paraId="482452D1">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根据《建设项目环境影响报告表编制技术指南（污染影响类）（试行）》“表1 专项评价设置原则表”，本项目专项设置具体判定情况如下表所示。</w:t>
            </w:r>
          </w:p>
          <w:p w14:paraId="3FE56E70">
            <w:pPr>
              <w:pStyle w:val="19"/>
              <w:keepNext w:val="0"/>
              <w:keepLines w:val="0"/>
              <w:pageBreakBefore w:val="0"/>
              <w:widowControl w:val="0"/>
              <w:kinsoku/>
              <w:wordWrap/>
              <w:overflowPunct/>
              <w:topLinePunct/>
              <w:autoSpaceDE w:val="0"/>
              <w:autoSpaceDN/>
              <w:bidi w:val="0"/>
              <w:adjustRightInd w:val="0"/>
              <w:snapToGrid w:val="0"/>
              <w:spacing w:before="0" w:after="0" w:line="240" w:lineRule="auto"/>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表1-1    专项评价设置原则表</w:t>
            </w:r>
          </w:p>
          <w:tbl>
            <w:tblPr>
              <w:tblStyle w:val="30"/>
              <w:tblW w:w="6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668"/>
              <w:gridCol w:w="1997"/>
              <w:gridCol w:w="915"/>
            </w:tblGrid>
            <w:tr w14:paraId="165D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noWrap w:val="0"/>
                  <w:vAlign w:val="center"/>
                </w:tcPr>
                <w:p w14:paraId="3F2ACA08">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专项评价的类别</w:t>
                  </w:r>
                </w:p>
              </w:tc>
              <w:tc>
                <w:tcPr>
                  <w:tcW w:w="2016" w:type="pct"/>
                  <w:noWrap w:val="0"/>
                  <w:vAlign w:val="center"/>
                </w:tcPr>
                <w:p w14:paraId="2430B8D8">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设置原则</w:t>
                  </w:r>
                </w:p>
              </w:tc>
              <w:tc>
                <w:tcPr>
                  <w:tcW w:w="1509" w:type="pct"/>
                  <w:noWrap w:val="0"/>
                  <w:vAlign w:val="center"/>
                </w:tcPr>
                <w:p w14:paraId="38C989D2">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691" w:type="pct"/>
                  <w:noWrap w:val="0"/>
                  <w:vAlign w:val="center"/>
                </w:tcPr>
                <w:p w14:paraId="6878C908">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是否设置专项评价</w:t>
                  </w:r>
                </w:p>
              </w:tc>
            </w:tr>
            <w:tr w14:paraId="49D1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noWrap w:val="0"/>
                  <w:vAlign w:val="center"/>
                </w:tcPr>
                <w:p w14:paraId="34D4F19D">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w:t>
                  </w:r>
                </w:p>
              </w:tc>
              <w:tc>
                <w:tcPr>
                  <w:tcW w:w="2016" w:type="pct"/>
                  <w:noWrap w:val="0"/>
                  <w:vAlign w:val="center"/>
                </w:tcPr>
                <w:p w14:paraId="4E35345B">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排放废气含有毒有害污染物</w:t>
                  </w:r>
                  <w:r>
                    <w:rPr>
                      <w:rFonts w:hint="default" w:ascii="Times New Roman" w:hAnsi="Times New Roman" w:eastAsia="宋体" w:cs="Times New Roman"/>
                      <w:color w:val="auto"/>
                      <w:sz w:val="21"/>
                      <w:szCs w:val="21"/>
                      <w:highlight w:val="none"/>
                      <w:vertAlign w:val="superscript"/>
                      <w:lang w:val="en-US" w:eastAsia="zh-CN"/>
                    </w:rPr>
                    <w:t>1</w:t>
                  </w:r>
                  <w:r>
                    <w:rPr>
                      <w:rFonts w:hint="default" w:ascii="Times New Roman" w:hAnsi="Times New Roman" w:eastAsia="宋体" w:cs="Times New Roman"/>
                      <w:color w:val="auto"/>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509" w:type="pct"/>
                  <w:noWrap w:val="0"/>
                  <w:vAlign w:val="center"/>
                </w:tcPr>
                <w:p w14:paraId="73F53697">
                  <w:pPr>
                    <w:keepNext w:val="0"/>
                    <w:keepLines w:val="0"/>
                    <w:pageBreakBefore w:val="0"/>
                    <w:kinsoku/>
                    <w:overflowPunct/>
                    <w:topLinePunct/>
                    <w:autoSpaceDE w:val="0"/>
                    <w:bidi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本项目废气排放为颗粒物、非甲烷总烃等，不涉及有毒有害污染物。</w:t>
                  </w:r>
                </w:p>
              </w:tc>
              <w:tc>
                <w:tcPr>
                  <w:tcW w:w="691" w:type="pct"/>
                  <w:noWrap w:val="0"/>
                  <w:vAlign w:val="center"/>
                </w:tcPr>
                <w:p w14:paraId="37D46596">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14:paraId="5546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noWrap w:val="0"/>
                  <w:vAlign w:val="center"/>
                </w:tcPr>
                <w:p w14:paraId="26B05066">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2016" w:type="pct"/>
                  <w:noWrap w:val="0"/>
                  <w:vAlign w:val="center"/>
                </w:tcPr>
                <w:p w14:paraId="1A58A332">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新增工业废水直排建设项目（槽罐车外送污水处理厂的除外）；新增废水直排的污水集中处理厂</w:t>
                  </w:r>
                </w:p>
              </w:tc>
              <w:tc>
                <w:tcPr>
                  <w:tcW w:w="1509" w:type="pct"/>
                  <w:noWrap w:val="0"/>
                  <w:vAlign w:val="center"/>
                </w:tcPr>
                <w:p w14:paraId="325E087D">
                  <w:pPr>
                    <w:keepNext w:val="0"/>
                    <w:keepLines w:val="0"/>
                    <w:pageBreakBefore w:val="0"/>
                    <w:kinsoku/>
                    <w:overflowPunct/>
                    <w:topLinePunct/>
                    <w:autoSpaceDE w:val="0"/>
                    <w:bidi w:val="0"/>
                    <w:spacing w:line="240" w:lineRule="auto"/>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处理。项目无工业废水直排。</w:t>
                  </w:r>
                </w:p>
              </w:tc>
              <w:tc>
                <w:tcPr>
                  <w:tcW w:w="691" w:type="pct"/>
                  <w:noWrap w:val="0"/>
                  <w:vAlign w:val="center"/>
                </w:tcPr>
                <w:p w14:paraId="265F1266">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14:paraId="799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81" w:type="pct"/>
                  <w:noWrap w:val="0"/>
                  <w:vAlign w:val="center"/>
                </w:tcPr>
                <w:p w14:paraId="05B0A10F">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环境风险</w:t>
                  </w:r>
                </w:p>
              </w:tc>
              <w:tc>
                <w:tcPr>
                  <w:tcW w:w="2016" w:type="pct"/>
                  <w:noWrap w:val="0"/>
                  <w:vAlign w:val="center"/>
                </w:tcPr>
                <w:p w14:paraId="7E8DAB04">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509" w:type="pct"/>
                  <w:noWrap w:val="0"/>
                  <w:vAlign w:val="center"/>
                </w:tcPr>
                <w:p w14:paraId="361A710C">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rPr>
                    <w:t>项目风险物质主要为</w:t>
                  </w:r>
                  <w:r>
                    <w:rPr>
                      <w:rFonts w:hint="default" w:ascii="Times New Roman" w:hAnsi="Times New Roman" w:eastAsia="宋体" w:cs="Times New Roman"/>
                      <w:color w:val="auto"/>
                      <w:kern w:val="2"/>
                      <w:sz w:val="21"/>
                      <w:szCs w:val="21"/>
                      <w:highlight w:val="none"/>
                      <w:lang w:val="en-US" w:eastAsia="zh-CN"/>
                    </w:rPr>
                    <w:t>片碱及</w:t>
                  </w:r>
                  <w:r>
                    <w:rPr>
                      <w:rFonts w:hint="default" w:ascii="Times New Roman" w:hAnsi="Times New Roman" w:eastAsia="宋体" w:cs="Times New Roman"/>
                      <w:color w:val="auto"/>
                      <w:kern w:val="1"/>
                      <w:sz w:val="21"/>
                      <w:szCs w:val="21"/>
                      <w:highlight w:val="none"/>
                    </w:rPr>
                    <w:t>危险废物，</w:t>
                  </w:r>
                  <w:r>
                    <w:rPr>
                      <w:rFonts w:hint="default" w:ascii="Times New Roman" w:hAnsi="Times New Roman" w:eastAsia="宋体" w:cs="Times New Roman"/>
                      <w:color w:val="auto"/>
                      <w:kern w:val="2"/>
                      <w:sz w:val="21"/>
                      <w:szCs w:val="21"/>
                      <w:highlight w:val="none"/>
                      <w:lang w:val="en-US" w:eastAsia="zh-CN"/>
                    </w:rPr>
                    <w:t>最大储</w:t>
                  </w:r>
                  <w:r>
                    <w:rPr>
                      <w:rFonts w:hint="default" w:ascii="Times New Roman" w:hAnsi="Times New Roman" w:eastAsia="宋体" w:cs="Times New Roman"/>
                      <w:color w:val="auto"/>
                      <w:kern w:val="2"/>
                      <w:sz w:val="21"/>
                      <w:szCs w:val="21"/>
                      <w:highlight w:val="none"/>
                    </w:rPr>
                    <w:t>存量</w:t>
                  </w:r>
                  <w:r>
                    <w:rPr>
                      <w:rFonts w:hint="default" w:ascii="Times New Roman" w:hAnsi="Times New Roman" w:eastAsia="宋体" w:cs="Times New Roman"/>
                      <w:color w:val="auto"/>
                      <w:kern w:val="2"/>
                      <w:sz w:val="21"/>
                      <w:szCs w:val="21"/>
                      <w:highlight w:val="none"/>
                      <w:lang w:val="en-US" w:eastAsia="zh-CN"/>
                    </w:rPr>
                    <w:t>均未</w:t>
                  </w:r>
                  <w:r>
                    <w:rPr>
                      <w:rFonts w:hint="default" w:ascii="Times New Roman" w:hAnsi="Times New Roman" w:eastAsia="宋体" w:cs="Times New Roman"/>
                      <w:color w:val="auto"/>
                      <w:spacing w:val="-5"/>
                      <w:sz w:val="21"/>
                      <w:szCs w:val="21"/>
                      <w:highlight w:val="none"/>
                    </w:rPr>
                    <w:t>超过临界量</w:t>
                  </w:r>
                  <w:r>
                    <w:rPr>
                      <w:rFonts w:hint="default" w:ascii="Times New Roman" w:hAnsi="Times New Roman" w:eastAsia="宋体" w:cs="Times New Roman"/>
                      <w:color w:val="auto"/>
                      <w:spacing w:val="-5"/>
                      <w:sz w:val="21"/>
                      <w:szCs w:val="21"/>
                      <w:highlight w:val="none"/>
                      <w:lang w:eastAsia="zh-CN"/>
                    </w:rPr>
                    <w:t>。</w:t>
                  </w:r>
                </w:p>
              </w:tc>
              <w:tc>
                <w:tcPr>
                  <w:tcW w:w="691" w:type="pct"/>
                  <w:noWrap w:val="0"/>
                  <w:vAlign w:val="center"/>
                </w:tcPr>
                <w:p w14:paraId="2482A976">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14:paraId="48C5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noWrap w:val="0"/>
                  <w:vAlign w:val="center"/>
                </w:tcPr>
                <w:p w14:paraId="435A96E2">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2016" w:type="pct"/>
                  <w:noWrap w:val="0"/>
                  <w:vAlign w:val="center"/>
                </w:tcPr>
                <w:p w14:paraId="3EA40E48">
                  <w:pPr>
                    <w:keepNext w:val="0"/>
                    <w:keepLines w:val="0"/>
                    <w:pageBreakBefore w:val="0"/>
                    <w:kinsoku/>
                    <w:overflowPunct/>
                    <w:topLinePunct/>
                    <w:autoSpaceDE w:val="0"/>
                    <w:bidi w:val="0"/>
                    <w:spacing w:beforeLines="0" w:afterLine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1509" w:type="pct"/>
                  <w:noWrap w:val="0"/>
                  <w:vAlign w:val="center"/>
                </w:tcPr>
                <w:p w14:paraId="6F22F31E">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本项目不涉及向河道取水。</w:t>
                  </w:r>
                </w:p>
              </w:tc>
              <w:tc>
                <w:tcPr>
                  <w:tcW w:w="691" w:type="pct"/>
                  <w:noWrap w:val="0"/>
                  <w:vAlign w:val="center"/>
                </w:tcPr>
                <w:p w14:paraId="63CAD993">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14:paraId="63F3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noWrap w:val="0"/>
                  <w:vAlign w:val="center"/>
                </w:tcPr>
                <w:p w14:paraId="09E4B2F8">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2016" w:type="pct"/>
                  <w:noWrap w:val="0"/>
                  <w:vAlign w:val="center"/>
                </w:tcPr>
                <w:p w14:paraId="671845D8">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直接向海排放污染物的海洋工程建设项目</w:t>
                  </w:r>
                </w:p>
              </w:tc>
              <w:tc>
                <w:tcPr>
                  <w:tcW w:w="1509" w:type="pct"/>
                  <w:noWrap w:val="0"/>
                  <w:vAlign w:val="center"/>
                </w:tcPr>
                <w:p w14:paraId="407E3724">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本项目不涉及向海排放污染物。</w:t>
                  </w:r>
                </w:p>
              </w:tc>
              <w:tc>
                <w:tcPr>
                  <w:tcW w:w="691" w:type="pct"/>
                  <w:noWrap w:val="0"/>
                  <w:vAlign w:val="center"/>
                </w:tcPr>
                <w:p w14:paraId="05EEE675">
                  <w:pPr>
                    <w:keepNext w:val="0"/>
                    <w:keepLines w:val="0"/>
                    <w:pageBreakBefore w:val="0"/>
                    <w:kinsoku/>
                    <w:overflowPunct/>
                    <w:topLinePunct/>
                    <w:autoSpaceDE w:val="0"/>
                    <w:bidi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14:paraId="7E03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41B7F53C">
                  <w:pPr>
                    <w:keepNext w:val="0"/>
                    <w:keepLines w:val="0"/>
                    <w:pageBreakBefore w:val="0"/>
                    <w:kinsoku/>
                    <w:overflowPunct/>
                    <w:topLinePunct/>
                    <w:autoSpaceDE w:val="0"/>
                    <w:bidi w:val="0"/>
                    <w:spacing w:line="240" w:lineRule="auto"/>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注：1.废气中有毒有害污染物指纳入《有毒有害大气污染物名录》的污染物（不包括无排放标准的污染物）。</w:t>
                  </w:r>
                </w:p>
                <w:p w14:paraId="5CFD3382">
                  <w:pPr>
                    <w:keepNext w:val="0"/>
                    <w:keepLines w:val="0"/>
                    <w:pageBreakBefore w:val="0"/>
                    <w:kinsoku/>
                    <w:overflowPunct/>
                    <w:topLinePunct/>
                    <w:autoSpaceDE w:val="0"/>
                    <w:bidi w:val="0"/>
                    <w:spacing w:line="240" w:lineRule="auto"/>
                    <w:ind w:firstLine="420" w:firstLineChars="20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2.环境空气保护目标指自然保护区、风景名胜区、居住区、文化区和农村地区中人群较集中的区域。</w:t>
                  </w:r>
                </w:p>
                <w:p w14:paraId="7DB6D94E">
                  <w:pPr>
                    <w:keepNext w:val="0"/>
                    <w:keepLines w:val="0"/>
                    <w:pageBreakBefore w:val="0"/>
                    <w:kinsoku/>
                    <w:overflowPunct/>
                    <w:topLinePunct/>
                    <w:autoSpaceDE w:val="0"/>
                    <w:bidi w:val="0"/>
                    <w:spacing w:line="240" w:lineRule="auto"/>
                    <w:ind w:firstLine="420" w:firstLineChars="20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3.临界量及其计算方法可参考《建设项目环境风险评价技术导则》（HJ 169-2018）附录B、附录C。</w:t>
                  </w:r>
                </w:p>
              </w:tc>
            </w:tr>
          </w:tbl>
          <w:p w14:paraId="40D49E87">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根据上表可知，本项目不需设置专项评价。</w:t>
            </w:r>
          </w:p>
        </w:tc>
      </w:tr>
      <w:tr w14:paraId="6C1C8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5" w:type="dxa"/>
            <w:vAlign w:val="center"/>
          </w:tcPr>
          <w:p w14:paraId="74450F3E">
            <w:pPr>
              <w:keepNext w:val="0"/>
              <w:keepLines w:val="0"/>
              <w:pageBreakBefore w:val="0"/>
              <w:kinsoku/>
              <w:overflowPunct/>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6848" w:type="dxa"/>
            <w:gridSpan w:val="3"/>
            <w:vAlign w:val="center"/>
          </w:tcPr>
          <w:p w14:paraId="31C35260">
            <w:pPr>
              <w:keepNext w:val="0"/>
              <w:keepLines w:val="0"/>
              <w:pageBreakBefore w:val="0"/>
              <w:widowControl w:val="0"/>
              <w:kinsoku/>
              <w:wordWrap/>
              <w:overflowPunct/>
              <w:topLinePunct/>
              <w:autoSpaceDE w:val="0"/>
              <w:autoSpaceDN w:val="0"/>
              <w:bidi w:val="0"/>
              <w:adjustRightInd w:val="0"/>
              <w:snapToGrid w:val="0"/>
              <w:spacing w:line="360" w:lineRule="auto"/>
              <w:ind w:firstLine="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lang w:eastAsia="zh-CN"/>
              </w:rPr>
              <w:t>规划名称：</w:t>
            </w:r>
            <w:r>
              <w:rPr>
                <w:rFonts w:hint="default" w:ascii="Times New Roman" w:hAnsi="Times New Roman" w:eastAsia="宋体" w:cs="Times New Roman"/>
                <w:color w:val="auto"/>
                <w:sz w:val="24"/>
                <w:szCs w:val="24"/>
                <w:highlight w:val="none"/>
              </w:rPr>
              <w:t>《云南易门产业园区总体规划（修编）（2021-2035）》</w:t>
            </w:r>
          </w:p>
          <w:p w14:paraId="76D3E88A">
            <w:pPr>
              <w:pStyle w:val="27"/>
              <w:keepNext w:val="0"/>
              <w:keepLines w:val="0"/>
              <w:pageBreakBefore w:val="0"/>
              <w:widowControl w:val="0"/>
              <w:kinsoku/>
              <w:wordWrap/>
              <w:overflowPunct/>
              <w:topLinePunct/>
              <w:autoSpaceDE w:val="0"/>
              <w:bidi w:val="0"/>
              <w:spacing w:line="360" w:lineRule="auto"/>
              <w:ind w:firstLine="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eastAsia="zh-CN"/>
              </w:rPr>
              <w:t>审批机关：</w:t>
            </w:r>
            <w:r>
              <w:rPr>
                <w:rFonts w:hint="default" w:ascii="Times New Roman" w:hAnsi="Times New Roman" w:eastAsia="宋体" w:cs="Times New Roman"/>
                <w:color w:val="auto"/>
                <w:kern w:val="0"/>
                <w:sz w:val="24"/>
                <w:szCs w:val="24"/>
                <w:highlight w:val="none"/>
                <w:lang w:eastAsia="zh-CN"/>
              </w:rPr>
              <w:t>玉溪市人民政府</w:t>
            </w:r>
          </w:p>
          <w:p w14:paraId="5D97B1CA">
            <w:pPr>
              <w:keepNext w:val="0"/>
              <w:keepLines w:val="0"/>
              <w:pageBreakBefore w:val="0"/>
              <w:widowControl w:val="0"/>
              <w:kinsoku/>
              <w:wordWrap/>
              <w:overflowPunct/>
              <w:topLinePunct/>
              <w:autoSpaceDE w:val="0"/>
              <w:bidi w:val="0"/>
              <w:spacing w:line="360" w:lineRule="auto"/>
              <w:ind w:firstLine="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kern w:val="0"/>
                <w:sz w:val="24"/>
                <w:szCs w:val="24"/>
                <w:highlight w:val="none"/>
                <w:lang w:eastAsia="zh-CN"/>
              </w:rPr>
              <w:t>审批文件名称及文号：</w:t>
            </w:r>
            <w:r>
              <w:rPr>
                <w:rFonts w:hint="default" w:ascii="Times New Roman" w:hAnsi="Times New Roman" w:eastAsia="宋体" w:cs="Times New Roman"/>
                <w:color w:val="auto"/>
                <w:kern w:val="0"/>
                <w:sz w:val="24"/>
                <w:szCs w:val="24"/>
                <w:highlight w:val="none"/>
                <w:lang w:val="en-US" w:eastAsia="zh-CN"/>
              </w:rPr>
              <w:t>/</w:t>
            </w:r>
          </w:p>
        </w:tc>
      </w:tr>
      <w:tr w14:paraId="68F4C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5" w:type="dxa"/>
            <w:vAlign w:val="center"/>
          </w:tcPr>
          <w:p w14:paraId="575ABB94">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36058C6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6848" w:type="dxa"/>
            <w:gridSpan w:val="3"/>
            <w:vAlign w:val="center"/>
          </w:tcPr>
          <w:p w14:paraId="080E330B">
            <w:pPr>
              <w:keepNext w:val="0"/>
              <w:keepLines w:val="0"/>
              <w:pageBreakBefore w:val="0"/>
              <w:widowControl w:val="0"/>
              <w:kinsoku/>
              <w:wordWrap/>
              <w:overflowPunct/>
              <w:topLinePunct/>
              <w:autoSpaceDE w:val="0"/>
              <w:autoSpaceDN/>
              <w:bidi w:val="0"/>
              <w:adjustRightInd w:val="0"/>
              <w:snapToGrid w:val="0"/>
              <w:spacing w:line="360" w:lineRule="auto"/>
              <w:ind w:firstLine="0" w:firstLineChars="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
                <w:bCs w:val="0"/>
                <w:color w:val="auto"/>
                <w:sz w:val="24"/>
                <w:szCs w:val="24"/>
                <w:highlight w:val="none"/>
              </w:rPr>
              <w:t>规划环境影响评价文件名称：</w:t>
            </w:r>
            <w:r>
              <w:rPr>
                <w:rFonts w:hint="default" w:ascii="Times New Roman" w:hAnsi="Times New Roman" w:eastAsia="宋体" w:cs="Times New Roman"/>
                <w:color w:val="auto"/>
                <w:sz w:val="24"/>
                <w:szCs w:val="24"/>
                <w:highlight w:val="none"/>
              </w:rPr>
              <w:t>《云南易门产业园区总体规划（修编）（2021-2035）环境影响报告书》</w:t>
            </w:r>
            <w:r>
              <w:rPr>
                <w:rFonts w:hint="default" w:ascii="Times New Roman" w:hAnsi="Times New Roman" w:eastAsia="宋体" w:cs="Times New Roman"/>
                <w:bCs/>
                <w:color w:val="auto"/>
                <w:sz w:val="24"/>
                <w:szCs w:val="24"/>
                <w:highlight w:val="none"/>
                <w:lang w:eastAsia="zh-CN"/>
              </w:rPr>
              <w:t>；</w:t>
            </w:r>
          </w:p>
          <w:p w14:paraId="6ED8BB50">
            <w:pPr>
              <w:keepNext w:val="0"/>
              <w:keepLines w:val="0"/>
              <w:pageBreakBefore w:val="0"/>
              <w:widowControl w:val="0"/>
              <w:kinsoku/>
              <w:wordWrap/>
              <w:overflowPunct/>
              <w:topLinePunct/>
              <w:autoSpaceDE w:val="0"/>
              <w:autoSpaceDN/>
              <w:bidi w:val="0"/>
              <w:adjustRightInd w:val="0"/>
              <w:snapToGrid w:val="0"/>
              <w:spacing w:line="360" w:lineRule="auto"/>
              <w:ind w:firstLine="0" w:firstLineChars="0"/>
              <w:jc w:val="both"/>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
                <w:bCs w:val="0"/>
                <w:color w:val="auto"/>
                <w:sz w:val="24"/>
                <w:szCs w:val="24"/>
                <w:highlight w:val="none"/>
              </w:rPr>
              <w:t>审查机关：</w:t>
            </w:r>
            <w:r>
              <w:rPr>
                <w:rFonts w:hint="default" w:ascii="Times New Roman" w:hAnsi="Times New Roman" w:eastAsia="宋体" w:cs="Times New Roman"/>
                <w:bCs/>
                <w:color w:val="auto"/>
                <w:sz w:val="24"/>
                <w:szCs w:val="24"/>
                <w:highlight w:val="none"/>
                <w:lang w:val="en-US" w:eastAsia="zh-CN"/>
              </w:rPr>
              <w:t>玉溪市生态环境局</w:t>
            </w:r>
            <w:r>
              <w:rPr>
                <w:rFonts w:hint="default" w:ascii="Times New Roman" w:hAnsi="Times New Roman" w:eastAsia="宋体" w:cs="Times New Roman"/>
                <w:bCs/>
                <w:color w:val="auto"/>
                <w:sz w:val="24"/>
                <w:szCs w:val="24"/>
                <w:highlight w:val="none"/>
                <w:lang w:eastAsia="zh-CN"/>
              </w:rPr>
              <w:t>；</w:t>
            </w:r>
          </w:p>
          <w:p w14:paraId="6D69A0C0">
            <w:pPr>
              <w:keepNext w:val="0"/>
              <w:keepLines w:val="0"/>
              <w:pageBreakBefore w:val="0"/>
              <w:widowControl w:val="0"/>
              <w:kinsoku/>
              <w:wordWrap/>
              <w:overflowPunct/>
              <w:topLinePunct/>
              <w:autoSpaceDE w:val="0"/>
              <w:autoSpaceDN w:val="0"/>
              <w:bidi w:val="0"/>
              <w:adjustRightInd w:val="0"/>
              <w:snapToGrid w:val="0"/>
              <w:spacing w:line="360" w:lineRule="auto"/>
              <w:ind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val="0"/>
                <w:color w:val="auto"/>
                <w:sz w:val="24"/>
                <w:szCs w:val="24"/>
                <w:highlight w:val="none"/>
              </w:rPr>
              <w:t>审查文件名称及文号：</w:t>
            </w:r>
            <w:r>
              <w:rPr>
                <w:rFonts w:hint="default" w:ascii="Times New Roman" w:hAnsi="Times New Roman" w:eastAsia="宋体" w:cs="Times New Roman"/>
                <w:bCs/>
                <w:color w:val="auto"/>
                <w:sz w:val="24"/>
                <w:szCs w:val="24"/>
                <w:highlight w:val="none"/>
                <w:lang w:val="en-US" w:eastAsia="zh-CN"/>
              </w:rPr>
              <w:t>玉溪市生态环境局</w:t>
            </w:r>
            <w:r>
              <w:rPr>
                <w:rFonts w:hint="default" w:ascii="Times New Roman" w:hAnsi="Times New Roman" w:eastAsia="宋体" w:cs="Times New Roman"/>
                <w:bCs/>
                <w:color w:val="auto"/>
                <w:sz w:val="24"/>
                <w:szCs w:val="24"/>
                <w:highlight w:val="none"/>
              </w:rPr>
              <w:t>关于</w:t>
            </w:r>
            <w:r>
              <w:rPr>
                <w:rFonts w:hint="default" w:ascii="Times New Roman" w:hAnsi="Times New Roman" w:eastAsia="宋体" w:cs="Times New Roman"/>
                <w:bCs/>
                <w:color w:val="auto"/>
                <w:sz w:val="24"/>
                <w:szCs w:val="24"/>
                <w:highlight w:val="none"/>
                <w:lang w:eastAsia="zh-CN"/>
              </w:rPr>
              <w:t>云南</w:t>
            </w:r>
            <w:r>
              <w:rPr>
                <w:rFonts w:hint="default" w:ascii="Times New Roman" w:hAnsi="Times New Roman" w:eastAsia="宋体" w:cs="Times New Roman"/>
                <w:color w:val="auto"/>
                <w:sz w:val="24"/>
                <w:szCs w:val="24"/>
                <w:highlight w:val="none"/>
              </w:rPr>
              <w:t>易门产业园区总体规划（修编）（2021-2035）环境影响报告书</w:t>
            </w:r>
            <w:r>
              <w:rPr>
                <w:rFonts w:hint="default" w:ascii="Times New Roman" w:hAnsi="Times New Roman" w:eastAsia="宋体" w:cs="Times New Roman"/>
                <w:bCs/>
                <w:color w:val="auto"/>
                <w:sz w:val="24"/>
                <w:szCs w:val="24"/>
                <w:highlight w:val="none"/>
              </w:rPr>
              <w:t>审查意见</w:t>
            </w:r>
            <w:r>
              <w:rPr>
                <w:rFonts w:hint="default" w:ascii="Times New Roman" w:hAnsi="Times New Roman" w:eastAsia="宋体" w:cs="Times New Roman"/>
                <w:bCs/>
                <w:color w:val="auto"/>
                <w:sz w:val="24"/>
                <w:szCs w:val="24"/>
                <w:highlight w:val="none"/>
                <w:lang w:eastAsia="zh-CN"/>
              </w:rPr>
              <w:t>的函（</w:t>
            </w:r>
            <w:r>
              <w:rPr>
                <w:rFonts w:hint="default" w:ascii="Times New Roman" w:hAnsi="Times New Roman" w:eastAsia="宋体" w:cs="Times New Roman"/>
                <w:bCs/>
                <w:color w:val="auto"/>
                <w:sz w:val="24"/>
                <w:szCs w:val="24"/>
                <w:highlight w:val="none"/>
                <w:lang w:val="en-US" w:eastAsia="zh-CN"/>
              </w:rPr>
              <w:t>玉市环函〔2022〕32号</w:t>
            </w:r>
            <w:r>
              <w:rPr>
                <w:rFonts w:hint="default" w:ascii="Times New Roman" w:hAnsi="Times New Roman" w:eastAsia="宋体" w:cs="Times New Roman"/>
                <w:bCs/>
                <w:color w:val="auto"/>
                <w:sz w:val="24"/>
                <w:szCs w:val="24"/>
                <w:highlight w:val="none"/>
                <w:lang w:eastAsia="zh-CN"/>
              </w:rPr>
              <w:t>）。</w:t>
            </w:r>
          </w:p>
        </w:tc>
      </w:tr>
      <w:tr w14:paraId="10CE5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05" w:type="dxa"/>
            <w:vAlign w:val="center"/>
          </w:tcPr>
          <w:p w14:paraId="272FC473">
            <w:pPr>
              <w:keepNext w:val="0"/>
              <w:keepLines w:val="0"/>
              <w:pageBreakBefore w:val="0"/>
              <w:kinsoku/>
              <w:overflowPunct/>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14:paraId="11AEBA0C">
            <w:pPr>
              <w:keepNext w:val="0"/>
              <w:keepLines w:val="0"/>
              <w:pageBreakBefore w:val="0"/>
              <w:kinsoku/>
              <w:overflowPunct/>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影响评价符合性分析</w:t>
            </w:r>
          </w:p>
        </w:tc>
        <w:tc>
          <w:tcPr>
            <w:tcW w:w="6848" w:type="dxa"/>
            <w:gridSpan w:val="3"/>
            <w:vAlign w:val="top"/>
          </w:tcPr>
          <w:p w14:paraId="1A58A8BF">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sz w:val="24"/>
                <w:szCs w:val="24"/>
                <w:highlight w:val="none"/>
              </w:rPr>
              <w:t>《云南易门产业园区总体规划（修编）（2021-2035）》</w:t>
            </w:r>
            <w:r>
              <w:rPr>
                <w:rFonts w:hint="default" w:ascii="Times New Roman" w:hAnsi="Times New Roman" w:eastAsia="宋体" w:cs="Times New Roman"/>
                <w:b/>
                <w:bCs/>
                <w:color w:val="auto"/>
                <w:sz w:val="24"/>
                <w:szCs w:val="24"/>
                <w:highlight w:val="none"/>
                <w:lang w:eastAsia="zh-CN"/>
              </w:rPr>
              <w:t>的符合性分析</w:t>
            </w:r>
          </w:p>
          <w:p w14:paraId="56FE3889">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根据《云南易门产业园区总体规划（修编）（2021-2035）》，规划期限为2021-2035年，按照“一园四片区六区块”进行空间布局，包括</w:t>
            </w:r>
            <w:r>
              <w:rPr>
                <w:rFonts w:hint="default" w:ascii="Times New Roman" w:hAnsi="Times New Roman" w:eastAsia="宋体" w:cs="Times New Roman"/>
                <w:color w:val="auto"/>
                <w:sz w:val="24"/>
                <w:szCs w:val="24"/>
                <w:highlight w:val="none"/>
                <w:lang w:eastAsia="zh-CN"/>
              </w:rPr>
              <w:t>大椿树</w:t>
            </w:r>
            <w:r>
              <w:rPr>
                <w:rFonts w:hint="default" w:ascii="Times New Roman" w:hAnsi="Times New Roman" w:eastAsia="宋体" w:cs="Times New Roman"/>
                <w:color w:val="auto"/>
                <w:sz w:val="24"/>
                <w:szCs w:val="24"/>
                <w:highlight w:val="none"/>
              </w:rPr>
              <w:t>片区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分为大椿树区块和韩所区块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、麦子田片区、梅曾片区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分为曾所区块和南侧的梅营区块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和六街片区，打造“一主三辅”产业布局，以有色金属为主导产业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稀贵金属和铜为重点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，以绿色建材产业、生物资源加工产业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绿色食品和生物医药为重点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、装备制造产业为辅助产业。规划总用地面积</w:t>
            </w:r>
            <w:r>
              <w:rPr>
                <w:rFonts w:hint="default" w:ascii="Times New Roman" w:hAnsi="Times New Roman" w:eastAsia="宋体" w:cs="Times New Roman"/>
                <w:color w:val="auto"/>
                <w:sz w:val="24"/>
                <w:szCs w:val="24"/>
                <w:highlight w:val="none"/>
                <w:lang w:val="en-US" w:eastAsia="zh-CN"/>
              </w:rPr>
              <w:t>29.20</w:t>
            </w:r>
            <w:r>
              <w:rPr>
                <w:rFonts w:hint="default" w:ascii="Times New Roman" w:hAnsi="Times New Roman" w:eastAsia="宋体" w:cs="Times New Roman"/>
                <w:color w:val="auto"/>
                <w:sz w:val="24"/>
                <w:szCs w:val="24"/>
                <w:highlight w:val="none"/>
              </w:rPr>
              <w:t>平方公里，包括4个片区6个区块，</w:t>
            </w:r>
            <w:r>
              <w:rPr>
                <w:rFonts w:hint="default" w:ascii="Times New Roman" w:hAnsi="Times New Roman" w:eastAsia="宋体" w:cs="Times New Roman"/>
                <w:color w:val="auto"/>
                <w:sz w:val="24"/>
                <w:szCs w:val="24"/>
                <w:highlight w:val="none"/>
                <w:lang w:eastAsia="zh-CN"/>
              </w:rPr>
              <w:t>其中</w:t>
            </w:r>
            <w:r>
              <w:rPr>
                <w:rFonts w:hint="default" w:ascii="Times New Roman" w:hAnsi="Times New Roman" w:eastAsia="宋体" w:cs="Times New Roman"/>
                <w:color w:val="auto"/>
                <w:sz w:val="24"/>
                <w:szCs w:val="24"/>
                <w:highlight w:val="none"/>
              </w:rPr>
              <w:t>麦子田片区5.93平方公里。</w:t>
            </w:r>
          </w:p>
          <w:p w14:paraId="648FEB31">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麦子田片区定位为新兴制造产业区，重点发展绿色建材产业（以装配式建筑、建材管材为重点，并综合发展水泥及制品），积极培育装备制造产业。</w:t>
            </w:r>
          </w:p>
          <w:p w14:paraId="38D03017">
            <w:pPr>
              <w:pStyle w:val="19"/>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1"/>
                <w:sz w:val="24"/>
                <w:highlight w:val="none"/>
                <w:lang w:val="zh-CN"/>
              </w:rPr>
            </w:pPr>
            <w:r>
              <w:rPr>
                <w:rFonts w:hint="default" w:ascii="Times New Roman" w:hAnsi="Times New Roman" w:eastAsia="宋体" w:cs="Times New Roman"/>
                <w:color w:val="auto"/>
                <w:sz w:val="24"/>
                <w:szCs w:val="24"/>
                <w:highlight w:val="none"/>
              </w:rPr>
              <w:t>本项目位于云南易门产业园区麦子田片区，</w:t>
            </w:r>
            <w:r>
              <w:rPr>
                <w:rFonts w:hint="default" w:ascii="Times New Roman" w:hAnsi="Times New Roman" w:eastAsia="宋体" w:cs="Times New Roman"/>
                <w:color w:val="auto"/>
                <w:sz w:val="24"/>
                <w:szCs w:val="24"/>
                <w:highlight w:val="none"/>
                <w:lang w:val="en-US" w:eastAsia="zh-CN"/>
              </w:rPr>
              <w:t>对照麦子田片区用地规划图，项目</w:t>
            </w:r>
            <w:r>
              <w:rPr>
                <w:rFonts w:hint="default" w:ascii="Times New Roman" w:hAnsi="Times New Roman" w:eastAsia="宋体" w:cs="Times New Roman"/>
                <w:color w:val="auto"/>
                <w:sz w:val="24"/>
                <w:szCs w:val="24"/>
                <w:highlight w:val="none"/>
              </w:rPr>
              <w:t>用地性质为二类工业用地，符合用地布局要求；</w:t>
            </w:r>
            <w:r>
              <w:rPr>
                <w:rFonts w:hint="default" w:ascii="Times New Roman" w:hAnsi="Times New Roman" w:eastAsia="宋体" w:cs="Times New Roman"/>
                <w:color w:val="auto"/>
                <w:sz w:val="24"/>
                <w:szCs w:val="24"/>
                <w:highlight w:val="none"/>
                <w:lang w:val="en-US" w:eastAsia="zh-CN"/>
              </w:rPr>
              <w:t>本项目主要进行烫钻生产，属于非金属矿物制品业，</w:t>
            </w:r>
            <w:r>
              <w:rPr>
                <w:rFonts w:hint="eastAsia" w:ascii="Times New Roman" w:hAnsi="Times New Roman" w:eastAsia="宋体" w:cs="Times New Roman"/>
                <w:color w:val="auto"/>
                <w:sz w:val="24"/>
                <w:szCs w:val="24"/>
                <w:highlight w:val="none"/>
                <w:lang w:val="en-US" w:eastAsia="zh-CN"/>
              </w:rPr>
              <w:t>项目属于</w:t>
            </w:r>
            <w:r>
              <w:rPr>
                <w:rFonts w:hint="default" w:ascii="Times New Roman" w:hAnsi="Times New Roman" w:eastAsia="宋体" w:cs="Times New Roman"/>
                <w:color w:val="auto"/>
                <w:sz w:val="24"/>
                <w:szCs w:val="24"/>
                <w:highlight w:val="none"/>
                <w:lang w:val="en-US" w:eastAsia="zh-CN"/>
              </w:rPr>
              <w:t>新材料研发生产制造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与麦子田片区的产业定位及发展方向</w:t>
            </w:r>
            <w:r>
              <w:rPr>
                <w:rFonts w:hint="eastAsia" w:ascii="Times New Roman" w:hAnsi="Times New Roman" w:eastAsia="宋体" w:cs="Times New Roman"/>
                <w:color w:val="auto"/>
                <w:sz w:val="24"/>
                <w:szCs w:val="24"/>
                <w:highlight w:val="none"/>
                <w:lang w:val="en-US" w:eastAsia="zh-CN"/>
              </w:rPr>
              <w:t>相符；且</w:t>
            </w:r>
            <w:r>
              <w:rPr>
                <w:rFonts w:hint="default" w:ascii="Times New Roman" w:hAnsi="Times New Roman" w:eastAsia="宋体" w:cs="Times New Roman"/>
                <w:color w:val="auto"/>
                <w:sz w:val="24"/>
                <w:szCs w:val="24"/>
                <w:highlight w:val="none"/>
                <w:lang w:val="en-US" w:eastAsia="zh-CN"/>
              </w:rPr>
              <w:t>项目已取得云南易门产业园区</w:t>
            </w:r>
            <w:r>
              <w:rPr>
                <w:rFonts w:hint="eastAsia" w:ascii="Times New Roman" w:hAnsi="Times New Roman" w:eastAsia="宋体" w:cs="Times New Roman"/>
                <w:color w:val="auto"/>
                <w:sz w:val="24"/>
                <w:szCs w:val="24"/>
                <w:highlight w:val="none"/>
                <w:lang w:val="en-US" w:eastAsia="zh-CN"/>
              </w:rPr>
              <w:t>管委会关于项目</w:t>
            </w:r>
            <w:r>
              <w:rPr>
                <w:rFonts w:hint="default" w:ascii="Times New Roman" w:hAnsi="Times New Roman" w:eastAsia="宋体" w:cs="Times New Roman"/>
                <w:color w:val="auto"/>
                <w:sz w:val="24"/>
                <w:szCs w:val="24"/>
                <w:highlight w:val="none"/>
                <w:lang w:val="en-US" w:eastAsia="zh-CN"/>
              </w:rPr>
              <w:t>入园情况说明（详见附件4）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项目符合园区产业定位，</w:t>
            </w:r>
            <w:r>
              <w:rPr>
                <w:rFonts w:hint="eastAsia" w:ascii="Times New Roman" w:hAnsi="Times New Roman" w:eastAsia="宋体" w:cs="Times New Roman"/>
                <w:color w:val="auto"/>
                <w:sz w:val="24"/>
                <w:szCs w:val="24"/>
                <w:highlight w:val="none"/>
                <w:lang w:val="en-US" w:eastAsia="zh-CN"/>
              </w:rPr>
              <w:t>同意项目入园</w:t>
            </w:r>
            <w:r>
              <w:rPr>
                <w:rFonts w:hint="default" w:ascii="Times New Roman" w:hAnsi="Times New Roman" w:eastAsia="宋体" w:cs="Times New Roman"/>
                <w:color w:val="auto"/>
                <w:sz w:val="24"/>
                <w:szCs w:val="24"/>
                <w:highlight w:val="none"/>
                <w:lang w:eastAsia="zh-CN"/>
              </w:rPr>
              <w:t>；项目建设与</w:t>
            </w:r>
            <w:r>
              <w:rPr>
                <w:rFonts w:hint="default" w:ascii="Times New Roman" w:hAnsi="Times New Roman" w:eastAsia="宋体" w:cs="Times New Roman"/>
                <w:color w:val="auto"/>
                <w:sz w:val="24"/>
                <w:szCs w:val="24"/>
                <w:highlight w:val="none"/>
              </w:rPr>
              <w:t>《云南易门产业园区总体规划（修编）（2021-2035）》</w:t>
            </w:r>
            <w:r>
              <w:rPr>
                <w:rFonts w:hint="eastAsia" w:cs="Times New Roman"/>
                <w:color w:val="auto"/>
                <w:sz w:val="24"/>
                <w:szCs w:val="24"/>
                <w:highlight w:val="none"/>
                <w:lang w:val="en-US" w:eastAsia="zh-CN"/>
              </w:rPr>
              <w:t>相符</w:t>
            </w:r>
            <w:r>
              <w:rPr>
                <w:rFonts w:hint="default" w:ascii="Times New Roman" w:hAnsi="Times New Roman" w:eastAsia="宋体" w:cs="Times New Roman"/>
                <w:color w:val="auto"/>
                <w:kern w:val="1"/>
                <w:sz w:val="24"/>
                <w:highlight w:val="none"/>
                <w:lang w:val="zh-CN"/>
              </w:rPr>
              <w:t>。</w:t>
            </w:r>
          </w:p>
          <w:p w14:paraId="3C62A7C5">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2.</w:t>
            </w:r>
            <w:r>
              <w:rPr>
                <w:rFonts w:hint="default" w:ascii="Times New Roman" w:hAnsi="Times New Roman" w:eastAsia="宋体" w:cs="Times New Roman"/>
                <w:b/>
                <w:bCs/>
                <w:color w:val="auto"/>
                <w:kern w:val="0"/>
                <w:sz w:val="24"/>
                <w:szCs w:val="24"/>
                <w:highlight w:val="none"/>
                <w:lang w:val="en-US" w:eastAsia="zh-CN"/>
              </w:rPr>
              <w:t>与《云南易门产业园区总体规划（修编）（2021-2035）环境影响报告书》及审查意见的函符合性分析</w:t>
            </w:r>
          </w:p>
          <w:p w14:paraId="39E419E8">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规划环评报告符合性分析</w:t>
            </w:r>
          </w:p>
          <w:p w14:paraId="7FDEC0D4">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根据《云南易门产业园区总体规划（修编）（2021-2035）环境影响报告书》，企业对入驻项目要求如下：</w:t>
            </w:r>
          </w:p>
          <w:p w14:paraId="3CA985F7">
            <w:pPr>
              <w:pStyle w:val="47"/>
              <w:keepNext w:val="0"/>
              <w:keepLines w:val="0"/>
              <w:pageBreakBefore w:val="0"/>
              <w:widowControl w:val="0"/>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b/>
                <w:bCs/>
                <w:caps w:val="0"/>
                <w:smallCaps w:val="0"/>
                <w:color w:val="auto"/>
                <w:sz w:val="21"/>
                <w:szCs w:val="21"/>
                <w:highlight w:val="none"/>
              </w:rPr>
            </w:pPr>
          </w:p>
          <w:p w14:paraId="336E0043">
            <w:pPr>
              <w:pStyle w:val="47"/>
              <w:keepNext w:val="0"/>
              <w:keepLines w:val="0"/>
              <w:pageBreakBefore w:val="0"/>
              <w:widowControl w:val="0"/>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 xml:space="preserve">1-2  </w:t>
            </w:r>
            <w:r>
              <w:rPr>
                <w:rFonts w:hint="default" w:ascii="Times New Roman" w:hAnsi="Times New Roman" w:eastAsia="宋体" w:cs="Times New Roman"/>
                <w:caps w:val="0"/>
                <w:smallCaps w:val="0"/>
                <w:color w:val="auto"/>
                <w:sz w:val="21"/>
                <w:szCs w:val="21"/>
                <w:highlight w:val="none"/>
              </w:rPr>
              <w:t>项目建设与规划环评符合性分析</w:t>
            </w:r>
          </w:p>
          <w:tbl>
            <w:tblPr>
              <w:tblStyle w:val="29"/>
              <w:tblW w:w="6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305"/>
              <w:gridCol w:w="3021"/>
              <w:gridCol w:w="2259"/>
              <w:gridCol w:w="748"/>
            </w:tblGrid>
            <w:tr w14:paraId="272B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51" w:type="pct"/>
                  <w:gridSpan w:val="3"/>
                  <w:noWrap w:val="0"/>
                  <w:vAlign w:val="center"/>
                </w:tcPr>
                <w:p w14:paraId="1DA04935">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b/>
                      <w:bCs/>
                      <w:color w:val="auto"/>
                      <w:kern w:val="1"/>
                      <w:sz w:val="21"/>
                      <w:szCs w:val="21"/>
                      <w:highlight w:val="none"/>
                    </w:rPr>
                  </w:pPr>
                  <w:r>
                    <w:rPr>
                      <w:rFonts w:hint="default" w:ascii="Times New Roman" w:hAnsi="Times New Roman" w:eastAsia="宋体" w:cs="Times New Roman"/>
                      <w:b/>
                      <w:bCs/>
                      <w:color w:val="auto"/>
                      <w:kern w:val="1"/>
                      <w:sz w:val="21"/>
                      <w:szCs w:val="21"/>
                      <w:highlight w:val="none"/>
                    </w:rPr>
                    <w:t>规划环评要求</w:t>
                  </w:r>
                </w:p>
              </w:tc>
              <w:tc>
                <w:tcPr>
                  <w:tcW w:w="1688" w:type="pct"/>
                  <w:noWrap w:val="0"/>
                  <w:vAlign w:val="center"/>
                </w:tcPr>
                <w:p w14:paraId="1724DF72">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b/>
                      <w:bCs/>
                      <w:color w:val="auto"/>
                      <w:kern w:val="1"/>
                      <w:sz w:val="21"/>
                      <w:szCs w:val="21"/>
                      <w:highlight w:val="none"/>
                    </w:rPr>
                  </w:pPr>
                  <w:r>
                    <w:rPr>
                      <w:rFonts w:hint="default" w:ascii="Times New Roman" w:hAnsi="Times New Roman" w:eastAsia="宋体" w:cs="Times New Roman"/>
                      <w:b/>
                      <w:bCs/>
                      <w:color w:val="auto"/>
                      <w:kern w:val="1"/>
                      <w:sz w:val="21"/>
                      <w:szCs w:val="21"/>
                      <w:highlight w:val="none"/>
                    </w:rPr>
                    <w:t>本项目情况</w:t>
                  </w:r>
                </w:p>
              </w:tc>
              <w:tc>
                <w:tcPr>
                  <w:tcW w:w="559" w:type="pct"/>
                  <w:noWrap w:val="0"/>
                  <w:vAlign w:val="center"/>
                </w:tcPr>
                <w:p w14:paraId="7E96DB9F">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b/>
                      <w:bCs/>
                      <w:color w:val="auto"/>
                      <w:kern w:val="1"/>
                      <w:sz w:val="21"/>
                      <w:szCs w:val="21"/>
                      <w:highlight w:val="none"/>
                    </w:rPr>
                  </w:pPr>
                  <w:r>
                    <w:rPr>
                      <w:rFonts w:hint="default" w:ascii="Times New Roman" w:hAnsi="Times New Roman" w:eastAsia="宋体" w:cs="Times New Roman"/>
                      <w:b/>
                      <w:bCs/>
                      <w:color w:val="auto"/>
                      <w:kern w:val="1"/>
                      <w:sz w:val="21"/>
                      <w:szCs w:val="21"/>
                      <w:highlight w:val="none"/>
                      <w:lang w:val="en-US" w:eastAsia="zh-CN"/>
                    </w:rPr>
                    <w:t>符合</w:t>
                  </w:r>
                  <w:r>
                    <w:rPr>
                      <w:rFonts w:hint="default" w:ascii="Times New Roman" w:hAnsi="Times New Roman" w:eastAsia="宋体" w:cs="Times New Roman"/>
                      <w:b/>
                      <w:bCs/>
                      <w:color w:val="auto"/>
                      <w:kern w:val="1"/>
                      <w:sz w:val="21"/>
                      <w:szCs w:val="21"/>
                      <w:highlight w:val="none"/>
                    </w:rPr>
                    <w:t>性</w:t>
                  </w:r>
                </w:p>
              </w:tc>
            </w:tr>
            <w:tr w14:paraId="720D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noWrap w:val="0"/>
                  <w:vAlign w:val="center"/>
                </w:tcPr>
                <w:p w14:paraId="4493A967">
                  <w:pPr>
                    <w:keepNext w:val="0"/>
                    <w:keepLines w:val="0"/>
                    <w:pageBreakBefore w:val="0"/>
                    <w:kinsoku/>
                    <w:wordWrap/>
                    <w:overflowPunct/>
                    <w:topLinePunct/>
                    <w:autoSpaceDE w:val="0"/>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eastAsia="zh-CN"/>
                    </w:rPr>
                    <w:t>园区企业管理</w:t>
                  </w:r>
                </w:p>
              </w:tc>
              <w:tc>
                <w:tcPr>
                  <w:tcW w:w="2486" w:type="pct"/>
                  <w:gridSpan w:val="2"/>
                  <w:noWrap w:val="0"/>
                  <w:vAlign w:val="center"/>
                </w:tcPr>
                <w:p w14:paraId="5FEFC999">
                  <w:pPr>
                    <w:keepNext w:val="0"/>
                    <w:keepLines w:val="0"/>
                    <w:pageBreakBefore w:val="0"/>
                    <w:kinsoku/>
                    <w:wordWrap/>
                    <w:overflowPunct/>
                    <w:topLinePunct/>
                    <w:autoSpaceDE w:val="0"/>
                    <w:autoSpaceDN/>
                    <w:bidi w:val="0"/>
                    <w:adjustRightInd w:val="0"/>
                    <w:snapToGrid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科学筛选入园项目：对入园企业进行严格筛选，要求入园企业不仅应具有市场潜力大、产业联动效果好、高技术、高附加值的特点，还必须是低污染、低耗能的企业。属于不符合产业政策、不符合园区规划的行业、达不到规定的清洁生产水平的企业严禁入园。</w:t>
                  </w:r>
                </w:p>
              </w:tc>
              <w:tc>
                <w:tcPr>
                  <w:tcW w:w="1688" w:type="pct"/>
                  <w:noWrap w:val="0"/>
                  <w:vAlign w:val="center"/>
                </w:tcPr>
                <w:p w14:paraId="29004C4F">
                  <w:pPr>
                    <w:keepNext w:val="0"/>
                    <w:keepLines w:val="0"/>
                    <w:widowControl/>
                    <w:suppressLineNumbers w:val="0"/>
                    <w:jc w:val="both"/>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本项目主要进行烫钻生产，属于非金属矿物制品业，是绿色建材及装饰材料产业链的重要组成部分，</w:t>
                  </w:r>
                  <w:r>
                    <w:rPr>
                      <w:rFonts w:hint="eastAsia" w:ascii="Times New Roman" w:hAnsi="Times New Roman" w:eastAsia="宋体" w:cs="Times New Roman"/>
                      <w:color w:val="auto"/>
                      <w:sz w:val="21"/>
                      <w:szCs w:val="21"/>
                      <w:highlight w:val="none"/>
                      <w:lang w:val="en-US" w:eastAsia="zh-CN"/>
                    </w:rPr>
                    <w:t>且项目属于</w:t>
                  </w:r>
                  <w:r>
                    <w:rPr>
                      <w:rFonts w:hint="default" w:ascii="Times New Roman" w:hAnsi="Times New Roman" w:eastAsia="宋体" w:cs="Times New Roman"/>
                      <w:color w:val="auto"/>
                      <w:sz w:val="21"/>
                      <w:szCs w:val="21"/>
                      <w:highlight w:val="none"/>
                      <w:lang w:val="en-US" w:eastAsia="zh-CN"/>
                    </w:rPr>
                    <w:t>新材料研发生产制造</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是近年来发展迅速、市场潜力较大的行业，项目符合产业政策，与麦子田片区产业定位</w:t>
                  </w:r>
                  <w:r>
                    <w:rPr>
                      <w:rFonts w:hint="eastAsia" w:cs="Times New Roman"/>
                      <w:color w:val="auto"/>
                      <w:sz w:val="21"/>
                      <w:szCs w:val="21"/>
                      <w:highlight w:val="none"/>
                      <w:lang w:val="en-US" w:eastAsia="zh-CN"/>
                    </w:rPr>
                    <w:t>相符</w:t>
                  </w:r>
                  <w:r>
                    <w:rPr>
                      <w:rFonts w:hint="default" w:ascii="Times New Roman" w:hAnsi="Times New Roman" w:eastAsia="宋体" w:cs="Times New Roman"/>
                      <w:color w:val="auto"/>
                      <w:sz w:val="21"/>
                      <w:szCs w:val="21"/>
                      <w:highlight w:val="none"/>
                      <w:lang w:val="en-US" w:eastAsia="zh-CN"/>
                    </w:rPr>
                    <w:t>，污染物排放量较小。</w:t>
                  </w:r>
                </w:p>
              </w:tc>
              <w:tc>
                <w:tcPr>
                  <w:tcW w:w="559" w:type="pct"/>
                  <w:noWrap w:val="0"/>
                  <w:vAlign w:val="center"/>
                </w:tcPr>
                <w:p w14:paraId="07988E3A">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val="en-US" w:eastAsia="zh-CN"/>
                    </w:rPr>
                  </w:pPr>
                  <w:r>
                    <w:rPr>
                      <w:rFonts w:hint="eastAsia" w:cs="Times New Roman"/>
                      <w:color w:val="auto"/>
                      <w:kern w:val="1"/>
                      <w:sz w:val="21"/>
                      <w:szCs w:val="21"/>
                      <w:highlight w:val="none"/>
                      <w:lang w:val="en-US" w:eastAsia="zh-CN"/>
                    </w:rPr>
                    <w:t>符合</w:t>
                  </w:r>
                </w:p>
              </w:tc>
            </w:tr>
            <w:tr w14:paraId="56A2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restart"/>
                  <w:noWrap w:val="0"/>
                  <w:vAlign w:val="center"/>
                </w:tcPr>
                <w:p w14:paraId="6DBA5390">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环境准入</w:t>
                  </w:r>
                </w:p>
              </w:tc>
              <w:tc>
                <w:tcPr>
                  <w:tcW w:w="228" w:type="pct"/>
                  <w:vMerge w:val="restart"/>
                  <w:noWrap w:val="0"/>
                  <w:vAlign w:val="center"/>
                </w:tcPr>
                <w:p w14:paraId="1FECCFDF">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空间布局约束</w:t>
                  </w:r>
                </w:p>
              </w:tc>
              <w:tc>
                <w:tcPr>
                  <w:tcW w:w="2258" w:type="pct"/>
                  <w:noWrap w:val="0"/>
                  <w:vAlign w:val="center"/>
                </w:tcPr>
                <w:p w14:paraId="5851DE32">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严禁“十小”企业进入园区。确保排放总量不超过单元允许排放量。不得引进无法解决水环境容量的企业。加快产业结构转型升级，淘汰和限制耗水量大、水污染物排放量大的行业和产品。</w:t>
                  </w:r>
                </w:p>
              </w:tc>
              <w:tc>
                <w:tcPr>
                  <w:tcW w:w="1688" w:type="pct"/>
                  <w:noWrap w:val="0"/>
                  <w:vAlign w:val="center"/>
                </w:tcPr>
                <w:p w14:paraId="09ED86F4">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lang w:eastAsia="zh-CN"/>
                    </w:rPr>
                    <w:t>不属于“十小”企业，不属于水污染物排放量大的行业；</w:t>
                  </w: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p>
              </w:tc>
              <w:tc>
                <w:tcPr>
                  <w:tcW w:w="559" w:type="pct"/>
                  <w:noWrap w:val="0"/>
                  <w:vAlign w:val="center"/>
                </w:tcPr>
                <w:p w14:paraId="3DC58165">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6291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1223F850">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51A3729E">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22CFB930">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园区大气环境受体敏感区重点控制区按大气环境受体敏感区管控要求进行规划管控。严控涉及大气污染排放的工业项目布局建设；禁止新建、扩建采用非清洁燃料的项目和设施现有产物企业应持续开展节能减排，制定改用清洁能源时间表；严格限制新建可能对主城区大气产生影响的燃用煤、重油等高污染燃料的工业项目。禁止焚烧生活垃圾、建筑垃圾、环卫清扫物等废弃物。</w:t>
                  </w:r>
                </w:p>
              </w:tc>
              <w:tc>
                <w:tcPr>
                  <w:tcW w:w="1688" w:type="pct"/>
                  <w:noWrap w:val="0"/>
                  <w:vAlign w:val="center"/>
                </w:tcPr>
                <w:p w14:paraId="20E17AD1">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本项目采用电等清洁能源，不涉及焚烧</w:t>
                  </w:r>
                  <w:r>
                    <w:rPr>
                      <w:rFonts w:hint="default" w:ascii="Times New Roman" w:hAnsi="Times New Roman" w:eastAsia="宋体" w:cs="Times New Roman"/>
                      <w:color w:val="auto"/>
                      <w:kern w:val="1"/>
                      <w:sz w:val="21"/>
                      <w:szCs w:val="21"/>
                      <w:highlight w:val="none"/>
                      <w:lang w:val="zh-CN"/>
                    </w:rPr>
                    <w:t>生活垃圾、建筑垃圾、环卫清扫物等废弃物。</w:t>
                  </w:r>
                </w:p>
              </w:tc>
              <w:tc>
                <w:tcPr>
                  <w:tcW w:w="559" w:type="pct"/>
                  <w:noWrap w:val="0"/>
                  <w:vAlign w:val="center"/>
                </w:tcPr>
                <w:p w14:paraId="5C6CEC90">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6206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51F14AE0">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77193320">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2808F8F0">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优化调整产业结构，逐步淘汰不符合园区产业定位的企业，加强培育符合主导产业下游产业链的产业，提高产业附加值，推进产业延链补链强链，塑造绿色发展。</w:t>
                  </w:r>
                </w:p>
              </w:tc>
              <w:tc>
                <w:tcPr>
                  <w:tcW w:w="1688" w:type="pct"/>
                  <w:noWrap w:val="0"/>
                  <w:vAlign w:val="center"/>
                </w:tcPr>
                <w:p w14:paraId="070B6711">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本项目主要进行烫钻生产，属于非金属矿物制品业，是绿色建材及装饰材料产业链的重要组成部分，</w:t>
                  </w:r>
                  <w:r>
                    <w:rPr>
                      <w:rFonts w:hint="eastAsia" w:ascii="Times New Roman" w:hAnsi="Times New Roman" w:eastAsia="宋体" w:cs="Times New Roman"/>
                      <w:color w:val="auto"/>
                      <w:sz w:val="21"/>
                      <w:szCs w:val="21"/>
                      <w:highlight w:val="none"/>
                      <w:lang w:val="en-US" w:eastAsia="zh-CN"/>
                    </w:rPr>
                    <w:t>且项目属于</w:t>
                  </w:r>
                  <w:r>
                    <w:rPr>
                      <w:rFonts w:hint="default" w:ascii="Times New Roman" w:hAnsi="Times New Roman" w:eastAsia="宋体" w:cs="Times New Roman"/>
                      <w:color w:val="auto"/>
                      <w:sz w:val="21"/>
                      <w:szCs w:val="21"/>
                      <w:highlight w:val="none"/>
                      <w:lang w:val="en-US" w:eastAsia="zh-CN"/>
                    </w:rPr>
                    <w:t>新材料研发生产制造</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与麦子田片区产业定位</w:t>
                  </w:r>
                  <w:r>
                    <w:rPr>
                      <w:rFonts w:hint="eastAsia" w:cs="Times New Roman"/>
                      <w:color w:val="auto"/>
                      <w:sz w:val="21"/>
                      <w:szCs w:val="21"/>
                      <w:highlight w:val="none"/>
                      <w:lang w:val="en-US" w:eastAsia="zh-CN"/>
                    </w:rPr>
                    <w:t>相符</w:t>
                  </w:r>
                  <w:r>
                    <w:rPr>
                      <w:rFonts w:hint="default" w:ascii="Times New Roman" w:hAnsi="Times New Roman" w:eastAsia="宋体" w:cs="Times New Roman"/>
                      <w:color w:val="auto"/>
                      <w:sz w:val="21"/>
                      <w:szCs w:val="21"/>
                      <w:highlight w:val="none"/>
                      <w:lang w:val="en-US" w:eastAsia="zh-CN"/>
                    </w:rPr>
                    <w:t>。</w:t>
                  </w:r>
                </w:p>
              </w:tc>
              <w:tc>
                <w:tcPr>
                  <w:tcW w:w="559" w:type="pct"/>
                  <w:noWrap w:val="0"/>
                  <w:vAlign w:val="center"/>
                </w:tcPr>
                <w:p w14:paraId="519B1C25">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eastAsia="zh-CN"/>
                    </w:rPr>
                  </w:pPr>
                  <w:r>
                    <w:rPr>
                      <w:rFonts w:hint="eastAsia" w:cs="Times New Roman"/>
                      <w:color w:val="auto"/>
                      <w:kern w:val="1"/>
                      <w:sz w:val="21"/>
                      <w:szCs w:val="21"/>
                      <w:highlight w:val="none"/>
                      <w:lang w:val="en-US" w:eastAsia="zh-CN"/>
                    </w:rPr>
                    <w:t>符合</w:t>
                  </w:r>
                </w:p>
              </w:tc>
            </w:tr>
            <w:tr w14:paraId="2D6D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0B9FCA72">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08EB9D98">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2C954ED7">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禁止入驻项目占用水塘、河流等地表水体；严格控制和优化园区水文地质单元内的开发强度，保障一定的降雨补给面积。严格按照园区内地下水环境红线划分及区域布局建议，做好地下水污染防控。</w:t>
                  </w:r>
                </w:p>
              </w:tc>
              <w:tc>
                <w:tcPr>
                  <w:tcW w:w="1688" w:type="pct"/>
                  <w:noWrap w:val="0"/>
                  <w:vAlign w:val="center"/>
                </w:tcPr>
                <w:p w14:paraId="76EFDB44">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本项目位于易门产业园区麦子田片区，用地为二类工业用地，不涉及占用水塘、河流。</w:t>
                  </w:r>
                </w:p>
              </w:tc>
              <w:tc>
                <w:tcPr>
                  <w:tcW w:w="559" w:type="pct"/>
                  <w:noWrap w:val="0"/>
                  <w:vAlign w:val="center"/>
                </w:tcPr>
                <w:p w14:paraId="51610359">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08BC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49088A4A">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3AAE3F52">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7A64FABF">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严格执行有关行业企业布局选址要求，禁止在居民区和学校、医疗、养老机构等单位周边新建、改建、扩建可能造成土壤污染的建设项目，结合区域功能定位和土壤污染防治需要，科学布局生活垃圾处理、危险废物处置和废旧资源再生利用等设施和场所。</w:t>
                  </w:r>
                </w:p>
              </w:tc>
              <w:tc>
                <w:tcPr>
                  <w:tcW w:w="1688" w:type="pct"/>
                  <w:noWrap w:val="0"/>
                  <w:vAlign w:val="center"/>
                </w:tcPr>
                <w:p w14:paraId="1A74100C">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本项目位于易门产业园区麦子田片区，周边均为塑料及钢结构构件制造企业，最近居民点为项目东北侧直线距离650m的杨保庄，且项目为非金属矿物制品业，不属于“</w:t>
                  </w:r>
                  <w:r>
                    <w:rPr>
                      <w:rFonts w:hint="default" w:ascii="Times New Roman" w:hAnsi="Times New Roman" w:eastAsia="宋体" w:cs="Times New Roman"/>
                      <w:color w:val="auto"/>
                      <w:kern w:val="1"/>
                      <w:sz w:val="21"/>
                      <w:szCs w:val="21"/>
                      <w:highlight w:val="none"/>
                      <w:lang w:val="zh-CN"/>
                    </w:rPr>
                    <w:t>可能造成土壤污染的建设项目</w:t>
                  </w:r>
                  <w:r>
                    <w:rPr>
                      <w:rFonts w:hint="default" w:ascii="Times New Roman" w:hAnsi="Times New Roman" w:eastAsia="宋体" w:cs="Times New Roman"/>
                      <w:color w:val="auto"/>
                      <w:sz w:val="21"/>
                      <w:szCs w:val="21"/>
                      <w:highlight w:val="none"/>
                      <w:lang w:val="en-US" w:eastAsia="zh-CN"/>
                    </w:rPr>
                    <w:t>”。</w:t>
                  </w:r>
                </w:p>
              </w:tc>
              <w:tc>
                <w:tcPr>
                  <w:tcW w:w="559" w:type="pct"/>
                  <w:noWrap w:val="0"/>
                  <w:vAlign w:val="center"/>
                </w:tcPr>
                <w:p w14:paraId="533FD0DE">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23DE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46B41E6A">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5FC56A0E">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7EE229A5">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限制在居民区、学校附近布局排放异味废气污染物的企业，并充分考虑产业与城市建成区、区内居民点之间的环境防护距离。</w:t>
                  </w:r>
                </w:p>
              </w:tc>
              <w:tc>
                <w:tcPr>
                  <w:tcW w:w="1688" w:type="pct"/>
                  <w:noWrap w:val="0"/>
                  <w:vAlign w:val="center"/>
                </w:tcPr>
                <w:p w14:paraId="6A4CD83B">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最近居民点为项目东北侧直线距离650m的杨保庄，项目不设环境防护距离。</w:t>
                  </w:r>
                </w:p>
              </w:tc>
              <w:tc>
                <w:tcPr>
                  <w:tcW w:w="559" w:type="pct"/>
                  <w:noWrap w:val="0"/>
                  <w:vAlign w:val="center"/>
                </w:tcPr>
                <w:p w14:paraId="3FE92A10">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0FA7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0327497D">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228" w:type="pct"/>
                  <w:vMerge w:val="continue"/>
                  <w:noWrap w:val="0"/>
                  <w:vAlign w:val="center"/>
                </w:tcPr>
                <w:p w14:paraId="64C19715">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p>
              </w:tc>
              <w:tc>
                <w:tcPr>
                  <w:tcW w:w="2258" w:type="pct"/>
                  <w:noWrap w:val="0"/>
                  <w:vAlign w:val="center"/>
                </w:tcPr>
                <w:p w14:paraId="68574ED5">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lang w:val="zh-CN"/>
                    </w:rPr>
                    <w:t>居民集中区周边禁止布局重污染企业。麦子田片区布局重污染企业应远离六街镇居民集中区。</w:t>
                  </w:r>
                </w:p>
              </w:tc>
              <w:tc>
                <w:tcPr>
                  <w:tcW w:w="1688" w:type="pct"/>
                  <w:noWrap w:val="0"/>
                  <w:vAlign w:val="center"/>
                </w:tcPr>
                <w:p w14:paraId="153EF5FD">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lang w:eastAsia="zh-CN"/>
                    </w:rPr>
                    <w:t>不属于重污染企业；</w:t>
                  </w:r>
                  <w:r>
                    <w:rPr>
                      <w:rFonts w:hint="default" w:ascii="Times New Roman" w:hAnsi="Times New Roman" w:eastAsia="宋体" w:cs="Times New Roman"/>
                      <w:color w:val="auto"/>
                      <w:sz w:val="21"/>
                      <w:szCs w:val="21"/>
                      <w:highlight w:val="none"/>
                      <w:lang w:val="en-US" w:eastAsia="zh-CN"/>
                    </w:rPr>
                    <w:t>项目位于易门产业园区麦子田片区，</w:t>
                  </w:r>
                  <w:r>
                    <w:rPr>
                      <w:rFonts w:hint="default" w:ascii="Times New Roman" w:hAnsi="Times New Roman" w:eastAsia="宋体" w:cs="Times New Roman"/>
                      <w:color w:val="auto"/>
                      <w:sz w:val="21"/>
                      <w:szCs w:val="21"/>
                      <w:highlight w:val="none"/>
                      <w:lang w:eastAsia="zh-CN"/>
                    </w:rPr>
                    <w:t>距离六街镇及龙泉街道居民集中区较远。</w:t>
                  </w:r>
                </w:p>
              </w:tc>
              <w:tc>
                <w:tcPr>
                  <w:tcW w:w="559" w:type="pct"/>
                  <w:noWrap w:val="0"/>
                  <w:vAlign w:val="center"/>
                </w:tcPr>
                <w:p w14:paraId="318E5E92">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13E6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1AA88D0E">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restart"/>
                  <w:noWrap w:val="0"/>
                  <w:vAlign w:val="center"/>
                </w:tcPr>
                <w:p w14:paraId="6CDC8BF1">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污染物排放管控</w:t>
                  </w:r>
                </w:p>
              </w:tc>
              <w:tc>
                <w:tcPr>
                  <w:tcW w:w="2258" w:type="pct"/>
                  <w:noWrap w:val="0"/>
                  <w:vAlign w:val="center"/>
                </w:tcPr>
                <w:p w14:paraId="3FB99214">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禁止不符合行业准入条件或产业政策的高耗水、高排污企业入园。</w:t>
                  </w:r>
                </w:p>
              </w:tc>
              <w:tc>
                <w:tcPr>
                  <w:tcW w:w="1688" w:type="pct"/>
                  <w:noWrap w:val="0"/>
                  <w:vAlign w:val="center"/>
                </w:tcPr>
                <w:p w14:paraId="6BA197A0">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本项目主要进行烫钻生产，属于非金属矿物制品业，属于</w:t>
                  </w:r>
                  <w:r>
                    <w:rPr>
                      <w:rFonts w:hint="default" w:ascii="Times New Roman" w:hAnsi="Times New Roman" w:eastAsia="宋体" w:cs="Times New Roman"/>
                      <w:color w:val="auto"/>
                      <w:sz w:val="21"/>
                      <w:szCs w:val="21"/>
                      <w:highlight w:val="none"/>
                    </w:rPr>
                    <w:t>符合行业准入条件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产业政策</w:t>
                  </w:r>
                  <w:r>
                    <w:rPr>
                      <w:rFonts w:hint="default" w:ascii="Times New Roman" w:hAnsi="Times New Roman" w:eastAsia="宋体" w:cs="Times New Roman"/>
                      <w:color w:val="auto"/>
                      <w:sz w:val="21"/>
                      <w:szCs w:val="21"/>
                      <w:highlight w:val="none"/>
                      <w:lang w:val="en-US" w:eastAsia="zh-CN"/>
                    </w:rPr>
                    <w:t>的企业，已取得园区入园情况说明</w:t>
                  </w:r>
                  <w:r>
                    <w:rPr>
                      <w:rFonts w:hint="default" w:ascii="Times New Roman" w:hAnsi="Times New Roman" w:eastAsia="宋体" w:cs="Times New Roman"/>
                      <w:color w:val="auto"/>
                      <w:sz w:val="21"/>
                      <w:szCs w:val="21"/>
                      <w:highlight w:val="none"/>
                      <w:lang w:eastAsia="zh-CN"/>
                    </w:rPr>
                    <w:t>。</w:t>
                  </w:r>
                </w:p>
              </w:tc>
              <w:tc>
                <w:tcPr>
                  <w:tcW w:w="559" w:type="pct"/>
                  <w:noWrap w:val="0"/>
                  <w:vAlign w:val="center"/>
                </w:tcPr>
                <w:p w14:paraId="4911241C">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val="zh-CN"/>
                    </w:rPr>
                  </w:pPr>
                  <w:r>
                    <w:rPr>
                      <w:rFonts w:hint="default" w:ascii="Times New Roman" w:hAnsi="Times New Roman" w:eastAsia="宋体" w:cs="Times New Roman"/>
                      <w:color w:val="auto"/>
                      <w:kern w:val="1"/>
                      <w:sz w:val="21"/>
                      <w:szCs w:val="21"/>
                      <w:highlight w:val="none"/>
                    </w:rPr>
                    <w:t>符合</w:t>
                  </w:r>
                </w:p>
              </w:tc>
            </w:tr>
            <w:tr w14:paraId="6123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noWrap w:val="0"/>
                  <w:vAlign w:val="center"/>
                </w:tcPr>
                <w:p w14:paraId="039F96BC">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continue"/>
                  <w:noWrap w:val="0"/>
                  <w:vAlign w:val="center"/>
                </w:tcPr>
                <w:p w14:paraId="3C5F26DB">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p>
              </w:tc>
              <w:tc>
                <w:tcPr>
                  <w:tcW w:w="2258" w:type="pct"/>
                  <w:noWrap w:val="0"/>
                  <w:vAlign w:val="center"/>
                </w:tcPr>
                <w:p w14:paraId="388EA328">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禁止任何生产废水和生活污水直接排入地表水体，废水达到园区污水处理厂进水标准后，经污水管网收集排入园区污水处理厂处理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园区纳污水体在未达到水质目标前，除城镇污水处理厂入河排污口外，严格控制新设、改设或者扩大排污口。</w:t>
                  </w:r>
                </w:p>
              </w:tc>
              <w:tc>
                <w:tcPr>
                  <w:tcW w:w="1688" w:type="pct"/>
                  <w:noWrap w:val="0"/>
                  <w:vAlign w:val="center"/>
                </w:tcPr>
                <w:p w14:paraId="2D721B46">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p>
              </w:tc>
              <w:tc>
                <w:tcPr>
                  <w:tcW w:w="559" w:type="pct"/>
                  <w:noWrap w:val="0"/>
                  <w:vAlign w:val="center"/>
                </w:tcPr>
                <w:p w14:paraId="089D90EE">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3A6C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5A9BE772">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continue"/>
                  <w:noWrap w:val="0"/>
                  <w:vAlign w:val="center"/>
                </w:tcPr>
                <w:p w14:paraId="79C49752">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p>
              </w:tc>
              <w:tc>
                <w:tcPr>
                  <w:tcW w:w="2258" w:type="pct"/>
                  <w:noWrap w:val="0"/>
                  <w:vAlign w:val="center"/>
                </w:tcPr>
                <w:p w14:paraId="7660FFA8">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废气达标率100%，污水处理达标率100%，工业固废处理率100%，危险废物安全处置率100%，生活垃圾无害化处理率100%，工业固废综合利用率60%，中水回用率不低于30%，清洁能源使用率不低于60%，重点企业清洁生产审核实施比例100%，项目环境影响评价执行率100%，“三同时”执行率100%。</w:t>
                  </w:r>
                </w:p>
              </w:tc>
              <w:tc>
                <w:tcPr>
                  <w:tcW w:w="1688" w:type="pct"/>
                  <w:noWrap w:val="0"/>
                  <w:vAlign w:val="center"/>
                </w:tcPr>
                <w:p w14:paraId="6201EE77">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项目废气经处理后达标排放，达标率</w:t>
                  </w: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工业废水、</w:t>
                  </w:r>
                  <w:r>
                    <w:rPr>
                      <w:rFonts w:hint="default" w:ascii="Times New Roman" w:hAnsi="Times New Roman" w:eastAsia="宋体" w:cs="Times New Roman"/>
                      <w:color w:val="auto"/>
                      <w:sz w:val="21"/>
                      <w:szCs w:val="21"/>
                      <w:highlight w:val="none"/>
                      <w:lang w:eastAsia="zh-CN"/>
                    </w:rPr>
                    <w:t>生活污水处理达标率</w:t>
                  </w: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lang w:eastAsia="zh-CN"/>
                    </w:rPr>
                    <w:t>；固体废弃物处置率、危险废物安全处置率、生活垃圾无害化处置率</w:t>
                  </w:r>
                  <w:r>
                    <w:rPr>
                      <w:rFonts w:hint="default" w:ascii="Times New Roman" w:hAnsi="Times New Roman" w:eastAsia="宋体" w:cs="Times New Roman"/>
                      <w:color w:val="auto"/>
                      <w:sz w:val="21"/>
                      <w:szCs w:val="21"/>
                      <w:highlight w:val="none"/>
                      <w:lang w:val="en-US" w:eastAsia="zh-CN"/>
                    </w:rPr>
                    <w:t>100%。项目工业固废大部分回用于生产线，少部分外售资源回收商，综合利用率达100%；项目不涉及中水回用；项目使用能源为电，为清洁能源，清洁能源使用率100%；环境影响评价执行率100%，“三同时”执行率100%。</w:t>
                  </w:r>
                </w:p>
              </w:tc>
              <w:tc>
                <w:tcPr>
                  <w:tcW w:w="559" w:type="pct"/>
                  <w:noWrap w:val="0"/>
                  <w:vAlign w:val="center"/>
                </w:tcPr>
                <w:p w14:paraId="693D8777">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134A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1918B70F">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restart"/>
                  <w:noWrap w:val="0"/>
                  <w:vAlign w:val="center"/>
                </w:tcPr>
                <w:p w14:paraId="5575646B">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环境风险防控</w:t>
                  </w:r>
                </w:p>
              </w:tc>
              <w:tc>
                <w:tcPr>
                  <w:tcW w:w="2258" w:type="pct"/>
                  <w:noWrap w:val="0"/>
                  <w:vAlign w:val="center"/>
                </w:tcPr>
                <w:p w14:paraId="3E478CFB">
                  <w:pPr>
                    <w:keepNext w:val="0"/>
                    <w:keepLines w:val="0"/>
                    <w:pageBreakBefore w:val="0"/>
                    <w:kinsoku/>
                    <w:wordWrap/>
                    <w:overflowPunct/>
                    <w:topLinePunct/>
                    <w:autoSpaceDE w:val="0"/>
                    <w:autoSpaceDN/>
                    <w:bidi w:val="0"/>
                    <w:spacing w:line="240" w:lineRule="auto"/>
                    <w:ind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入驻企业生产区须“雨污分流”，并完善排污管网，所有废水必须处理后回用或达标排入园区污水管网，严禁废水事故外排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对于初期雨水需设置收集设施</w:t>
                  </w:r>
                  <w:r>
                    <w:rPr>
                      <w:rFonts w:hint="default" w:ascii="Times New Roman" w:hAnsi="Times New Roman" w:eastAsia="宋体" w:cs="Times New Roman"/>
                      <w:color w:val="auto"/>
                      <w:sz w:val="21"/>
                      <w:szCs w:val="21"/>
                      <w:highlight w:val="none"/>
                      <w:lang w:eastAsia="zh-CN"/>
                    </w:rPr>
                    <w:t>；对企业原料堆存场地、车间、污水处理</w:t>
                  </w:r>
                  <w:r>
                    <w:rPr>
                      <w:rFonts w:hint="default" w:ascii="Times New Roman" w:hAnsi="Times New Roman" w:eastAsia="宋体" w:cs="Times New Roman"/>
                      <w:color w:val="auto"/>
                      <w:sz w:val="21"/>
                      <w:szCs w:val="21"/>
                      <w:highlight w:val="none"/>
                    </w:rPr>
                    <w:t>设施需进行地面硬化，设置雨污分流设施，地坪冲洗水、各车间跑冒滴漏废水应做到封闭回用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对于油料贮存库必须采取防渗措施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处理设施确保稳定运行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加强企业内部环境风险</w:t>
                  </w:r>
                  <w:r>
                    <w:rPr>
                      <w:rFonts w:hint="default" w:ascii="Times New Roman" w:hAnsi="Times New Roman" w:eastAsia="宋体" w:cs="Times New Roman"/>
                      <w:color w:val="auto"/>
                      <w:sz w:val="21"/>
                      <w:szCs w:val="21"/>
                      <w:highlight w:val="none"/>
                      <w:lang w:eastAsia="zh-CN"/>
                    </w:rPr>
                    <w:t>三</w:t>
                  </w:r>
                  <w:r>
                    <w:rPr>
                      <w:rFonts w:hint="default" w:ascii="Times New Roman" w:hAnsi="Times New Roman" w:eastAsia="宋体" w:cs="Times New Roman"/>
                      <w:color w:val="auto"/>
                      <w:sz w:val="21"/>
                      <w:szCs w:val="21"/>
                      <w:highlight w:val="none"/>
                    </w:rPr>
                    <w:t>级防护措施，对涉风险的生产和储存设施设置围堰防护。</w:t>
                  </w:r>
                </w:p>
              </w:tc>
              <w:tc>
                <w:tcPr>
                  <w:tcW w:w="1688" w:type="pct"/>
                  <w:noWrap w:val="0"/>
                  <w:vAlign w:val="center"/>
                </w:tcPr>
                <w:p w14:paraId="121FFDFE">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实行</w:t>
                  </w:r>
                  <w:r>
                    <w:rPr>
                      <w:rFonts w:hint="default" w:ascii="Times New Roman" w:hAnsi="Times New Roman" w:eastAsia="宋体" w:cs="Times New Roman"/>
                      <w:color w:val="auto"/>
                      <w:sz w:val="21"/>
                      <w:szCs w:val="21"/>
                      <w:highlight w:val="none"/>
                      <w:lang w:eastAsia="zh-CN"/>
                    </w:rPr>
                    <w:t>雨污分流，</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对于初期雨水需</w:t>
                  </w:r>
                  <w:r>
                    <w:rPr>
                      <w:rFonts w:hint="default" w:ascii="Times New Roman" w:hAnsi="Times New Roman" w:eastAsia="宋体" w:cs="Times New Roman"/>
                      <w:color w:val="auto"/>
                      <w:sz w:val="21"/>
                      <w:szCs w:val="21"/>
                      <w:highlight w:val="none"/>
                      <w:lang w:val="en-US" w:eastAsia="zh-CN"/>
                    </w:rPr>
                    <w:t>按要求</w:t>
                  </w:r>
                  <w:r>
                    <w:rPr>
                      <w:rFonts w:hint="default" w:ascii="Times New Roman" w:hAnsi="Times New Roman" w:eastAsia="宋体" w:cs="Times New Roman"/>
                      <w:color w:val="auto"/>
                      <w:sz w:val="21"/>
                      <w:szCs w:val="21"/>
                      <w:highlight w:val="none"/>
                    </w:rPr>
                    <w:t>设置收集设施</w:t>
                  </w:r>
                  <w:r>
                    <w:rPr>
                      <w:rFonts w:hint="default" w:ascii="Times New Roman" w:hAnsi="Times New Roman" w:eastAsia="宋体" w:cs="Times New Roman"/>
                      <w:color w:val="auto"/>
                      <w:sz w:val="21"/>
                      <w:szCs w:val="21"/>
                      <w:highlight w:val="none"/>
                      <w:lang w:eastAsia="zh-CN"/>
                    </w:rPr>
                    <w:t>；企业原料堆存场地、车间、污水处理</w:t>
                  </w:r>
                  <w:r>
                    <w:rPr>
                      <w:rFonts w:hint="default" w:ascii="Times New Roman" w:hAnsi="Times New Roman" w:eastAsia="宋体" w:cs="Times New Roman"/>
                      <w:color w:val="auto"/>
                      <w:sz w:val="21"/>
                      <w:szCs w:val="21"/>
                      <w:highlight w:val="none"/>
                    </w:rPr>
                    <w:t>设施需</w:t>
                  </w:r>
                  <w:r>
                    <w:rPr>
                      <w:rFonts w:hint="default" w:ascii="Times New Roman" w:hAnsi="Times New Roman" w:eastAsia="宋体" w:cs="Times New Roman"/>
                      <w:color w:val="auto"/>
                      <w:sz w:val="21"/>
                      <w:szCs w:val="21"/>
                      <w:highlight w:val="none"/>
                      <w:lang w:val="en-US" w:eastAsia="zh-CN"/>
                    </w:rPr>
                    <w:t>按要求</w:t>
                  </w:r>
                  <w:r>
                    <w:rPr>
                      <w:rFonts w:hint="default" w:ascii="Times New Roman" w:hAnsi="Times New Roman" w:eastAsia="宋体" w:cs="Times New Roman"/>
                      <w:color w:val="auto"/>
                      <w:sz w:val="21"/>
                      <w:szCs w:val="21"/>
                      <w:highlight w:val="none"/>
                    </w:rPr>
                    <w:t>进行地面硬化，设置雨污分流设施，地坪冲洗水、各车间跑冒滴漏废水应做到封闭回用</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危险废物贮存库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须按要求</w:t>
                  </w:r>
                  <w:r>
                    <w:rPr>
                      <w:rFonts w:hint="default" w:ascii="Times New Roman" w:hAnsi="Times New Roman" w:eastAsia="宋体" w:cs="Times New Roman"/>
                      <w:color w:val="auto"/>
                      <w:sz w:val="21"/>
                      <w:szCs w:val="21"/>
                      <w:highlight w:val="none"/>
                      <w:lang w:eastAsia="zh-CN"/>
                    </w:rPr>
                    <w:t>设置防渗及围堰、托盘</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eastAsia="zh-CN"/>
                    </w:rPr>
                    <w:t>。</w:t>
                  </w:r>
                </w:p>
              </w:tc>
              <w:tc>
                <w:tcPr>
                  <w:tcW w:w="559" w:type="pct"/>
                  <w:noWrap w:val="0"/>
                  <w:vAlign w:val="center"/>
                </w:tcPr>
                <w:p w14:paraId="0A922ECB">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6A13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2A1D7CC6">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continue"/>
                  <w:noWrap w:val="0"/>
                  <w:vAlign w:val="center"/>
                </w:tcPr>
                <w:p w14:paraId="629E4E04">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p>
              </w:tc>
              <w:tc>
                <w:tcPr>
                  <w:tcW w:w="2258" w:type="pct"/>
                  <w:noWrap w:val="0"/>
                  <w:vAlign w:val="center"/>
                </w:tcPr>
                <w:p w14:paraId="79B824EE">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固废堆存场应按照各固废属性鉴别结果按相关要求进行防渗，同时设置防雨淋、防流失设施，并在四周设置地沟收集跑冒滴漏，防止雨水对固废侵蚀造成地下水污染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危废临时储存设施的选址、防渗设计等应严格遵守《危险废物贮存污染控制标准》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GB18597-2001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的规定，并交由有资质的单位处置。</w:t>
                  </w:r>
                </w:p>
              </w:tc>
              <w:tc>
                <w:tcPr>
                  <w:tcW w:w="1688" w:type="pct"/>
                  <w:noWrap w:val="0"/>
                  <w:vAlign w:val="center"/>
                </w:tcPr>
                <w:p w14:paraId="00B1811E">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项目一般固废、生活固废、危险废物分开堆放，一般固废及危险废物均设置于封闭厂房内，生活垃圾堆放于带盖垃圾桶内，满足</w:t>
                  </w:r>
                  <w:r>
                    <w:rPr>
                      <w:rFonts w:hint="default" w:ascii="Times New Roman" w:hAnsi="Times New Roman" w:eastAsia="宋体" w:cs="Times New Roman"/>
                      <w:color w:val="auto"/>
                      <w:sz w:val="21"/>
                      <w:szCs w:val="21"/>
                      <w:highlight w:val="none"/>
                    </w:rPr>
                    <w:t>防雨淋、防流失</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危险废物贮存库</w:t>
                  </w:r>
                  <w:r>
                    <w:rPr>
                      <w:rFonts w:hint="default" w:ascii="Times New Roman" w:hAnsi="Times New Roman" w:eastAsia="宋体" w:cs="Times New Roman"/>
                      <w:color w:val="auto"/>
                      <w:sz w:val="21"/>
                      <w:szCs w:val="21"/>
                      <w:highlight w:val="none"/>
                      <w:lang w:eastAsia="zh-CN"/>
                    </w:rPr>
                    <w:t>地面进行防渗</w:t>
                  </w:r>
                  <w:r>
                    <w:rPr>
                      <w:rFonts w:hint="default" w:ascii="Times New Roman" w:hAnsi="Times New Roman" w:eastAsia="宋体"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lang w:eastAsia="zh-CN"/>
                    </w:rPr>
                    <w:t>定期交由有资质单位处置。</w:t>
                  </w:r>
                </w:p>
              </w:tc>
              <w:tc>
                <w:tcPr>
                  <w:tcW w:w="559" w:type="pct"/>
                  <w:noWrap w:val="0"/>
                  <w:vAlign w:val="center"/>
                </w:tcPr>
                <w:p w14:paraId="40E4CD76">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r w14:paraId="490C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noWrap w:val="0"/>
                  <w:vAlign w:val="center"/>
                </w:tcPr>
                <w:p w14:paraId="2E5025A2">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sz w:val="21"/>
                      <w:szCs w:val="21"/>
                      <w:highlight w:val="none"/>
                    </w:rPr>
                  </w:pPr>
                </w:p>
              </w:tc>
              <w:tc>
                <w:tcPr>
                  <w:tcW w:w="228" w:type="pct"/>
                  <w:vMerge w:val="continue"/>
                  <w:noWrap w:val="0"/>
                  <w:vAlign w:val="center"/>
                </w:tcPr>
                <w:p w14:paraId="6E23DD89">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p>
              </w:tc>
              <w:tc>
                <w:tcPr>
                  <w:tcW w:w="2258" w:type="pct"/>
                  <w:noWrap w:val="0"/>
                  <w:vAlign w:val="center"/>
                </w:tcPr>
                <w:p w14:paraId="6AAB29C8">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化企业环境风险防范设施设备建设和运行监管，制定突发环境事件应急预案，建立企业隐患排查整治常态化监管机制，加强企业环境应急预案与园区综合环境应急预案的衔接，加强区域应急物资调配管理，组织园区范围内的环境安全隐患排查应急培训和演练，构建区域环境风险联控机制。</w:t>
                  </w:r>
                </w:p>
              </w:tc>
              <w:tc>
                <w:tcPr>
                  <w:tcW w:w="1688" w:type="pct"/>
                  <w:noWrap w:val="0"/>
                  <w:vAlign w:val="center"/>
                </w:tcPr>
                <w:p w14:paraId="1CD138A4">
                  <w:pPr>
                    <w:keepNext w:val="0"/>
                    <w:keepLines w:val="0"/>
                    <w:pageBreakBefore w:val="0"/>
                    <w:kinsoku/>
                    <w:wordWrap/>
                    <w:overflowPunct/>
                    <w:topLinePunct/>
                    <w:autoSpaceDE w:val="0"/>
                    <w:autoSpaceDN/>
                    <w:bidi w:val="0"/>
                    <w:spacing w:line="240" w:lineRule="auto"/>
                    <w:ind w:firstLine="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项目建成投产后及时制定</w:t>
                  </w:r>
                  <w:r>
                    <w:rPr>
                      <w:rFonts w:hint="default" w:ascii="Times New Roman" w:hAnsi="Times New Roman" w:eastAsia="宋体" w:cs="Times New Roman"/>
                      <w:color w:val="auto"/>
                      <w:sz w:val="21"/>
                      <w:szCs w:val="21"/>
                      <w:highlight w:val="none"/>
                    </w:rPr>
                    <w:t>突发环境事件应急预案</w:t>
                  </w:r>
                  <w:r>
                    <w:rPr>
                      <w:rFonts w:hint="default" w:ascii="Times New Roman" w:hAnsi="Times New Roman" w:eastAsia="宋体" w:cs="Times New Roman"/>
                      <w:color w:val="auto"/>
                      <w:sz w:val="21"/>
                      <w:szCs w:val="21"/>
                      <w:highlight w:val="none"/>
                      <w:lang w:eastAsia="zh-CN"/>
                    </w:rPr>
                    <w:t>，并到生态环境部门备案，定期进行应急演练。</w:t>
                  </w:r>
                </w:p>
              </w:tc>
              <w:tc>
                <w:tcPr>
                  <w:tcW w:w="559" w:type="pct"/>
                  <w:noWrap w:val="0"/>
                  <w:vAlign w:val="center"/>
                </w:tcPr>
                <w:p w14:paraId="430CA52A">
                  <w:pPr>
                    <w:keepNext w:val="0"/>
                    <w:keepLines w:val="0"/>
                    <w:pageBreakBefore w:val="0"/>
                    <w:kinsoku/>
                    <w:wordWrap/>
                    <w:overflowPunct/>
                    <w:topLinePunct/>
                    <w:autoSpaceDE w:val="0"/>
                    <w:autoSpaceDN/>
                    <w:bidi w:val="0"/>
                    <w:spacing w:line="240" w:lineRule="auto"/>
                    <w:ind w:firstLine="0"/>
                    <w:jc w:val="center"/>
                    <w:textAlignment w:val="auto"/>
                    <w:rPr>
                      <w:rFonts w:hint="default" w:ascii="Times New Roman" w:hAnsi="Times New Roman" w:eastAsia="宋体" w:cs="Times New Roman"/>
                      <w:color w:val="auto"/>
                      <w:kern w:val="1"/>
                      <w:sz w:val="21"/>
                      <w:szCs w:val="21"/>
                      <w:highlight w:val="none"/>
                      <w:lang w:eastAsia="zh-CN"/>
                    </w:rPr>
                  </w:pPr>
                  <w:r>
                    <w:rPr>
                      <w:rFonts w:hint="default" w:ascii="Times New Roman" w:hAnsi="Times New Roman" w:eastAsia="宋体" w:cs="Times New Roman"/>
                      <w:color w:val="auto"/>
                      <w:kern w:val="1"/>
                      <w:sz w:val="21"/>
                      <w:szCs w:val="21"/>
                      <w:highlight w:val="none"/>
                      <w:lang w:eastAsia="zh-CN"/>
                    </w:rPr>
                    <w:t>符合</w:t>
                  </w:r>
                </w:p>
              </w:tc>
            </w:tr>
          </w:tbl>
          <w:p w14:paraId="044526FF">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根据上表可知，本项目建设符合《云南易门产业园区总体规划（修编）（2021-2035）环境影响报告书》入驻项目</w:t>
            </w:r>
            <w:r>
              <w:rPr>
                <w:rFonts w:hint="default" w:ascii="Times New Roman" w:hAnsi="Times New Roman" w:eastAsia="宋体" w:cs="Times New Roman"/>
                <w:color w:val="auto"/>
                <w:sz w:val="24"/>
                <w:szCs w:val="24"/>
                <w:highlight w:val="none"/>
                <w:lang w:eastAsia="zh-CN"/>
              </w:rPr>
              <w:t>相关</w:t>
            </w:r>
            <w:r>
              <w:rPr>
                <w:rFonts w:hint="default" w:ascii="Times New Roman" w:hAnsi="Times New Roman" w:eastAsia="宋体" w:cs="Times New Roman"/>
                <w:color w:val="auto"/>
                <w:sz w:val="24"/>
                <w:szCs w:val="24"/>
                <w:highlight w:val="none"/>
              </w:rPr>
              <w:t>要求。</w:t>
            </w:r>
          </w:p>
          <w:p w14:paraId="2369C3C1">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规划环评审查意见符合性分析</w:t>
            </w:r>
          </w:p>
          <w:p w14:paraId="6C6C760A">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根据“玉溪市生态环境局关于《云南易门产业园区总体规划（修编）（2021-2035）环境影响报告书》审查意见的函（玉市环函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32号）”内容，结合本项目规划建设情况，本项目与规划环评符合性分析见</w:t>
            </w:r>
            <w:r>
              <w:rPr>
                <w:rFonts w:hint="default" w:ascii="Times New Roman" w:hAnsi="Times New Roman" w:eastAsia="宋体" w:cs="Times New Roman"/>
                <w:color w:val="auto"/>
                <w:sz w:val="24"/>
                <w:szCs w:val="24"/>
                <w:highlight w:val="none"/>
                <w:lang w:eastAsia="zh-CN"/>
              </w:rPr>
              <w:t>下表</w:t>
            </w:r>
            <w:r>
              <w:rPr>
                <w:rFonts w:hint="default" w:ascii="Times New Roman" w:hAnsi="Times New Roman" w:eastAsia="宋体" w:cs="Times New Roman"/>
                <w:color w:val="auto"/>
                <w:sz w:val="24"/>
                <w:szCs w:val="24"/>
                <w:highlight w:val="none"/>
              </w:rPr>
              <w:t>。</w:t>
            </w:r>
          </w:p>
          <w:p w14:paraId="01C0DD7E">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rPr>
            </w:pPr>
            <w:bookmarkStart w:id="3" w:name="_Ref10152"/>
            <w:r>
              <w:rPr>
                <w:rFonts w:hint="default" w:ascii="Times New Roman" w:hAnsi="Times New Roman" w:eastAsia="宋体" w:cs="Times New Roman"/>
                <w:b/>
                <w:bCs/>
                <w:caps w:val="0"/>
                <w:smallCaps w:val="0"/>
                <w:color w:val="auto"/>
                <w:sz w:val="21"/>
                <w:szCs w:val="21"/>
                <w:highlight w:val="none"/>
              </w:rPr>
              <w:t>表</w:t>
            </w:r>
            <w:bookmarkEnd w:id="3"/>
            <w:r>
              <w:rPr>
                <w:rFonts w:hint="default" w:ascii="Times New Roman" w:hAnsi="Times New Roman" w:eastAsia="宋体" w:cs="Times New Roman"/>
                <w:b/>
                <w:bCs/>
                <w:caps w:val="0"/>
                <w:smallCaps w:val="0"/>
                <w:color w:val="auto"/>
                <w:sz w:val="21"/>
                <w:szCs w:val="21"/>
                <w:highlight w:val="none"/>
                <w:lang w:val="en-US" w:eastAsia="zh-CN"/>
              </w:rPr>
              <w:t xml:space="preserve">1-3 </w:t>
            </w:r>
            <w:r>
              <w:rPr>
                <w:rFonts w:hint="default" w:ascii="Times New Roman" w:hAnsi="Times New Roman" w:eastAsia="宋体" w:cs="Times New Roman"/>
                <w:b/>
                <w:caps w:val="0"/>
                <w:smallCaps w:val="0"/>
                <w:color w:val="auto"/>
                <w:sz w:val="21"/>
                <w:szCs w:val="21"/>
                <w:highlight w:val="none"/>
              </w:rPr>
              <w:t xml:space="preserve"> 项目建设与规划环评</w:t>
            </w:r>
            <w:r>
              <w:rPr>
                <w:rFonts w:hint="default" w:ascii="Times New Roman" w:hAnsi="Times New Roman" w:eastAsia="宋体" w:cs="Times New Roman"/>
                <w:b/>
                <w:caps w:val="0"/>
                <w:smallCaps w:val="0"/>
                <w:color w:val="auto"/>
                <w:sz w:val="21"/>
                <w:szCs w:val="21"/>
                <w:highlight w:val="none"/>
                <w:lang w:val="en-US" w:eastAsia="zh-CN"/>
              </w:rPr>
              <w:t>审查意见</w:t>
            </w:r>
            <w:r>
              <w:rPr>
                <w:rFonts w:hint="default" w:ascii="Times New Roman" w:hAnsi="Times New Roman" w:eastAsia="宋体" w:cs="Times New Roman"/>
                <w:b/>
                <w:caps w:val="0"/>
                <w:smallCaps w:val="0"/>
                <w:color w:val="auto"/>
                <w:sz w:val="21"/>
                <w:szCs w:val="21"/>
                <w:highlight w:val="none"/>
              </w:rPr>
              <w:t>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20"/>
              <w:gridCol w:w="2663"/>
              <w:gridCol w:w="1867"/>
              <w:gridCol w:w="732"/>
            </w:tblGrid>
            <w:tr w14:paraId="4187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37" w:type="pct"/>
                  <w:gridSpan w:val="3"/>
                  <w:noWrap w:val="0"/>
                  <w:vAlign w:val="center"/>
                </w:tcPr>
                <w:p w14:paraId="2E913B20">
                  <w:pPr>
                    <w:keepNext w:val="0"/>
                    <w:keepLines w:val="0"/>
                    <w:pageBreakBefore w:val="0"/>
                    <w:kinsoku/>
                    <w:overflowPunct/>
                    <w:topLinePunct/>
                    <w:autoSpaceDE w:val="0"/>
                    <w:bidi w:val="0"/>
                    <w:jc w:val="center"/>
                    <w:rPr>
                      <w:rFonts w:hint="default" w:ascii="Times New Roman" w:hAnsi="Times New Roman" w:eastAsia="宋体" w:cs="Times New Roman"/>
                      <w:b/>
                      <w:bCs/>
                      <w:color w:val="auto"/>
                      <w:kern w:val="1"/>
                      <w:sz w:val="21"/>
                      <w:szCs w:val="21"/>
                      <w:highlight w:val="none"/>
                    </w:rPr>
                  </w:pPr>
                  <w:r>
                    <w:rPr>
                      <w:rFonts w:hint="default" w:ascii="Times New Roman" w:hAnsi="Times New Roman" w:eastAsia="宋体" w:cs="Times New Roman"/>
                      <w:b/>
                      <w:bCs/>
                      <w:color w:val="auto"/>
                      <w:kern w:val="1"/>
                      <w:sz w:val="21"/>
                      <w:szCs w:val="21"/>
                      <w:highlight w:val="none"/>
                    </w:rPr>
                    <w:t>规划环评审查意见要求</w:t>
                  </w:r>
                </w:p>
              </w:tc>
              <w:tc>
                <w:tcPr>
                  <w:tcW w:w="1409" w:type="pct"/>
                  <w:noWrap w:val="0"/>
                  <w:vAlign w:val="center"/>
                </w:tcPr>
                <w:p w14:paraId="31DBCA26">
                  <w:pPr>
                    <w:keepNext w:val="0"/>
                    <w:keepLines w:val="0"/>
                    <w:pageBreakBefore w:val="0"/>
                    <w:kinsoku/>
                    <w:overflowPunct/>
                    <w:topLinePunct/>
                    <w:autoSpaceDE w:val="0"/>
                    <w:bidi w:val="0"/>
                    <w:jc w:val="center"/>
                    <w:rPr>
                      <w:rFonts w:hint="default" w:ascii="Times New Roman" w:hAnsi="Times New Roman" w:eastAsia="宋体" w:cs="Times New Roman"/>
                      <w:b/>
                      <w:bCs/>
                      <w:color w:val="auto"/>
                      <w:kern w:val="1"/>
                      <w:sz w:val="21"/>
                      <w:szCs w:val="21"/>
                      <w:highlight w:val="none"/>
                    </w:rPr>
                  </w:pPr>
                  <w:r>
                    <w:rPr>
                      <w:rFonts w:hint="default" w:ascii="Times New Roman" w:hAnsi="Times New Roman" w:eastAsia="宋体" w:cs="Times New Roman"/>
                      <w:b/>
                      <w:bCs/>
                      <w:color w:val="auto"/>
                      <w:kern w:val="1"/>
                      <w:sz w:val="21"/>
                      <w:szCs w:val="21"/>
                      <w:highlight w:val="none"/>
                    </w:rPr>
                    <w:t>本项目情况</w:t>
                  </w:r>
                </w:p>
              </w:tc>
              <w:tc>
                <w:tcPr>
                  <w:tcW w:w="552" w:type="pct"/>
                  <w:noWrap w:val="0"/>
                  <w:vAlign w:val="center"/>
                </w:tcPr>
                <w:p w14:paraId="3BE8E2BD">
                  <w:pPr>
                    <w:keepNext w:val="0"/>
                    <w:keepLines w:val="0"/>
                    <w:pageBreakBefore w:val="0"/>
                    <w:kinsoku/>
                    <w:overflowPunct/>
                    <w:topLinePunct/>
                    <w:autoSpaceDE w:val="0"/>
                    <w:bidi w:val="0"/>
                    <w:jc w:val="center"/>
                    <w:rPr>
                      <w:rFonts w:hint="default" w:ascii="Times New Roman" w:hAnsi="Times New Roman" w:eastAsia="宋体" w:cs="Times New Roman"/>
                      <w:b/>
                      <w:bCs/>
                      <w:color w:val="auto"/>
                      <w:kern w:val="1"/>
                      <w:sz w:val="21"/>
                      <w:szCs w:val="21"/>
                      <w:highlight w:val="none"/>
                      <w:lang w:val="en-US" w:eastAsia="zh-CN"/>
                    </w:rPr>
                  </w:pPr>
                  <w:r>
                    <w:rPr>
                      <w:rFonts w:hint="default" w:ascii="Times New Roman" w:hAnsi="Times New Roman" w:eastAsia="宋体" w:cs="Times New Roman"/>
                      <w:b/>
                      <w:bCs/>
                      <w:color w:val="auto"/>
                      <w:kern w:val="1"/>
                      <w:sz w:val="21"/>
                      <w:szCs w:val="21"/>
                      <w:highlight w:val="none"/>
                      <w:lang w:val="en-US" w:eastAsia="zh-CN"/>
                    </w:rPr>
                    <w:t>符合性</w:t>
                  </w:r>
                </w:p>
              </w:tc>
            </w:tr>
            <w:tr w14:paraId="1208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restart"/>
                  <w:noWrap w:val="0"/>
                  <w:vAlign w:val="center"/>
                </w:tcPr>
                <w:p w14:paraId="0A5E66F2">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《规划》优化调整和实施过程中的意见建议</w:t>
                  </w:r>
                </w:p>
              </w:tc>
              <w:tc>
                <w:tcPr>
                  <w:tcW w:w="619" w:type="pct"/>
                  <w:noWrap w:val="0"/>
                  <w:vAlign w:val="center"/>
                </w:tcPr>
                <w:p w14:paraId="2136B8DC">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（二）严格控制产业发展规模，合理安排开发时序。</w:t>
                  </w:r>
                </w:p>
              </w:tc>
              <w:tc>
                <w:tcPr>
                  <w:tcW w:w="2010" w:type="pct"/>
                  <w:noWrap w:val="0"/>
                  <w:vAlign w:val="center"/>
                </w:tcPr>
                <w:p w14:paraId="1EE24212">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根据资源环境禀赋条件、产业政策、能源双控、环境容量等要求，审慎论证规划产业规模；</w:t>
                  </w:r>
                  <w:r>
                    <w:rPr>
                      <w:rFonts w:hint="default" w:ascii="Times New Roman" w:hAnsi="Times New Roman" w:eastAsia="宋体" w:cs="Times New Roman"/>
                      <w:color w:val="auto"/>
                      <w:sz w:val="21"/>
                      <w:szCs w:val="21"/>
                      <w:highlight w:val="none"/>
                    </w:rPr>
                    <w:t>实施“雨污分流”，加强建设初期雨水收集处理系统，加强园区企业废水的</w:t>
                  </w:r>
                  <w:r>
                    <w:rPr>
                      <w:rFonts w:hint="default" w:ascii="Times New Roman" w:hAnsi="Times New Roman" w:eastAsia="宋体" w:cs="Times New Roman"/>
                      <w:color w:val="auto"/>
                      <w:sz w:val="21"/>
                      <w:szCs w:val="21"/>
                      <w:highlight w:val="none"/>
                      <w:lang w:eastAsia="zh-CN"/>
                    </w:rPr>
                    <w:t>梯级</w:t>
                  </w:r>
                  <w:r>
                    <w:rPr>
                      <w:rFonts w:hint="default" w:ascii="Times New Roman" w:hAnsi="Times New Roman" w:eastAsia="宋体" w:cs="Times New Roman"/>
                      <w:color w:val="auto"/>
                      <w:sz w:val="21"/>
                      <w:szCs w:val="21"/>
                      <w:highlight w:val="none"/>
                    </w:rPr>
                    <w:t>利用</w:t>
                  </w:r>
                  <w:r>
                    <w:rPr>
                      <w:rFonts w:hint="default" w:ascii="Times New Roman" w:hAnsi="Times New Roman" w:eastAsia="宋体" w:cs="Times New Roman"/>
                      <w:color w:val="auto"/>
                      <w:sz w:val="21"/>
                      <w:szCs w:val="21"/>
                      <w:highlight w:val="none"/>
                      <w:lang w:eastAsia="zh-CN"/>
                    </w:rPr>
                    <w:t>，在</w:t>
                  </w:r>
                  <w:r>
                    <w:rPr>
                      <w:rFonts w:hint="default" w:ascii="Times New Roman" w:hAnsi="Times New Roman" w:eastAsia="宋体" w:cs="Times New Roman"/>
                      <w:color w:val="auto"/>
                      <w:sz w:val="21"/>
                      <w:szCs w:val="21"/>
                      <w:highlight w:val="none"/>
                    </w:rPr>
                    <w:t>区域水环境质量未达到水质目标前，除城镇污水处理厂入河排污口外，不再新设、改设或扩大排污口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结合水污染防治方案等实施相应的水环境质量改善工程，切实削减COD、氨氮等污染物，配合易门县相关部门，加强六街河、小山凹河、双龙河、三五大河、浦贝河、扒河等河道的水环境综合整治与生态修复工程，切实改善地表水环境质量。</w:t>
                  </w:r>
                </w:p>
              </w:tc>
              <w:tc>
                <w:tcPr>
                  <w:tcW w:w="1409" w:type="pct"/>
                  <w:noWrap w:val="0"/>
                  <w:vAlign w:val="center"/>
                </w:tcPr>
                <w:p w14:paraId="61008B4B">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项目实施雨污分流，</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项目不涉及新设、改设、扩大排污口。</w:t>
                  </w:r>
                </w:p>
              </w:tc>
              <w:tc>
                <w:tcPr>
                  <w:tcW w:w="552" w:type="pct"/>
                  <w:noWrap w:val="0"/>
                  <w:vAlign w:val="center"/>
                </w:tcPr>
                <w:p w14:paraId="0302A22E">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5E74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67FD86E5">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p>
              </w:tc>
              <w:tc>
                <w:tcPr>
                  <w:tcW w:w="619" w:type="pct"/>
                  <w:vMerge w:val="restart"/>
                  <w:noWrap w:val="0"/>
                  <w:vAlign w:val="center"/>
                </w:tcPr>
                <w:p w14:paraId="20396A54">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（三）进一步优化园区空间布局，加强空间管控，加大对环境敏感区的保护力度，严禁不符合管控要求的各类开发和建设活动</w:t>
                  </w:r>
                </w:p>
              </w:tc>
              <w:tc>
                <w:tcPr>
                  <w:tcW w:w="2010" w:type="pct"/>
                  <w:noWrap w:val="0"/>
                  <w:vAlign w:val="center"/>
                </w:tcPr>
                <w:p w14:paraId="75E8C495">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《规划》范围内的一般生态空间、公益林、基本农田等敏感区域，严格进行保护，原则上不进行开发建设</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14:paraId="35F1DA13">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项目</w:t>
                  </w:r>
                  <w:r>
                    <w:rPr>
                      <w:rFonts w:hint="default" w:ascii="Times New Roman" w:hAnsi="Times New Roman" w:eastAsia="宋体" w:cs="Times New Roman"/>
                      <w:color w:val="auto"/>
                      <w:kern w:val="1"/>
                      <w:sz w:val="21"/>
                      <w:szCs w:val="21"/>
                      <w:highlight w:val="none"/>
                      <w:lang w:val="en-US" w:eastAsia="zh-CN"/>
                    </w:rPr>
                    <w:t>用地</w:t>
                  </w:r>
                  <w:r>
                    <w:rPr>
                      <w:rFonts w:hint="default" w:ascii="Times New Roman" w:hAnsi="Times New Roman" w:eastAsia="宋体" w:cs="Times New Roman"/>
                      <w:color w:val="auto"/>
                      <w:kern w:val="1"/>
                      <w:sz w:val="21"/>
                      <w:szCs w:val="21"/>
                      <w:highlight w:val="none"/>
                      <w:lang w:eastAsia="zh-CN"/>
                    </w:rPr>
                    <w:t>不涉及</w:t>
                  </w:r>
                  <w:r>
                    <w:rPr>
                      <w:rFonts w:hint="default" w:ascii="Times New Roman" w:hAnsi="Times New Roman" w:eastAsia="宋体" w:cs="Times New Roman"/>
                      <w:color w:val="auto"/>
                      <w:kern w:val="1"/>
                      <w:sz w:val="21"/>
                      <w:szCs w:val="21"/>
                      <w:highlight w:val="none"/>
                    </w:rPr>
                    <w:t>《规划》</w:t>
                  </w:r>
                  <w:r>
                    <w:rPr>
                      <w:rFonts w:hint="default" w:ascii="Times New Roman" w:hAnsi="Times New Roman" w:eastAsia="宋体" w:cs="Times New Roman"/>
                      <w:color w:val="auto"/>
                      <w:sz w:val="21"/>
                      <w:szCs w:val="21"/>
                      <w:highlight w:val="none"/>
                    </w:rPr>
                    <w:t>范围内的一般生态空间、公益林、基本农田等敏感区域。</w:t>
                  </w:r>
                </w:p>
              </w:tc>
              <w:tc>
                <w:tcPr>
                  <w:tcW w:w="552" w:type="pct"/>
                  <w:noWrap w:val="0"/>
                  <w:vAlign w:val="center"/>
                </w:tcPr>
                <w:p w14:paraId="0E1D8B69">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1126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57A23A14">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p>
              </w:tc>
              <w:tc>
                <w:tcPr>
                  <w:tcW w:w="619" w:type="pct"/>
                  <w:vMerge w:val="continue"/>
                  <w:noWrap w:val="0"/>
                  <w:vAlign w:val="center"/>
                </w:tcPr>
                <w:p w14:paraId="4EC066D7">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69FBBD86">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六街片区紧邻易门县级翠柏自然保护区，应优化布局，企业与保护区须留出一定的缓冲距离。</w:t>
                  </w:r>
                </w:p>
              </w:tc>
              <w:tc>
                <w:tcPr>
                  <w:tcW w:w="1409" w:type="pct"/>
                  <w:noWrap w:val="0"/>
                  <w:vAlign w:val="center"/>
                </w:tcPr>
                <w:p w14:paraId="4F1C4416">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lang w:val="en-US" w:eastAsia="zh-CN"/>
                    </w:rPr>
                  </w:pPr>
                  <w:r>
                    <w:rPr>
                      <w:rFonts w:hint="eastAsia" w:cs="Times New Roman"/>
                      <w:color w:val="auto"/>
                      <w:kern w:val="1"/>
                      <w:sz w:val="21"/>
                      <w:szCs w:val="21"/>
                      <w:highlight w:val="none"/>
                      <w:lang w:val="en-US" w:eastAsia="zh-CN"/>
                    </w:rPr>
                    <w:t>根据叠图分析（附图8），项目</w:t>
                  </w:r>
                  <w:r>
                    <w:rPr>
                      <w:rFonts w:hint="default" w:ascii="Times New Roman" w:hAnsi="Times New Roman" w:eastAsia="宋体" w:cs="Times New Roman"/>
                      <w:color w:val="auto"/>
                      <w:kern w:val="1"/>
                      <w:sz w:val="21"/>
                      <w:szCs w:val="21"/>
                      <w:highlight w:val="none"/>
                      <w:lang w:val="en-US" w:eastAsia="zh-CN"/>
                    </w:rPr>
                    <w:t>距离翠柏保护区约</w:t>
                  </w:r>
                  <w:r>
                    <w:rPr>
                      <w:rFonts w:hint="eastAsia" w:cs="Times New Roman"/>
                      <w:color w:val="auto"/>
                      <w:kern w:val="1"/>
                      <w:sz w:val="21"/>
                      <w:szCs w:val="21"/>
                      <w:highlight w:val="none"/>
                      <w:lang w:val="en-US" w:eastAsia="zh-CN"/>
                    </w:rPr>
                    <w:t>3.6</w:t>
                  </w:r>
                  <w:r>
                    <w:rPr>
                      <w:rFonts w:hint="default" w:ascii="Times New Roman" w:hAnsi="Times New Roman" w:eastAsia="宋体" w:cs="Times New Roman"/>
                      <w:color w:val="auto"/>
                      <w:kern w:val="1"/>
                      <w:sz w:val="21"/>
                      <w:szCs w:val="21"/>
                      <w:highlight w:val="none"/>
                      <w:lang w:val="en-US" w:eastAsia="zh-CN"/>
                    </w:rPr>
                    <w:t>km</w:t>
                  </w:r>
                  <w:r>
                    <w:rPr>
                      <w:rFonts w:hint="eastAsia" w:cs="Times New Roman"/>
                      <w:color w:val="auto"/>
                      <w:kern w:val="1"/>
                      <w:sz w:val="21"/>
                      <w:szCs w:val="21"/>
                      <w:highlight w:val="none"/>
                      <w:lang w:val="en-US" w:eastAsia="zh-CN"/>
                    </w:rPr>
                    <w:t>。</w:t>
                  </w:r>
                </w:p>
              </w:tc>
              <w:tc>
                <w:tcPr>
                  <w:tcW w:w="552" w:type="pct"/>
                  <w:noWrap w:val="0"/>
                  <w:vAlign w:val="center"/>
                </w:tcPr>
                <w:p w14:paraId="27F9BF27">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4DAD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4A8E4207">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7B77A222">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2916CA3A">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园区内工业用地与人口密集区应合理设置绿化隔离带，留出必要的防护距离</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14:paraId="321E50AC">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1"/>
                      <w:sz w:val="21"/>
                      <w:szCs w:val="21"/>
                      <w:highlight w:val="none"/>
                    </w:rPr>
                    <w:t>项目位于</w:t>
                  </w:r>
                  <w:r>
                    <w:rPr>
                      <w:rFonts w:hint="default" w:ascii="Times New Roman" w:hAnsi="Times New Roman" w:eastAsia="宋体" w:cs="Times New Roman"/>
                      <w:color w:val="auto"/>
                      <w:sz w:val="21"/>
                      <w:szCs w:val="21"/>
                      <w:highlight w:val="none"/>
                      <w:lang w:val="en-US" w:eastAsia="zh-CN"/>
                    </w:rPr>
                    <w:t>麦子田片区</w:t>
                  </w:r>
                  <w:r>
                    <w:rPr>
                      <w:rFonts w:hint="default" w:ascii="Times New Roman" w:hAnsi="Times New Roman" w:eastAsia="宋体" w:cs="Times New Roman"/>
                      <w:color w:val="auto"/>
                      <w:kern w:val="1"/>
                      <w:sz w:val="21"/>
                      <w:szCs w:val="21"/>
                      <w:highlight w:val="none"/>
                    </w:rPr>
                    <w:t>，所在区域距离人口密集区距离较远。</w:t>
                  </w:r>
                </w:p>
              </w:tc>
              <w:tc>
                <w:tcPr>
                  <w:tcW w:w="552" w:type="pct"/>
                  <w:noWrap w:val="0"/>
                  <w:vAlign w:val="center"/>
                </w:tcPr>
                <w:p w14:paraId="23511171">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F12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415C085E">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4EE771E6">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3020B8AC">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园区按《云南省人民政府办公厅关于推动落后和低端低效产能退出的实施意见》（云政办发</w:t>
                  </w:r>
                  <w:r>
                    <w:rPr>
                      <w:rFonts w:hint="default" w:ascii="Times New Roman" w:hAnsi="Times New Roman" w:eastAsia="宋体" w:cs="Times New Roman"/>
                      <w:caps w:val="0"/>
                      <w:smallCaps w:val="0"/>
                      <w:color w:val="auto"/>
                      <w:sz w:val="21"/>
                      <w:szCs w:val="21"/>
                      <w:highlight w:val="none"/>
                    </w:rPr>
                    <w:t>〔20</w:t>
                  </w:r>
                  <w:r>
                    <w:rPr>
                      <w:rFonts w:hint="default" w:ascii="Times New Roman" w:hAnsi="Times New Roman" w:eastAsia="宋体" w:cs="Times New Roman"/>
                      <w:caps w:val="0"/>
                      <w:smallCaps w:val="0"/>
                      <w:color w:val="auto"/>
                      <w:sz w:val="21"/>
                      <w:szCs w:val="21"/>
                      <w:highlight w:val="none"/>
                      <w:lang w:val="en-US" w:eastAsia="zh-CN"/>
                    </w:rPr>
                    <w:t>22</w:t>
                  </w:r>
                  <w:r>
                    <w:rPr>
                      <w:rFonts w:hint="default" w:ascii="Times New Roman" w:hAnsi="Times New Roman" w:eastAsia="宋体" w:cs="Times New Roman"/>
                      <w:caps w:val="0"/>
                      <w:smallCaps w:val="0"/>
                      <w:color w:val="auto"/>
                      <w:sz w:val="21"/>
                      <w:szCs w:val="21"/>
                      <w:highlight w:val="none"/>
                    </w:rPr>
                    <w:t>〕</w:t>
                  </w:r>
                  <w:r>
                    <w:rPr>
                      <w:rFonts w:hint="default" w:ascii="Times New Roman" w:hAnsi="Times New Roman" w:eastAsia="宋体" w:cs="Times New Roman"/>
                      <w:caps w:val="0"/>
                      <w:smallCaps w:val="0"/>
                      <w:color w:val="auto"/>
                      <w:sz w:val="21"/>
                      <w:szCs w:val="21"/>
                      <w:highlight w:val="none"/>
                      <w:lang w:val="en-US" w:eastAsia="zh-CN"/>
                    </w:rPr>
                    <w:t>17号</w:t>
                  </w:r>
                  <w:r>
                    <w:rPr>
                      <w:rFonts w:hint="default" w:ascii="Times New Roman" w:hAnsi="Times New Roman" w:eastAsia="宋体" w:cs="Times New Roman"/>
                      <w:color w:val="auto"/>
                      <w:sz w:val="21"/>
                      <w:szCs w:val="21"/>
                      <w:highlight w:val="none"/>
                      <w:lang w:val="en-US" w:eastAsia="zh-CN"/>
                    </w:rPr>
                    <w:t>）相关要求，依法依规关停退出能耗、环保、质量、安全不达标和落后、过剩产能，分行业有序退出“限制类”产能；现有重污染企业要开展技术升级改造和环保设施提标改造；加强对各片区内及周边集中居住区等生活空间防护，确保园区产业布局与生态环境保护、人居环境安全相协调。</w:t>
                  </w:r>
                </w:p>
              </w:tc>
              <w:tc>
                <w:tcPr>
                  <w:tcW w:w="1409" w:type="pct"/>
                  <w:noWrap w:val="0"/>
                  <w:vAlign w:val="center"/>
                </w:tcPr>
                <w:p w14:paraId="7AA34390">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1"/>
                      <w:sz w:val="21"/>
                      <w:szCs w:val="21"/>
                      <w:highlight w:val="none"/>
                      <w:lang w:val="en-US" w:eastAsia="zh-CN"/>
                    </w:rPr>
                    <w:t>，</w:t>
                  </w:r>
                  <w:r>
                    <w:rPr>
                      <w:rFonts w:hint="eastAsia" w:cs="Times New Roman"/>
                      <w:color w:val="auto"/>
                      <w:sz w:val="21"/>
                      <w:szCs w:val="21"/>
                      <w:highlight w:val="none"/>
                      <w:lang w:val="en-US" w:eastAsia="zh-CN"/>
                    </w:rPr>
                    <w:t>符合园区产业定位</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1"/>
                      <w:sz w:val="21"/>
                      <w:szCs w:val="21"/>
                      <w:highlight w:val="none"/>
                      <w:lang w:val="en-US" w:eastAsia="zh-CN"/>
                    </w:rPr>
                    <w:t>不属于限制类项目，不属于重污染企业。</w:t>
                  </w:r>
                </w:p>
              </w:tc>
              <w:tc>
                <w:tcPr>
                  <w:tcW w:w="552" w:type="pct"/>
                  <w:noWrap w:val="0"/>
                  <w:vAlign w:val="center"/>
                </w:tcPr>
                <w:p w14:paraId="75B8579E">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1"/>
                      <w:sz w:val="21"/>
                      <w:szCs w:val="21"/>
                      <w:highlight w:val="none"/>
                    </w:rPr>
                    <w:t>符合</w:t>
                  </w:r>
                </w:p>
              </w:tc>
            </w:tr>
            <w:tr w14:paraId="5934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04C6E05B">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p>
              </w:tc>
              <w:tc>
                <w:tcPr>
                  <w:tcW w:w="619" w:type="pct"/>
                  <w:noWrap w:val="0"/>
                  <w:vAlign w:val="center"/>
                </w:tcPr>
                <w:p w14:paraId="7292DB3F">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（四）强化污染物排放总量管控</w:t>
                  </w:r>
                </w:p>
              </w:tc>
              <w:tc>
                <w:tcPr>
                  <w:tcW w:w="2010" w:type="pct"/>
                  <w:noWrap w:val="0"/>
                  <w:vAlign w:val="center"/>
                </w:tcPr>
                <w:p w14:paraId="3464765B">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根据国家和云南省污染防治规划和区域“三线一单”生态环境分区管控相关要求，落实园区污染减排措施和要求，采取有效措施减少</w:t>
                  </w:r>
                  <w:r>
                    <w:rPr>
                      <w:rFonts w:hint="default" w:ascii="Times New Roman" w:hAnsi="Times New Roman" w:eastAsia="宋体" w:cs="Times New Roman"/>
                      <w:color w:val="auto"/>
                      <w:sz w:val="21"/>
                      <w:szCs w:val="21"/>
                      <w:highlight w:val="none"/>
                      <w:lang w:eastAsia="zh-CN"/>
                    </w:rPr>
                    <w:t>重金属、</w:t>
                  </w: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rPr>
                    <w:t>挥发性有机物等特征污染物的排放量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推进挥发性有机物和氮氧化物协同治理，促进产业发展和生态环境保护相协调，新建、扩建金属冶炼项目大气污染物需满足超低排放要求，建材等“两高”项目实行主要污染物区域削减替代</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14:paraId="41495FE9">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lang w:val="en-US"/>
                    </w:rPr>
                  </w:pPr>
                  <w:r>
                    <w:rPr>
                      <w:rFonts w:hint="default" w:ascii="Times New Roman" w:hAnsi="Times New Roman" w:eastAsia="宋体" w:cs="Times New Roman"/>
                      <w:color w:val="auto"/>
                      <w:kern w:val="1"/>
                      <w:sz w:val="21"/>
                      <w:szCs w:val="21"/>
                      <w:highlight w:val="none"/>
                    </w:rPr>
                    <w:t>项目</w:t>
                  </w:r>
                  <w:r>
                    <w:rPr>
                      <w:rFonts w:hint="default" w:ascii="Times New Roman" w:hAnsi="Times New Roman" w:eastAsia="宋体" w:cs="Times New Roman"/>
                      <w:color w:val="auto"/>
                      <w:kern w:val="1"/>
                      <w:sz w:val="21"/>
                      <w:szCs w:val="21"/>
                      <w:highlight w:val="none"/>
                      <w:lang w:val="en-US" w:eastAsia="zh-CN"/>
                    </w:rPr>
                    <w:t>建设符合</w:t>
                  </w:r>
                  <w:r>
                    <w:rPr>
                      <w:rFonts w:hint="default" w:ascii="Times New Roman" w:hAnsi="Times New Roman" w:eastAsia="宋体" w:cs="Times New Roman"/>
                      <w:color w:val="auto"/>
                      <w:sz w:val="21"/>
                      <w:szCs w:val="21"/>
                      <w:highlight w:val="none"/>
                      <w:lang w:eastAsia="zh-CN"/>
                    </w:rPr>
                    <w:t>玉溪市</w:t>
                  </w:r>
                  <w:r>
                    <w:rPr>
                      <w:rFonts w:hint="default" w:ascii="Times New Roman" w:hAnsi="Times New Roman" w:eastAsia="宋体" w:cs="Times New Roman"/>
                      <w:color w:val="auto"/>
                      <w:sz w:val="21"/>
                      <w:szCs w:val="21"/>
                      <w:highlight w:val="none"/>
                    </w:rPr>
                    <w:t>“三线一单”生态环境分区管控相关要求</w:t>
                  </w:r>
                  <w:r>
                    <w:rPr>
                      <w:rFonts w:hint="default" w:ascii="Times New Roman" w:hAnsi="Times New Roman" w:eastAsia="宋体" w:cs="Times New Roman"/>
                      <w:color w:val="auto"/>
                      <w:kern w:val="1"/>
                      <w:sz w:val="21"/>
                      <w:szCs w:val="21"/>
                      <w:highlight w:val="none"/>
                      <w:lang w:val="en-US" w:eastAsia="zh-CN"/>
                    </w:rPr>
                    <w:t>，采取布袋除尘减少颗粒物排放量，采取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bidi="zh-CN"/>
                    </w:rPr>
                    <w:t>三级</w:t>
                  </w:r>
                  <w:r>
                    <w:rPr>
                      <w:rFonts w:hint="default" w:ascii="Times New Roman" w:hAnsi="Times New Roman" w:eastAsia="宋体" w:cs="Times New Roman"/>
                      <w:color w:val="auto"/>
                      <w:sz w:val="21"/>
                      <w:szCs w:val="21"/>
                      <w:highlight w:val="none"/>
                    </w:rPr>
                    <w:t>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kern w:val="1"/>
                      <w:sz w:val="21"/>
                      <w:szCs w:val="21"/>
                      <w:highlight w:val="none"/>
                      <w:lang w:val="en-US" w:eastAsia="zh-CN"/>
                    </w:rPr>
                    <w:t>减少挥发性有机物的排放量；项目不属于冶炼及“两高”项目，不涉及区域削减。</w:t>
                  </w:r>
                </w:p>
              </w:tc>
              <w:tc>
                <w:tcPr>
                  <w:tcW w:w="552" w:type="pct"/>
                  <w:noWrap w:val="0"/>
                  <w:vAlign w:val="center"/>
                </w:tcPr>
                <w:p w14:paraId="4AA8D449">
                  <w:pPr>
                    <w:keepNext w:val="0"/>
                    <w:keepLines w:val="0"/>
                    <w:pageBreakBefore w:val="0"/>
                    <w:kinsoku/>
                    <w:overflowPunct/>
                    <w:topLinePunct/>
                    <w:autoSpaceDE w:val="0"/>
                    <w:bidi w:val="0"/>
                    <w:jc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color w:val="auto"/>
                      <w:kern w:val="1"/>
                      <w:sz w:val="21"/>
                      <w:szCs w:val="21"/>
                      <w:highlight w:val="none"/>
                    </w:rPr>
                    <w:t>符合</w:t>
                  </w:r>
                </w:p>
              </w:tc>
            </w:tr>
            <w:tr w14:paraId="1221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3A89574A">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restart"/>
                  <w:noWrap w:val="0"/>
                  <w:vAlign w:val="center"/>
                </w:tcPr>
                <w:p w14:paraId="63EE88DB">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（五）严守环境质量底线，严格片区环境管控</w:t>
                  </w:r>
                </w:p>
              </w:tc>
              <w:tc>
                <w:tcPr>
                  <w:tcW w:w="2010" w:type="pct"/>
                  <w:noWrap w:val="0"/>
                  <w:vAlign w:val="center"/>
                </w:tcPr>
                <w:p w14:paraId="33EBCB5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根据“三线一单”、国家和云南省有关大气污染防治的相关要求，严格执行园区大气污染物总量管控要求，合理确定产业规模、布局、建设时序；</w:t>
                  </w:r>
                </w:p>
              </w:tc>
              <w:tc>
                <w:tcPr>
                  <w:tcW w:w="1409" w:type="pct"/>
                  <w:noWrap w:val="0"/>
                  <w:vAlign w:val="center"/>
                </w:tcPr>
                <w:p w14:paraId="155561B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项目严格按照“三线一单”等要求执行园区大气污染物总量管控要求，合理确定产业规模、布局、建设时序。</w:t>
                  </w:r>
                </w:p>
              </w:tc>
              <w:tc>
                <w:tcPr>
                  <w:tcW w:w="552" w:type="pct"/>
                  <w:noWrap w:val="0"/>
                  <w:vAlign w:val="center"/>
                </w:tcPr>
                <w:p w14:paraId="2B9B2E37">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208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66838588">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23654890">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2FD1C263">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入园企业采用先进的生产工艺路线、装备、清洁能源与原料，从源头上控制污染物的产生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r>
                    <w:rPr>
                      <w:rFonts w:hint="default" w:ascii="Times New Roman" w:hAnsi="Times New Roman" w:eastAsia="宋体" w:cs="Times New Roman"/>
                      <w:color w:val="auto"/>
                      <w:sz w:val="21"/>
                      <w:szCs w:val="21"/>
                      <w:highlight w:val="none"/>
                      <w:lang w:eastAsia="zh-CN"/>
                    </w:rPr>
                    <w:t>。</w:t>
                  </w:r>
                </w:p>
              </w:tc>
              <w:tc>
                <w:tcPr>
                  <w:tcW w:w="1409" w:type="pct"/>
                  <w:noWrap w:val="0"/>
                  <w:vAlign w:val="center"/>
                </w:tcPr>
                <w:p w14:paraId="000F936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本项目采取的废气治理措施属于可行技术，颗粒物采用布袋除尘，挥发性有机物采用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bidi="zh-CN"/>
                    </w:rPr>
                    <w:t>三级</w:t>
                  </w:r>
                  <w:r>
                    <w:rPr>
                      <w:rFonts w:hint="default" w:ascii="Times New Roman" w:hAnsi="Times New Roman" w:eastAsia="宋体" w:cs="Times New Roman"/>
                      <w:color w:val="auto"/>
                      <w:sz w:val="21"/>
                      <w:szCs w:val="21"/>
                      <w:highlight w:val="none"/>
                    </w:rPr>
                    <w:t>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，生产过程使用电等清洁能源。</w:t>
                  </w:r>
                </w:p>
              </w:tc>
              <w:tc>
                <w:tcPr>
                  <w:tcW w:w="552" w:type="pct"/>
                  <w:noWrap w:val="0"/>
                  <w:vAlign w:val="center"/>
                </w:tcPr>
                <w:p w14:paraId="0562AFDA">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60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4A2AED8D">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17809ECA">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547F890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重视园区废水收集、处理、回用的环境管理，实施“雨污分流”，加快各片区污水管网、回用管网的建设，结合区域的建设时序适时建设污水处理厂、再生水处理设施，区域河流纳污容量有限，确保受纳水体水质满足环境功能要求。</w:t>
                  </w:r>
                </w:p>
              </w:tc>
              <w:tc>
                <w:tcPr>
                  <w:tcW w:w="1409" w:type="pct"/>
                  <w:noWrap w:val="0"/>
                  <w:vAlign w:val="center"/>
                </w:tcPr>
                <w:p w14:paraId="3C18F0DD">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项目实行雨污分流，</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lang w:val="en-US" w:eastAsia="zh-CN"/>
                    </w:rPr>
                    <w:t>，不直接排入水体。</w:t>
                  </w:r>
                </w:p>
              </w:tc>
              <w:tc>
                <w:tcPr>
                  <w:tcW w:w="552" w:type="pct"/>
                  <w:noWrap w:val="0"/>
                  <w:vAlign w:val="center"/>
                </w:tcPr>
                <w:p w14:paraId="55815261">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6D6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4EB61416">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57075CD3">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441498B8">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园区产业布局和项目建设时应充分考虑对地下水环境的影响，优化布局，严格水文地质、工程地质勘察，合理规避地下暗河及溶岩发育区，做好地下水污染防治和监控，按相关规范要求采取针对性防渗措施，确保区域地下水环境安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严格执行《地下水管理条例》中相关规定，在泉域保护范围以及岩溶强发育、存在较多落水洞和岩溶漏斗的区域内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不得新建、改建、扩建可能造成地下水污染的建设项目。</w:t>
                  </w:r>
                </w:p>
              </w:tc>
              <w:tc>
                <w:tcPr>
                  <w:tcW w:w="1409" w:type="pct"/>
                  <w:noWrap w:val="0"/>
                  <w:vAlign w:val="center"/>
                </w:tcPr>
                <w:p w14:paraId="13C3F35E">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项目所在区域不属于</w:t>
                  </w:r>
                  <w:r>
                    <w:rPr>
                      <w:rFonts w:hint="default" w:ascii="Times New Roman" w:hAnsi="Times New Roman" w:eastAsia="宋体" w:cs="Times New Roman"/>
                      <w:color w:val="auto"/>
                      <w:sz w:val="21"/>
                      <w:szCs w:val="21"/>
                      <w:highlight w:val="none"/>
                    </w:rPr>
                    <w:t>泉域保护范围以及岩溶强发育、存在较多落水洞和岩溶漏斗的区域内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生产车间采取地面硬化及环氧树脂漆涂刷。</w:t>
                  </w:r>
                </w:p>
              </w:tc>
              <w:tc>
                <w:tcPr>
                  <w:tcW w:w="552" w:type="pct"/>
                  <w:noWrap w:val="0"/>
                  <w:vAlign w:val="center"/>
                </w:tcPr>
                <w:p w14:paraId="7A015301">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616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5103D7F2">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vMerge w:val="continue"/>
                  <w:noWrap w:val="0"/>
                  <w:vAlign w:val="center"/>
                </w:tcPr>
                <w:p w14:paraId="4597D7F4">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2010" w:type="pct"/>
                  <w:noWrap w:val="0"/>
                  <w:vAlign w:val="center"/>
                </w:tcPr>
                <w:p w14:paraId="71F13F47">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将土壤污染防治工作纳入园区规划及相关环境保护规划，采取有效预防措施，防止、减少土壤污染，确保满足土壤环境管控要求。入园企业产生的危险废物按照规定严格管控，积极推进工业固体废物综合利用。</w:t>
                  </w:r>
                </w:p>
              </w:tc>
              <w:tc>
                <w:tcPr>
                  <w:tcW w:w="1409" w:type="pct"/>
                  <w:noWrap w:val="0"/>
                  <w:vAlign w:val="center"/>
                </w:tcPr>
                <w:p w14:paraId="2143E762">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本项目危险废物需收集于</w:t>
                  </w:r>
                  <w:r>
                    <w:rPr>
                      <w:rFonts w:hint="eastAsia"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eastAsia="zh-CN"/>
                    </w:rPr>
                    <w:t>危险废物贮存库</w:t>
                  </w:r>
                  <w:r>
                    <w:rPr>
                      <w:rFonts w:hint="default" w:ascii="Times New Roman" w:hAnsi="Times New Roman" w:eastAsia="宋体" w:cs="Times New Roman"/>
                      <w:color w:val="auto"/>
                      <w:sz w:val="21"/>
                      <w:szCs w:val="21"/>
                      <w:highlight w:val="none"/>
                      <w:lang w:eastAsia="zh-CN"/>
                    </w:rPr>
                    <w:t>地面</w:t>
                  </w:r>
                  <w:r>
                    <w:rPr>
                      <w:rFonts w:hint="default" w:ascii="Times New Roman" w:hAnsi="Times New Roman" w:eastAsia="宋体" w:cs="Times New Roman"/>
                      <w:color w:val="auto"/>
                      <w:sz w:val="21"/>
                      <w:szCs w:val="21"/>
                      <w:highlight w:val="none"/>
                      <w:lang w:val="en-US" w:eastAsia="zh-CN"/>
                    </w:rPr>
                    <w:t>根据要求进行</w:t>
                  </w:r>
                  <w:r>
                    <w:rPr>
                      <w:rFonts w:hint="default" w:ascii="Times New Roman" w:hAnsi="Times New Roman" w:eastAsia="宋体" w:cs="Times New Roman"/>
                      <w:color w:val="auto"/>
                      <w:sz w:val="21"/>
                      <w:szCs w:val="21"/>
                      <w:highlight w:val="none"/>
                      <w:lang w:eastAsia="zh-CN"/>
                    </w:rPr>
                    <w:t>防渗，</w:t>
                  </w:r>
                  <w:r>
                    <w:rPr>
                      <w:rFonts w:hint="default" w:ascii="Times New Roman" w:hAnsi="Times New Roman" w:eastAsia="宋体" w:cs="Times New Roman"/>
                      <w:color w:val="auto"/>
                      <w:sz w:val="21"/>
                      <w:szCs w:val="21"/>
                      <w:highlight w:val="none"/>
                      <w:lang w:val="en-US" w:eastAsia="zh-CN"/>
                    </w:rPr>
                    <w:t>危险废物委托有资质单位进行清运处置。</w:t>
                  </w:r>
                </w:p>
              </w:tc>
              <w:tc>
                <w:tcPr>
                  <w:tcW w:w="552" w:type="pct"/>
                  <w:noWrap w:val="0"/>
                  <w:vAlign w:val="center"/>
                </w:tcPr>
                <w:p w14:paraId="7E06B7C5">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BF3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5016E8EC">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noWrap w:val="0"/>
                  <w:vAlign w:val="center"/>
                </w:tcPr>
                <w:p w14:paraId="0DF35DF6">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（六）严格执行环境准入要求，加强入园项目生态环境准入管理。</w:t>
                  </w:r>
                </w:p>
              </w:tc>
              <w:tc>
                <w:tcPr>
                  <w:tcW w:w="2010" w:type="pct"/>
                  <w:noWrap w:val="0"/>
                  <w:vAlign w:val="center"/>
                </w:tcPr>
                <w:p w14:paraId="27BFFC87">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落实蓝天、碧水、净土保卫战有关管控要求，加强“两高”行业生态环境源头防控，引进项目的生产工艺、设备、污染物排放和资源利用等，应达到清洁生产国内先进水平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推进技术研发型、创新型产业发展，提升产业的技术水平和园区的绿色低碳化水平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园区招商引资、入园项目环评审批应严格执行生态环境准入要求，要以园区的资源环境承载能力为基础，充分论证、有序发展，严禁引进工艺装备落后，不符合污染物排放总量控制要求的企业。</w:t>
                  </w:r>
                </w:p>
              </w:tc>
              <w:tc>
                <w:tcPr>
                  <w:tcW w:w="1409" w:type="pct"/>
                  <w:noWrap w:val="0"/>
                  <w:vAlign w:val="center"/>
                </w:tcPr>
                <w:p w14:paraId="07D5B9A4">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项目为</w:t>
                  </w:r>
                  <w:r>
                    <w:rPr>
                      <w:rFonts w:hint="default" w:ascii="Times New Roman" w:hAnsi="Times New Roman" w:eastAsia="宋体" w:cs="Times New Roman"/>
                      <w:color w:val="auto"/>
                      <w:sz w:val="21"/>
                      <w:szCs w:val="21"/>
                      <w:highlight w:val="none"/>
                    </w:rPr>
                    <w:t>园区招商引资</w:t>
                  </w:r>
                  <w:r>
                    <w:rPr>
                      <w:rFonts w:hint="default" w:ascii="Times New Roman" w:hAnsi="Times New Roman" w:eastAsia="宋体" w:cs="Times New Roman"/>
                      <w:color w:val="auto"/>
                      <w:sz w:val="21"/>
                      <w:szCs w:val="21"/>
                      <w:highlight w:val="none"/>
                      <w:lang w:val="en-US" w:eastAsia="zh-CN"/>
                    </w:rPr>
                    <w:t>项目，已取得相关投资协议及入园证明</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项目符合</w:t>
                  </w:r>
                  <w:r>
                    <w:rPr>
                      <w:rFonts w:hint="default" w:ascii="Times New Roman" w:hAnsi="Times New Roman" w:eastAsia="宋体" w:cs="Times New Roman"/>
                      <w:color w:val="auto"/>
                      <w:sz w:val="21"/>
                      <w:szCs w:val="21"/>
                      <w:highlight w:val="none"/>
                    </w:rPr>
                    <w:t>生态环境准入要求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1"/>
                      <w:sz w:val="21"/>
                      <w:szCs w:val="21"/>
                      <w:highlight w:val="none"/>
                      <w:lang w:val="en-US" w:eastAsia="zh-CN"/>
                    </w:rPr>
                    <w:t>项目不属于</w:t>
                  </w:r>
                  <w:r>
                    <w:rPr>
                      <w:rFonts w:hint="default" w:ascii="Times New Roman" w:hAnsi="Times New Roman" w:eastAsia="宋体" w:cs="Times New Roman"/>
                      <w:color w:val="auto"/>
                      <w:sz w:val="21"/>
                      <w:szCs w:val="21"/>
                      <w:highlight w:val="none"/>
                    </w:rPr>
                    <w:t>“两高”</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工艺装备</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落后工艺装备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1"/>
                      <w:sz w:val="21"/>
                      <w:szCs w:val="21"/>
                      <w:highlight w:val="none"/>
                      <w:lang w:val="en-US" w:eastAsia="zh-CN"/>
                    </w:rPr>
                    <w:t>污染物排放符合总量控制要求</w:t>
                  </w:r>
                  <w:r>
                    <w:rPr>
                      <w:rFonts w:hint="default" w:ascii="Times New Roman" w:hAnsi="Times New Roman" w:eastAsia="宋体" w:cs="Times New Roman"/>
                      <w:color w:val="auto"/>
                      <w:kern w:val="1"/>
                      <w:sz w:val="21"/>
                      <w:szCs w:val="21"/>
                      <w:highlight w:val="none"/>
                    </w:rPr>
                    <w:t>。</w:t>
                  </w:r>
                </w:p>
              </w:tc>
              <w:tc>
                <w:tcPr>
                  <w:tcW w:w="552" w:type="pct"/>
                  <w:noWrap w:val="0"/>
                  <w:vAlign w:val="center"/>
                </w:tcPr>
                <w:p w14:paraId="1B05DDAF">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421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Merge w:val="continue"/>
                  <w:noWrap w:val="0"/>
                  <w:vAlign w:val="center"/>
                </w:tcPr>
                <w:p w14:paraId="4A5C469A">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p>
              </w:tc>
              <w:tc>
                <w:tcPr>
                  <w:tcW w:w="619" w:type="pct"/>
                  <w:noWrap w:val="0"/>
                  <w:vAlign w:val="center"/>
                </w:tcPr>
                <w:p w14:paraId="38AD5C09">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建立健全区域环境风险防范和生态安全保障体系。</w:t>
                  </w:r>
                </w:p>
              </w:tc>
              <w:tc>
                <w:tcPr>
                  <w:tcW w:w="2010" w:type="pct"/>
                  <w:noWrap w:val="0"/>
                  <w:vAlign w:val="center"/>
                </w:tcPr>
                <w:p w14:paraId="2837E6B0">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加</w:t>
                  </w:r>
                  <w:r>
                    <w:rPr>
                      <w:rFonts w:hint="default" w:ascii="Times New Roman" w:hAnsi="Times New Roman" w:eastAsia="宋体" w:cs="Times New Roman"/>
                      <w:color w:val="auto"/>
                      <w:sz w:val="21"/>
                      <w:szCs w:val="21"/>
                      <w:highlight w:val="none"/>
                    </w:rPr>
                    <w:t>强园区内易导致环境风险的有毒有害和易燃易爆物质的生产、使用、贮运等管理，统筹考虑污染防治、生态恢复与建设、环境风险防范、环境管理等事宜</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强化园区危险化学品储运的环境风险管理，制定建立厂区、园区、区域三级防控措施，强化环境监测与预警能力建设、环境风险应急与防范措施，建立应急响应联动机制和风险防控体系并编制应急预案，防范环境风险，避免事故废水排入园区外水体，保障区域环境安全。</w:t>
                  </w:r>
                </w:p>
              </w:tc>
              <w:tc>
                <w:tcPr>
                  <w:tcW w:w="1409" w:type="pct"/>
                  <w:noWrap w:val="0"/>
                  <w:vAlign w:val="center"/>
                </w:tcPr>
                <w:p w14:paraId="1678A598">
                  <w:pPr>
                    <w:keepNext w:val="0"/>
                    <w:keepLines w:val="0"/>
                    <w:pageBreakBefore w:val="0"/>
                    <w:kinsoku/>
                    <w:overflowPunct/>
                    <w:topLinePunct/>
                    <w:autoSpaceDE w:val="0"/>
                    <w:bidi w:val="0"/>
                    <w:jc w:val="both"/>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rPr>
                    <w:t>环评</w:t>
                  </w:r>
                  <w:r>
                    <w:rPr>
                      <w:rFonts w:hint="default" w:ascii="Times New Roman" w:hAnsi="Times New Roman" w:eastAsia="宋体" w:cs="Times New Roman"/>
                      <w:color w:val="auto"/>
                      <w:kern w:val="0"/>
                      <w:sz w:val="21"/>
                      <w:szCs w:val="21"/>
                      <w:highlight w:val="none"/>
                      <w:lang w:eastAsia="zh-CN"/>
                    </w:rPr>
                    <w:t>要求</w:t>
                  </w:r>
                  <w:r>
                    <w:rPr>
                      <w:rFonts w:hint="default" w:ascii="Times New Roman" w:hAnsi="Times New Roman" w:eastAsia="宋体" w:cs="Times New Roman"/>
                      <w:color w:val="auto"/>
                      <w:kern w:val="0"/>
                      <w:sz w:val="21"/>
                      <w:szCs w:val="21"/>
                      <w:highlight w:val="none"/>
                    </w:rPr>
                    <w:t>建设单位后期制定编制突发环境事件应急预案，并完善风险管理机制。加强环境风险防控</w:t>
                  </w:r>
                  <w:r>
                    <w:rPr>
                      <w:rFonts w:hint="default" w:ascii="Times New Roman" w:hAnsi="Times New Roman" w:eastAsia="宋体" w:cs="Times New Roman"/>
                      <w:color w:val="auto"/>
                      <w:sz w:val="21"/>
                      <w:szCs w:val="21"/>
                      <w:highlight w:val="none"/>
                    </w:rPr>
                    <w:t>，避免事故废水排入园区外水体</w:t>
                  </w:r>
                  <w:r>
                    <w:rPr>
                      <w:rFonts w:hint="default" w:ascii="Times New Roman" w:hAnsi="Times New Roman" w:eastAsia="宋体" w:cs="Times New Roman"/>
                      <w:color w:val="auto"/>
                      <w:kern w:val="0"/>
                      <w:sz w:val="21"/>
                      <w:szCs w:val="21"/>
                      <w:highlight w:val="none"/>
                    </w:rPr>
                    <w:t>。</w:t>
                  </w:r>
                </w:p>
              </w:tc>
              <w:tc>
                <w:tcPr>
                  <w:tcW w:w="552" w:type="pct"/>
                  <w:noWrap w:val="0"/>
                  <w:vAlign w:val="center"/>
                </w:tcPr>
                <w:p w14:paraId="4839ABE2">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1ADA6C06">
            <w:pPr>
              <w:keepNext w:val="0"/>
              <w:keepLines w:val="0"/>
              <w:pageBreakBefore w:val="0"/>
              <w:widowControl w:val="0"/>
              <w:tabs>
                <w:tab w:val="left" w:pos="4200"/>
              </w:tabs>
              <w:kinsoku/>
              <w:wordWrap/>
              <w:overflowPunct/>
              <w:topLinePunct/>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综上所述，</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建设</w:t>
            </w:r>
            <w:r>
              <w:rPr>
                <w:rFonts w:hint="default" w:ascii="Times New Roman" w:hAnsi="Times New Roman" w:eastAsia="宋体" w:cs="Times New Roman"/>
                <w:color w:val="auto"/>
                <w:sz w:val="24"/>
                <w:szCs w:val="24"/>
                <w:highlight w:val="none"/>
              </w:rPr>
              <w:t>符合规划环评及审查意见要求</w:t>
            </w:r>
            <w:r>
              <w:rPr>
                <w:rFonts w:hint="default" w:ascii="Times New Roman" w:hAnsi="Times New Roman" w:eastAsia="宋体" w:cs="Times New Roman"/>
                <w:color w:val="auto"/>
                <w:kern w:val="1"/>
                <w:sz w:val="24"/>
                <w:highlight w:val="none"/>
              </w:rPr>
              <w:t>。</w:t>
            </w:r>
          </w:p>
        </w:tc>
      </w:tr>
      <w:tr w14:paraId="2A613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5" w:type="dxa"/>
            <w:vAlign w:val="center"/>
          </w:tcPr>
          <w:p w14:paraId="4279F9C9">
            <w:pPr>
              <w:keepNext w:val="0"/>
              <w:keepLines w:val="0"/>
              <w:pageBreakBefore w:val="0"/>
              <w:kinsoku/>
              <w:overflowPunct/>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6848" w:type="dxa"/>
            <w:gridSpan w:val="3"/>
            <w:vAlign w:val="top"/>
          </w:tcPr>
          <w:p w14:paraId="4501874A">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1.产业政策符合性分析</w:t>
            </w:r>
          </w:p>
          <w:p w14:paraId="451322E0">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本项目为水晶钻石生产项目，本项目主要进行烫钻生产，根据《国民经济行业分类》（GB/T4754-2017），本项目为C3059其他玻璃制品制造，对照</w:t>
            </w:r>
            <w:r>
              <w:rPr>
                <w:rFonts w:hint="eastAsia" w:cs="Times New Roman"/>
                <w:color w:val="auto"/>
                <w:sz w:val="24"/>
                <w:szCs w:val="24"/>
                <w:highlight w:val="none"/>
                <w:lang w:val="en-US" w:eastAsia="zh-CN"/>
              </w:rPr>
              <w:t>国家发展改革委</w:t>
            </w:r>
            <w:r>
              <w:rPr>
                <w:rFonts w:hint="default" w:ascii="Times New Roman" w:hAnsi="Times New Roman" w:eastAsia="宋体" w:cs="Times New Roman"/>
                <w:color w:val="auto"/>
                <w:sz w:val="24"/>
                <w:szCs w:val="24"/>
                <w:highlight w:val="none"/>
                <w:lang w:val="en-US" w:eastAsia="zh-CN"/>
              </w:rPr>
              <w:t>颁布的《产业结构调整指导目录（2024年本）》，本项目不属于规定的鼓励类、限制类和淘汰类生产项目，视为允许类</w:t>
            </w:r>
            <w:r>
              <w:rPr>
                <w:rFonts w:hint="eastAsia" w:cs="Times New Roman"/>
                <w:color w:val="auto"/>
                <w:sz w:val="24"/>
                <w:szCs w:val="24"/>
                <w:highlight w:val="none"/>
                <w:lang w:val="en-US" w:eastAsia="zh-CN"/>
              </w:rPr>
              <w:t>。项目于2025年</w:t>
            </w:r>
            <w:r>
              <w:rPr>
                <w:rFonts w:hint="default" w:ascii="Times New Roman" w:hAnsi="Times New Roman" w:eastAsia="宋体" w:cs="Times New Roman"/>
                <w:color w:val="auto"/>
                <w:sz w:val="24"/>
                <w:szCs w:val="24"/>
                <w:highlight w:val="none"/>
                <w:lang w:val="en-US" w:eastAsia="zh-CN"/>
              </w:rPr>
              <w:t>11月24日取得易门县发展和改革委员会关于项目投资备案（项目代码：2511-530425-04-01-346934）</w:t>
            </w:r>
            <w:r>
              <w:rPr>
                <w:rFonts w:hint="eastAsia" w:cs="Times New Roman"/>
                <w:color w:val="auto"/>
                <w:sz w:val="24"/>
                <w:szCs w:val="24"/>
                <w:highlight w:val="none"/>
                <w:lang w:val="en-US" w:eastAsia="zh-CN"/>
              </w:rPr>
              <w:t>；对照</w:t>
            </w:r>
            <w:r>
              <w:rPr>
                <w:rFonts w:hint="default" w:ascii="Times New Roman" w:hAnsi="Times New Roman" w:eastAsia="宋体" w:cs="Times New Roman"/>
                <w:color w:val="auto"/>
                <w:sz w:val="24"/>
                <w:szCs w:val="24"/>
                <w:highlight w:val="none"/>
                <w:lang w:val="en-US" w:eastAsia="zh-CN"/>
              </w:rPr>
              <w:t>《市场准入负面清单（2025年版）》（发改体改规〔2025〕466号）</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项目不属于</w:t>
            </w:r>
            <w:r>
              <w:rPr>
                <w:rFonts w:hint="eastAsia" w:cs="Times New Roman"/>
                <w:color w:val="auto"/>
                <w:sz w:val="24"/>
                <w:szCs w:val="24"/>
                <w:highlight w:val="none"/>
                <w:lang w:val="en-US" w:eastAsia="zh-CN"/>
              </w:rPr>
              <w:t>清单</w:t>
            </w:r>
            <w:r>
              <w:rPr>
                <w:rFonts w:hint="default" w:ascii="Times New Roman" w:hAnsi="Times New Roman" w:eastAsia="宋体" w:cs="Times New Roman"/>
                <w:color w:val="auto"/>
                <w:sz w:val="24"/>
                <w:szCs w:val="24"/>
                <w:highlight w:val="none"/>
                <w:lang w:val="en-US" w:eastAsia="zh-CN"/>
              </w:rPr>
              <w:t>中所列的</w:t>
            </w:r>
            <w:r>
              <w:rPr>
                <w:rFonts w:hint="eastAsia" w:cs="Times New Roman"/>
                <w:color w:val="auto"/>
                <w:sz w:val="24"/>
                <w:szCs w:val="24"/>
                <w:highlight w:val="none"/>
                <w:lang w:val="en-US" w:eastAsia="zh-CN"/>
              </w:rPr>
              <w:t>禁止准入类（</w:t>
            </w:r>
            <w:r>
              <w:rPr>
                <w:rFonts w:ascii="Segoe UI" w:hAnsi="Segoe UI" w:eastAsia="Segoe UI" w:cs="Segoe UI"/>
                <w:i w:val="0"/>
                <w:iCs w:val="0"/>
                <w:caps w:val="0"/>
                <w:color w:val="auto"/>
                <w:spacing w:val="0"/>
                <w:sz w:val="24"/>
                <w:szCs w:val="24"/>
                <w:shd w:val="clear" w:fill="FFFFFF"/>
              </w:rPr>
              <w:t>金融业务、新闻采编、危险品信息发布等</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也不属于制造业中</w:t>
            </w:r>
            <w:r>
              <w:rPr>
                <w:rFonts w:ascii="Segoe UI" w:hAnsi="Segoe UI" w:eastAsia="Segoe UI" w:cs="Segoe UI"/>
                <w:i w:val="0"/>
                <w:iCs w:val="0"/>
                <w:caps w:val="0"/>
                <w:color w:val="auto"/>
                <w:spacing w:val="0"/>
                <w:sz w:val="24"/>
                <w:szCs w:val="24"/>
                <w:shd w:val="clear" w:fill="FFFFFF"/>
              </w:rPr>
              <w:t>涉及</w:t>
            </w:r>
            <w:r>
              <w:rPr>
                <w:rFonts w:hint="default" w:ascii="Times New Roman" w:hAnsi="Times New Roman" w:eastAsia="宋体" w:cs="Times New Roman"/>
                <w:color w:val="auto"/>
                <w:kern w:val="1"/>
                <w:sz w:val="24"/>
                <w:szCs w:val="24"/>
                <w:highlight w:val="none"/>
                <w:lang w:val="en-US" w:eastAsia="zh-CN" w:bidi="ar-SA"/>
              </w:rPr>
              <w:t>重要工业产品生产许可（含建筑用钢筋、水泥、直接接触食品的材料等相关产品共计14类27种）</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需取得《重要工业产品生产许可证》</w:t>
            </w:r>
            <w:r>
              <w:rPr>
                <w:rFonts w:hint="eastAsia" w:ascii="Segoe UI" w:hAnsi="Segoe UI" w:eastAsia="宋体" w:cs="Segoe UI"/>
                <w:i w:val="0"/>
                <w:iCs w:val="0"/>
                <w:caps w:val="0"/>
                <w:color w:val="auto"/>
                <w:spacing w:val="0"/>
                <w:sz w:val="24"/>
                <w:szCs w:val="24"/>
                <w:shd w:val="clear" w:fill="FFFFFF"/>
                <w:lang w:val="en-US" w:eastAsia="zh-CN"/>
              </w:rPr>
              <w:t>的许可准入类</w:t>
            </w:r>
            <w:r>
              <w:rPr>
                <w:rFonts w:hint="eastAsia" w:cs="Times New Roman"/>
                <w:color w:val="auto"/>
                <w:sz w:val="24"/>
                <w:szCs w:val="24"/>
                <w:highlight w:val="none"/>
                <w:lang w:val="en-US" w:eastAsia="zh-CN"/>
              </w:rPr>
              <w:t>，项目属于</w:t>
            </w:r>
            <w:r>
              <w:rPr>
                <w:rFonts w:hint="default" w:ascii="Times New Roman" w:hAnsi="Times New Roman" w:eastAsia="宋体" w:cs="Times New Roman"/>
                <w:color w:val="auto"/>
                <w:sz w:val="24"/>
                <w:szCs w:val="24"/>
                <w:highlight w:val="none"/>
                <w:lang w:val="en-US" w:eastAsia="zh-CN"/>
              </w:rPr>
              <w:t>负面清单以外的</w:t>
            </w:r>
            <w:r>
              <w:rPr>
                <w:rFonts w:hint="eastAsia" w:cs="Times New Roman"/>
                <w:color w:val="auto"/>
                <w:sz w:val="24"/>
                <w:szCs w:val="24"/>
                <w:highlight w:val="none"/>
                <w:lang w:val="en-US" w:eastAsia="zh-CN"/>
              </w:rPr>
              <w:t>平等准入领域，故本</w:t>
            </w:r>
            <w:r>
              <w:rPr>
                <w:rFonts w:hint="default" w:ascii="Times New Roman" w:hAnsi="Times New Roman" w:eastAsia="宋体" w:cs="Times New Roman"/>
                <w:color w:val="auto"/>
                <w:sz w:val="24"/>
                <w:szCs w:val="24"/>
                <w:highlight w:val="none"/>
                <w:lang w:val="en-US" w:eastAsia="zh-CN"/>
              </w:rPr>
              <w:t>项目为允许准入。</w:t>
            </w:r>
          </w:p>
          <w:p w14:paraId="3A4E6307">
            <w:pPr>
              <w:pStyle w:val="27"/>
              <w:jc w:val="both"/>
              <w:rPr>
                <w:rFonts w:hint="eastAsia" w:eastAsia="宋体" w:cs="Times New Roman"/>
                <w:color w:val="auto"/>
                <w:kern w:val="1"/>
                <w:sz w:val="21"/>
                <w:szCs w:val="21"/>
                <w:highlight w:val="none"/>
                <w:lang w:val="en-US" w:eastAsia="zh-CN" w:bidi="ar-SA"/>
              </w:rPr>
            </w:pPr>
            <w:r>
              <w:rPr>
                <w:rFonts w:hint="eastAsia" w:cs="Times New Roman"/>
                <w:color w:val="auto"/>
                <w:sz w:val="21"/>
                <w:szCs w:val="21"/>
                <w:highlight w:val="none"/>
                <w:lang w:val="en-US" w:eastAsia="zh-CN"/>
              </w:rPr>
              <w:t>注：制造业中</w:t>
            </w:r>
            <w:r>
              <w:rPr>
                <w:rFonts w:ascii="Segoe UI" w:hAnsi="Segoe UI" w:eastAsia="Segoe UI" w:cs="Segoe UI"/>
                <w:i w:val="0"/>
                <w:iCs w:val="0"/>
                <w:caps w:val="0"/>
                <w:color w:val="auto"/>
                <w:spacing w:val="0"/>
                <w:sz w:val="21"/>
                <w:szCs w:val="21"/>
                <w:shd w:val="clear" w:fill="FFFFFF"/>
              </w:rPr>
              <w:t>涉及</w:t>
            </w:r>
            <w:r>
              <w:rPr>
                <w:rFonts w:hint="default" w:ascii="Times New Roman" w:hAnsi="Times New Roman" w:eastAsia="宋体" w:cs="Times New Roman"/>
                <w:color w:val="auto"/>
                <w:kern w:val="1"/>
                <w:sz w:val="21"/>
                <w:szCs w:val="21"/>
                <w:highlight w:val="none"/>
                <w:lang w:val="en-US" w:eastAsia="zh-CN" w:bidi="ar-SA"/>
              </w:rPr>
              <w:t>重要工业产品生产许可（含建筑用钢筋、水泥、直接接触食品的材料等相关产品共计14类27种）</w:t>
            </w:r>
            <w:r>
              <w:rPr>
                <w:rFonts w:hint="eastAsia" w:eastAsia="宋体" w:cs="Times New Roman"/>
                <w:color w:val="auto"/>
                <w:kern w:val="1"/>
                <w:sz w:val="21"/>
                <w:szCs w:val="21"/>
                <w:highlight w:val="none"/>
                <w:lang w:val="en-US" w:eastAsia="zh-CN" w:bidi="ar-SA"/>
              </w:rPr>
              <w:t>具体为：</w:t>
            </w:r>
          </w:p>
          <w:p w14:paraId="6B52D32B">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1、建筑用钢筋</w:t>
            </w:r>
            <w:r>
              <w:rPr>
                <w:rFonts w:hint="eastAsia" w:eastAsia="宋体" w:cs="Times New Roman"/>
                <w:color w:val="auto"/>
                <w:sz w:val="21"/>
                <w:szCs w:val="21"/>
                <w:highlight w:val="none"/>
                <w:lang w:val="en-US" w:eastAsia="zh-CN"/>
              </w:rPr>
              <w:t>：</w:t>
            </w:r>
            <w:r>
              <w:rPr>
                <w:rFonts w:hint="default" w:eastAsia="宋体" w:cs="Times New Roman"/>
                <w:color w:val="auto"/>
                <w:sz w:val="21"/>
                <w:szCs w:val="21"/>
                <w:highlight w:val="none"/>
                <w:lang w:val="en-US" w:eastAsia="zh-CN"/>
              </w:rPr>
              <w:t>包含了钢筋混凝土用热轧钢筋、冷轧带肋钢筋</w:t>
            </w:r>
            <w:r>
              <w:rPr>
                <w:rFonts w:hint="eastAsia" w:eastAsia="宋体" w:cs="Times New Roman"/>
                <w:color w:val="auto"/>
                <w:sz w:val="21"/>
                <w:szCs w:val="21"/>
                <w:highlight w:val="none"/>
                <w:lang w:val="en-US" w:eastAsia="zh-CN"/>
              </w:rPr>
              <w:t>；</w:t>
            </w:r>
          </w:p>
          <w:p w14:paraId="02871D72">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2、水泥</w:t>
            </w:r>
            <w:r>
              <w:rPr>
                <w:rFonts w:hint="eastAsia" w:eastAsia="宋体" w:cs="Times New Roman"/>
                <w:color w:val="auto"/>
                <w:sz w:val="21"/>
                <w:szCs w:val="21"/>
                <w:highlight w:val="none"/>
                <w:lang w:val="en-US" w:eastAsia="zh-CN"/>
              </w:rPr>
              <w:t>；</w:t>
            </w:r>
          </w:p>
          <w:p w14:paraId="4E426B5C">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3、广播电视传输设备</w:t>
            </w:r>
            <w:r>
              <w:rPr>
                <w:rFonts w:hint="eastAsia" w:eastAsia="宋体" w:cs="Times New Roman"/>
                <w:color w:val="auto"/>
                <w:sz w:val="21"/>
                <w:szCs w:val="21"/>
                <w:highlight w:val="none"/>
                <w:lang w:val="en-US" w:eastAsia="zh-CN"/>
              </w:rPr>
              <w:t>；</w:t>
            </w:r>
          </w:p>
          <w:p w14:paraId="53BBAA64">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4、人民币鉴别仪</w:t>
            </w:r>
            <w:r>
              <w:rPr>
                <w:rFonts w:hint="eastAsia" w:eastAsia="宋体" w:cs="Times New Roman"/>
                <w:color w:val="auto"/>
                <w:sz w:val="21"/>
                <w:szCs w:val="21"/>
                <w:highlight w:val="none"/>
                <w:lang w:val="en-US" w:eastAsia="zh-CN"/>
              </w:rPr>
              <w:t>；</w:t>
            </w:r>
          </w:p>
          <w:p w14:paraId="16148867">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5、预应力混凝土铁路桥简支梁</w:t>
            </w:r>
            <w:r>
              <w:rPr>
                <w:rFonts w:hint="eastAsia" w:eastAsia="宋体" w:cs="Times New Roman"/>
                <w:color w:val="auto"/>
                <w:sz w:val="21"/>
                <w:szCs w:val="21"/>
                <w:highlight w:val="none"/>
                <w:lang w:val="en-US" w:eastAsia="zh-CN"/>
              </w:rPr>
              <w:t>；</w:t>
            </w:r>
          </w:p>
          <w:p w14:paraId="2CD95467">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6、电线电缆</w:t>
            </w:r>
            <w:r>
              <w:rPr>
                <w:rFonts w:hint="eastAsia" w:eastAsia="宋体" w:cs="Times New Roman"/>
                <w:color w:val="auto"/>
                <w:sz w:val="21"/>
                <w:szCs w:val="21"/>
                <w:highlight w:val="none"/>
                <w:lang w:val="en-US" w:eastAsia="zh-CN"/>
              </w:rPr>
              <w:t>；</w:t>
            </w:r>
          </w:p>
          <w:p w14:paraId="4049CD0A">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7、危险化学品</w:t>
            </w:r>
            <w:r>
              <w:rPr>
                <w:rFonts w:hint="eastAsia"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包含</w:t>
            </w:r>
            <w:r>
              <w:rPr>
                <w:rFonts w:hint="default" w:eastAsia="宋体" w:cs="Times New Roman"/>
                <w:color w:val="auto"/>
                <w:sz w:val="21"/>
                <w:szCs w:val="21"/>
                <w:highlight w:val="none"/>
                <w:lang w:val="en-US" w:eastAsia="zh-CN"/>
              </w:rPr>
              <w:t>危险化学品无机产品危险、化学品氯碱产品、危险化学品工业气体产品、危险化学品化学试剂产品、危险化学品有机产品、危险化学品石油产品</w:t>
            </w:r>
            <w:r>
              <w:rPr>
                <w:rFonts w:hint="eastAsia" w:eastAsia="宋体" w:cs="Times New Roman"/>
                <w:color w:val="auto"/>
                <w:sz w:val="21"/>
                <w:szCs w:val="21"/>
                <w:highlight w:val="none"/>
                <w:lang w:val="en-US" w:eastAsia="zh-CN"/>
              </w:rPr>
              <w:t>；</w:t>
            </w:r>
          </w:p>
          <w:p w14:paraId="136B1521">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8、化肥</w:t>
            </w:r>
            <w:r>
              <w:rPr>
                <w:rFonts w:hint="eastAsia" w:eastAsia="宋体" w:cs="Times New Roman"/>
                <w:color w:val="auto"/>
                <w:sz w:val="21"/>
                <w:szCs w:val="21"/>
                <w:highlight w:val="none"/>
                <w:lang w:val="en-US" w:eastAsia="zh-CN"/>
              </w:rPr>
              <w:t>：</w:t>
            </w:r>
            <w:r>
              <w:rPr>
                <w:rFonts w:hint="default" w:eastAsia="宋体" w:cs="Times New Roman"/>
                <w:color w:val="auto"/>
                <w:sz w:val="21"/>
                <w:szCs w:val="21"/>
                <w:highlight w:val="none"/>
                <w:lang w:val="en-US" w:eastAsia="zh-CN"/>
              </w:rPr>
              <w:t>包含有复肥、磷肥</w:t>
            </w:r>
            <w:r>
              <w:rPr>
                <w:rFonts w:hint="eastAsia" w:eastAsia="宋体" w:cs="Times New Roman"/>
                <w:color w:val="auto"/>
                <w:sz w:val="21"/>
                <w:szCs w:val="21"/>
                <w:highlight w:val="none"/>
                <w:lang w:val="en-US" w:eastAsia="zh-CN"/>
              </w:rPr>
              <w:t>；</w:t>
            </w:r>
          </w:p>
          <w:p w14:paraId="2D65A633">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9、直接接触食品的材料及相关产品：包含有食品用塑料包装容器工具等制品、食品用纸包装、容器等制品、食品用洗涤剂、电热食品加工设备、压力锅产品</w:t>
            </w:r>
            <w:r>
              <w:rPr>
                <w:rFonts w:hint="eastAsia" w:eastAsia="宋体" w:cs="Times New Roman"/>
                <w:color w:val="auto"/>
                <w:sz w:val="21"/>
                <w:szCs w:val="21"/>
                <w:highlight w:val="none"/>
                <w:lang w:val="en-US" w:eastAsia="zh-CN"/>
              </w:rPr>
              <w:t>；</w:t>
            </w:r>
          </w:p>
          <w:p w14:paraId="46F1F6BF">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10、燃气器具：瓶装液化石油高压器</w:t>
            </w:r>
            <w:r>
              <w:rPr>
                <w:rFonts w:hint="eastAsia" w:eastAsia="宋体" w:cs="Times New Roman"/>
                <w:color w:val="auto"/>
                <w:sz w:val="21"/>
                <w:szCs w:val="21"/>
                <w:highlight w:val="none"/>
                <w:lang w:val="en-US" w:eastAsia="zh-CN"/>
              </w:rPr>
              <w:t>；</w:t>
            </w:r>
          </w:p>
          <w:p w14:paraId="67ABECE2">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11、危险化学品包装物及容器</w:t>
            </w:r>
            <w:r>
              <w:rPr>
                <w:rFonts w:hint="eastAsia" w:eastAsia="宋体" w:cs="Times New Roman"/>
                <w:color w:val="auto"/>
                <w:sz w:val="21"/>
                <w:szCs w:val="21"/>
                <w:highlight w:val="none"/>
                <w:lang w:val="en-US" w:eastAsia="zh-CN"/>
              </w:rPr>
              <w:t>：</w:t>
            </w:r>
            <w:r>
              <w:rPr>
                <w:rFonts w:hint="default" w:eastAsia="宋体" w:cs="Times New Roman"/>
                <w:color w:val="auto"/>
                <w:sz w:val="21"/>
                <w:szCs w:val="21"/>
                <w:highlight w:val="none"/>
                <w:lang w:val="en-US" w:eastAsia="zh-CN"/>
              </w:rPr>
              <w:t>包括有危险化学品包装物、容器、危险化学品罐体</w:t>
            </w:r>
          </w:p>
          <w:p w14:paraId="4CFF742F">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12、钢丝绳</w:t>
            </w:r>
            <w:r>
              <w:rPr>
                <w:rFonts w:hint="eastAsia" w:eastAsia="宋体" w:cs="Times New Roman"/>
                <w:color w:val="auto"/>
                <w:sz w:val="21"/>
                <w:szCs w:val="21"/>
                <w:highlight w:val="none"/>
                <w:lang w:val="en-US" w:eastAsia="zh-CN"/>
              </w:rPr>
              <w:t>；</w:t>
            </w:r>
          </w:p>
          <w:p w14:paraId="2BF56591">
            <w:pPr>
              <w:pStyle w:val="27"/>
              <w:jc w:val="both"/>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13、人造板</w:t>
            </w:r>
            <w:r>
              <w:rPr>
                <w:rFonts w:hint="eastAsia" w:eastAsia="宋体" w:cs="Times New Roman"/>
                <w:color w:val="auto"/>
                <w:sz w:val="21"/>
                <w:szCs w:val="21"/>
                <w:highlight w:val="none"/>
                <w:lang w:val="en-US" w:eastAsia="zh-CN"/>
              </w:rPr>
              <w:t>：</w:t>
            </w:r>
            <w:r>
              <w:rPr>
                <w:rFonts w:hint="default" w:eastAsia="宋体" w:cs="Times New Roman"/>
                <w:color w:val="auto"/>
                <w:sz w:val="21"/>
                <w:szCs w:val="21"/>
                <w:highlight w:val="none"/>
                <w:lang w:val="en-US" w:eastAsia="zh-CN"/>
              </w:rPr>
              <w:t>包括了胶合板、细木工板</w:t>
            </w:r>
            <w:r>
              <w:rPr>
                <w:rFonts w:hint="eastAsia" w:eastAsia="宋体" w:cs="Times New Roman"/>
                <w:color w:val="auto"/>
                <w:sz w:val="21"/>
                <w:szCs w:val="21"/>
                <w:highlight w:val="none"/>
                <w:lang w:val="en-US" w:eastAsia="zh-CN"/>
              </w:rPr>
              <w:t>；</w:t>
            </w:r>
          </w:p>
          <w:p w14:paraId="1526CF1A">
            <w:pPr>
              <w:pStyle w:val="27"/>
              <w:jc w:val="both"/>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14、</w:t>
            </w:r>
            <w:r>
              <w:rPr>
                <w:rFonts w:hint="default" w:eastAsia="宋体" w:cs="Times New Roman"/>
                <w:color w:val="auto"/>
                <w:sz w:val="21"/>
                <w:szCs w:val="21"/>
                <w:highlight w:val="none"/>
                <w:lang w:val="en-US" w:eastAsia="zh-CN"/>
              </w:rPr>
              <w:t>特种劳动防护用品</w:t>
            </w:r>
            <w:r>
              <w:rPr>
                <w:rFonts w:hint="eastAsia" w:eastAsia="宋体" w:cs="Times New Roman"/>
                <w:color w:val="auto"/>
                <w:sz w:val="21"/>
                <w:szCs w:val="21"/>
                <w:highlight w:val="none"/>
                <w:lang w:val="en-US" w:eastAsia="zh-CN"/>
              </w:rPr>
              <w:t>：</w:t>
            </w:r>
            <w:r>
              <w:rPr>
                <w:rFonts w:hint="default" w:eastAsia="宋体" w:cs="Times New Roman"/>
                <w:color w:val="auto"/>
                <w:sz w:val="21"/>
                <w:szCs w:val="21"/>
                <w:highlight w:val="none"/>
                <w:lang w:val="en-US" w:eastAsia="zh-CN"/>
              </w:rPr>
              <w:t>安全帽</w:t>
            </w:r>
            <w:r>
              <w:rPr>
                <w:rFonts w:hint="eastAsia" w:eastAsia="宋体" w:cs="Times New Roman"/>
                <w:color w:val="auto"/>
                <w:sz w:val="21"/>
                <w:szCs w:val="21"/>
                <w:highlight w:val="none"/>
                <w:lang w:val="en-US" w:eastAsia="zh-CN"/>
              </w:rPr>
              <w:t>。</w:t>
            </w:r>
          </w:p>
          <w:p w14:paraId="549687F7">
            <w:pPr>
              <w:pStyle w:val="28"/>
              <w:keepNext w:val="0"/>
              <w:keepLines w:val="0"/>
              <w:pageBreakBefore w:val="0"/>
              <w:widowControl w:val="0"/>
              <w:kinsoku/>
              <w:wordWrap/>
              <w:overflowPunct/>
              <w:topLinePunct/>
              <w:autoSpaceDE w:val="0"/>
              <w:autoSpaceDN/>
              <w:bidi w:val="0"/>
              <w:adjustRightInd/>
              <w:snapToGrid/>
              <w:spacing w:before="157" w:beforeLines="50" w:after="0" w:line="360" w:lineRule="auto"/>
              <w:ind w:lef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综上所述，项目符合国家产业政策。</w:t>
            </w:r>
          </w:p>
          <w:p w14:paraId="1183C397">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0"/>
                <w:sz w:val="24"/>
                <w:szCs w:val="24"/>
                <w:highlight w:val="none"/>
                <w:lang w:val="en-US" w:eastAsia="zh-CN"/>
              </w:rPr>
              <w:t>与《玉溪市生态环境分局关于印发玉溪市生态环境分区管控动态更新调整方案（2023年）的通知》</w:t>
            </w:r>
          </w:p>
          <w:p w14:paraId="3AA685F5">
            <w:pPr>
              <w:keepNext w:val="0"/>
              <w:keepLines w:val="0"/>
              <w:pageBreakBefore w:val="0"/>
              <w:widowControl w:val="0"/>
              <w:kinsoku/>
              <w:overflowPunct/>
              <w:topLinePunct/>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玉溪市生态环境局关于印发玉溪市生态环境分区管控动态更新调整方案（</w:t>
            </w:r>
            <w:r>
              <w:rPr>
                <w:rFonts w:hint="default" w:ascii="Times New Roman" w:hAnsi="Times New Roman" w:eastAsia="宋体" w:cs="Times New Roman"/>
                <w:color w:val="auto"/>
                <w:sz w:val="24"/>
                <w:szCs w:val="24"/>
                <w:highlight w:val="none"/>
                <w:lang w:val="en-US" w:eastAsia="zh-CN"/>
              </w:rPr>
              <w:t>2023年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的通知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aps w:val="0"/>
                <w:smallCaps w:val="0"/>
                <w:color w:val="auto"/>
                <w:sz w:val="24"/>
                <w:szCs w:val="24"/>
                <w:highlight w:val="none"/>
                <w:lang w:val="en-US" w:eastAsia="zh-CN"/>
              </w:rPr>
              <w:t>（玉市环〔2024〕40号）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调整后，</w:t>
            </w:r>
            <w:r>
              <w:rPr>
                <w:rFonts w:hint="default" w:ascii="Times New Roman" w:hAnsi="Times New Roman" w:eastAsia="宋体" w:cs="Times New Roman"/>
                <w:color w:val="auto"/>
                <w:sz w:val="24"/>
                <w:szCs w:val="24"/>
                <w:highlight w:val="none"/>
                <w:lang w:eastAsia="zh-CN"/>
              </w:rPr>
              <w:t>玉溪市</w:t>
            </w:r>
            <w:r>
              <w:rPr>
                <w:rFonts w:hint="default" w:ascii="Times New Roman" w:hAnsi="Times New Roman" w:eastAsia="宋体" w:cs="Times New Roman"/>
                <w:color w:val="auto"/>
                <w:sz w:val="24"/>
                <w:szCs w:val="24"/>
                <w:highlight w:val="none"/>
              </w:rPr>
              <w:t>全市共划分了</w:t>
            </w:r>
            <w:r>
              <w:rPr>
                <w:rFonts w:hint="default" w:ascii="Times New Roman" w:hAnsi="Times New Roman" w:eastAsia="宋体" w:cs="Times New Roman"/>
                <w:color w:val="auto"/>
                <w:sz w:val="24"/>
                <w:szCs w:val="24"/>
                <w:highlight w:val="none"/>
                <w:lang w:val="en-US" w:eastAsia="zh-CN"/>
              </w:rPr>
              <w:t>83</w:t>
            </w:r>
            <w:r>
              <w:rPr>
                <w:rFonts w:hint="default" w:ascii="Times New Roman" w:hAnsi="Times New Roman" w:eastAsia="宋体" w:cs="Times New Roman"/>
                <w:color w:val="auto"/>
                <w:sz w:val="24"/>
                <w:szCs w:val="24"/>
                <w:highlight w:val="none"/>
              </w:rPr>
              <w:t>个生态环境管控单元，包括优先保护、重点管控和一般管控3类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本项目位于玉溪市易门</w:t>
            </w:r>
            <w:r>
              <w:rPr>
                <w:rFonts w:hint="default" w:ascii="Times New Roman" w:hAnsi="Times New Roman" w:eastAsia="宋体" w:cs="Times New Roman"/>
                <w:color w:val="auto"/>
                <w:sz w:val="24"/>
                <w:szCs w:val="24"/>
                <w:highlight w:val="none"/>
                <w:lang w:eastAsia="zh-CN"/>
              </w:rPr>
              <w:t>产业</w:t>
            </w:r>
            <w:r>
              <w:rPr>
                <w:rFonts w:hint="default" w:ascii="Times New Roman" w:hAnsi="Times New Roman" w:eastAsia="宋体" w:cs="Times New Roman"/>
                <w:color w:val="auto"/>
                <w:sz w:val="24"/>
                <w:szCs w:val="24"/>
                <w:highlight w:val="none"/>
              </w:rPr>
              <w:t>园区麦子田片区，属于开发强度高、污染物排放强度大、环境问题相对集中的工业集中重点管控单元。</w:t>
            </w:r>
          </w:p>
          <w:p w14:paraId="6DB19960">
            <w:pPr>
              <w:keepNext w:val="0"/>
              <w:keepLines w:val="0"/>
              <w:pageBreakBefore w:val="0"/>
              <w:widowControl/>
              <w:numPr>
                <w:ilvl w:val="0"/>
                <w:numId w:val="0"/>
              </w:numPr>
              <w:kinsoku/>
              <w:wordWrap/>
              <w:overflowPunct/>
              <w:topLinePunct/>
              <w:autoSpaceDE w:val="0"/>
              <w:autoSpaceDN/>
              <w:bidi w:val="0"/>
              <w:adjustRightInd w:val="0"/>
              <w:snapToGrid w:val="0"/>
              <w:spacing w:line="360" w:lineRule="auto"/>
              <w:ind w:firstLine="490" w:firstLineChars="200"/>
              <w:jc w:val="both"/>
              <w:textAlignment w:val="auto"/>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bCs w:val="0"/>
                <w:color w:val="auto"/>
                <w:spacing w:val="2"/>
                <w:sz w:val="24"/>
                <w:szCs w:val="24"/>
                <w:highlight w:val="none"/>
                <w:lang w:val="en-US" w:eastAsia="zh-CN"/>
              </w:rPr>
              <w:t>（1）与生态红线的相符性分析</w:t>
            </w:r>
          </w:p>
          <w:p w14:paraId="68A0602F">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rPr>
              <w:t>云南易门产业园区总体规划（修编）（2021-2035）环境影响报告书</w:t>
            </w:r>
            <w:r>
              <w:rPr>
                <w:rFonts w:hint="default" w:ascii="Times New Roman" w:hAnsi="Times New Roman" w:eastAsia="宋体" w:cs="Times New Roman"/>
                <w:color w:val="auto"/>
                <w:sz w:val="24"/>
                <w:szCs w:val="24"/>
                <w:highlight w:val="none"/>
                <w:lang w:eastAsia="zh-CN"/>
              </w:rPr>
              <w:t>》中与“三线一单”的符合性分析，易门产业园区不涉及生态保护红线，本项目位于易门产业园麦子田片区，</w:t>
            </w:r>
            <w:r>
              <w:rPr>
                <w:rFonts w:hint="default" w:ascii="Times New Roman" w:hAnsi="Times New Roman" w:eastAsia="宋体" w:cs="Times New Roman"/>
                <w:color w:val="auto"/>
                <w:sz w:val="24"/>
                <w:szCs w:val="24"/>
                <w:highlight w:val="none"/>
                <w:lang w:val="en-US" w:eastAsia="zh-CN"/>
              </w:rPr>
              <w:t>且根据易门县自然资源局查询意见（附件9），项目用地范围不涉及占用永久基本农田和生态保护红线；</w:t>
            </w:r>
            <w:r>
              <w:rPr>
                <w:rFonts w:hint="default" w:ascii="Times New Roman" w:hAnsi="Times New Roman" w:eastAsia="宋体" w:cs="Times New Roman"/>
                <w:color w:val="auto"/>
                <w:sz w:val="24"/>
                <w:szCs w:val="24"/>
                <w:highlight w:val="none"/>
              </w:rPr>
              <w:t>因此项目</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eastAsia="zh-CN"/>
              </w:rPr>
              <w:t>符合</w:t>
            </w:r>
            <w:r>
              <w:rPr>
                <w:rFonts w:hint="default" w:ascii="Times New Roman" w:hAnsi="Times New Roman" w:eastAsia="宋体" w:cs="Times New Roman"/>
                <w:color w:val="auto"/>
                <w:sz w:val="24"/>
                <w:szCs w:val="24"/>
                <w:highlight w:val="none"/>
              </w:rPr>
              <w:t>《玉溪市人民政府关于印发玉溪市“三线一单”生态环境分区管控实施意见的通知》（玉政发〔2021〕15号）关于生态保护红线和一般生态空间的要求。</w:t>
            </w:r>
          </w:p>
          <w:p w14:paraId="532E6DB8">
            <w:pPr>
              <w:keepNext w:val="0"/>
              <w:keepLines w:val="0"/>
              <w:pageBreakBefore w:val="0"/>
              <w:widowControl/>
              <w:numPr>
                <w:ilvl w:val="0"/>
                <w:numId w:val="0"/>
              </w:numPr>
              <w:kinsoku/>
              <w:wordWrap/>
              <w:overflowPunct/>
              <w:topLinePunct/>
              <w:autoSpaceDE w:val="0"/>
              <w:autoSpaceDN/>
              <w:bidi w:val="0"/>
              <w:adjustRightInd w:val="0"/>
              <w:snapToGrid w:val="0"/>
              <w:spacing w:line="360" w:lineRule="auto"/>
              <w:ind w:firstLine="490" w:firstLineChars="200"/>
              <w:jc w:val="both"/>
              <w:textAlignment w:val="auto"/>
              <w:outlineLvl w:val="9"/>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bCs w:val="0"/>
                <w:color w:val="auto"/>
                <w:spacing w:val="2"/>
                <w:sz w:val="24"/>
                <w:szCs w:val="24"/>
                <w:highlight w:val="none"/>
                <w:lang w:val="en-US" w:eastAsia="zh-CN"/>
              </w:rPr>
              <w:t>（2）与环境质量底线相符性分析</w:t>
            </w:r>
          </w:p>
          <w:p w14:paraId="12E10FF2">
            <w:pPr>
              <w:pStyle w:val="18"/>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kern w:val="10"/>
                <w:sz w:val="24"/>
                <w:szCs w:val="24"/>
                <w:highlight w:val="none"/>
              </w:rPr>
            </w:pPr>
            <w:r>
              <w:rPr>
                <w:rFonts w:hint="default" w:ascii="Times New Roman" w:hAnsi="Times New Roman" w:eastAsia="宋体" w:cs="Times New Roman"/>
                <w:color w:val="auto"/>
                <w:sz w:val="24"/>
                <w:szCs w:val="24"/>
                <w:highlight w:val="none"/>
                <w:shd w:val="clear" w:color="auto" w:fill="FFFFFF"/>
              </w:rPr>
              <w:t>根据本环评“区域环境质量现状”分析，</w:t>
            </w:r>
            <w:r>
              <w:rPr>
                <w:rFonts w:hint="default" w:ascii="Times New Roman" w:hAnsi="Times New Roman" w:eastAsia="宋体" w:cs="Times New Roman"/>
                <w:color w:val="auto"/>
                <w:sz w:val="24"/>
                <w:szCs w:val="24"/>
                <w:highlight w:val="none"/>
              </w:rPr>
              <w:t>项目所在区域的环境质量底线为：环境空气质量为</w:t>
            </w:r>
            <w:r>
              <w:rPr>
                <w:rFonts w:hint="eastAsia" w:cs="Times New Roman"/>
                <w:color w:val="auto"/>
                <w:sz w:val="24"/>
                <w:szCs w:val="24"/>
                <w:highlight w:val="none"/>
                <w:lang w:val="en-US" w:eastAsia="zh-CN"/>
              </w:rPr>
              <w:t>二类区，</w:t>
            </w:r>
            <w:r>
              <w:rPr>
                <w:rFonts w:hint="default" w:ascii="Times New Roman" w:hAnsi="Times New Roman" w:eastAsia="宋体" w:cs="Times New Roman"/>
                <w:color w:val="auto"/>
                <w:sz w:val="24"/>
                <w:szCs w:val="24"/>
                <w:highlight w:val="none"/>
              </w:rPr>
              <w:t>项目所在区域</w:t>
            </w:r>
            <w:r>
              <w:rPr>
                <w:rFonts w:hint="eastAsia" w:cs="Times New Roman"/>
                <w:color w:val="auto"/>
                <w:sz w:val="24"/>
                <w:szCs w:val="24"/>
                <w:highlight w:val="none"/>
                <w:lang w:val="en-US" w:eastAsia="zh-CN"/>
              </w:rPr>
              <w:t>现状</w:t>
            </w:r>
            <w:r>
              <w:rPr>
                <w:rFonts w:hint="default" w:ascii="Times New Roman" w:hAnsi="Times New Roman" w:eastAsia="宋体" w:cs="Times New Roman"/>
                <w:color w:val="auto"/>
                <w:sz w:val="24"/>
                <w:szCs w:val="24"/>
                <w:highlight w:val="none"/>
              </w:rPr>
              <w:t>满足环境空气质量为</w:t>
            </w:r>
            <w:r>
              <w:rPr>
                <w:rFonts w:hint="default" w:ascii="Times New Roman" w:hAnsi="Times New Roman" w:eastAsia="宋体" w:cs="Times New Roman"/>
                <w:color w:val="auto"/>
                <w:spacing w:val="-1"/>
                <w:sz w:val="24"/>
                <w:szCs w:val="24"/>
                <w:highlight w:val="none"/>
              </w:rPr>
              <w:t>《环境空气质量标准》（GB3095-2026）过渡阶段浓度限值中二级标准限值要求</w:t>
            </w:r>
            <w:r>
              <w:rPr>
                <w:rFonts w:hint="default" w:ascii="Times New Roman" w:hAnsi="Times New Roman" w:eastAsia="宋体" w:cs="Times New Roman"/>
                <w:color w:val="auto"/>
                <w:sz w:val="24"/>
                <w:szCs w:val="24"/>
                <w:highlight w:val="none"/>
              </w:rPr>
              <w:t>，属于达标区</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项目废气采取“</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rPr>
              <w:t>活性炭吸附装置</w:t>
            </w:r>
            <w:r>
              <w:rPr>
                <w:rFonts w:hint="default" w:ascii="Times New Roman" w:hAnsi="Times New Roman" w:eastAsia="宋体" w:cs="Times New Roman"/>
                <w:color w:val="auto"/>
                <w:sz w:val="24"/>
                <w:szCs w:val="24"/>
                <w:highlight w:val="none"/>
                <w:lang w:eastAsia="zh-CN"/>
              </w:rPr>
              <w:t>”进行处理</w:t>
            </w:r>
            <w:r>
              <w:rPr>
                <w:rFonts w:hint="default" w:ascii="Times New Roman" w:hAnsi="Times New Roman" w:eastAsia="宋体" w:cs="Times New Roman"/>
                <w:color w:val="auto"/>
                <w:sz w:val="24"/>
                <w:szCs w:val="24"/>
                <w:highlight w:val="none"/>
                <w:lang w:bidi="ar"/>
              </w:rPr>
              <w:t>；周边地表水</w:t>
            </w:r>
            <w:r>
              <w:rPr>
                <w:rFonts w:hint="default" w:ascii="Times New Roman" w:hAnsi="Times New Roman" w:eastAsia="宋体" w:cs="Times New Roman"/>
                <w:color w:val="auto"/>
                <w:sz w:val="24"/>
                <w:szCs w:val="24"/>
                <w:highlight w:val="none"/>
              </w:rPr>
              <w:t>满足《地表水环境质量标准》（GB3838-2002）III类水质标准；</w:t>
            </w:r>
            <w:r>
              <w:rPr>
                <w:rFonts w:hint="default" w:ascii="Times New Roman" w:hAnsi="Times New Roman" w:eastAsia="宋体" w:cs="Times New Roman"/>
                <w:color w:val="auto"/>
                <w:kern w:val="10"/>
                <w:sz w:val="24"/>
                <w:szCs w:val="24"/>
                <w:highlight w:val="none"/>
              </w:rPr>
              <w:t>项目区域声环境质量能够满足《声环境质量标准》</w:t>
            </w:r>
            <w:r>
              <w:rPr>
                <w:rFonts w:hint="default" w:ascii="Times New Roman" w:hAnsi="Times New Roman" w:eastAsia="宋体" w:cs="Times New Roman"/>
                <w:color w:val="auto"/>
                <w:kern w:val="10"/>
                <w:sz w:val="24"/>
                <w:szCs w:val="24"/>
                <w:highlight w:val="none"/>
                <w:lang w:eastAsia="zh-CN"/>
              </w:rPr>
              <w:t>（</w:t>
            </w:r>
            <w:r>
              <w:rPr>
                <w:rFonts w:hint="default" w:ascii="Times New Roman" w:hAnsi="Times New Roman" w:eastAsia="宋体" w:cs="Times New Roman"/>
                <w:color w:val="auto"/>
                <w:kern w:val="10"/>
                <w:sz w:val="24"/>
                <w:szCs w:val="24"/>
                <w:highlight w:val="none"/>
              </w:rPr>
              <w:t>GB3096-2008</w:t>
            </w:r>
            <w:r>
              <w:rPr>
                <w:rFonts w:hint="default" w:ascii="Times New Roman" w:hAnsi="Times New Roman" w:eastAsia="宋体" w:cs="Times New Roman"/>
                <w:color w:val="auto"/>
                <w:kern w:val="10"/>
                <w:sz w:val="24"/>
                <w:szCs w:val="24"/>
                <w:highlight w:val="none"/>
                <w:lang w:eastAsia="zh-CN"/>
              </w:rPr>
              <w:t>）</w:t>
            </w:r>
            <w:r>
              <w:rPr>
                <w:rFonts w:hint="default" w:ascii="Times New Roman" w:hAnsi="Times New Roman" w:eastAsia="宋体" w:cs="Times New Roman"/>
                <w:color w:val="auto"/>
                <w:kern w:val="10"/>
                <w:sz w:val="24"/>
                <w:szCs w:val="24"/>
                <w:highlight w:val="none"/>
              </w:rPr>
              <w:t>中的3类标准，声环境质量现状良好。</w:t>
            </w:r>
          </w:p>
          <w:p w14:paraId="47CDC251">
            <w:pPr>
              <w:pStyle w:val="18"/>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shd w:val="clear" w:color="auto" w:fill="FFFFFF"/>
                <w:lang w:eastAsia="zh-CN"/>
              </w:rPr>
            </w:pPr>
            <w:r>
              <w:rPr>
                <w:rFonts w:hint="default" w:ascii="Times New Roman" w:hAnsi="Times New Roman" w:eastAsia="宋体" w:cs="Times New Roman"/>
                <w:color w:val="auto"/>
                <w:sz w:val="24"/>
                <w:szCs w:val="24"/>
                <w:highlight w:val="none"/>
                <w:shd w:val="clear" w:color="auto" w:fill="FFFFFF"/>
                <w:lang w:eastAsia="zh-CN"/>
              </w:rPr>
              <w:t>项目在落实本环评提出的各项污染防治措施的情况下，对周围环境的影响较小；</w:t>
            </w:r>
            <w:r>
              <w:rPr>
                <w:rFonts w:hint="default" w:ascii="Times New Roman" w:hAnsi="Times New Roman" w:eastAsia="宋体" w:cs="Times New Roman"/>
                <w:b w:val="0"/>
                <w:bCs w:val="0"/>
                <w:strike w:val="0"/>
                <w:dstrike w:val="0"/>
                <w:color w:val="auto"/>
                <w:spacing w:val="-3"/>
                <w:sz w:val="24"/>
                <w:szCs w:val="24"/>
                <w:highlight w:val="none"/>
                <w:lang w:val="en-US" w:eastAsia="zh-CN"/>
              </w:rPr>
              <w:t>项目</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废水、圆磨废水经处理后大部分回用于</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、圆磨工序及</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4"/>
                <w:szCs w:val="24"/>
                <w:highlight w:val="none"/>
                <w:lang w:eastAsia="zh-CN"/>
              </w:rPr>
              <w:t>，</w:t>
            </w:r>
            <w:r>
              <w:rPr>
                <w:rFonts w:hint="eastAsia" w:cs="Times New Roman"/>
                <w:strike w:val="0"/>
                <w:dstrike w:val="0"/>
                <w:color w:val="auto"/>
                <w:kern w:val="0"/>
                <w:sz w:val="24"/>
                <w:szCs w:val="24"/>
                <w:highlight w:val="none"/>
                <w:lang w:val="en-US" w:eastAsia="zh-CN"/>
              </w:rPr>
              <w:t>在总排口处</w:t>
            </w:r>
            <w:r>
              <w:rPr>
                <w:rFonts w:hint="default" w:ascii="Times New Roman" w:hAnsi="Times New Roman" w:eastAsia="宋体" w:cs="Times New Roman"/>
                <w:strike w:val="0"/>
                <w:dstrike w:val="0"/>
                <w:color w:val="auto"/>
                <w:kern w:val="0"/>
                <w:sz w:val="24"/>
                <w:szCs w:val="24"/>
                <w:highlight w:val="none"/>
                <w:lang w:eastAsia="zh-CN"/>
              </w:rPr>
              <w:t>达标后排入园区污水管网，最后进入</w:t>
            </w:r>
            <w:r>
              <w:rPr>
                <w:rFonts w:hint="default" w:ascii="Times New Roman" w:hAnsi="Times New Roman" w:eastAsia="宋体" w:cs="Times New Roman"/>
                <w:strike w:val="0"/>
                <w:dstrike w:val="0"/>
                <w:color w:val="auto"/>
                <w:kern w:val="0"/>
                <w:sz w:val="24"/>
                <w:szCs w:val="24"/>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4"/>
                <w:szCs w:val="24"/>
                <w:highlight w:val="none"/>
                <w:lang w:eastAsia="zh-CN"/>
              </w:rPr>
              <w:t>处理</w:t>
            </w:r>
            <w:r>
              <w:rPr>
                <w:rFonts w:hint="default" w:ascii="Times New Roman" w:hAnsi="Times New Roman" w:eastAsia="宋体" w:cs="Times New Roman"/>
                <w:color w:val="auto"/>
                <w:sz w:val="24"/>
                <w:szCs w:val="24"/>
                <w:highlight w:val="none"/>
                <w:shd w:val="clear" w:color="auto" w:fill="FFFFFF"/>
                <w:lang w:eastAsia="zh-CN"/>
              </w:rPr>
              <w:t>；</w:t>
            </w:r>
            <w:r>
              <w:rPr>
                <w:rFonts w:hint="default" w:ascii="Times New Roman" w:hAnsi="Times New Roman" w:eastAsia="宋体" w:cs="Times New Roman"/>
                <w:color w:val="auto"/>
                <w:sz w:val="24"/>
                <w:szCs w:val="24"/>
                <w:highlight w:val="none"/>
                <w:shd w:val="clear" w:color="auto" w:fill="FFFFFF"/>
              </w:rPr>
              <w:t>噪声经厂房隔声及距离衰减后，厂界噪声值能达</w:t>
            </w:r>
            <w:r>
              <w:rPr>
                <w:rFonts w:hint="default" w:ascii="Times New Roman" w:hAnsi="Times New Roman" w:eastAsia="宋体" w:cs="Times New Roman"/>
                <w:color w:val="auto"/>
                <w:sz w:val="24"/>
                <w:szCs w:val="24"/>
                <w:highlight w:val="none"/>
                <w:shd w:val="clear" w:color="auto" w:fill="FFFFFF"/>
                <w:lang w:eastAsia="zh-CN"/>
              </w:rPr>
              <w:t>标排放</w:t>
            </w:r>
            <w:r>
              <w:rPr>
                <w:rFonts w:hint="default" w:ascii="Times New Roman" w:hAnsi="Times New Roman" w:eastAsia="宋体" w:cs="Times New Roman"/>
                <w:color w:val="auto"/>
                <w:sz w:val="24"/>
                <w:szCs w:val="24"/>
                <w:highlight w:val="none"/>
                <w:shd w:val="clear" w:color="auto" w:fill="FFFFFF"/>
              </w:rPr>
              <w:t>，对周边敏感点影响较小；各项固废均可得到妥善处置。采取本环评提出的相关防治措施后</w:t>
            </w:r>
            <w:r>
              <w:rPr>
                <w:rFonts w:hint="default" w:ascii="Times New Roman" w:hAnsi="Times New Roman" w:eastAsia="宋体" w:cs="Times New Roman"/>
                <w:color w:val="auto"/>
                <w:sz w:val="24"/>
                <w:szCs w:val="24"/>
                <w:highlight w:val="none"/>
                <w:shd w:val="clear" w:color="auto" w:fill="FFFFFF"/>
                <w:lang w:eastAsia="zh-CN"/>
              </w:rPr>
              <w:t>，项目建设不会对周围环境造成较大影响，不会降低周边周围的环境质量，能够满足环境功能区要求，符合环境质量底线要求。</w:t>
            </w:r>
          </w:p>
          <w:p w14:paraId="16AD13C0">
            <w:pPr>
              <w:keepNext w:val="0"/>
              <w:keepLines w:val="0"/>
              <w:pageBreakBefore w:val="0"/>
              <w:widowControl/>
              <w:numPr>
                <w:ilvl w:val="0"/>
                <w:numId w:val="0"/>
              </w:numPr>
              <w:kinsoku/>
              <w:wordWrap/>
              <w:overflowPunct/>
              <w:topLinePunct/>
              <w:autoSpaceDE w:val="0"/>
              <w:autoSpaceDN/>
              <w:bidi w:val="0"/>
              <w:adjustRightInd w:val="0"/>
              <w:snapToGrid w:val="0"/>
              <w:spacing w:line="360" w:lineRule="auto"/>
              <w:ind w:firstLine="490" w:firstLineChars="200"/>
              <w:jc w:val="both"/>
              <w:textAlignment w:val="auto"/>
              <w:outlineLvl w:val="9"/>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bCs w:val="0"/>
                <w:color w:val="auto"/>
                <w:spacing w:val="2"/>
                <w:sz w:val="24"/>
                <w:szCs w:val="24"/>
                <w:highlight w:val="none"/>
                <w:lang w:val="en-US" w:eastAsia="zh-CN"/>
              </w:rPr>
              <w:t>（3）与资源利用上线相符性分析</w:t>
            </w:r>
          </w:p>
          <w:p w14:paraId="0C2671EB">
            <w:pPr>
              <w:keepNext w:val="0"/>
              <w:keepLines w:val="0"/>
              <w:pageBreakBefore w:val="0"/>
              <w:widowControl w:val="0"/>
              <w:kinsoku/>
              <w:overflowPunct/>
              <w:topLinePunct/>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资源利用上线是促进资源能源节约，保障能源、水、土地等资源高效利用，不应突破的最高限值。</w:t>
            </w:r>
          </w:p>
          <w:p w14:paraId="0706498E">
            <w:pPr>
              <w:keepNext w:val="0"/>
              <w:keepLines w:val="0"/>
              <w:pageBreakBefore w:val="0"/>
              <w:widowControl w:val="0"/>
              <w:kinsoku/>
              <w:overflowPunct/>
              <w:topLinePunct/>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项目位于云南易门产业园区</w:t>
            </w:r>
            <w:r>
              <w:rPr>
                <w:rFonts w:hint="default" w:ascii="Times New Roman" w:hAnsi="Times New Roman" w:eastAsia="宋体" w:cs="Times New Roman"/>
                <w:color w:val="auto"/>
                <w:sz w:val="24"/>
                <w:szCs w:val="24"/>
                <w:highlight w:val="none"/>
                <w:lang w:val="en-US" w:eastAsia="zh-CN"/>
              </w:rPr>
              <w:t>麦子田片区</w:t>
            </w:r>
            <w:r>
              <w:rPr>
                <w:rFonts w:hint="default" w:ascii="Times New Roman" w:hAnsi="Times New Roman" w:eastAsia="宋体" w:cs="Times New Roman"/>
                <w:color w:val="auto"/>
                <w:sz w:val="24"/>
                <w:szCs w:val="24"/>
                <w:highlight w:val="none"/>
              </w:rPr>
              <w:t>，项目用地为已规划的工业用地；</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shd w:val="clear" w:color="auto" w:fill="FFFFFF"/>
              </w:rPr>
              <w:t>生活</w:t>
            </w:r>
            <w:r>
              <w:rPr>
                <w:rFonts w:hint="default" w:ascii="Times New Roman" w:hAnsi="Times New Roman" w:eastAsia="宋体" w:cs="Times New Roman"/>
                <w:color w:val="auto"/>
                <w:sz w:val="24"/>
                <w:szCs w:val="24"/>
                <w:highlight w:val="none"/>
                <w:shd w:val="clear" w:color="auto" w:fill="FFFFFF"/>
                <w:lang w:val="en-US" w:eastAsia="zh-CN"/>
              </w:rPr>
              <w:t>污水经隔油池、化粪池处理、生产废水经污水处理站处理达标后进入市政污水管网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项目能源使用电能</w:t>
            </w:r>
            <w:r>
              <w:rPr>
                <w:rFonts w:hint="default" w:ascii="Times New Roman" w:hAnsi="Times New Roman" w:eastAsia="宋体" w:cs="Times New Roman"/>
                <w:color w:val="auto"/>
                <w:sz w:val="24"/>
                <w:szCs w:val="24"/>
                <w:highlight w:val="none"/>
                <w:lang w:eastAsia="zh-CN"/>
              </w:rPr>
              <w:t>及天然气，电能为市政电网接入；</w:t>
            </w:r>
            <w:r>
              <w:rPr>
                <w:rFonts w:hint="default" w:ascii="Times New Roman" w:hAnsi="Times New Roman" w:eastAsia="宋体" w:cs="Times New Roman"/>
                <w:color w:val="auto"/>
                <w:sz w:val="24"/>
                <w:szCs w:val="24"/>
                <w:highlight w:val="none"/>
              </w:rPr>
              <w:t>项目所在地不属于资源、能源紧缺区域，项目运营期间水、电等用量，不会超过划定的资源利用上线</w:t>
            </w:r>
            <w:r>
              <w:rPr>
                <w:rFonts w:hint="default" w:ascii="Times New Roman" w:hAnsi="Times New Roman" w:eastAsia="宋体" w:cs="Times New Roman"/>
                <w:color w:val="auto"/>
                <w:sz w:val="24"/>
                <w:szCs w:val="24"/>
                <w:highlight w:val="none"/>
                <w:lang w:eastAsia="zh-CN"/>
              </w:rPr>
              <w:t>。</w:t>
            </w:r>
          </w:p>
          <w:p w14:paraId="1BDEA55A">
            <w:pPr>
              <w:keepNext w:val="0"/>
              <w:keepLines w:val="0"/>
              <w:pageBreakBefore w:val="0"/>
              <w:widowControl/>
              <w:numPr>
                <w:ilvl w:val="0"/>
                <w:numId w:val="0"/>
              </w:numPr>
              <w:kinsoku/>
              <w:wordWrap/>
              <w:overflowPunct/>
              <w:topLinePunct/>
              <w:autoSpaceDE w:val="0"/>
              <w:autoSpaceDN/>
              <w:bidi w:val="0"/>
              <w:adjustRightInd w:val="0"/>
              <w:snapToGrid w:val="0"/>
              <w:spacing w:line="360" w:lineRule="auto"/>
              <w:ind w:firstLine="490" w:firstLineChars="200"/>
              <w:jc w:val="both"/>
              <w:textAlignment w:val="auto"/>
              <w:outlineLvl w:val="9"/>
              <w:rPr>
                <w:rFonts w:hint="default" w:ascii="Times New Roman" w:hAnsi="Times New Roman" w:eastAsia="宋体" w:cs="Times New Roman"/>
                <w:b/>
                <w:bCs w:val="0"/>
                <w:color w:val="auto"/>
                <w:spacing w:val="2"/>
                <w:sz w:val="24"/>
                <w:szCs w:val="24"/>
                <w:highlight w:val="none"/>
                <w:lang w:val="en-US" w:eastAsia="zh-CN"/>
              </w:rPr>
            </w:pPr>
            <w:r>
              <w:rPr>
                <w:rFonts w:hint="default" w:ascii="Times New Roman" w:hAnsi="Times New Roman" w:eastAsia="宋体" w:cs="Times New Roman"/>
                <w:b/>
                <w:bCs w:val="0"/>
                <w:color w:val="auto"/>
                <w:spacing w:val="2"/>
                <w:sz w:val="24"/>
                <w:szCs w:val="24"/>
                <w:highlight w:val="none"/>
                <w:lang w:val="en-US" w:eastAsia="zh-CN"/>
              </w:rPr>
              <w:t>（4）与重点管控单元相符性分析</w:t>
            </w:r>
          </w:p>
          <w:p w14:paraId="3D3CE565">
            <w:pPr>
              <w:pStyle w:val="18"/>
              <w:keepNext w:val="0"/>
              <w:keepLines w:val="0"/>
              <w:pageBreakBefore w:val="0"/>
              <w:widowControl w:val="0"/>
              <w:kinsoku/>
              <w:wordWrap/>
              <w:overflowPunct/>
              <w:topLinePunct/>
              <w:autoSpaceDE w:val="0"/>
              <w:autoSpaceDN/>
              <w:bidi w:val="0"/>
              <w:adjustRightIn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val="en-US" w:eastAsia="zh-CN"/>
              </w:rPr>
              <w:t>易门产业园区麦子田片区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根据玉溪市生态环境局易门分局关于</w:t>
            </w:r>
            <w:r>
              <w:rPr>
                <w:rFonts w:hint="default" w:ascii="Times New Roman" w:hAnsi="Times New Roman" w:eastAsia="宋体" w:cs="Times New Roman"/>
                <w:b w:val="0"/>
                <w:bCs w:val="0"/>
                <w:color w:val="auto"/>
                <w:sz w:val="24"/>
                <w:szCs w:val="24"/>
                <w:highlight w:val="none"/>
                <w:lang w:val="en-US" w:eastAsia="zh-CN"/>
              </w:rPr>
              <w:t>项目坐标涉及生态环境管控单元与环境管控详情</w:t>
            </w:r>
            <w:r>
              <w:rPr>
                <w:rFonts w:hint="eastAsia" w:ascii="Times New Roman" w:hAnsi="Times New Roman" w:eastAsia="宋体" w:cs="Times New Roman"/>
                <w:b w:val="0"/>
                <w:bCs w:val="0"/>
                <w:color w:val="auto"/>
                <w:sz w:val="24"/>
                <w:szCs w:val="24"/>
                <w:highlight w:val="none"/>
                <w:lang w:val="en-US" w:eastAsia="zh-CN"/>
              </w:rPr>
              <w:t>查询（详见</w:t>
            </w:r>
            <w:r>
              <w:rPr>
                <w:rFonts w:hint="default" w:ascii="Times New Roman" w:hAnsi="Times New Roman" w:eastAsia="宋体" w:cs="Times New Roman"/>
                <w:b w:val="0"/>
                <w:bCs w:val="0"/>
                <w:color w:val="auto"/>
                <w:sz w:val="24"/>
                <w:szCs w:val="24"/>
                <w:highlight w:val="none"/>
                <w:lang w:val="en-US" w:eastAsia="zh-CN"/>
              </w:rPr>
              <w:t>附件10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eastAsia" w:ascii="Times New Roman" w:hAnsi="Times New Roman" w:eastAsia="宋体" w:cs="Times New Roman"/>
                <w:b w:val="0"/>
                <w:bCs w:val="0"/>
                <w:color w:val="auto"/>
                <w:sz w:val="24"/>
                <w:szCs w:val="24"/>
                <w:highlight w:val="none"/>
                <w:lang w:val="en-US" w:eastAsia="zh-CN"/>
              </w:rPr>
              <w:t>位于</w:t>
            </w:r>
            <w:r>
              <w:rPr>
                <w:rFonts w:hint="default" w:ascii="Times New Roman" w:hAnsi="Times New Roman" w:eastAsia="宋体" w:cs="Times New Roman"/>
                <w:b w:val="0"/>
                <w:bCs w:val="0"/>
                <w:color w:val="auto"/>
                <w:sz w:val="24"/>
                <w:szCs w:val="24"/>
                <w:highlight w:val="none"/>
                <w:lang w:val="en-US" w:eastAsia="zh-CN"/>
              </w:rPr>
              <w:t>易门县产业园区重点管控单元</w:t>
            </w:r>
            <w:r>
              <w:rPr>
                <w:rFonts w:hint="eastAsia" w:ascii="Times New Roman" w:hAnsi="Times New Roman" w:eastAsia="宋体" w:cs="Times New Roman"/>
                <w:b w:val="0"/>
                <w:bCs w:val="0"/>
                <w:color w:val="auto"/>
                <w:sz w:val="24"/>
                <w:szCs w:val="24"/>
                <w:highlight w:val="none"/>
                <w:lang w:val="en-US" w:eastAsia="zh-CN"/>
              </w:rPr>
              <w:t>（ZH53042520001）</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项目与其相符性</w:t>
            </w:r>
            <w:r>
              <w:rPr>
                <w:rFonts w:hint="default" w:ascii="Times New Roman" w:hAnsi="Times New Roman" w:eastAsia="宋体" w:cs="Times New Roman"/>
                <w:color w:val="auto"/>
                <w:sz w:val="24"/>
                <w:szCs w:val="24"/>
                <w:highlight w:val="none"/>
                <w:lang w:val="en-US" w:eastAsia="zh-CN"/>
              </w:rPr>
              <w:t>具体</w:t>
            </w:r>
            <w:r>
              <w:rPr>
                <w:rFonts w:hint="default" w:ascii="Times New Roman" w:hAnsi="Times New Roman" w:eastAsia="宋体" w:cs="Times New Roman"/>
                <w:color w:val="auto"/>
                <w:sz w:val="24"/>
                <w:szCs w:val="24"/>
                <w:highlight w:val="none"/>
              </w:rPr>
              <w:t>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b w:val="0"/>
                <w:bCs w:val="0"/>
                <w:color w:val="auto"/>
                <w:kern w:val="0"/>
                <w:sz w:val="24"/>
                <w:szCs w:val="24"/>
                <w:highlight w:val="none"/>
                <w:lang w:val="en-US" w:eastAsia="zh-CN"/>
              </w:rPr>
              <w:t>。</w:t>
            </w:r>
          </w:p>
          <w:p w14:paraId="39C01B97">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表1-4  与玉溪市生态环境分区管控动态更新调整方案符合性分析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280"/>
              <w:gridCol w:w="2018"/>
              <w:gridCol w:w="671"/>
            </w:tblGrid>
            <w:tr w14:paraId="3C07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14:paraId="28DBF679">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类别</w:t>
                  </w:r>
                </w:p>
              </w:tc>
              <w:tc>
                <w:tcPr>
                  <w:tcW w:w="3280" w:type="dxa"/>
                  <w:vAlign w:val="center"/>
                </w:tcPr>
                <w:p w14:paraId="25B64738">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更新调整方案内容</w:t>
                  </w:r>
                </w:p>
              </w:tc>
              <w:tc>
                <w:tcPr>
                  <w:tcW w:w="2018" w:type="dxa"/>
                  <w:vAlign w:val="center"/>
                </w:tcPr>
                <w:p w14:paraId="411C36B0">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本项目情况</w:t>
                  </w:r>
                </w:p>
              </w:tc>
              <w:tc>
                <w:tcPr>
                  <w:tcW w:w="671" w:type="dxa"/>
                  <w:vAlign w:val="center"/>
                </w:tcPr>
                <w:p w14:paraId="171C13A5">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相符性</w:t>
                  </w:r>
                </w:p>
              </w:tc>
            </w:tr>
            <w:tr w14:paraId="3C92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14:paraId="6C9F8586">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空间布局约束</w:t>
                  </w:r>
                </w:p>
              </w:tc>
              <w:tc>
                <w:tcPr>
                  <w:tcW w:w="3280" w:type="dxa"/>
                  <w:shd w:val="clear" w:color="auto" w:fill="auto"/>
                  <w:vAlign w:val="center"/>
                </w:tcPr>
                <w:p w14:paraId="2EF371C9">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1.合理规划产业分区和功能定位，禁止不符合产业政策、产业结构调整指导目录和园区规划要求的项目入园区。新建、扩建金属冶炼项目大气污染物鼓励实施超低排放要求，“两高”项目实行主要污染物区域削减替代。</w:t>
                  </w:r>
                </w:p>
                <w:p w14:paraId="0F62DD84">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2.居民集中区周边禁止布局重污染企业，园区内工业用地与人口密集区应合理设置绿化隔离带。</w:t>
                  </w:r>
                </w:p>
                <w:p w14:paraId="13E7675D">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3.六街片区优化布局，企业与翠柏自然保护区边界预留5米缓冲地带。</w:t>
                  </w:r>
                </w:p>
                <w:p w14:paraId="29E1326D">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4.麦子田片区布局重污染企业远离六街街道居民集中区。</w:t>
                  </w:r>
                </w:p>
                <w:p w14:paraId="24B30454">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5.大椿树片区控制传统陶瓷业，鼓励产业链延伸，加大中高档产品的开发布局；鼓励粗铜精深加工，大力发展下游产品的发展。</w:t>
                  </w:r>
                </w:p>
                <w:p w14:paraId="52E8246B">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aps w:val="0"/>
                      <w:smallCaps w:val="0"/>
                      <w:color w:val="auto"/>
                      <w:kern w:val="0"/>
                      <w:sz w:val="21"/>
                      <w:szCs w:val="21"/>
                      <w:highlight w:val="none"/>
                      <w:lang w:bidi="ar"/>
                    </w:rPr>
                    <w:t>6.稀贵金属产业园尽量将主要污染装置避开大龙口组灰岩地层。</w:t>
                  </w:r>
                </w:p>
              </w:tc>
              <w:tc>
                <w:tcPr>
                  <w:tcW w:w="2018" w:type="dxa"/>
                  <w:vAlign w:val="center"/>
                </w:tcPr>
                <w:p w14:paraId="262D049E">
                  <w:pPr>
                    <w:pStyle w:val="27"/>
                    <w:keepNext w:val="0"/>
                    <w:keepLines w:val="0"/>
                    <w:pageBreakBefore w:val="0"/>
                    <w:widowControl w:val="0"/>
                    <w:numPr>
                      <w:ilvl w:val="0"/>
                      <w:numId w:val="0"/>
                    </w:numPr>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本项目位于云南易门产业园区麦子田片区，</w:t>
                  </w: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rPr>
                    <w:t>符合相关产业政策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项目不属于“两高”项目</w:t>
                  </w:r>
                  <w:r>
                    <w:rPr>
                      <w:rFonts w:hint="default" w:ascii="Times New Roman" w:hAnsi="Times New Roman" w:eastAsia="宋体" w:cs="Times New Roman"/>
                      <w:color w:val="auto"/>
                      <w:kern w:val="0"/>
                      <w:sz w:val="21"/>
                      <w:szCs w:val="21"/>
                      <w:highlight w:val="none"/>
                    </w:rPr>
                    <w:t>。</w:t>
                  </w:r>
                </w:p>
                <w:p w14:paraId="6F6AD5E8">
                  <w:pPr>
                    <w:keepNext w:val="0"/>
                    <w:keepLines w:val="0"/>
                    <w:pageBreakBefore w:val="0"/>
                    <w:widowControl w:val="0"/>
                    <w:numPr>
                      <w:ilvl w:val="0"/>
                      <w:numId w:val="0"/>
                    </w:numPr>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kern w:val="0"/>
                      <w:sz w:val="21"/>
                      <w:szCs w:val="21"/>
                      <w:highlight w:val="none"/>
                    </w:rPr>
                    <w:t>项目</w:t>
                  </w:r>
                  <w:r>
                    <w:rPr>
                      <w:rFonts w:hint="default" w:ascii="Times New Roman" w:hAnsi="Times New Roman" w:eastAsia="宋体" w:cs="Times New Roman"/>
                      <w:color w:val="auto"/>
                      <w:kern w:val="0"/>
                      <w:sz w:val="21"/>
                      <w:szCs w:val="21"/>
                      <w:highlight w:val="none"/>
                      <w:lang w:eastAsia="zh-CN"/>
                    </w:rPr>
                    <w:t>不属于重污染企业，距离</w:t>
                  </w:r>
                  <w:r>
                    <w:rPr>
                      <w:rFonts w:hint="default" w:ascii="Times New Roman" w:hAnsi="Times New Roman" w:eastAsia="宋体" w:cs="Times New Roman"/>
                      <w:color w:val="auto"/>
                      <w:kern w:val="0"/>
                      <w:sz w:val="21"/>
                      <w:szCs w:val="21"/>
                      <w:highlight w:val="none"/>
                      <w:lang w:bidi="ar"/>
                    </w:rPr>
                    <w:t>六街镇居民集中区较远</w:t>
                  </w:r>
                  <w:r>
                    <w:rPr>
                      <w:rFonts w:hint="default" w:ascii="Times New Roman" w:hAnsi="Times New Roman" w:eastAsia="宋体" w:cs="Times New Roman"/>
                      <w:color w:val="auto"/>
                      <w:kern w:val="0"/>
                      <w:sz w:val="21"/>
                      <w:szCs w:val="21"/>
                      <w:highlight w:val="none"/>
                      <w:lang w:eastAsia="zh-CN" w:bidi="ar"/>
                    </w:rPr>
                    <w:t>。</w:t>
                  </w:r>
                </w:p>
                <w:p w14:paraId="6554015E">
                  <w:pPr>
                    <w:pStyle w:val="27"/>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kern w:val="1"/>
                      <w:sz w:val="21"/>
                      <w:szCs w:val="21"/>
                      <w:highlight w:val="none"/>
                      <w:lang w:val="en-US" w:eastAsia="zh-CN"/>
                    </w:rPr>
                    <w:t>本项目位于麦子田片区，</w:t>
                  </w:r>
                  <w:r>
                    <w:rPr>
                      <w:rFonts w:hint="eastAsia" w:cs="Times New Roman"/>
                      <w:color w:val="auto"/>
                      <w:kern w:val="1"/>
                      <w:sz w:val="21"/>
                      <w:szCs w:val="21"/>
                      <w:highlight w:val="none"/>
                      <w:lang w:val="en-US" w:eastAsia="zh-CN"/>
                    </w:rPr>
                    <w:t>根据叠图分析（附图8），项目</w:t>
                  </w:r>
                  <w:r>
                    <w:rPr>
                      <w:rFonts w:hint="default" w:ascii="Times New Roman" w:hAnsi="Times New Roman" w:eastAsia="宋体" w:cs="Times New Roman"/>
                      <w:color w:val="auto"/>
                      <w:kern w:val="1"/>
                      <w:sz w:val="21"/>
                      <w:szCs w:val="21"/>
                      <w:highlight w:val="none"/>
                      <w:lang w:val="en-US" w:eastAsia="zh-CN"/>
                    </w:rPr>
                    <w:t>距离翠柏保护区约</w:t>
                  </w:r>
                  <w:r>
                    <w:rPr>
                      <w:rFonts w:hint="eastAsia" w:cs="Times New Roman"/>
                      <w:color w:val="auto"/>
                      <w:kern w:val="1"/>
                      <w:sz w:val="21"/>
                      <w:szCs w:val="21"/>
                      <w:highlight w:val="none"/>
                      <w:lang w:val="en-US" w:eastAsia="zh-CN"/>
                    </w:rPr>
                    <w:t>3.6</w:t>
                  </w:r>
                  <w:r>
                    <w:rPr>
                      <w:rFonts w:hint="default" w:ascii="Times New Roman" w:hAnsi="Times New Roman" w:eastAsia="宋体" w:cs="Times New Roman"/>
                      <w:color w:val="auto"/>
                      <w:kern w:val="1"/>
                      <w:sz w:val="21"/>
                      <w:szCs w:val="21"/>
                      <w:highlight w:val="none"/>
                      <w:lang w:val="en-US" w:eastAsia="zh-CN"/>
                    </w:rPr>
                    <w:t>km。</w:t>
                  </w:r>
                </w:p>
                <w:p w14:paraId="67AABB07">
                  <w:pPr>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kern w:val="1"/>
                      <w:sz w:val="21"/>
                      <w:szCs w:val="21"/>
                      <w:highlight w:val="none"/>
                      <w:lang w:val="en-US" w:eastAsia="zh-CN"/>
                    </w:rPr>
                    <w:t>4.项目不属于重污染企业，且距离六街街道居民集中区较远。</w:t>
                  </w:r>
                </w:p>
                <w:p w14:paraId="0D912DE8">
                  <w:pPr>
                    <w:pStyle w:val="27"/>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color w:val="auto"/>
                      <w:kern w:val="1"/>
                      <w:sz w:val="21"/>
                      <w:szCs w:val="21"/>
                      <w:highlight w:val="none"/>
                      <w:lang w:val="en-US" w:eastAsia="zh-CN"/>
                    </w:rPr>
                    <w:t>5.项目位于麦子田片区。</w:t>
                  </w:r>
                </w:p>
                <w:p w14:paraId="17315682">
                  <w:pPr>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1"/>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1"/>
                      <w:sz w:val="21"/>
                      <w:szCs w:val="21"/>
                      <w:highlight w:val="none"/>
                      <w:lang w:val="en-US" w:eastAsia="zh-CN"/>
                    </w:rPr>
                    <w:t>不属于稀贵金属产业。</w:t>
                  </w:r>
                </w:p>
              </w:tc>
              <w:tc>
                <w:tcPr>
                  <w:tcW w:w="671" w:type="dxa"/>
                  <w:vAlign w:val="center"/>
                </w:tcPr>
                <w:p w14:paraId="0E51AEB3">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419F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14:paraId="6AE17C17">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污染物排放管控</w:t>
                  </w:r>
                </w:p>
              </w:tc>
              <w:tc>
                <w:tcPr>
                  <w:tcW w:w="3280" w:type="dxa"/>
                  <w:shd w:val="clear" w:color="auto" w:fill="auto"/>
                  <w:vAlign w:val="center"/>
                </w:tcPr>
                <w:p w14:paraId="2242AA0A">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1.积极开展区域地表水环境综合整治，加强园区清污分流、雨污分流系统建设，提高生活污水的截污率，为产业布局腾出环境容量。</w:t>
                  </w:r>
                </w:p>
                <w:p w14:paraId="585E7237">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2.生产废水由企业自行建设废水处理站处理后，回用于生产，严禁外排；生活污水经处理达三级污水综合排放标准后排入各片区污水处理厂处理，园区应加快污水处理设施及配套管网建设，确保产业园区废水处理率达到100%。除园区污水处理厂入河排污口外，不新设、改设或者扩大排污口，园区污水处理厂必须处理达到《城镇污水处理厂污染物排放标准》（GB18918</w:t>
                  </w:r>
                  <w:r>
                    <w:rPr>
                      <w:rFonts w:hint="default" w:ascii="Times New Roman" w:hAnsi="Times New Roman" w:eastAsia="宋体" w:cs="Times New Roman"/>
                      <w:caps w:val="0"/>
                      <w:smallCaps w:val="0"/>
                      <w:color w:val="auto"/>
                      <w:kern w:val="0"/>
                      <w:sz w:val="21"/>
                      <w:szCs w:val="21"/>
                      <w:highlight w:val="none"/>
                      <w:lang w:val="en-US" w:eastAsia="zh-CN" w:bidi="ar"/>
                    </w:rPr>
                    <w:t>-</w:t>
                  </w:r>
                  <w:r>
                    <w:rPr>
                      <w:rFonts w:hint="default" w:ascii="Times New Roman" w:hAnsi="Times New Roman" w:eastAsia="宋体" w:cs="Times New Roman"/>
                      <w:caps w:val="0"/>
                      <w:smallCaps w:val="0"/>
                      <w:color w:val="auto"/>
                      <w:kern w:val="0"/>
                      <w:sz w:val="21"/>
                      <w:szCs w:val="21"/>
                      <w:highlight w:val="none"/>
                      <w:lang w:bidi="ar"/>
                    </w:rPr>
                    <w:t>2002）一级A标后达标外排。</w:t>
                  </w:r>
                </w:p>
                <w:p w14:paraId="1E7148F9">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val="en-US" w:eastAsia="zh-CN" w:bidi="ar-SA"/>
                    </w:rPr>
                  </w:pPr>
                  <w:r>
                    <w:rPr>
                      <w:rFonts w:hint="default" w:ascii="Times New Roman" w:hAnsi="Times New Roman" w:eastAsia="宋体" w:cs="Times New Roman"/>
                      <w:caps w:val="0"/>
                      <w:smallCaps w:val="0"/>
                      <w:color w:val="auto"/>
                      <w:kern w:val="0"/>
                      <w:sz w:val="21"/>
                      <w:szCs w:val="21"/>
                      <w:highlight w:val="none"/>
                      <w:lang w:bidi="ar"/>
                    </w:rPr>
                    <w:t>3.现有重污染企业要开展技术升级改造和环保设施提标改造，减少污染排放。</w:t>
                  </w:r>
                </w:p>
              </w:tc>
              <w:tc>
                <w:tcPr>
                  <w:tcW w:w="2018" w:type="dxa"/>
                  <w:vAlign w:val="center"/>
                </w:tcPr>
                <w:p w14:paraId="6B39A0F0">
                  <w:pPr>
                    <w:pStyle w:val="27"/>
                    <w:keepNext w:val="0"/>
                    <w:keepLines w:val="0"/>
                    <w:pageBreakBefore w:val="0"/>
                    <w:widowControl w:val="0"/>
                    <w:numPr>
                      <w:ilvl w:val="0"/>
                      <w:numId w:val="0"/>
                    </w:numPr>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1.项目实行雨污分流，</w:t>
                  </w:r>
                  <w:r>
                    <w:rPr>
                      <w:rFonts w:hint="default" w:ascii="Times New Roman" w:hAnsi="Times New Roman" w:eastAsia="宋体" w:cs="Times New Roman"/>
                      <w:strike w:val="0"/>
                      <w:dstrike w:val="0"/>
                      <w:color w:val="auto"/>
                      <w:kern w:val="0"/>
                      <w:sz w:val="21"/>
                      <w:szCs w:val="21"/>
                      <w:highlight w:val="none"/>
                    </w:rPr>
                    <w:t>员工</w:t>
                  </w:r>
                  <w:r>
                    <w:rPr>
                      <w:rFonts w:hint="default" w:ascii="Times New Roman" w:hAnsi="Times New Roman" w:eastAsia="宋体" w:cs="Times New Roman"/>
                      <w:strike w:val="0"/>
                      <w:dstrike w:val="0"/>
                      <w:color w:val="auto"/>
                      <w:kern w:val="0"/>
                      <w:sz w:val="21"/>
                      <w:szCs w:val="21"/>
                      <w:highlight w:val="none"/>
                      <w:lang w:eastAsia="zh-CN"/>
                    </w:rPr>
                    <w:t>产生生活污水</w:t>
                  </w:r>
                  <w:r>
                    <w:rPr>
                      <w:rFonts w:hint="default" w:ascii="Times New Roman" w:hAnsi="Times New Roman" w:eastAsia="宋体" w:cs="Times New Roman"/>
                      <w:strike w:val="0"/>
                      <w:dstrike w:val="0"/>
                      <w:color w:val="auto"/>
                      <w:kern w:val="0"/>
                      <w:sz w:val="21"/>
                      <w:szCs w:val="21"/>
                      <w:highlight w:val="none"/>
                      <w:lang w:val="en-US" w:eastAsia="zh-CN"/>
                    </w:rPr>
                    <w:t>经</w:t>
                  </w:r>
                  <w:r>
                    <w:rPr>
                      <w:rFonts w:hint="default" w:ascii="Times New Roman" w:hAnsi="Times New Roman" w:eastAsia="宋体" w:cs="Times New Roman"/>
                      <w:strike w:val="0"/>
                      <w:dstrike w:val="0"/>
                      <w:color w:val="auto"/>
                      <w:kern w:val="0"/>
                      <w:sz w:val="21"/>
                      <w:szCs w:val="21"/>
                      <w:highlight w:val="none"/>
                      <w:lang w:eastAsia="zh-CN"/>
                    </w:rPr>
                    <w:t>化粪池处理，处理达标后排入园区污水管网，最后进入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vertAlign w:val="baseline"/>
                      <w:lang w:val="en-US" w:eastAsia="zh-CN"/>
                    </w:rPr>
                    <w:t>。</w:t>
                  </w:r>
                </w:p>
                <w:p w14:paraId="3551CAAE">
                  <w:pPr>
                    <w:keepNext w:val="0"/>
                    <w:keepLines w:val="0"/>
                    <w:pageBreakBefore w:val="0"/>
                    <w:widowControl w:val="0"/>
                    <w:numPr>
                      <w:ilvl w:val="0"/>
                      <w:numId w:val="0"/>
                    </w:numPr>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w:t>
                  </w:r>
                  <w:r>
                    <w:rPr>
                      <w:rFonts w:hint="eastAsia" w:cs="Times New Roman"/>
                      <w:strike w:val="0"/>
                      <w:dstrike w:val="0"/>
                      <w:color w:val="auto"/>
                      <w:kern w:val="0"/>
                      <w:sz w:val="21"/>
                      <w:szCs w:val="21"/>
                      <w:highlight w:val="none"/>
                      <w:lang w:val="en-US" w:eastAsia="zh-CN"/>
                    </w:rPr>
                    <w:t>后</w:t>
                  </w:r>
                  <w:r>
                    <w:rPr>
                      <w:rFonts w:hint="default" w:ascii="Times New Roman" w:hAnsi="Times New Roman" w:eastAsia="宋体" w:cs="Times New Roman"/>
                      <w:strike w:val="0"/>
                      <w:dstrike w:val="0"/>
                      <w:color w:val="auto"/>
                      <w:kern w:val="0"/>
                      <w:sz w:val="21"/>
                      <w:szCs w:val="21"/>
                      <w:highlight w:val="none"/>
                      <w:lang w:eastAsia="zh-CN"/>
                    </w:rPr>
                    <w:t>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lang w:val="en-US" w:eastAsia="zh-CN"/>
                    </w:rPr>
                    <w:t>。</w:t>
                  </w:r>
                </w:p>
                <w:p w14:paraId="167951C8">
                  <w:pPr>
                    <w:pStyle w:val="27"/>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3.本项目主要进行烫钻生产，属于非金属矿物制品业，不属于重污染企业。</w:t>
                  </w:r>
                </w:p>
              </w:tc>
              <w:tc>
                <w:tcPr>
                  <w:tcW w:w="671" w:type="dxa"/>
                  <w:vAlign w:val="center"/>
                </w:tcPr>
                <w:p w14:paraId="0518B2A0">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2B89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14:paraId="4F01E400">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环境风险防控</w:t>
                  </w:r>
                </w:p>
              </w:tc>
              <w:tc>
                <w:tcPr>
                  <w:tcW w:w="3280" w:type="dxa"/>
                  <w:shd w:val="clear" w:color="auto" w:fill="auto"/>
                  <w:vAlign w:val="center"/>
                </w:tcPr>
                <w:p w14:paraId="0EFB9F15">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1.靠近城区居民分布密集区周边区域不宜布置日常储量构成重大危险源的使用危险化学品的项目。</w:t>
                  </w:r>
                </w:p>
                <w:p w14:paraId="382E3462">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2.各片区应注重液氨和天然气等危险化学品的贮存和风险防范，其最大可信事故半致死浓度范围内不得有居民点存在。</w:t>
                  </w:r>
                </w:p>
                <w:p w14:paraId="36893BEB">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bidi="ar"/>
                    </w:rPr>
                  </w:pPr>
                  <w:r>
                    <w:rPr>
                      <w:rFonts w:hint="default" w:ascii="Times New Roman" w:hAnsi="Times New Roman" w:eastAsia="宋体" w:cs="Times New Roman"/>
                      <w:caps w:val="0"/>
                      <w:smallCaps w:val="0"/>
                      <w:color w:val="auto"/>
                      <w:kern w:val="0"/>
                      <w:sz w:val="21"/>
                      <w:szCs w:val="21"/>
                      <w:highlight w:val="none"/>
                      <w:lang w:bidi="ar"/>
                    </w:rPr>
                    <w:t>3.对于进驻园区项目在选址布局时要充分考虑卫生防护距离的要求。</w:t>
                  </w:r>
                </w:p>
                <w:p w14:paraId="1B74A9C6">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val="en-US" w:eastAsia="zh-CN" w:bidi="ar-SA"/>
                    </w:rPr>
                  </w:pPr>
                  <w:r>
                    <w:rPr>
                      <w:rFonts w:hint="default" w:ascii="Times New Roman" w:hAnsi="Times New Roman" w:eastAsia="宋体" w:cs="Times New Roman"/>
                      <w:caps w:val="0"/>
                      <w:smallCaps w:val="0"/>
                      <w:color w:val="auto"/>
                      <w:kern w:val="0"/>
                      <w:sz w:val="21"/>
                      <w:szCs w:val="21"/>
                      <w:highlight w:val="none"/>
                      <w:lang w:bidi="ar"/>
                    </w:rPr>
                    <w:t>4.制定突发环境事件应急预案，完善风险管理机制，加强风险控制防范。建立区域环境监测制度，加强规划实施的跟踪监测与管理。</w:t>
                  </w:r>
                </w:p>
              </w:tc>
              <w:tc>
                <w:tcPr>
                  <w:tcW w:w="2018" w:type="dxa"/>
                  <w:vAlign w:val="center"/>
                </w:tcPr>
                <w:p w14:paraId="1DBD2AC1">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1.项目位于易门产业园区麦子田片区，不属于靠近</w:t>
                  </w:r>
                  <w:r>
                    <w:rPr>
                      <w:rFonts w:hint="default" w:ascii="Times New Roman" w:hAnsi="Times New Roman" w:eastAsia="宋体" w:cs="Times New Roman"/>
                      <w:caps w:val="0"/>
                      <w:smallCaps w:val="0"/>
                      <w:color w:val="auto"/>
                      <w:kern w:val="0"/>
                      <w:sz w:val="21"/>
                      <w:szCs w:val="21"/>
                      <w:highlight w:val="none"/>
                      <w:lang w:bidi="ar"/>
                    </w:rPr>
                    <w:t>城区居民分布密集区</w:t>
                  </w:r>
                  <w:r>
                    <w:rPr>
                      <w:rFonts w:hint="default" w:ascii="Times New Roman" w:hAnsi="Times New Roman" w:eastAsia="宋体" w:cs="Times New Roman"/>
                      <w:caps w:val="0"/>
                      <w:smallCaps w:val="0"/>
                      <w:color w:val="auto"/>
                      <w:kern w:val="0"/>
                      <w:sz w:val="21"/>
                      <w:szCs w:val="21"/>
                      <w:highlight w:val="none"/>
                      <w:lang w:eastAsia="zh-CN" w:bidi="ar"/>
                    </w:rPr>
                    <w:t>，</w:t>
                  </w:r>
                  <w:r>
                    <w:rPr>
                      <w:rFonts w:hint="default" w:ascii="Times New Roman" w:hAnsi="Times New Roman" w:eastAsia="宋体" w:cs="Times New Roman"/>
                      <w:color w:val="auto"/>
                      <w:sz w:val="21"/>
                      <w:szCs w:val="21"/>
                      <w:highlight w:val="none"/>
                      <w:vertAlign w:val="baseline"/>
                      <w:lang w:val="en-US" w:eastAsia="zh-CN"/>
                    </w:rPr>
                    <w:t>且不涉及危险化学品。</w:t>
                  </w:r>
                </w:p>
                <w:p w14:paraId="77CE0570">
                  <w:pPr>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2.项目不使用天然气及液氨等危险化学品。</w:t>
                  </w:r>
                </w:p>
                <w:p w14:paraId="3C278661">
                  <w:pPr>
                    <w:pStyle w:val="27"/>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3.项目不设置卫生防护距离。</w:t>
                  </w:r>
                </w:p>
                <w:p w14:paraId="12DDA66F">
                  <w:pPr>
                    <w:keepNext w:val="0"/>
                    <w:keepLines w:val="0"/>
                    <w:pageBreakBefore w:val="0"/>
                    <w:widowControl w:val="0"/>
                    <w:kinsoku/>
                    <w:wordWrap/>
                    <w:overflowPunct/>
                    <w:topLinePunct/>
                    <w:autoSpaceDE w:val="0"/>
                    <w:autoSpaceDN/>
                    <w:bidi w:val="0"/>
                    <w:adjustRightInd/>
                    <w:snapToGrid/>
                    <w:ind w:firstLine="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4.项目建成后应及时编制完成</w:t>
                  </w:r>
                  <w:r>
                    <w:rPr>
                      <w:rFonts w:hint="default" w:ascii="Times New Roman" w:hAnsi="Times New Roman" w:eastAsia="宋体" w:cs="Times New Roman"/>
                      <w:i w:val="0"/>
                      <w:iCs w:val="0"/>
                      <w:caps w:val="0"/>
                      <w:color w:val="auto"/>
                      <w:spacing w:val="0"/>
                      <w:sz w:val="21"/>
                      <w:szCs w:val="21"/>
                      <w:highlight w:val="none"/>
                      <w:shd w:val="clear" w:fill="FFFFFF"/>
                    </w:rPr>
                    <w:t>突发环境事件应急预案</w:t>
                  </w:r>
                  <w:r>
                    <w:rPr>
                      <w:rFonts w:hint="default" w:ascii="Times New Roman" w:hAnsi="Times New Roman" w:eastAsia="宋体" w:cs="Times New Roman"/>
                      <w:i w:val="0"/>
                      <w:iCs w:val="0"/>
                      <w:caps w:val="0"/>
                      <w:color w:val="auto"/>
                      <w:spacing w:val="0"/>
                      <w:sz w:val="21"/>
                      <w:szCs w:val="21"/>
                      <w:highlight w:val="none"/>
                      <w:shd w:val="clear" w:fill="FFFFFF"/>
                      <w:lang w:eastAsia="zh-CN"/>
                    </w:rPr>
                    <w:t>，并完成备案。</w:t>
                  </w:r>
                </w:p>
              </w:tc>
              <w:tc>
                <w:tcPr>
                  <w:tcW w:w="671" w:type="dxa"/>
                  <w:vAlign w:val="center"/>
                </w:tcPr>
                <w:p w14:paraId="6ADCD1A9">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1C42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14:paraId="686204C3">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资源开发效率要求</w:t>
                  </w:r>
                </w:p>
              </w:tc>
              <w:tc>
                <w:tcPr>
                  <w:tcW w:w="3280" w:type="dxa"/>
                  <w:shd w:val="clear" w:color="auto" w:fill="auto"/>
                  <w:vAlign w:val="center"/>
                </w:tcPr>
                <w:p w14:paraId="2E9849C6">
                  <w:pPr>
                    <w:keepNext w:val="0"/>
                    <w:keepLines w:val="0"/>
                    <w:pageBreakBefore w:val="0"/>
                    <w:widowControl/>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aps w:val="0"/>
                      <w:smallCaps w:val="0"/>
                      <w:color w:val="auto"/>
                      <w:kern w:val="0"/>
                      <w:sz w:val="21"/>
                      <w:szCs w:val="21"/>
                      <w:highlight w:val="none"/>
                      <w:lang w:val="en-US" w:eastAsia="zh-CN" w:bidi="ar-SA"/>
                    </w:rPr>
                  </w:pPr>
                  <w:r>
                    <w:rPr>
                      <w:rFonts w:hint="default" w:ascii="Times New Roman" w:hAnsi="Times New Roman" w:eastAsia="宋体" w:cs="Times New Roman"/>
                      <w:caps w:val="0"/>
                      <w:smallCaps w:val="0"/>
                      <w:color w:val="auto"/>
                      <w:kern w:val="0"/>
                      <w:sz w:val="21"/>
                      <w:szCs w:val="21"/>
                      <w:highlight w:val="none"/>
                      <w:lang w:bidi="ar"/>
                    </w:rPr>
                    <w:t>工业用水循环利用率达90%以上。加大中水回用力度，完善中水管网建设，要求除食品行业外，其他工业企业的中水回用率要求达40%。</w:t>
                  </w:r>
                </w:p>
              </w:tc>
              <w:tc>
                <w:tcPr>
                  <w:tcW w:w="2018" w:type="dxa"/>
                  <w:vAlign w:val="center"/>
                </w:tcPr>
                <w:p w14:paraId="3627586B">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项目工业用水循环率为</w:t>
                  </w:r>
                  <w:r>
                    <w:rPr>
                      <w:rFonts w:hint="eastAsia" w:cs="Times New Roman"/>
                      <w:color w:val="auto"/>
                      <w:sz w:val="21"/>
                      <w:szCs w:val="21"/>
                      <w:highlight w:val="none"/>
                      <w:vertAlign w:val="baseline"/>
                      <w:lang w:val="en-US" w:eastAsia="zh-CN"/>
                    </w:rPr>
                    <w:t>92.05</w:t>
                  </w:r>
                  <w:r>
                    <w:rPr>
                      <w:rFonts w:hint="default" w:ascii="Times New Roman" w:hAnsi="Times New Roman" w:eastAsia="宋体" w:cs="Times New Roman"/>
                      <w:color w:val="auto"/>
                      <w:sz w:val="21"/>
                      <w:szCs w:val="21"/>
                      <w:highlight w:val="none"/>
                      <w:vertAlign w:val="baseline"/>
                      <w:lang w:val="en-US" w:eastAsia="zh-CN"/>
                    </w:rPr>
                    <w:t>%，不涉及中水回用。</w:t>
                  </w:r>
                </w:p>
              </w:tc>
              <w:tc>
                <w:tcPr>
                  <w:tcW w:w="671" w:type="dxa"/>
                  <w:vAlign w:val="center"/>
                </w:tcPr>
                <w:p w14:paraId="1C24B422">
                  <w:pPr>
                    <w:pStyle w:val="27"/>
                    <w:keepNext w:val="0"/>
                    <w:keepLines w:val="0"/>
                    <w:pageBreakBefore w:val="0"/>
                    <w:widowControl w:val="0"/>
                    <w:kinsoku/>
                    <w:wordWrap/>
                    <w:overflowPunct/>
                    <w:topLinePunct/>
                    <w:autoSpaceDE w:val="0"/>
                    <w:autoSpaceDN/>
                    <w:bidi w:val="0"/>
                    <w:adjustRightInd/>
                    <w:snapToGrid/>
                    <w:spacing w:after="0" w:line="240" w:lineRule="auto"/>
                    <w:ind w:firstLine="0"/>
                    <w:jc w:val="both"/>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bl>
          <w:p w14:paraId="2DBBD5D9">
            <w:pPr>
              <w:pStyle w:val="27"/>
              <w:keepNext w:val="0"/>
              <w:keepLines w:val="0"/>
              <w:pageBreakBefore w:val="0"/>
              <w:widowControl w:val="0"/>
              <w:kinsoku/>
              <w:wordWrap/>
              <w:overflowPunct/>
              <w:topLinePunct/>
              <w:autoSpaceDE w:val="0"/>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aps w:val="0"/>
                <w:smallCaps w:val="0"/>
                <w:color w:val="auto"/>
                <w:sz w:val="24"/>
                <w:szCs w:val="24"/>
                <w:highlight w:val="none"/>
                <w:lang w:val="en-US" w:eastAsia="zh-CN"/>
              </w:rPr>
              <w:t>根据分析，</w:t>
            </w:r>
            <w:r>
              <w:rPr>
                <w:rFonts w:hint="default" w:ascii="Times New Roman" w:hAnsi="Times New Roman" w:eastAsia="宋体" w:cs="Times New Roman"/>
                <w:color w:val="auto"/>
                <w:sz w:val="24"/>
                <w:szCs w:val="24"/>
                <w:highlight w:val="none"/>
              </w:rPr>
              <w:t>本项目符合《</w:t>
            </w:r>
            <w:r>
              <w:rPr>
                <w:rFonts w:hint="default" w:ascii="Times New Roman" w:hAnsi="Times New Roman" w:eastAsia="宋体" w:cs="Times New Roman"/>
                <w:color w:val="auto"/>
                <w:sz w:val="24"/>
                <w:szCs w:val="24"/>
                <w:highlight w:val="none"/>
                <w:lang w:eastAsia="zh-CN"/>
              </w:rPr>
              <w:t>玉溪市生态环境局关于印发玉溪市生态环境分区管控动态更新调整方案（</w:t>
            </w:r>
            <w:r>
              <w:rPr>
                <w:rFonts w:hint="default" w:ascii="Times New Roman" w:hAnsi="Times New Roman" w:eastAsia="宋体" w:cs="Times New Roman"/>
                <w:color w:val="auto"/>
                <w:sz w:val="24"/>
                <w:szCs w:val="24"/>
                <w:highlight w:val="none"/>
                <w:lang w:val="en-US" w:eastAsia="zh-CN"/>
              </w:rPr>
              <w:t>2023年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的通知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aps w:val="0"/>
                <w:smallCaps w:val="0"/>
                <w:color w:val="auto"/>
                <w:sz w:val="24"/>
                <w:szCs w:val="24"/>
                <w:highlight w:val="none"/>
                <w:lang w:val="en-US" w:eastAsia="zh-CN"/>
              </w:rPr>
              <w:t>（玉市环〔2024〕40号）</w:t>
            </w:r>
            <w:r>
              <w:rPr>
                <w:rFonts w:hint="default" w:ascii="Times New Roman" w:hAnsi="Times New Roman" w:eastAsia="宋体" w:cs="Times New Roman"/>
                <w:color w:val="auto"/>
                <w:sz w:val="24"/>
                <w:szCs w:val="24"/>
                <w:highlight w:val="none"/>
              </w:rPr>
              <w:t>中的相关要求。</w:t>
            </w:r>
          </w:p>
          <w:p w14:paraId="64075E41">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3.</w:t>
            </w:r>
            <w:r>
              <w:rPr>
                <w:rFonts w:hint="default" w:ascii="Times New Roman" w:hAnsi="Times New Roman" w:eastAsia="宋体" w:cs="Times New Roman"/>
                <w:b/>
                <w:bCs/>
                <w:color w:val="auto"/>
                <w:kern w:val="0"/>
                <w:sz w:val="24"/>
                <w:szCs w:val="24"/>
                <w:highlight w:val="none"/>
                <w:lang w:val="en-US" w:eastAsia="zh-CN"/>
              </w:rPr>
              <w:t>与《挥发性有机物污染防治技术政策》符合性分析</w:t>
            </w:r>
          </w:p>
          <w:p w14:paraId="3F35C2FF">
            <w:pPr>
              <w:pStyle w:val="28"/>
              <w:keepNext w:val="0"/>
              <w:keepLines w:val="0"/>
              <w:pageBreakBefore w:val="0"/>
              <w:widowControl w:val="0"/>
              <w:kinsoku/>
              <w:wordWrap/>
              <w:overflowPunct/>
              <w:topLinePunct/>
              <w:autoSpaceDE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项目与《挥发性有机物污染防治技术政策》（</w:t>
            </w:r>
            <w:r>
              <w:rPr>
                <w:rFonts w:hint="default" w:ascii="Times New Roman" w:hAnsi="Times New Roman" w:eastAsia="宋体" w:cs="Times New Roman"/>
                <w:color w:val="auto"/>
                <w:sz w:val="24"/>
                <w:szCs w:val="24"/>
                <w:highlight w:val="none"/>
              </w:rPr>
              <w:t>公告2013年第31号</w:t>
            </w:r>
            <w:r>
              <w:rPr>
                <w:rFonts w:hint="default" w:ascii="Times New Roman" w:hAnsi="Times New Roman" w:eastAsia="宋体" w:cs="Times New Roman"/>
                <w:color w:val="auto"/>
                <w:sz w:val="24"/>
                <w:szCs w:val="24"/>
                <w:highlight w:val="none"/>
                <w:lang w:val="en-US" w:eastAsia="zh-CN"/>
              </w:rPr>
              <w:t>），具体</w:t>
            </w:r>
            <w:r>
              <w:rPr>
                <w:rFonts w:hint="default" w:ascii="Times New Roman" w:hAnsi="Times New Roman" w:eastAsia="宋体" w:cs="Times New Roman"/>
                <w:color w:val="auto"/>
                <w:sz w:val="24"/>
                <w:szCs w:val="24"/>
                <w:highlight w:val="none"/>
              </w:rPr>
              <w:t>符合性分析见下表</w:t>
            </w:r>
            <w:r>
              <w:rPr>
                <w:rFonts w:hint="default" w:ascii="Times New Roman" w:hAnsi="Times New Roman" w:eastAsia="宋体" w:cs="Times New Roman"/>
                <w:color w:val="auto"/>
                <w:sz w:val="24"/>
                <w:szCs w:val="24"/>
                <w:highlight w:val="none"/>
                <w:lang w:eastAsia="zh-CN"/>
              </w:rPr>
              <w:t>。</w:t>
            </w:r>
          </w:p>
          <w:p w14:paraId="2F3DA9E1">
            <w:pPr>
              <w:pStyle w:val="19"/>
              <w:keepNext w:val="0"/>
              <w:keepLines w:val="0"/>
              <w:pageBreakBefore w:val="0"/>
              <w:widowControl w:val="0"/>
              <w:tabs>
                <w:tab w:val="left" w:pos="1147"/>
              </w:tabs>
              <w:kinsoku/>
              <w:wordWrap/>
              <w:overflowPunct/>
              <w:topLinePunct/>
              <w:autoSpaceDE w:val="0"/>
              <w:autoSpaceDN/>
              <w:bidi w:val="0"/>
              <w:adjustRightInd w:val="0"/>
              <w:snapToGrid w:val="0"/>
              <w:spacing w:before="0" w:after="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1-5  </w:t>
            </w:r>
            <w:r>
              <w:rPr>
                <w:rFonts w:hint="default" w:ascii="Times New Roman" w:hAnsi="Times New Roman" w:eastAsia="宋体" w:cs="Times New Roman"/>
                <w:b/>
                <w:bCs/>
                <w:color w:val="auto"/>
                <w:sz w:val="21"/>
                <w:szCs w:val="21"/>
                <w:highlight w:val="none"/>
              </w:rPr>
              <w:t>与</w:t>
            </w:r>
            <w:r>
              <w:rPr>
                <w:rFonts w:hint="default" w:ascii="Times New Roman" w:hAnsi="Times New Roman" w:eastAsia="宋体" w:cs="Times New Roman"/>
                <w:b/>
                <w:bCs/>
                <w:color w:val="auto"/>
                <w:sz w:val="21"/>
                <w:szCs w:val="21"/>
                <w:highlight w:val="none"/>
                <w:lang w:val="en-US" w:eastAsia="zh-CN"/>
              </w:rPr>
              <w:t>挥发性有机物污染防治技术政策</w:t>
            </w:r>
            <w:r>
              <w:rPr>
                <w:rFonts w:hint="default" w:ascii="Times New Roman" w:hAnsi="Times New Roman" w:eastAsia="宋体" w:cs="Times New Roman"/>
                <w:b/>
                <w:bCs/>
                <w:color w:val="auto"/>
                <w:sz w:val="21"/>
                <w:szCs w:val="21"/>
                <w:highlight w:val="none"/>
              </w:rPr>
              <w:t>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5"/>
              <w:gridCol w:w="2975"/>
              <w:gridCol w:w="2433"/>
              <w:gridCol w:w="619"/>
            </w:tblGrid>
            <w:tr w14:paraId="3852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90" w:type="dxa"/>
                  <w:gridSpan w:val="2"/>
                  <w:noWrap w:val="0"/>
                  <w:vAlign w:val="center"/>
                </w:tcPr>
                <w:p w14:paraId="2B034E61">
                  <w:pPr>
                    <w:pStyle w:val="48"/>
                    <w:keepNext w:val="0"/>
                    <w:keepLines w:val="0"/>
                    <w:pageBreakBefore w:val="0"/>
                    <w:kinsoku/>
                    <w:wordWrap/>
                    <w:overflowPunct/>
                    <w:topLinePunct/>
                    <w:autoSpaceDE w:val="0"/>
                    <w:autoSpaceDN/>
                    <w:bidi w:val="0"/>
                    <w:adjustRightInd/>
                    <w:snapToGrid/>
                    <w:spacing w:befor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2447" w:type="dxa"/>
                  <w:noWrap w:val="0"/>
                  <w:vAlign w:val="center"/>
                </w:tcPr>
                <w:p w14:paraId="7C9A93B2">
                  <w:pPr>
                    <w:pStyle w:val="48"/>
                    <w:keepNext w:val="0"/>
                    <w:keepLines w:val="0"/>
                    <w:pageBreakBefore w:val="0"/>
                    <w:kinsoku/>
                    <w:wordWrap/>
                    <w:overflowPunct/>
                    <w:topLinePunct/>
                    <w:autoSpaceDE w:val="0"/>
                    <w:autoSpaceDN/>
                    <w:bidi w:val="0"/>
                    <w:adjustRightInd/>
                    <w:snapToGrid/>
                    <w:spacing w:befor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621" w:type="dxa"/>
                  <w:noWrap w:val="0"/>
                  <w:vAlign w:val="center"/>
                </w:tcPr>
                <w:p w14:paraId="6FF33710">
                  <w:pPr>
                    <w:pStyle w:val="48"/>
                    <w:keepNext w:val="0"/>
                    <w:keepLines w:val="0"/>
                    <w:pageBreakBefore w:val="0"/>
                    <w:kinsoku/>
                    <w:wordWrap/>
                    <w:overflowPunct/>
                    <w:topLinePunct/>
                    <w:autoSpaceDE w:val="0"/>
                    <w:autoSpaceDN/>
                    <w:bidi w:val="0"/>
                    <w:adjustRightInd/>
                    <w:snapToGrid/>
                    <w:spacing w:befor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相符</w:t>
                  </w:r>
                  <w:r>
                    <w:rPr>
                      <w:rFonts w:hint="default" w:ascii="Times New Roman" w:hAnsi="Times New Roman" w:eastAsia="宋体" w:cs="Times New Roman"/>
                      <w:b/>
                      <w:bCs/>
                      <w:color w:val="auto"/>
                      <w:sz w:val="21"/>
                      <w:szCs w:val="21"/>
                      <w:highlight w:val="none"/>
                      <w:lang w:eastAsia="zh-CN"/>
                    </w:rPr>
                    <w:t>性</w:t>
                  </w:r>
                </w:p>
              </w:tc>
            </w:tr>
            <w:tr w14:paraId="2442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restart"/>
                  <w:shd w:val="clear" w:color="auto" w:fill="auto"/>
                  <w:noWrap w:val="0"/>
                  <w:vAlign w:val="center"/>
                </w:tcPr>
                <w:p w14:paraId="59B13297">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源头和过程控制</w:t>
                  </w:r>
                </w:p>
              </w:tc>
              <w:tc>
                <w:tcPr>
                  <w:tcW w:w="2992" w:type="dxa"/>
                  <w:shd w:val="clear" w:color="auto" w:fill="auto"/>
                  <w:noWrap w:val="0"/>
                  <w:vAlign w:val="center"/>
                </w:tcPr>
                <w:p w14:paraId="7A855C9D">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鼓励使用通过环境标志产品认证的环保型涂料、油墨、胶粘剂和清洗剂。</w:t>
                  </w:r>
                </w:p>
              </w:tc>
              <w:tc>
                <w:tcPr>
                  <w:tcW w:w="2447" w:type="dxa"/>
                  <w:shd w:val="clear" w:color="auto" w:fill="auto"/>
                  <w:noWrap w:val="0"/>
                  <w:vAlign w:val="center"/>
                </w:tcPr>
                <w:p w14:paraId="11B26EA2">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不涉及使用涂料</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油墨</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胶粘剂和清洗剂，</w:t>
                  </w:r>
                  <w:r>
                    <w:rPr>
                      <w:rFonts w:hint="eastAsia" w:ascii="Times New Roman" w:hAnsi="Times New Roman" w:eastAsia="宋体" w:cs="Times New Roman"/>
                      <w:color w:val="auto"/>
                      <w:kern w:val="0"/>
                      <w:sz w:val="21"/>
                      <w:szCs w:val="21"/>
                      <w:highlight w:val="none"/>
                      <w:lang w:val="en-US" w:eastAsia="zh-CN" w:bidi="ar"/>
                    </w:rPr>
                    <w:t>项目主要吸塑片生产原料</w:t>
                  </w:r>
                  <w:r>
                    <w:rPr>
                      <w:rFonts w:hint="eastAsia" w:cs="Times New Roman"/>
                      <w:color w:val="auto"/>
                      <w:kern w:val="0"/>
                      <w:sz w:val="21"/>
                      <w:szCs w:val="21"/>
                      <w:highlight w:val="none"/>
                      <w:lang w:val="en-US" w:eastAsia="zh-CN" w:bidi="ar"/>
                    </w:rPr>
                    <w:t>（PVC）</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eastAsia" w:ascii="Times New Roman" w:hAnsi="Times New Roman" w:eastAsia="宋体" w:cs="Times New Roman"/>
                      <w:color w:val="auto"/>
                      <w:kern w:val="0"/>
                      <w:sz w:val="21"/>
                      <w:szCs w:val="21"/>
                      <w:highlight w:val="none"/>
                      <w:lang w:val="en-US" w:eastAsia="zh-CN" w:bidi="ar"/>
                    </w:rPr>
                    <w:t>产生的</w:t>
                  </w:r>
                  <w:r>
                    <w:rPr>
                      <w:rFonts w:hint="default" w:ascii="Times New Roman" w:hAnsi="Times New Roman" w:eastAsia="宋体" w:cs="Times New Roman"/>
                      <w:color w:val="auto"/>
                      <w:kern w:val="0"/>
                      <w:sz w:val="21"/>
                      <w:szCs w:val="21"/>
                      <w:highlight w:val="none"/>
                      <w:lang w:val="en-US" w:eastAsia="zh-CN" w:bidi="ar"/>
                    </w:rPr>
                    <w:t>挥发性有机物</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本次环评建议使用通过环境标志产品认证的</w:t>
                  </w:r>
                  <w:r>
                    <w:rPr>
                      <w:rFonts w:hint="eastAsia" w:cs="Times New Roman"/>
                      <w:color w:val="auto"/>
                      <w:kern w:val="0"/>
                      <w:sz w:val="21"/>
                      <w:szCs w:val="21"/>
                      <w:highlight w:val="none"/>
                      <w:lang w:val="en-US" w:eastAsia="zh-CN" w:bidi="ar"/>
                    </w:rPr>
                    <w:t>PVC树脂</w:t>
                  </w:r>
                  <w:r>
                    <w:rPr>
                      <w:rFonts w:hint="default" w:ascii="Times New Roman" w:hAnsi="Times New Roman" w:eastAsia="宋体" w:cs="Times New Roman"/>
                      <w:color w:val="auto"/>
                      <w:kern w:val="0"/>
                      <w:sz w:val="21"/>
                      <w:szCs w:val="21"/>
                      <w:highlight w:val="none"/>
                      <w:lang w:val="en-US" w:eastAsia="zh-CN" w:bidi="ar"/>
                    </w:rPr>
                    <w:t>。</w:t>
                  </w:r>
                </w:p>
              </w:tc>
              <w:tc>
                <w:tcPr>
                  <w:tcW w:w="621" w:type="dxa"/>
                  <w:noWrap w:val="0"/>
                  <w:vAlign w:val="center"/>
                </w:tcPr>
                <w:p w14:paraId="0CED8AD0">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2A41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noWrap w:val="0"/>
                  <w:vAlign w:val="center"/>
                </w:tcPr>
                <w:p w14:paraId="52AFC2DC">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noWrap w:val="0"/>
                  <w:vAlign w:val="center"/>
                </w:tcPr>
                <w:p w14:paraId="43630844">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2447" w:type="dxa"/>
                  <w:shd w:val="clear" w:color="auto" w:fill="auto"/>
                  <w:noWrap w:val="0"/>
                  <w:vAlign w:val="center"/>
                </w:tcPr>
                <w:p w14:paraId="7457E7B8">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本项目不涉及涂装工艺，运营期有机废气产生环节主要为</w:t>
                  </w:r>
                  <w:r>
                    <w:rPr>
                      <w:rFonts w:hint="eastAsia" w:cs="Times New Roman"/>
                      <w:color w:val="auto"/>
                      <w:kern w:val="0"/>
                      <w:sz w:val="21"/>
                      <w:szCs w:val="21"/>
                      <w:highlight w:val="none"/>
                      <w:lang w:val="en-US" w:eastAsia="zh-CN" w:bidi="ar"/>
                    </w:rPr>
                    <w:t>吸塑片生产</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工序，设置集气罩对有机废气进行收集，有机废气收集后进入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eastAsia="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621" w:type="dxa"/>
                  <w:noWrap w:val="0"/>
                  <w:vAlign w:val="center"/>
                </w:tcPr>
                <w:p w14:paraId="38612357">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73D6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2CDFFA50">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78C36537">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在印刷工艺中推广使用水性油墨，印铁制罐行业鼓励使用紫外光固化（UV）油墨，书刊印刷行业鼓励使用预涂膜技术。</w:t>
                  </w:r>
                </w:p>
              </w:tc>
              <w:tc>
                <w:tcPr>
                  <w:tcW w:w="2447" w:type="dxa"/>
                  <w:shd w:val="clear" w:color="auto" w:fill="auto"/>
                  <w:vAlign w:val="center"/>
                </w:tcPr>
                <w:p w14:paraId="7EC30165">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不涉及左侧内容。</w:t>
                  </w:r>
                </w:p>
              </w:tc>
              <w:tc>
                <w:tcPr>
                  <w:tcW w:w="621" w:type="dxa"/>
                  <w:vAlign w:val="center"/>
                </w:tcPr>
                <w:p w14:paraId="13380952">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5808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0BE378AB">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284FC789">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鼓励在人造板、制鞋、皮革制品、包装材料等粘合过程中使用水基型、热熔型等环保型胶粘剂，在复合膜的生产中推广无溶剂复合及共挤出复合技术。</w:t>
                  </w:r>
                </w:p>
              </w:tc>
              <w:tc>
                <w:tcPr>
                  <w:tcW w:w="2447" w:type="dxa"/>
                  <w:shd w:val="clear" w:color="auto" w:fill="auto"/>
                  <w:vAlign w:val="center"/>
                </w:tcPr>
                <w:p w14:paraId="379D3A12">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不涉及左侧内容。</w:t>
                  </w:r>
                </w:p>
              </w:tc>
              <w:tc>
                <w:tcPr>
                  <w:tcW w:w="621" w:type="dxa"/>
                  <w:vAlign w:val="center"/>
                </w:tcPr>
                <w:p w14:paraId="04280238">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5959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7FF6D6D3">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1F34580F">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淘汰以三氟三氯乙烷、甲基氯仿和四氯化碳为清洗剂或溶剂的生产工艺。清洗过程中产生的废溶剂宜密闭收集，有回收价值的废溶剂经处理后回用，其他废溶剂应妥善处置。</w:t>
                  </w:r>
                </w:p>
              </w:tc>
              <w:tc>
                <w:tcPr>
                  <w:tcW w:w="2447" w:type="dxa"/>
                  <w:shd w:val="clear" w:color="auto" w:fill="auto"/>
                  <w:vAlign w:val="center"/>
                </w:tcPr>
                <w:p w14:paraId="3F5B958F">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本项目不涉及以三氟三氯乙烷、甲基氯仿和四氯化碳为清洗剂或溶剂的生产工艺。</w:t>
                  </w:r>
                </w:p>
              </w:tc>
              <w:tc>
                <w:tcPr>
                  <w:tcW w:w="621" w:type="dxa"/>
                  <w:vAlign w:val="center"/>
                </w:tcPr>
                <w:p w14:paraId="724ED221">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59E6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7AFAE9D8">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7CAEBE78">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含VOCs产品的使用过程中，应采取废气收集措施，提高废气收集效率，减少废气的无组织排放与逸散，并对收集后的废气进行回收或处理后达标排放。</w:t>
                  </w:r>
                </w:p>
              </w:tc>
              <w:tc>
                <w:tcPr>
                  <w:tcW w:w="2447" w:type="dxa"/>
                  <w:shd w:val="clear" w:color="auto" w:fill="auto"/>
                  <w:vAlign w:val="center"/>
                </w:tcPr>
                <w:p w14:paraId="6D1A80A6">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color w:val="auto"/>
                      <w:kern w:val="0"/>
                      <w:sz w:val="21"/>
                      <w:szCs w:val="21"/>
                      <w:highlight w:val="none"/>
                      <w:lang w:val="en-US" w:eastAsia="zh-CN" w:bidi="ar"/>
                    </w:rPr>
                    <w:t>运营期有机废气产生环节主要为</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工序，于设备上方设置集气罩对有机废气进行收集，有机废气收集后进入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621" w:type="dxa"/>
                  <w:vAlign w:val="center"/>
                </w:tcPr>
                <w:p w14:paraId="5F7C037C">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7020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restart"/>
                  <w:shd w:val="clear" w:color="auto" w:fill="auto"/>
                  <w:vAlign w:val="center"/>
                </w:tcPr>
                <w:p w14:paraId="7D8A9C53">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末端治理与综合利用</w:t>
                  </w:r>
                </w:p>
              </w:tc>
              <w:tc>
                <w:tcPr>
                  <w:tcW w:w="2992" w:type="dxa"/>
                  <w:shd w:val="clear" w:color="auto" w:fill="auto"/>
                  <w:vAlign w:val="center"/>
                </w:tcPr>
                <w:p w14:paraId="43A725AD">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在工业生产过程中鼓励VOCs的回收利用，并优先鼓励在生产系统内回用。</w:t>
                  </w:r>
                </w:p>
              </w:tc>
              <w:tc>
                <w:tcPr>
                  <w:tcW w:w="2447" w:type="dxa"/>
                  <w:vMerge w:val="restart"/>
                  <w:shd w:val="clear" w:color="auto" w:fill="auto"/>
                  <w:vAlign w:val="center"/>
                </w:tcPr>
                <w:p w14:paraId="773E4543">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本项目运营期有机废气产生环节主要为</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工序，于设备上方设置集气罩对有机废气进行收集，有机废气收集后进入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621" w:type="dxa"/>
                  <w:vAlign w:val="center"/>
                </w:tcPr>
                <w:p w14:paraId="765B776F">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7A51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27B785A0">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1B2D07D0">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447" w:type="dxa"/>
                  <w:vMerge w:val="continue"/>
                  <w:vAlign w:val="center"/>
                </w:tcPr>
                <w:p w14:paraId="11209257">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621" w:type="dxa"/>
                  <w:vAlign w:val="center"/>
                </w:tcPr>
                <w:p w14:paraId="70590B62">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606B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7820FFF5">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31A4BE16">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含有有机卤素成分VOCs的废气，宜采用非焚烧技术处理。</w:t>
                  </w:r>
                </w:p>
              </w:tc>
              <w:tc>
                <w:tcPr>
                  <w:tcW w:w="2447" w:type="dxa"/>
                  <w:shd w:val="clear" w:color="auto" w:fill="auto"/>
                  <w:vAlign w:val="center"/>
                </w:tcPr>
                <w:p w14:paraId="3FBD20A7">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color w:val="auto"/>
                      <w:kern w:val="0"/>
                      <w:sz w:val="21"/>
                      <w:szCs w:val="21"/>
                      <w:highlight w:val="none"/>
                      <w:lang w:val="en-US" w:eastAsia="zh-CN" w:bidi="ar"/>
                    </w:rPr>
                    <w:t>本项目不涉及含有有机卤素成分VOCs的废气。</w:t>
                  </w:r>
                </w:p>
              </w:tc>
              <w:tc>
                <w:tcPr>
                  <w:tcW w:w="621" w:type="dxa"/>
                  <w:vAlign w:val="center"/>
                </w:tcPr>
                <w:p w14:paraId="761189CC">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3AEF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75FAE04A">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5ADFFFA4">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2447" w:type="dxa"/>
                  <w:shd w:val="clear" w:color="auto" w:fill="auto"/>
                  <w:vAlign w:val="center"/>
                </w:tcPr>
                <w:p w14:paraId="13B8FFDF">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kern w:val="0"/>
                      <w:sz w:val="21"/>
                      <w:szCs w:val="21"/>
                      <w:highlight w:val="none"/>
                      <w:lang w:val="en-US" w:eastAsia="en-US" w:bidi="ar-SA"/>
                    </w:rPr>
                  </w:pPr>
                  <w:r>
                    <w:rPr>
                      <w:rFonts w:hint="default" w:ascii="Times New Roman" w:hAnsi="Times New Roman" w:eastAsia="宋体" w:cs="Times New Roman"/>
                      <w:color w:val="auto"/>
                      <w:kern w:val="0"/>
                      <w:sz w:val="21"/>
                      <w:szCs w:val="21"/>
                      <w:highlight w:val="none"/>
                      <w:lang w:val="en-US" w:eastAsia="zh-CN" w:bidi="ar"/>
                    </w:rPr>
                    <w:t>本项目运营期有机废气产生环节主要为</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工序，于设备上方设置集气罩对有机废气进行收集，有机废气收集后进入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621" w:type="dxa"/>
                  <w:vAlign w:val="center"/>
                </w:tcPr>
                <w:p w14:paraId="139FEC17">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1ACE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0CCEC654">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7053CA80">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严格控制VOCs处理过程中产生的二次污染，对于催化燃烧和热力焚烧过程中产生的含硫、氮、氯等无机废气，以及吸附、吸收、冷凝、生物等治理过程中所产生的含有机物废水，应处理后达标排放。</w:t>
                  </w:r>
                </w:p>
              </w:tc>
              <w:tc>
                <w:tcPr>
                  <w:tcW w:w="2447" w:type="dxa"/>
                  <w:shd w:val="clear" w:color="auto" w:fill="auto"/>
                  <w:vAlign w:val="center"/>
                </w:tcPr>
                <w:p w14:paraId="17133491">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本项目运营期有机废气产生环节主要为</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工序，于设备上方设置集气罩对有机废气进行收集，有机废气收集后进入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处理达标后由15m高排气筒排放。项目使用电能加热，不涉及催化燃烧、热力焚烧产生无机废气，不涉及有机物废水产生。</w:t>
                  </w:r>
                </w:p>
              </w:tc>
              <w:tc>
                <w:tcPr>
                  <w:tcW w:w="621" w:type="dxa"/>
                  <w:vAlign w:val="center"/>
                </w:tcPr>
                <w:p w14:paraId="5B0BDE42">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r w14:paraId="191B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8" w:type="dxa"/>
                  <w:vMerge w:val="continue"/>
                  <w:vAlign w:val="center"/>
                </w:tcPr>
                <w:p w14:paraId="6FD33D85">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p>
              </w:tc>
              <w:tc>
                <w:tcPr>
                  <w:tcW w:w="2992" w:type="dxa"/>
                  <w:shd w:val="clear" w:color="auto" w:fill="auto"/>
                  <w:vAlign w:val="center"/>
                </w:tcPr>
                <w:p w14:paraId="17556E83">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对于不能再生的过滤材料、吸附剂及催化剂等净化材料，应按照国家固体废物管理的相关规定处理处置。</w:t>
                  </w:r>
                </w:p>
              </w:tc>
              <w:tc>
                <w:tcPr>
                  <w:tcW w:w="2447" w:type="dxa"/>
                  <w:shd w:val="clear" w:color="auto" w:fill="auto"/>
                  <w:vAlign w:val="center"/>
                </w:tcPr>
                <w:p w14:paraId="615AFCCD">
                  <w:pPr>
                    <w:keepNext w:val="0"/>
                    <w:keepLines w:val="0"/>
                    <w:pageBreakBefore w:val="0"/>
                    <w:widowControl/>
                    <w:suppressLineNumbers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本项目废气治理产生的废活性炭收集后暂存于</w:t>
                  </w:r>
                  <w:r>
                    <w:rPr>
                      <w:rFonts w:hint="eastAsia" w:cs="Times New Roman"/>
                      <w:color w:val="auto"/>
                      <w:kern w:val="0"/>
                      <w:sz w:val="21"/>
                      <w:szCs w:val="21"/>
                      <w:highlight w:val="none"/>
                      <w:lang w:val="en-US" w:eastAsia="zh-CN" w:bidi="ar"/>
                    </w:rPr>
                    <w:t>危险废物贮存库</w:t>
                  </w:r>
                  <w:r>
                    <w:rPr>
                      <w:rFonts w:hint="default" w:ascii="Times New Roman" w:hAnsi="Times New Roman" w:eastAsia="宋体" w:cs="Times New Roman"/>
                      <w:color w:val="auto"/>
                      <w:kern w:val="0"/>
                      <w:sz w:val="21"/>
                      <w:szCs w:val="21"/>
                      <w:highlight w:val="none"/>
                      <w:lang w:val="en-US" w:eastAsia="zh-CN" w:bidi="ar"/>
                    </w:rPr>
                    <w:t>，定期委托资质单位清运处置。</w:t>
                  </w:r>
                </w:p>
              </w:tc>
              <w:tc>
                <w:tcPr>
                  <w:tcW w:w="621" w:type="dxa"/>
                  <w:vAlign w:val="center"/>
                </w:tcPr>
                <w:p w14:paraId="29F8C507">
                  <w:pPr>
                    <w:pStyle w:val="48"/>
                    <w:keepNext w:val="0"/>
                    <w:keepLines w:val="0"/>
                    <w:pageBreakBefore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符合</w:t>
                  </w:r>
                </w:p>
              </w:tc>
            </w:tr>
          </w:tbl>
          <w:p w14:paraId="5527D381">
            <w:pPr>
              <w:pStyle w:val="28"/>
              <w:keepNext w:val="0"/>
              <w:keepLines w:val="0"/>
              <w:pageBreakBefore w:val="0"/>
              <w:widowControl w:val="0"/>
              <w:kinsoku/>
              <w:wordWrap/>
              <w:overflowPunct/>
              <w:topLinePunct/>
              <w:autoSpaceDE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综上，项目的建设符合</w:t>
            </w:r>
            <w:r>
              <w:rPr>
                <w:rFonts w:hint="default" w:ascii="Times New Roman" w:hAnsi="Times New Roman" w:eastAsia="宋体" w:cs="Times New Roman"/>
                <w:color w:val="auto"/>
                <w:sz w:val="24"/>
                <w:szCs w:val="24"/>
                <w:highlight w:val="none"/>
                <w:lang w:val="en-US" w:eastAsia="zh-CN"/>
              </w:rPr>
              <w:t>《挥发性有机物污染防治技术政策》</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sz w:val="24"/>
                <w:szCs w:val="24"/>
                <w:highlight w:val="none"/>
                <w:lang w:val="en-US" w:eastAsia="zh-CN"/>
              </w:rPr>
              <w:t>相关</w:t>
            </w:r>
            <w:r>
              <w:rPr>
                <w:rFonts w:hint="default" w:ascii="Times New Roman" w:hAnsi="Times New Roman" w:eastAsia="宋体" w:cs="Times New Roman"/>
                <w:color w:val="auto"/>
                <w:sz w:val="24"/>
                <w:szCs w:val="24"/>
                <w:highlight w:val="none"/>
              </w:rPr>
              <w:t>要求。</w:t>
            </w:r>
          </w:p>
          <w:p w14:paraId="15BA65B7">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4.</w:t>
            </w:r>
            <w:r>
              <w:rPr>
                <w:rFonts w:hint="default" w:ascii="Times New Roman" w:hAnsi="Times New Roman" w:eastAsia="宋体" w:cs="Times New Roman"/>
                <w:b/>
                <w:bCs/>
                <w:color w:val="auto"/>
                <w:kern w:val="0"/>
                <w:sz w:val="24"/>
                <w:szCs w:val="24"/>
                <w:highlight w:val="none"/>
                <w:lang w:val="en-US" w:eastAsia="zh-CN"/>
              </w:rPr>
              <w:t>与《关于印发〈重点行业挥发性有机物综合治理方案〉的通知》（环大气〔2019〕53号）的符合性分析</w:t>
            </w:r>
          </w:p>
          <w:p w14:paraId="076CEAA0">
            <w:pPr>
              <w:pStyle w:val="19"/>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项目与《关于印发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重点行业挥发性有机物综合治理方案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的通知》</w:t>
            </w:r>
            <w:r>
              <w:rPr>
                <w:rFonts w:hint="default" w:ascii="Times New Roman" w:hAnsi="Times New Roman" w:eastAsia="宋体" w:cs="Times New Roman"/>
                <w:color w:val="auto"/>
                <w:sz w:val="24"/>
                <w:szCs w:val="24"/>
                <w:highlight w:val="none"/>
                <w:lang w:eastAsia="zh-CN"/>
              </w:rPr>
              <w:t>（环大气</w:t>
            </w:r>
            <w:r>
              <w:rPr>
                <w:rFonts w:hint="default" w:ascii="Times New Roman" w:hAnsi="Times New Roman" w:eastAsia="宋体" w:cs="Times New Roman"/>
                <w:color w:val="auto"/>
                <w:sz w:val="24"/>
                <w:szCs w:val="24"/>
                <w:highlight w:val="none"/>
                <w:lang w:val="en-US" w:eastAsia="zh-CN"/>
              </w:rPr>
              <w:t>〔2019〕53号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的符合性分析见下表。</w:t>
            </w:r>
          </w:p>
          <w:p w14:paraId="1C478859">
            <w:pPr>
              <w:pStyle w:val="19"/>
              <w:keepNext w:val="0"/>
              <w:keepLines w:val="0"/>
              <w:pageBreakBefore w:val="0"/>
              <w:widowControl w:val="0"/>
              <w:tabs>
                <w:tab w:val="left" w:pos="1147"/>
              </w:tabs>
              <w:kinsoku/>
              <w:wordWrap/>
              <w:overflowPunct/>
              <w:topLinePunct/>
              <w:autoSpaceDE w:val="0"/>
              <w:autoSpaceDN/>
              <w:bidi w:val="0"/>
              <w:adjustRightInd w:val="0"/>
              <w:snapToGrid w:val="0"/>
              <w:spacing w:before="0" w:after="0"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1-6  </w:t>
            </w:r>
            <w:r>
              <w:rPr>
                <w:rFonts w:hint="default" w:ascii="Times New Roman" w:hAnsi="Times New Roman" w:eastAsia="宋体" w:cs="Times New Roman"/>
                <w:b/>
                <w:bCs/>
                <w:color w:val="auto"/>
                <w:sz w:val="21"/>
                <w:szCs w:val="21"/>
                <w:highlight w:val="none"/>
              </w:rPr>
              <w:t>与重点行业挥发性有机物综合治理方案符合性分析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6"/>
              <w:gridCol w:w="3178"/>
              <w:gridCol w:w="2245"/>
              <w:gridCol w:w="603"/>
            </w:tblGrid>
            <w:tr w14:paraId="17F1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6" w:type="dxa"/>
                  <w:noWrap w:val="0"/>
                  <w:vAlign w:val="center"/>
                </w:tcPr>
                <w:p w14:paraId="349CFD56">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178" w:type="dxa"/>
                  <w:noWrap w:val="0"/>
                  <w:vAlign w:val="center"/>
                </w:tcPr>
                <w:p w14:paraId="240987E3">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2245" w:type="dxa"/>
                  <w:noWrap w:val="0"/>
                  <w:vAlign w:val="center"/>
                </w:tcPr>
                <w:p w14:paraId="1EBF4928">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603" w:type="dxa"/>
                  <w:noWrap w:val="0"/>
                  <w:vAlign w:val="center"/>
                </w:tcPr>
                <w:p w14:paraId="4A2800F1">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相符</w:t>
                  </w:r>
                  <w:r>
                    <w:rPr>
                      <w:rFonts w:hint="default" w:ascii="Times New Roman" w:hAnsi="Times New Roman" w:eastAsia="宋体" w:cs="Times New Roman"/>
                      <w:b/>
                      <w:bCs/>
                      <w:color w:val="auto"/>
                      <w:sz w:val="21"/>
                      <w:szCs w:val="21"/>
                      <w:highlight w:val="none"/>
                      <w:lang w:eastAsia="zh-CN"/>
                    </w:rPr>
                    <w:t>性</w:t>
                  </w:r>
                </w:p>
              </w:tc>
            </w:tr>
            <w:tr w14:paraId="44C6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6" w:type="dxa"/>
                  <w:noWrap w:val="0"/>
                  <w:vAlign w:val="center"/>
                </w:tcPr>
                <w:p w14:paraId="1EEA8815">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一</w:t>
                  </w:r>
                </w:p>
              </w:tc>
              <w:tc>
                <w:tcPr>
                  <w:tcW w:w="3178" w:type="dxa"/>
                  <w:noWrap w:val="0"/>
                  <w:vAlign w:val="center"/>
                </w:tcPr>
                <w:p w14:paraId="12B77775">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FFFFFF"/>
                      <w:lang w:eastAsia="zh-C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245" w:type="dxa"/>
                  <w:noWrap w:val="0"/>
                  <w:vAlign w:val="center"/>
                </w:tcPr>
                <w:p w14:paraId="4BA281C0">
                  <w:pPr>
                    <w:pStyle w:val="57"/>
                    <w:keepNext w:val="0"/>
                    <w:keepLines w:val="0"/>
                    <w:pageBreakBefore w:val="0"/>
                    <w:widowControl w:val="0"/>
                    <w:kinsoku/>
                    <w:wordWrap/>
                    <w:overflowPunct/>
                    <w:topLinePunct/>
                    <w:autoSpaceDE w:val="0"/>
                    <w:autoSpaceDN/>
                    <w:bidi w:val="0"/>
                    <w:adjustRightInd/>
                    <w:snapToGrid/>
                    <w:spacing w:line="240" w:lineRule="auto"/>
                    <w:ind w:lef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不涉及使用涂料</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油墨</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胶粘剂和清洗剂，项目主要吸塑片生产原料</w:t>
                  </w:r>
                  <w:r>
                    <w:rPr>
                      <w:rFonts w:hint="default" w:ascii="Times New Roman" w:hAnsi="Times New Roman" w:cs="Times New Roman"/>
                      <w:color w:val="auto"/>
                      <w:kern w:val="0"/>
                      <w:sz w:val="21"/>
                      <w:szCs w:val="21"/>
                      <w:highlight w:val="none"/>
                      <w:lang w:val="en-US" w:eastAsia="zh-CN" w:bidi="ar"/>
                    </w:rPr>
                    <w:t>（PVC）加热、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工序产生的挥发性有机物，本次环评建议使用通过环境标志产品认证的</w:t>
                  </w:r>
                  <w:r>
                    <w:rPr>
                      <w:rFonts w:hint="default" w:ascii="Times New Roman" w:hAnsi="Times New Roman" w:cs="Times New Roman"/>
                      <w:color w:val="auto"/>
                      <w:kern w:val="0"/>
                      <w:sz w:val="21"/>
                      <w:szCs w:val="21"/>
                      <w:highlight w:val="none"/>
                      <w:lang w:val="en-US" w:eastAsia="zh-CN" w:bidi="ar"/>
                    </w:rPr>
                    <w:t>PVC树脂</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有机废气产生环节主要为</w:t>
                  </w:r>
                  <w:r>
                    <w:rPr>
                      <w:rFonts w:hint="default"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olor w:val="auto"/>
                      <w:kern w:val="1"/>
                      <w:sz w:val="21"/>
                      <w:szCs w:val="21"/>
                      <w:highlight w:val="none"/>
                      <w:lang w:val="en-US" w:eastAsia="zh-CN"/>
                    </w:rPr>
                    <w:t>挥发性有机物经收集后由</w:t>
                  </w:r>
                  <w:r>
                    <w:rPr>
                      <w:rFonts w:hint="default" w:ascii="Times New Roman" w:hAnsi="Times New Roman" w:eastAsia="宋体" w:cs="Times New Roman"/>
                      <w:color w:val="auto"/>
                      <w:sz w:val="21"/>
                      <w:szCs w:val="21"/>
                      <w:highlight w:val="none"/>
                      <w:shd w:val="clear" w:color="auto" w:fill="FFFFFF"/>
                      <w:lang w:val="en-US" w:eastAsia="zh-CN"/>
                    </w:rPr>
                    <w:t>三级活性炭吸附装置</w:t>
                  </w:r>
                  <w:r>
                    <w:rPr>
                      <w:rFonts w:hint="default" w:ascii="Times New Roman" w:hAnsi="Times New Roman" w:eastAsia="宋体" w:cs="Times New Roman"/>
                      <w:color w:val="auto"/>
                      <w:kern w:val="1"/>
                      <w:sz w:val="21"/>
                      <w:szCs w:val="21"/>
                      <w:highlight w:val="none"/>
                      <w:lang w:val="en-US" w:eastAsia="zh-CN"/>
                    </w:rPr>
                    <w:t>处理后能达标排放。</w:t>
                  </w:r>
                </w:p>
              </w:tc>
              <w:tc>
                <w:tcPr>
                  <w:tcW w:w="603" w:type="dxa"/>
                  <w:noWrap w:val="0"/>
                  <w:vAlign w:val="center"/>
                </w:tcPr>
                <w:p w14:paraId="69A67B0C">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F39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6" w:type="dxa"/>
                  <w:noWrap w:val="0"/>
                  <w:vAlign w:val="center"/>
                </w:tcPr>
                <w:p w14:paraId="356453FF">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w:t>
                  </w:r>
                </w:p>
              </w:tc>
              <w:tc>
                <w:tcPr>
                  <w:tcW w:w="3178" w:type="dxa"/>
                  <w:noWrap w:val="0"/>
                  <w:vAlign w:val="center"/>
                </w:tcPr>
                <w:p w14:paraId="14EF5F9F">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shd w:val="clear" w:color="auto" w:fill="FFFFFF"/>
                      <w:lang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245" w:type="dxa"/>
                  <w:noWrap w:val="0"/>
                  <w:vAlign w:val="center"/>
                </w:tcPr>
                <w:p w14:paraId="1A69FFA0">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lang w:eastAsia="zh-CN"/>
                    </w:rPr>
                    <w:t>项目生产过程中产生的</w:t>
                  </w:r>
                  <w:r>
                    <w:rPr>
                      <w:rFonts w:hint="default" w:ascii="Times New Roman" w:hAnsi="Times New Roman" w:eastAsia="宋体" w:cs="Times New Roman"/>
                      <w:color w:val="auto"/>
                      <w:sz w:val="21"/>
                      <w:szCs w:val="21"/>
                      <w:highlight w:val="none"/>
                      <w:shd w:val="clear" w:color="auto" w:fill="FFFFFF"/>
                      <w:lang w:eastAsia="zh-CN"/>
                    </w:rPr>
                    <w:t>VOCs采用集气罩收集经</w:t>
                  </w:r>
                  <w:r>
                    <w:rPr>
                      <w:rFonts w:hint="default" w:ascii="Times New Roman" w:hAnsi="Times New Roman" w:eastAsia="宋体" w:cs="Times New Roman"/>
                      <w:color w:val="auto"/>
                      <w:sz w:val="21"/>
                      <w:szCs w:val="21"/>
                      <w:highlight w:val="none"/>
                      <w:shd w:val="clear" w:color="auto" w:fill="FFFFFF"/>
                      <w:lang w:val="en-US" w:eastAsia="zh-CN"/>
                    </w:rPr>
                    <w:t>“三级活性炭吸附装置”处理后达标排放，有效削减</w:t>
                  </w:r>
                  <w:r>
                    <w:rPr>
                      <w:rFonts w:hint="default" w:ascii="Times New Roman" w:hAnsi="Times New Roman" w:eastAsia="宋体" w:cs="Times New Roman"/>
                      <w:color w:val="auto"/>
                      <w:sz w:val="21"/>
                      <w:szCs w:val="21"/>
                      <w:highlight w:val="none"/>
                      <w:shd w:val="clear" w:color="auto" w:fill="FFFFFF"/>
                      <w:lang w:eastAsia="zh-CN"/>
                    </w:rPr>
                    <w:t>VOCs无组织排放。</w:t>
                  </w:r>
                </w:p>
              </w:tc>
              <w:tc>
                <w:tcPr>
                  <w:tcW w:w="603" w:type="dxa"/>
                  <w:noWrap w:val="0"/>
                  <w:vAlign w:val="center"/>
                </w:tcPr>
                <w:p w14:paraId="751E65A9">
                  <w:pPr>
                    <w:pStyle w:val="48"/>
                    <w:keepNext w:val="0"/>
                    <w:keepLines w:val="0"/>
                    <w:pageBreakBefore w:val="0"/>
                    <w:kinsoku/>
                    <w:overflowPunct/>
                    <w:topLinePunct/>
                    <w:autoSpaceDE w:val="0"/>
                    <w:bidi w:val="0"/>
                    <w:spacing w:before="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473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6" w:type="dxa"/>
                  <w:noWrap w:val="0"/>
                  <w:vAlign w:val="center"/>
                </w:tcPr>
                <w:p w14:paraId="293D2ED9">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三</w:t>
                  </w:r>
                </w:p>
              </w:tc>
              <w:tc>
                <w:tcPr>
                  <w:tcW w:w="3178" w:type="dxa"/>
                  <w:noWrap w:val="0"/>
                  <w:vAlign w:val="center"/>
                </w:tcPr>
                <w:p w14:paraId="00FC2E54">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shd w:val="clear" w:color="auto" w:fill="FFFFFF"/>
                      <w:lang w:eastAsia="zh-CN"/>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2245" w:type="dxa"/>
                  <w:noWrap w:val="0"/>
                  <w:vAlign w:val="center"/>
                </w:tcPr>
                <w:p w14:paraId="68CDB6C4">
                  <w:pPr>
                    <w:pStyle w:val="57"/>
                    <w:keepNext w:val="0"/>
                    <w:keepLines w:val="0"/>
                    <w:pageBreakBefore w:val="0"/>
                    <w:widowControl w:val="0"/>
                    <w:kinsoku/>
                    <w:wordWrap/>
                    <w:overflowPunct/>
                    <w:topLinePunct/>
                    <w:autoSpaceDE w:val="0"/>
                    <w:autoSpaceDN/>
                    <w:bidi w:val="0"/>
                    <w:adjustRightInd/>
                    <w:snapToGrid/>
                    <w:spacing w:line="240" w:lineRule="auto"/>
                    <w:ind w:lef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2"/>
                      <w:sz w:val="21"/>
                      <w:szCs w:val="21"/>
                      <w:highlight w:val="none"/>
                      <w:lang w:val="en-US" w:eastAsia="zh-CN" w:bidi="ar-SA"/>
                    </w:rPr>
                    <w:t>，不属于</w:t>
                  </w:r>
                  <w:r>
                    <w:rPr>
                      <w:rFonts w:hint="default" w:ascii="Times New Roman" w:hAnsi="Times New Roman" w:eastAsia="宋体" w:cs="Times New Roman"/>
                      <w:color w:val="auto"/>
                      <w:sz w:val="21"/>
                      <w:szCs w:val="21"/>
                      <w:highlight w:val="none"/>
                      <w:shd w:val="clear" w:color="auto" w:fill="FFFFFF"/>
                      <w:lang w:eastAsia="zh-CN"/>
                    </w:rPr>
                    <w:t>石化、化工行业、</w:t>
                  </w:r>
                  <w:r>
                    <w:rPr>
                      <w:rFonts w:hint="default" w:ascii="Times New Roman" w:hAnsi="Times New Roman" w:eastAsia="宋体" w:cs="Times New Roman"/>
                      <w:color w:val="auto"/>
                      <w:kern w:val="2"/>
                      <w:sz w:val="21"/>
                      <w:szCs w:val="21"/>
                      <w:highlight w:val="none"/>
                      <w:lang w:val="en-US" w:eastAsia="zh-CN" w:bidi="ar-SA"/>
                    </w:rPr>
                    <w:t>工业涂装行业及</w:t>
                  </w:r>
                  <w:r>
                    <w:rPr>
                      <w:rFonts w:hint="default" w:ascii="Times New Roman" w:hAnsi="Times New Roman" w:eastAsia="宋体" w:cs="Times New Roman"/>
                      <w:i w:val="0"/>
                      <w:iCs w:val="0"/>
                      <w:caps w:val="0"/>
                      <w:color w:val="auto"/>
                      <w:spacing w:val="0"/>
                      <w:kern w:val="0"/>
                      <w:sz w:val="21"/>
                      <w:szCs w:val="21"/>
                      <w:highlight w:val="none"/>
                      <w:lang w:val="en-US" w:eastAsia="zh-CN" w:bidi="ar"/>
                    </w:rPr>
                    <w:t>包装印刷行业</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olor w:val="auto"/>
                      <w:kern w:val="2"/>
                      <w:sz w:val="21"/>
                      <w:szCs w:val="21"/>
                      <w:highlight w:val="none"/>
                      <w:lang w:val="en-US" w:eastAsia="zh-CN" w:bidi="ar-SA"/>
                    </w:rPr>
                    <w:t>在密闭空间进行。</w:t>
                  </w:r>
                </w:p>
              </w:tc>
              <w:tc>
                <w:tcPr>
                  <w:tcW w:w="603" w:type="dxa"/>
                  <w:noWrap w:val="0"/>
                  <w:vAlign w:val="center"/>
                </w:tcPr>
                <w:p w14:paraId="4724E2F6">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1E73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96" w:type="dxa"/>
                  <w:noWrap w:val="0"/>
                  <w:vAlign w:val="center"/>
                </w:tcPr>
                <w:p w14:paraId="76E07E4F">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四</w:t>
                  </w:r>
                </w:p>
              </w:tc>
              <w:tc>
                <w:tcPr>
                  <w:tcW w:w="3178" w:type="dxa"/>
                  <w:noWrap w:val="0"/>
                  <w:vAlign w:val="center"/>
                </w:tcPr>
                <w:p w14:paraId="1845FF6C">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shd w:val="clear" w:color="auto" w:fill="FFFFFF"/>
                      <w:lang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45" w:type="dxa"/>
                  <w:noWrap w:val="0"/>
                  <w:vAlign w:val="center"/>
                </w:tcPr>
                <w:p w14:paraId="3481335D">
                  <w:pPr>
                    <w:pStyle w:val="18"/>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FFFFFF"/>
                      <w:lang w:val="en-US" w:eastAsia="zh-CN"/>
                    </w:rPr>
                    <w:t>项目生产过程中产生的有机废气经集气罩收集后经负压风管进入“三级活性炭吸附装置”处理后通过车间排气筒高空排放。</w:t>
                  </w:r>
                </w:p>
              </w:tc>
              <w:tc>
                <w:tcPr>
                  <w:tcW w:w="603" w:type="dxa"/>
                  <w:noWrap w:val="0"/>
                  <w:vAlign w:val="center"/>
                </w:tcPr>
                <w:p w14:paraId="6F3852BE">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2BEEA454">
            <w:pPr>
              <w:pStyle w:val="19"/>
              <w:keepNext w:val="0"/>
              <w:keepLines w:val="0"/>
              <w:pageBreakBefore w:val="0"/>
              <w:widowControl w:val="0"/>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由上表可知，项目的建设符合《关于印发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重点行业挥发性有机物综合治理方案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的通知》的相关要求。</w:t>
            </w:r>
          </w:p>
          <w:p w14:paraId="69B81BBB">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5.</w:t>
            </w:r>
            <w:r>
              <w:rPr>
                <w:rFonts w:hint="default" w:ascii="Times New Roman" w:hAnsi="Times New Roman" w:eastAsia="宋体" w:cs="Times New Roman"/>
                <w:b/>
                <w:bCs/>
                <w:color w:val="auto"/>
                <w:kern w:val="0"/>
                <w:sz w:val="24"/>
                <w:szCs w:val="24"/>
                <w:highlight w:val="none"/>
                <w:lang w:val="en-US" w:eastAsia="zh-CN"/>
              </w:rPr>
              <w:t>与《云南省生态环境厅关于印发云南省重点行业挥发性有机物综合治理实施方案的通知》（云环通〔2019〕125号）符合性分析</w:t>
            </w:r>
          </w:p>
          <w:p w14:paraId="6992ECB3">
            <w:pPr>
              <w:pStyle w:val="19"/>
              <w:keepNext w:val="0"/>
              <w:keepLines w:val="0"/>
              <w:pageBreakBefore w:val="0"/>
              <w:kinsoku/>
              <w:overflowPunct/>
              <w:topLinePunct/>
              <w:autoSpaceDE w:val="0"/>
              <w:bidi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云南省生态环境厅</w:t>
            </w:r>
            <w:r>
              <w:rPr>
                <w:rFonts w:hint="default" w:ascii="Times New Roman" w:hAnsi="Times New Roman" w:eastAsia="宋体" w:cs="Times New Roman"/>
                <w:color w:val="auto"/>
                <w:sz w:val="24"/>
                <w:szCs w:val="24"/>
                <w:highlight w:val="none"/>
                <w:lang w:eastAsia="zh-CN"/>
              </w:rPr>
              <w:t>于</w:t>
            </w:r>
            <w:r>
              <w:rPr>
                <w:rFonts w:hint="default" w:ascii="Times New Roman" w:hAnsi="Times New Roman" w:eastAsia="宋体" w:cs="Times New Roman"/>
                <w:color w:val="auto"/>
                <w:sz w:val="24"/>
                <w:szCs w:val="24"/>
                <w:highlight w:val="none"/>
              </w:rPr>
              <w:t>2019年10月10日以“云环通</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125号”下发关于印发云南省重点行业挥发性有机物综合治理实施方案的通知，项目的符合性分析详见</w:t>
            </w:r>
            <w:r>
              <w:rPr>
                <w:rFonts w:hint="default" w:ascii="Times New Roman" w:hAnsi="Times New Roman" w:eastAsia="宋体" w:cs="Times New Roman"/>
                <w:color w:val="auto"/>
                <w:sz w:val="24"/>
                <w:szCs w:val="24"/>
                <w:highlight w:val="none"/>
                <w:lang w:eastAsia="zh-CN"/>
              </w:rPr>
              <w:t>下表</w:t>
            </w:r>
            <w:r>
              <w:rPr>
                <w:rFonts w:hint="default" w:ascii="Times New Roman" w:hAnsi="Times New Roman" w:eastAsia="宋体" w:cs="Times New Roman"/>
                <w:color w:val="auto"/>
                <w:sz w:val="24"/>
                <w:szCs w:val="24"/>
                <w:highlight w:val="none"/>
              </w:rPr>
              <w:t>。</w:t>
            </w:r>
          </w:p>
          <w:p w14:paraId="3B139069">
            <w:pPr>
              <w:keepNext w:val="0"/>
              <w:keepLines w:val="0"/>
              <w:pageBreakBefore w:val="0"/>
              <w:widowControl/>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1-7  </w:t>
            </w:r>
            <w:r>
              <w:rPr>
                <w:rFonts w:hint="default" w:ascii="Times New Roman" w:hAnsi="Times New Roman" w:eastAsia="宋体" w:cs="Times New Roman"/>
                <w:b/>
                <w:bCs/>
                <w:color w:val="auto"/>
                <w:sz w:val="21"/>
                <w:szCs w:val="21"/>
                <w:highlight w:val="none"/>
              </w:rPr>
              <w:t>与省重点行业挥发性有机物综合治理实施方案符合性分析</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1"/>
              <w:gridCol w:w="1933"/>
              <w:gridCol w:w="548"/>
            </w:tblGrid>
            <w:tr w14:paraId="10386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066A8857">
                  <w:pPr>
                    <w:keepNext w:val="0"/>
                    <w:keepLines w:val="0"/>
                    <w:pageBreakBefore w:val="0"/>
                    <w:widowControl w:val="0"/>
                    <w:kinsoku/>
                    <w:overflowPunct/>
                    <w:topLinePunct/>
                    <w:autoSpaceDE w:val="0"/>
                    <w:bidi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相关内容</w:t>
                  </w:r>
                </w:p>
              </w:tc>
              <w:tc>
                <w:tcPr>
                  <w:tcW w:w="1459" w:type="pct"/>
                  <w:noWrap w:val="0"/>
                  <w:vAlign w:val="center"/>
                </w:tcPr>
                <w:p w14:paraId="126B0C19">
                  <w:pPr>
                    <w:keepNext w:val="0"/>
                    <w:keepLines w:val="0"/>
                    <w:pageBreakBefore w:val="0"/>
                    <w:widowControl w:val="0"/>
                    <w:kinsoku/>
                    <w:overflowPunct/>
                    <w:topLinePunct/>
                    <w:autoSpaceDE w:val="0"/>
                    <w:bidi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413" w:type="pct"/>
                  <w:noWrap w:val="0"/>
                  <w:vAlign w:val="center"/>
                </w:tcPr>
                <w:p w14:paraId="67D9B8A7">
                  <w:pPr>
                    <w:keepNext w:val="0"/>
                    <w:keepLines w:val="0"/>
                    <w:pageBreakBefore w:val="0"/>
                    <w:widowControl w:val="0"/>
                    <w:kinsoku/>
                    <w:overflowPunct/>
                    <w:topLinePunct/>
                    <w:autoSpaceDE w:val="0"/>
                    <w:bidi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相符性</w:t>
                  </w:r>
                </w:p>
              </w:tc>
            </w:tr>
            <w:tr w14:paraId="7E4F2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0CEF974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kern w:val="0"/>
                      <w:sz w:val="21"/>
                      <w:szCs w:val="21"/>
                      <w:highlight w:val="none"/>
                      <w:lang w:val="en-US" w:eastAsia="zh-CN" w:bidi="ar"/>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tc>
              <w:tc>
                <w:tcPr>
                  <w:tcW w:w="1459" w:type="pct"/>
                  <w:noWrap w:val="0"/>
                  <w:vAlign w:val="center"/>
                </w:tcPr>
                <w:p w14:paraId="23D45DF1">
                  <w:pPr>
                    <w:keepNext w:val="0"/>
                    <w:keepLines w:val="0"/>
                    <w:pageBreakBefore w:val="0"/>
                    <w:widowControl w:val="0"/>
                    <w:kinsoku/>
                    <w:wordWrap/>
                    <w:overflowPunct/>
                    <w:topLinePunct/>
                    <w:autoSpaceDE w:val="0"/>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1"/>
                      <w:sz w:val="21"/>
                      <w:szCs w:val="21"/>
                      <w:highlight w:val="none"/>
                      <w:lang w:val="en-US" w:eastAsia="zh-CN"/>
                    </w:rPr>
                    <w:t>因工艺要求，</w:t>
                  </w: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不涉及使用涂料</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油墨</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胶粘剂和清洗剂，项目主要吸塑片生产原料</w:t>
                  </w:r>
                  <w:r>
                    <w:rPr>
                      <w:rFonts w:hint="default" w:ascii="Times New Roman" w:hAnsi="Times New Roman" w:cs="Times New Roman"/>
                      <w:color w:val="auto"/>
                      <w:kern w:val="0"/>
                      <w:sz w:val="21"/>
                      <w:szCs w:val="21"/>
                      <w:highlight w:val="none"/>
                      <w:lang w:val="en-US" w:eastAsia="zh-CN" w:bidi="ar"/>
                    </w:rPr>
                    <w:t>（PVC）加热、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工序产生的挥发性有机物，本次环评建议使用通过环境标志产品认证的</w:t>
                  </w:r>
                  <w:r>
                    <w:rPr>
                      <w:rFonts w:hint="default" w:ascii="Times New Roman" w:hAnsi="Times New Roman" w:cs="Times New Roman"/>
                      <w:color w:val="auto"/>
                      <w:kern w:val="0"/>
                      <w:sz w:val="21"/>
                      <w:szCs w:val="21"/>
                      <w:highlight w:val="none"/>
                      <w:lang w:val="en-US" w:eastAsia="zh-CN" w:bidi="ar"/>
                    </w:rPr>
                    <w:t>PVC树脂</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有机废气产生环节主要为</w:t>
                  </w:r>
                  <w:r>
                    <w:rPr>
                      <w:rFonts w:hint="default"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olor w:val="auto"/>
                      <w:kern w:val="1"/>
                      <w:sz w:val="21"/>
                      <w:szCs w:val="21"/>
                      <w:highlight w:val="none"/>
                      <w:lang w:val="en-US" w:eastAsia="zh-CN"/>
                    </w:rPr>
                    <w:t>在密闭</w:t>
                  </w:r>
                  <w:r>
                    <w:rPr>
                      <w:rFonts w:hint="eastAsia" w:cs="Times New Roman"/>
                      <w:color w:val="auto"/>
                      <w:kern w:val="1"/>
                      <w:sz w:val="21"/>
                      <w:szCs w:val="21"/>
                      <w:highlight w:val="none"/>
                      <w:lang w:val="en-US" w:eastAsia="zh-CN"/>
                    </w:rPr>
                    <w:t>空间</w:t>
                  </w:r>
                  <w:r>
                    <w:rPr>
                      <w:rFonts w:hint="default" w:ascii="Times New Roman" w:hAnsi="Times New Roman" w:eastAsia="宋体" w:cs="Times New Roman"/>
                      <w:color w:val="auto"/>
                      <w:kern w:val="1"/>
                      <w:sz w:val="21"/>
                      <w:szCs w:val="21"/>
                      <w:highlight w:val="none"/>
                      <w:lang w:val="en-US" w:eastAsia="zh-CN"/>
                    </w:rPr>
                    <w:t>操作，生产过程中产生的挥发性有机物经收集后由</w:t>
                  </w:r>
                  <w:r>
                    <w:rPr>
                      <w:rFonts w:hint="default" w:ascii="Times New Roman" w:hAnsi="Times New Roman" w:eastAsia="宋体" w:cs="Times New Roman"/>
                      <w:color w:val="auto"/>
                      <w:sz w:val="21"/>
                      <w:szCs w:val="21"/>
                      <w:highlight w:val="none"/>
                      <w:shd w:val="clear" w:color="auto" w:fill="FFFFFF"/>
                      <w:lang w:val="en-US" w:eastAsia="zh-CN"/>
                    </w:rPr>
                    <w:t>三级活性炭吸附装置</w:t>
                  </w:r>
                  <w:r>
                    <w:rPr>
                      <w:rFonts w:hint="default" w:ascii="Times New Roman" w:hAnsi="Times New Roman" w:eastAsia="宋体" w:cs="Times New Roman"/>
                      <w:color w:val="auto"/>
                      <w:kern w:val="1"/>
                      <w:sz w:val="21"/>
                      <w:szCs w:val="21"/>
                      <w:highlight w:val="none"/>
                      <w:lang w:val="en-US" w:eastAsia="zh-CN"/>
                    </w:rPr>
                    <w:t>处理后能达标排放。</w:t>
                  </w:r>
                </w:p>
              </w:tc>
              <w:tc>
                <w:tcPr>
                  <w:tcW w:w="413" w:type="pct"/>
                  <w:noWrap w:val="0"/>
                  <w:vAlign w:val="center"/>
                </w:tcPr>
                <w:p w14:paraId="0245A507">
                  <w:pPr>
                    <w:keepNext w:val="0"/>
                    <w:keepLines w:val="0"/>
                    <w:pageBreakBefore w:val="0"/>
                    <w:widowControl w:val="0"/>
                    <w:kinsoku/>
                    <w:overflowPunct/>
                    <w:topLinePunct/>
                    <w:autoSpaceDE w:val="0"/>
                    <w:bidi w:val="0"/>
                    <w:snapToGrid w:val="0"/>
                    <w:spacing w:line="36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68FA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248E17D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kern w:val="0"/>
                      <w:sz w:val="21"/>
                      <w:szCs w:val="21"/>
                      <w:highlight w:val="none"/>
                      <w:lang w:val="en-US" w:eastAsia="zh-CN" w:bidi="ar"/>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459" w:type="pct"/>
                  <w:noWrap w:val="0"/>
                  <w:vAlign w:val="center"/>
                </w:tcPr>
                <w:p w14:paraId="334B1F8F">
                  <w:pPr>
                    <w:keepNext w:val="0"/>
                    <w:keepLines w:val="0"/>
                    <w:pageBreakBefore w:val="0"/>
                    <w:widowControl w:val="0"/>
                    <w:kinsoku/>
                    <w:wordWrap/>
                    <w:overflowPunct/>
                    <w:topLinePunct/>
                    <w:autoSpaceDE w:val="0"/>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lang w:eastAsia="zh-CN"/>
                    </w:rPr>
                    <w:t>项目生产过程产生的</w:t>
                  </w:r>
                  <w:r>
                    <w:rPr>
                      <w:rFonts w:hint="default" w:ascii="Times New Roman" w:hAnsi="Times New Roman" w:eastAsia="宋体" w:cs="Times New Roman"/>
                      <w:color w:val="auto"/>
                      <w:sz w:val="21"/>
                      <w:szCs w:val="21"/>
                      <w:highlight w:val="none"/>
                      <w:shd w:val="clear" w:color="auto" w:fill="FFFFFF"/>
                      <w:lang w:eastAsia="zh-CN"/>
                    </w:rPr>
                    <w:t>VOCs用集</w:t>
                  </w:r>
                  <w:r>
                    <w:rPr>
                      <w:rFonts w:hint="default" w:ascii="Times New Roman" w:hAnsi="Times New Roman" w:eastAsia="宋体" w:cs="Times New Roman"/>
                      <w:color w:val="auto"/>
                      <w:sz w:val="21"/>
                      <w:szCs w:val="21"/>
                      <w:highlight w:val="none"/>
                      <w:shd w:val="clear" w:color="auto" w:fill="FFFFFF"/>
                      <w:lang w:val="en-US" w:eastAsia="zh-CN"/>
                    </w:rPr>
                    <w:t>气罩收集经“</w:t>
                  </w:r>
                  <w:r>
                    <w:rPr>
                      <w:rFonts w:hint="default" w:ascii="Times New Roman" w:hAnsi="Times New Roman" w:eastAsia="宋体" w:cs="Times New Roman"/>
                      <w:color w:val="auto"/>
                      <w:sz w:val="21"/>
                      <w:szCs w:val="21"/>
                      <w:highlight w:val="none"/>
                      <w:shd w:val="clear" w:color="auto" w:fill="FFFFFF"/>
                      <w:lang w:val="zh-CN" w:eastAsia="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”处理后达标排放，有效削减</w:t>
                  </w:r>
                  <w:r>
                    <w:rPr>
                      <w:rFonts w:hint="default" w:ascii="Times New Roman" w:hAnsi="Times New Roman" w:eastAsia="宋体" w:cs="Times New Roman"/>
                      <w:color w:val="auto"/>
                      <w:sz w:val="21"/>
                      <w:szCs w:val="21"/>
                      <w:highlight w:val="none"/>
                      <w:shd w:val="clear" w:color="auto" w:fill="FFFFFF"/>
                      <w:lang w:eastAsia="zh-CN"/>
                    </w:rPr>
                    <w:t>VOCs无组织排放。</w:t>
                  </w:r>
                </w:p>
              </w:tc>
              <w:tc>
                <w:tcPr>
                  <w:tcW w:w="413" w:type="pct"/>
                  <w:noWrap w:val="0"/>
                  <w:vAlign w:val="center"/>
                </w:tcPr>
                <w:p w14:paraId="1A08E2C3">
                  <w:pPr>
                    <w:keepNext w:val="0"/>
                    <w:keepLines w:val="0"/>
                    <w:pageBreakBefore w:val="0"/>
                    <w:widowControl w:val="0"/>
                    <w:kinsoku/>
                    <w:overflowPunct/>
                    <w:topLinePunct/>
                    <w:autoSpaceDE w:val="0"/>
                    <w:bidi w:val="0"/>
                    <w:snapToGrid w:val="0"/>
                    <w:spacing w:line="36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D31E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370A1BB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kern w:val="0"/>
                      <w:sz w:val="21"/>
                      <w:szCs w:val="21"/>
                      <w:highlight w:val="none"/>
                      <w:lang w:val="en-US" w:eastAsia="zh-CN" w:bidi="ar"/>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459" w:type="pct"/>
                  <w:noWrap w:val="0"/>
                  <w:vAlign w:val="center"/>
                </w:tcPr>
                <w:p w14:paraId="0022EAEF">
                  <w:pPr>
                    <w:keepNext w:val="0"/>
                    <w:keepLines w:val="0"/>
                    <w:pageBreakBefore w:val="0"/>
                    <w:widowControl w:val="0"/>
                    <w:kinsoku/>
                    <w:wordWrap/>
                    <w:overflowPunct/>
                    <w:topLinePunct/>
                    <w:autoSpaceDE w:val="0"/>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lang w:eastAsia="zh-CN"/>
                    </w:rPr>
                    <w:t>项目使用</w:t>
                  </w:r>
                  <w:r>
                    <w:rPr>
                      <w:rFonts w:hint="default" w:ascii="Times New Roman" w:hAnsi="Times New Roman" w:eastAsia="宋体" w:cs="Times New Roman"/>
                      <w:color w:val="auto"/>
                      <w:sz w:val="21"/>
                      <w:szCs w:val="21"/>
                      <w:highlight w:val="none"/>
                      <w:shd w:val="clear" w:color="auto" w:fill="FFFFFF"/>
                      <w:lang w:val="en-US" w:eastAsia="zh-CN"/>
                    </w:rPr>
                    <w:t>生产物料常温下不产生VOCs。</w:t>
                  </w:r>
                </w:p>
              </w:tc>
              <w:tc>
                <w:tcPr>
                  <w:tcW w:w="413" w:type="pct"/>
                  <w:noWrap w:val="0"/>
                  <w:vAlign w:val="center"/>
                </w:tcPr>
                <w:p w14:paraId="0926D501">
                  <w:pPr>
                    <w:keepNext w:val="0"/>
                    <w:keepLines w:val="0"/>
                    <w:pageBreakBefore w:val="0"/>
                    <w:widowControl w:val="0"/>
                    <w:kinsoku/>
                    <w:overflowPunct/>
                    <w:topLinePunct/>
                    <w:autoSpaceDE w:val="0"/>
                    <w:bidi w:val="0"/>
                    <w:snapToGrid w:val="0"/>
                    <w:spacing w:line="36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6EA32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070FEB5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kern w:val="0"/>
                      <w:sz w:val="21"/>
                      <w:szCs w:val="21"/>
                      <w:highlight w:val="none"/>
                      <w:lang w:val="en-US" w:eastAsia="zh-CN" w:bidi="ar"/>
                    </w:rPr>
                  </w:pPr>
                  <w:r>
                    <w:rPr>
                      <w:rFonts w:hint="default" w:ascii="Times New Roman" w:hAnsi="Times New Roman" w:eastAsia="宋体" w:cs="Times New Roman"/>
                      <w:i w:val="0"/>
                      <w:iCs w:val="0"/>
                      <w:caps w:val="0"/>
                      <w:color w:val="auto"/>
                      <w:spacing w:val="0"/>
                      <w:kern w:val="0"/>
                      <w:sz w:val="21"/>
                      <w:szCs w:val="21"/>
                      <w:highlight w:val="none"/>
                      <w:lang w:val="en-US" w:eastAsia="zh-CN" w:bidi="ar"/>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459" w:type="pct"/>
                  <w:noWrap w:val="0"/>
                  <w:vAlign w:val="center"/>
                </w:tcPr>
                <w:p w14:paraId="7582333B">
                  <w:pPr>
                    <w:keepNext w:val="0"/>
                    <w:keepLines w:val="0"/>
                    <w:pageBreakBefore w:val="0"/>
                    <w:widowControl w:val="0"/>
                    <w:kinsoku/>
                    <w:wordWrap/>
                    <w:overflowPunct/>
                    <w:topLinePunct/>
                    <w:autoSpaceDE w:val="0"/>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shd w:val="clear" w:color="auto" w:fill="FFFFFF"/>
                      <w:lang w:eastAsia="zh-CN"/>
                    </w:rPr>
                    <w:t>不涉及石化、化工等</w:t>
                  </w:r>
                  <w:r>
                    <w:rPr>
                      <w:rFonts w:hint="default" w:ascii="Times New Roman" w:hAnsi="Times New Roman" w:eastAsia="宋体" w:cs="Times New Roman"/>
                      <w:color w:val="auto"/>
                      <w:sz w:val="21"/>
                      <w:szCs w:val="21"/>
                      <w:highlight w:val="none"/>
                      <w:shd w:val="clear" w:color="auto" w:fill="FFFFFF"/>
                      <w:lang w:val="en-US" w:eastAsia="zh-CN"/>
                    </w:rPr>
                    <w:t>行业，不属于工业涂装行业及</w:t>
                  </w:r>
                  <w:r>
                    <w:rPr>
                      <w:rFonts w:hint="default" w:ascii="Times New Roman" w:hAnsi="Times New Roman" w:eastAsia="宋体" w:cs="Times New Roman"/>
                      <w:i w:val="0"/>
                      <w:iCs w:val="0"/>
                      <w:caps w:val="0"/>
                      <w:color w:val="auto"/>
                      <w:spacing w:val="0"/>
                      <w:kern w:val="0"/>
                      <w:sz w:val="21"/>
                      <w:szCs w:val="21"/>
                      <w:highlight w:val="none"/>
                      <w:lang w:val="en-US" w:eastAsia="zh-CN" w:bidi="ar"/>
                    </w:rPr>
                    <w:t>包装印刷行业</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olor w:val="auto"/>
                      <w:kern w:val="2"/>
                      <w:sz w:val="21"/>
                      <w:szCs w:val="21"/>
                      <w:highlight w:val="none"/>
                      <w:lang w:val="en-US" w:eastAsia="zh-CN" w:bidi="ar-SA"/>
                    </w:rPr>
                    <w:t>在密闭空间进行。</w:t>
                  </w:r>
                </w:p>
              </w:tc>
              <w:tc>
                <w:tcPr>
                  <w:tcW w:w="413" w:type="pct"/>
                  <w:noWrap w:val="0"/>
                  <w:vAlign w:val="center"/>
                </w:tcPr>
                <w:p w14:paraId="00221F24">
                  <w:pPr>
                    <w:keepNext w:val="0"/>
                    <w:keepLines w:val="0"/>
                    <w:pageBreakBefore w:val="0"/>
                    <w:widowControl w:val="0"/>
                    <w:kinsoku/>
                    <w:overflowPunct/>
                    <w:topLinePunct/>
                    <w:autoSpaceDE w:val="0"/>
                    <w:bidi w:val="0"/>
                    <w:snapToGrid w:val="0"/>
                    <w:spacing w:line="36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857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7B523599">
                  <w:pPr>
                    <w:keepNext w:val="0"/>
                    <w:keepLines w:val="0"/>
                    <w:pageBreakBefore w:val="0"/>
                    <w:widowControl w:val="0"/>
                    <w:kinsoku/>
                    <w:wordWrap/>
                    <w:overflowPunct/>
                    <w:topLinePunct/>
                    <w:autoSpaceDE w:val="0"/>
                    <w:autoSpaceDN/>
                    <w:bidi w:val="0"/>
                    <w:adjustRightInd w:val="0"/>
                    <w:snapToGrid w:val="0"/>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459" w:type="pct"/>
                  <w:noWrap w:val="0"/>
                  <w:vAlign w:val="center"/>
                </w:tcPr>
                <w:p w14:paraId="11FD7545">
                  <w:pPr>
                    <w:keepNext w:val="0"/>
                    <w:keepLines w:val="0"/>
                    <w:pageBreakBefore w:val="0"/>
                    <w:widowControl w:val="0"/>
                    <w:kinsoku/>
                    <w:wordWrap/>
                    <w:overflowPunct/>
                    <w:topLinePunct/>
                    <w:autoSpaceDE w:val="0"/>
                    <w:autoSpaceDN/>
                    <w:bidi w:val="0"/>
                    <w:adjustRightInd/>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lang w:val="en-US" w:eastAsia="zh-CN"/>
                    </w:rPr>
                    <w:t>项目生产过程中产生的有机废气经集气罩收集后经负压风管进入“</w:t>
                  </w:r>
                  <w:r>
                    <w:rPr>
                      <w:rFonts w:hint="default" w:ascii="Times New Roman" w:hAnsi="Times New Roman" w:eastAsia="宋体" w:cs="Times New Roman"/>
                      <w:color w:val="auto"/>
                      <w:sz w:val="21"/>
                      <w:szCs w:val="21"/>
                      <w:highlight w:val="none"/>
                      <w:shd w:val="clear" w:color="auto" w:fill="FFFFFF"/>
                      <w:lang w:val="zh-CN" w:eastAsia="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”处理后通过车间排气筒高空排放。</w:t>
                  </w:r>
                </w:p>
              </w:tc>
              <w:tc>
                <w:tcPr>
                  <w:tcW w:w="413" w:type="pct"/>
                  <w:noWrap w:val="0"/>
                  <w:vAlign w:val="center"/>
                </w:tcPr>
                <w:p w14:paraId="58591F16">
                  <w:pPr>
                    <w:keepNext w:val="0"/>
                    <w:keepLines w:val="0"/>
                    <w:pageBreakBefore w:val="0"/>
                    <w:widowControl w:val="0"/>
                    <w:kinsoku/>
                    <w:wordWrap/>
                    <w:overflowPunct/>
                    <w:topLinePunct/>
                    <w:autoSpaceDE w:val="0"/>
                    <w:autoSpaceDN/>
                    <w:bidi w:val="0"/>
                    <w:adjustRightInd/>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2DCA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26" w:type="pct"/>
                  <w:noWrap w:val="0"/>
                  <w:vAlign w:val="center"/>
                </w:tcPr>
                <w:p w14:paraId="02C3DF72">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autoSpaceDE w:val="0"/>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i w:val="0"/>
                      <w:iCs w:val="0"/>
                      <w:caps w:val="0"/>
                      <w:color w:val="auto"/>
                      <w:spacing w:val="0"/>
                      <w:kern w:val="0"/>
                      <w:sz w:val="21"/>
                      <w:szCs w:val="21"/>
                      <w:highlight w:val="none"/>
                      <w:lang w:val="en-US" w:eastAsia="zh-CN" w:bidi="ar"/>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459" w:type="pct"/>
                  <w:noWrap w:val="0"/>
                  <w:vAlign w:val="center"/>
                </w:tcPr>
                <w:p w14:paraId="5D19042A">
                  <w:pPr>
                    <w:keepNext w:val="0"/>
                    <w:keepLines w:val="0"/>
                    <w:pageBreakBefore w:val="0"/>
                    <w:widowControl w:val="0"/>
                    <w:kinsoku/>
                    <w:wordWrap/>
                    <w:overflowPunct/>
                    <w:topLinePunct/>
                    <w:autoSpaceDE w:val="0"/>
                    <w:autoSpaceDN/>
                    <w:bidi w:val="0"/>
                    <w:adjustRightInd/>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lang w:val="en-US" w:eastAsia="zh-CN"/>
                    </w:rPr>
                    <w:t>项目生产过</w:t>
                  </w:r>
                  <w:r>
                    <w:rPr>
                      <w:rFonts w:hint="eastAsia" w:cs="Times New Roman"/>
                      <w:color w:val="auto"/>
                      <w:sz w:val="21"/>
                      <w:szCs w:val="21"/>
                      <w:highlight w:val="none"/>
                      <w:shd w:val="clear" w:color="auto" w:fill="FFFFFF"/>
                      <w:lang w:val="en-US" w:eastAsia="zh-CN"/>
                    </w:rPr>
                    <w:t>程中</w:t>
                  </w:r>
                  <w:r>
                    <w:rPr>
                      <w:rFonts w:hint="default" w:ascii="Times New Roman" w:hAnsi="Times New Roman" w:eastAsia="宋体" w:cs="Times New Roman"/>
                      <w:color w:val="auto"/>
                      <w:sz w:val="21"/>
                      <w:szCs w:val="21"/>
                      <w:highlight w:val="none"/>
                      <w:shd w:val="clear" w:color="auto" w:fill="FFFFFF"/>
                      <w:lang w:val="en-US" w:eastAsia="zh-CN"/>
                    </w:rPr>
                    <w:t>产生的有机废气经集气罩收集后通过负压风管进入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Cs/>
                      <w:smallCaps w:val="0"/>
                      <w:color w:val="auto"/>
                      <w:sz w:val="21"/>
                      <w:szCs w:val="21"/>
                      <w:highlight w:val="none"/>
                      <w:vertAlign w:val="baseline"/>
                      <w:lang w:val="en-US" w:eastAsia="zh-CN"/>
                    </w:rPr>
                    <w:t>综合去除效率达</w:t>
                  </w:r>
                  <w:r>
                    <w:rPr>
                      <w:rFonts w:hint="eastAsia" w:cs="Times New Roman"/>
                      <w:bCs/>
                      <w:smallCaps w:val="0"/>
                      <w:color w:val="auto"/>
                      <w:sz w:val="21"/>
                      <w:szCs w:val="21"/>
                      <w:highlight w:val="none"/>
                      <w:vertAlign w:val="baseline"/>
                      <w:lang w:val="en-US" w:eastAsia="zh-CN"/>
                    </w:rPr>
                    <w:t>50</w:t>
                  </w:r>
                  <w:r>
                    <w:rPr>
                      <w:rFonts w:hint="default" w:ascii="Times New Roman" w:hAnsi="Times New Roman" w:eastAsia="宋体" w:cs="Times New Roman"/>
                      <w:bCs/>
                      <w:smallCap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shd w:val="clear" w:color="auto" w:fill="FFFFFF"/>
                      <w:lang w:val="en-US" w:eastAsia="zh-CN"/>
                    </w:rPr>
                    <w:t>处理后通过车间排气筒高空排放。</w:t>
                  </w:r>
                </w:p>
              </w:tc>
              <w:tc>
                <w:tcPr>
                  <w:tcW w:w="413" w:type="pct"/>
                  <w:noWrap w:val="0"/>
                  <w:vAlign w:val="center"/>
                </w:tcPr>
                <w:p w14:paraId="2451ECE4">
                  <w:pPr>
                    <w:keepNext w:val="0"/>
                    <w:keepLines w:val="0"/>
                    <w:pageBreakBefore w:val="0"/>
                    <w:widowControl w:val="0"/>
                    <w:kinsoku/>
                    <w:wordWrap/>
                    <w:overflowPunct/>
                    <w:topLinePunct/>
                    <w:autoSpaceDE w:val="0"/>
                    <w:autoSpaceDN/>
                    <w:bidi w:val="0"/>
                    <w:adjustRightInd/>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0B737F95">
            <w:pPr>
              <w:keepNext w:val="0"/>
              <w:keepLines w:val="0"/>
              <w:pageBreakBefore w:val="0"/>
              <w:widowControl w:val="0"/>
              <w:kinsoku/>
              <w:wordWrap/>
              <w:overflowPunct/>
              <w:topLinePunct/>
              <w:autoSpaceDE w:val="0"/>
              <w:autoSpaceDN/>
              <w:bidi w:val="0"/>
              <w:adjustRightInd/>
              <w:snapToGrid w:val="0"/>
              <w:spacing w:line="360" w:lineRule="auto"/>
              <w:ind w:firstLine="436"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11"/>
                <w:sz w:val="24"/>
                <w:szCs w:val="24"/>
                <w:highlight w:val="none"/>
              </w:rPr>
              <w:t>根据上述分析，本项目与</w:t>
            </w:r>
            <w:r>
              <w:rPr>
                <w:rFonts w:hint="default" w:ascii="Times New Roman" w:hAnsi="Times New Roman" w:eastAsia="宋体" w:cs="Times New Roman"/>
                <w:color w:val="auto"/>
                <w:sz w:val="24"/>
                <w:szCs w:val="24"/>
                <w:highlight w:val="none"/>
              </w:rPr>
              <w:t>云南省重点行业挥发性有机物综合治理实施方案的通知</w:t>
            </w:r>
            <w:r>
              <w:rPr>
                <w:rFonts w:hint="default" w:ascii="Times New Roman" w:hAnsi="Times New Roman" w:eastAsia="宋体" w:cs="Times New Roman"/>
                <w:color w:val="auto"/>
                <w:spacing w:val="-11"/>
                <w:sz w:val="24"/>
                <w:szCs w:val="24"/>
                <w:highlight w:val="none"/>
              </w:rPr>
              <w:t>的相</w:t>
            </w:r>
            <w:r>
              <w:rPr>
                <w:rFonts w:hint="default" w:ascii="Times New Roman" w:hAnsi="Times New Roman" w:eastAsia="宋体" w:cs="Times New Roman"/>
                <w:color w:val="auto"/>
                <w:sz w:val="24"/>
                <w:szCs w:val="24"/>
                <w:highlight w:val="none"/>
              </w:rPr>
              <w:t>关要求相符合</w:t>
            </w:r>
            <w:r>
              <w:rPr>
                <w:rFonts w:hint="default" w:ascii="Times New Roman" w:hAnsi="Times New Roman" w:eastAsia="宋体" w:cs="Times New Roman"/>
                <w:color w:val="auto"/>
                <w:sz w:val="24"/>
                <w:szCs w:val="24"/>
                <w:highlight w:val="none"/>
                <w:lang w:eastAsia="zh-CN"/>
              </w:rPr>
              <w:t>。</w:t>
            </w:r>
          </w:p>
          <w:p w14:paraId="7593033C">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6.</w:t>
            </w:r>
            <w:r>
              <w:rPr>
                <w:rFonts w:hint="default" w:ascii="Times New Roman" w:hAnsi="Times New Roman" w:eastAsia="宋体" w:cs="Times New Roman"/>
                <w:b/>
                <w:bCs/>
                <w:color w:val="auto"/>
                <w:kern w:val="0"/>
                <w:sz w:val="24"/>
                <w:szCs w:val="24"/>
                <w:highlight w:val="none"/>
                <w:lang w:val="en-US" w:eastAsia="zh-CN"/>
              </w:rPr>
              <w:t>与《玉溪市重点行业挥发性有机物综合治理实施方案》的符合性分析</w:t>
            </w:r>
          </w:p>
          <w:p w14:paraId="6186A34B">
            <w:pPr>
              <w:keepNext w:val="0"/>
              <w:keepLines w:val="0"/>
              <w:pageBreakBefore w:val="0"/>
              <w:kinsoku/>
              <w:overflowPunct/>
              <w:topLinePunct/>
              <w:autoSpaceDE w:val="0"/>
              <w:bidi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u w:val="none"/>
                <w:lang w:val="en-US" w:eastAsia="zh-CN" w:bidi="ar-SA"/>
              </w:rPr>
            </w:pPr>
            <w:r>
              <w:rPr>
                <w:rFonts w:hint="default" w:ascii="Times New Roman" w:hAnsi="Times New Roman" w:eastAsia="宋体" w:cs="Times New Roman"/>
                <w:b w:val="0"/>
                <w:bCs w:val="0"/>
                <w:color w:val="auto"/>
                <w:kern w:val="0"/>
                <w:sz w:val="24"/>
                <w:szCs w:val="24"/>
                <w:highlight w:val="none"/>
                <w:u w:val="none"/>
                <w:lang w:val="en-US" w:eastAsia="zh-CN" w:bidi="ar-SA"/>
              </w:rPr>
              <w:t>项目建设与《玉溪市重点行业挥发性有机物综合治理实施方案》相符性分析如下。</w:t>
            </w:r>
          </w:p>
          <w:p w14:paraId="23FCC7CD">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 xml:space="preserve">1-8  </w:t>
            </w:r>
            <w:r>
              <w:rPr>
                <w:rFonts w:hint="default" w:ascii="Times New Roman" w:hAnsi="Times New Roman" w:eastAsia="宋体" w:cs="Times New Roman"/>
                <w:b/>
                <w:bCs w:val="0"/>
                <w:color w:val="auto"/>
                <w:sz w:val="21"/>
                <w:szCs w:val="21"/>
                <w:highlight w:val="none"/>
              </w:rPr>
              <w:t>与</w:t>
            </w:r>
            <w:r>
              <w:rPr>
                <w:rFonts w:hint="default" w:ascii="Times New Roman" w:hAnsi="Times New Roman" w:eastAsia="宋体" w:cs="Times New Roman"/>
                <w:b/>
                <w:bCs w:val="0"/>
                <w:color w:val="auto"/>
                <w:sz w:val="21"/>
                <w:szCs w:val="21"/>
                <w:highlight w:val="none"/>
                <w:lang w:eastAsia="zh-CN"/>
              </w:rPr>
              <w:t>玉溪市重点行业挥发性有机物综合治理实施方案</w:t>
            </w:r>
            <w:r>
              <w:rPr>
                <w:rFonts w:hint="default" w:ascii="Times New Roman" w:hAnsi="Times New Roman" w:eastAsia="宋体" w:cs="Times New Roman"/>
                <w:b/>
                <w:bCs w:val="0"/>
                <w:color w:val="auto"/>
                <w:sz w:val="21"/>
                <w:szCs w:val="21"/>
                <w:highlight w:val="none"/>
              </w:rPr>
              <w:t>相符分析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4"/>
              <w:gridCol w:w="2234"/>
              <w:gridCol w:w="644"/>
            </w:tblGrid>
            <w:tr w14:paraId="476E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4" w:type="dxa"/>
                  <w:noWrap w:val="0"/>
                  <w:vAlign w:val="center"/>
                </w:tcPr>
                <w:p w14:paraId="1EBD4038">
                  <w:pPr>
                    <w:keepNext w:val="0"/>
                    <w:keepLines w:val="0"/>
                    <w:pageBreakBefore w:val="0"/>
                    <w:widowControl w:val="0"/>
                    <w:kinsoku/>
                    <w:wordWrap/>
                    <w:overflowPunct/>
                    <w:topLinePunct/>
                    <w:autoSpaceDE w:val="0"/>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相关内容</w:t>
                  </w:r>
                </w:p>
              </w:tc>
              <w:tc>
                <w:tcPr>
                  <w:tcW w:w="2234" w:type="dxa"/>
                  <w:noWrap w:val="0"/>
                  <w:vAlign w:val="center"/>
                </w:tcPr>
                <w:p w14:paraId="6F18A1C8">
                  <w:pPr>
                    <w:keepNext w:val="0"/>
                    <w:keepLines w:val="0"/>
                    <w:pageBreakBefore w:val="0"/>
                    <w:widowControl w:val="0"/>
                    <w:kinsoku/>
                    <w:wordWrap/>
                    <w:overflowPunct/>
                    <w:topLinePunct/>
                    <w:autoSpaceDE w:val="0"/>
                    <w:bidi w:val="0"/>
                    <w:adjustRightInd w:val="0"/>
                    <w:snapToGrid w:val="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本</w:t>
                  </w:r>
                  <w:r>
                    <w:rPr>
                      <w:rFonts w:hint="default" w:ascii="Times New Roman" w:hAnsi="Times New Roman" w:eastAsia="宋体" w:cs="Times New Roman"/>
                      <w:b/>
                      <w:bCs w:val="0"/>
                      <w:color w:val="auto"/>
                      <w:sz w:val="21"/>
                      <w:szCs w:val="21"/>
                      <w:highlight w:val="none"/>
                    </w:rPr>
                    <w:t>项目情况</w:t>
                  </w:r>
                </w:p>
              </w:tc>
              <w:tc>
                <w:tcPr>
                  <w:tcW w:w="644" w:type="dxa"/>
                  <w:noWrap w:val="0"/>
                  <w:vAlign w:val="center"/>
                </w:tcPr>
                <w:p w14:paraId="70685668">
                  <w:pPr>
                    <w:keepNext w:val="0"/>
                    <w:keepLines w:val="0"/>
                    <w:pageBreakBefore w:val="0"/>
                    <w:widowControl w:val="0"/>
                    <w:kinsoku/>
                    <w:wordWrap/>
                    <w:overflowPunct/>
                    <w:topLinePunct/>
                    <w:autoSpaceDE w:val="0"/>
                    <w:bidi w:val="0"/>
                    <w:adjustRightInd w:val="0"/>
                    <w:snapToGrid w:val="0"/>
                    <w:jc w:val="center"/>
                    <w:textAlignment w:val="auto"/>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相符性</w:t>
                  </w:r>
                </w:p>
              </w:tc>
            </w:tr>
            <w:tr w14:paraId="4247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4" w:type="dxa"/>
                  <w:noWrap w:val="0"/>
                  <w:vAlign w:val="center"/>
                </w:tcPr>
                <w:p w14:paraId="03A1E91C">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eastAsia="zh-CN"/>
                    </w:rPr>
                    <w:t>全面加强无组织排放控制，重点对含</w:t>
                  </w:r>
                  <w:r>
                    <w:rPr>
                      <w:rFonts w:hint="default" w:ascii="Times New Roman" w:hAnsi="Times New Roman" w:eastAsia="宋体" w:cs="Times New Roman"/>
                      <w:b w:val="0"/>
                      <w:bCs/>
                      <w:color w:val="auto"/>
                      <w:kern w:val="0"/>
                      <w:sz w:val="21"/>
                      <w:szCs w:val="21"/>
                      <w:highlight w:val="none"/>
                      <w:lang w:val="en-US" w:eastAsia="zh-CN"/>
                    </w:rPr>
                    <w:t>VOCs物料储存、转移和输送、设备与光纤组件泄漏、敞开页面逸散以及工艺过程等五类排放源实施管控，通过采取设备与场所密闭、工艺改进、废气有效收集等措施，削减VOCs无组织排放。</w:t>
                  </w:r>
                </w:p>
              </w:tc>
              <w:tc>
                <w:tcPr>
                  <w:tcW w:w="2234" w:type="dxa"/>
                  <w:noWrap w:val="0"/>
                  <w:vAlign w:val="center"/>
                </w:tcPr>
                <w:p w14:paraId="79254133">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项目生产过程中产生的</w:t>
                  </w:r>
                  <w:r>
                    <w:rPr>
                      <w:rFonts w:hint="default" w:ascii="Times New Roman" w:hAnsi="Times New Roman" w:eastAsia="宋体" w:cs="Times New Roman"/>
                      <w:color w:val="auto"/>
                      <w:sz w:val="21"/>
                      <w:szCs w:val="21"/>
                      <w:highlight w:val="none"/>
                      <w:shd w:val="clear" w:color="auto" w:fill="FFFFFF"/>
                      <w:lang w:eastAsia="zh-CN"/>
                    </w:rPr>
                    <w:t>VOCs采用集气罩收集经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shd w:val="clear" w:color="auto" w:fill="FFFFFF"/>
                      <w:lang w:val="en-US" w:eastAsia="zh-CN"/>
                    </w:rPr>
                    <w:t>处理后达标排放，有效削减</w:t>
                  </w:r>
                  <w:r>
                    <w:rPr>
                      <w:rFonts w:hint="default" w:ascii="Times New Roman" w:hAnsi="Times New Roman" w:eastAsia="宋体" w:cs="Times New Roman"/>
                      <w:color w:val="auto"/>
                      <w:sz w:val="21"/>
                      <w:szCs w:val="21"/>
                      <w:highlight w:val="none"/>
                      <w:shd w:val="clear" w:color="auto" w:fill="FFFFFF"/>
                      <w:lang w:eastAsia="zh-CN"/>
                    </w:rPr>
                    <w:t>VOCs无组织排放</w:t>
                  </w:r>
                  <w:r>
                    <w:rPr>
                      <w:rFonts w:hint="default" w:ascii="Times New Roman" w:hAnsi="Times New Roman" w:eastAsia="宋体" w:cs="Times New Roman"/>
                      <w:b w:val="0"/>
                      <w:bCs/>
                      <w:color w:val="auto"/>
                      <w:sz w:val="21"/>
                      <w:szCs w:val="21"/>
                      <w:highlight w:val="none"/>
                      <w:lang w:val="en-US" w:eastAsia="zh-CN"/>
                    </w:rPr>
                    <w:t>。</w:t>
                  </w:r>
                </w:p>
              </w:tc>
              <w:tc>
                <w:tcPr>
                  <w:tcW w:w="644" w:type="dxa"/>
                  <w:noWrap w:val="0"/>
                  <w:vAlign w:val="center"/>
                </w:tcPr>
                <w:p w14:paraId="0D49AB38">
                  <w:pPr>
                    <w:keepNext w:val="0"/>
                    <w:keepLines w:val="0"/>
                    <w:pageBreakBefore w:val="0"/>
                    <w:widowControl w:val="0"/>
                    <w:kinsoku/>
                    <w:wordWrap/>
                    <w:overflowPunct/>
                    <w:topLinePunct/>
                    <w:autoSpaceDE w:val="0"/>
                    <w:bidi w:val="0"/>
                    <w:adjustRightInd w:val="0"/>
                    <w:snapToGrid w:val="0"/>
                    <w:jc w:val="both"/>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30AC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4" w:type="dxa"/>
                  <w:noWrap w:val="0"/>
                  <w:vAlign w:val="center"/>
                </w:tcPr>
                <w:p w14:paraId="426F94BE">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2234" w:type="dxa"/>
                  <w:noWrap w:val="0"/>
                  <w:vAlign w:val="center"/>
                </w:tcPr>
                <w:p w14:paraId="3BA5AE6D">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项目在</w:t>
                  </w:r>
                  <w:r>
                    <w:rPr>
                      <w:rFonts w:hint="eastAsia" w:cs="Times New Roman"/>
                      <w:b w:val="0"/>
                      <w:bCs/>
                      <w:color w:val="auto"/>
                      <w:sz w:val="21"/>
                      <w:szCs w:val="21"/>
                      <w:highlight w:val="none"/>
                      <w:lang w:val="en-US" w:eastAsia="zh-CN"/>
                    </w:rPr>
                    <w:t>吸塑片生产</w:t>
                  </w:r>
                  <w:r>
                    <w:rPr>
                      <w:rFonts w:hint="default" w:ascii="Times New Roman" w:hAnsi="Times New Roman" w:eastAsia="宋体" w:cs="Times New Roman"/>
                      <w:b w:val="0"/>
                      <w:bCs/>
                      <w:color w:val="auto"/>
                      <w:sz w:val="21"/>
                      <w:szCs w:val="21"/>
                      <w:highlight w:val="none"/>
                      <w:lang w:eastAsia="zh-CN"/>
                    </w:rPr>
                    <w:t>车间设置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Cs/>
                      <w:smallCaps w:val="0"/>
                      <w:color w:val="auto"/>
                      <w:sz w:val="21"/>
                      <w:szCs w:val="21"/>
                      <w:highlight w:val="none"/>
                      <w:vertAlign w:val="baseline"/>
                      <w:lang w:val="en-US" w:eastAsia="zh-CN"/>
                    </w:rPr>
                    <w:t>处理VOCs，综合去除效率达60%，废气做到达标排放。</w:t>
                  </w:r>
                </w:p>
              </w:tc>
              <w:tc>
                <w:tcPr>
                  <w:tcW w:w="644" w:type="dxa"/>
                  <w:noWrap w:val="0"/>
                  <w:vAlign w:val="center"/>
                </w:tcPr>
                <w:p w14:paraId="33B28683">
                  <w:pPr>
                    <w:keepNext w:val="0"/>
                    <w:keepLines w:val="0"/>
                    <w:pageBreakBefore w:val="0"/>
                    <w:widowControl w:val="0"/>
                    <w:kinsoku/>
                    <w:wordWrap/>
                    <w:overflowPunct/>
                    <w:topLinePunct/>
                    <w:autoSpaceDE w:val="0"/>
                    <w:bidi w:val="0"/>
                    <w:adjustRightInd w:val="0"/>
                    <w:snapToGrid w:val="0"/>
                    <w:jc w:val="both"/>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r w14:paraId="66F0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4" w:type="dxa"/>
                  <w:noWrap w:val="0"/>
                  <w:vAlign w:val="center"/>
                </w:tcPr>
                <w:p w14:paraId="08E60707">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kern w:val="0"/>
                      <w:sz w:val="21"/>
                      <w:szCs w:val="21"/>
                      <w:highlight w:val="none"/>
                      <w:lang w:eastAsia="zh-CN"/>
                    </w:rPr>
                  </w:pPr>
                  <w:r>
                    <w:rPr>
                      <w:rFonts w:hint="default" w:ascii="Times New Roman" w:hAnsi="Times New Roman" w:eastAsia="宋体" w:cs="Times New Roman"/>
                      <w:b w:val="0"/>
                      <w:bCs/>
                      <w:color w:val="auto"/>
                      <w:kern w:val="0"/>
                      <w:sz w:val="21"/>
                      <w:szCs w:val="21"/>
                      <w:highlight w:val="none"/>
                    </w:rPr>
                    <w:t>深入实施精细化管控。结合行业污染排放特征和VOCs物质光化学反应活性，参考全国重点控制的VOCs物质确定VOCs控制的重点行业和重点污染物，</w:t>
                  </w:r>
                  <w:r>
                    <w:rPr>
                      <w:rFonts w:hint="eastAsia" w:cs="Times New Roman"/>
                      <w:b w:val="0"/>
                      <w:bCs/>
                      <w:color w:val="auto"/>
                      <w:kern w:val="0"/>
                      <w:sz w:val="21"/>
                      <w:szCs w:val="21"/>
                      <w:highlight w:val="none"/>
                      <w:lang w:val="en-US" w:eastAsia="zh-CN"/>
                    </w:rPr>
                    <w:t>针对</w:t>
                  </w:r>
                  <w:r>
                    <w:rPr>
                      <w:rFonts w:hint="default" w:ascii="Times New Roman" w:hAnsi="Times New Roman" w:eastAsia="宋体" w:cs="Times New Roman"/>
                      <w:b w:val="0"/>
                      <w:bCs/>
                      <w:color w:val="auto"/>
                      <w:kern w:val="0"/>
                      <w:sz w:val="21"/>
                      <w:szCs w:val="21"/>
                      <w:highlight w:val="none"/>
                    </w:rPr>
                    <w:t>性提出有效管控方案，提高VOCs治理的精准性、针对性和有效性</w:t>
                  </w:r>
                  <w:r>
                    <w:rPr>
                      <w:rFonts w:hint="default" w:ascii="Times New Roman" w:hAnsi="Times New Roman" w:eastAsia="宋体" w:cs="Times New Roman"/>
                      <w:b w:val="0"/>
                      <w:bCs/>
                      <w:color w:val="auto"/>
                      <w:kern w:val="0"/>
                      <w:sz w:val="21"/>
                      <w:szCs w:val="21"/>
                      <w:highlight w:val="none"/>
                      <w:lang w:eastAsia="zh-CN"/>
                    </w:rPr>
                    <w:t>。</w:t>
                  </w:r>
                </w:p>
              </w:tc>
              <w:tc>
                <w:tcPr>
                  <w:tcW w:w="2234" w:type="dxa"/>
                  <w:noWrap w:val="0"/>
                  <w:vAlign w:val="center"/>
                </w:tcPr>
                <w:p w14:paraId="13CFB1E2">
                  <w:pPr>
                    <w:keepNext w:val="0"/>
                    <w:keepLines w:val="0"/>
                    <w:pageBreakBefore w:val="0"/>
                    <w:widowControl w:val="0"/>
                    <w:kinsoku/>
                    <w:wordWrap/>
                    <w:overflowPunct/>
                    <w:topLinePunct/>
                    <w:autoSpaceDE w:val="0"/>
                    <w:autoSpaceDN w:val="0"/>
                    <w:bidi w:val="0"/>
                    <w:adjustRightInd w:val="0"/>
                    <w:snapToGrid w:val="0"/>
                    <w:ind w:firstLine="0" w:firstLineChars="0"/>
                    <w:jc w:val="both"/>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项目不属于重点行业，产生的</w:t>
                  </w:r>
                  <w:r>
                    <w:rPr>
                      <w:rFonts w:hint="default" w:ascii="Times New Roman" w:hAnsi="Times New Roman" w:eastAsia="宋体" w:cs="Times New Roman"/>
                      <w:b w:val="0"/>
                      <w:bCs/>
                      <w:color w:val="auto"/>
                      <w:kern w:val="0"/>
                      <w:sz w:val="21"/>
                      <w:szCs w:val="21"/>
                      <w:highlight w:val="none"/>
                    </w:rPr>
                    <w:t>VOCs</w:t>
                  </w:r>
                  <w:r>
                    <w:rPr>
                      <w:rFonts w:hint="default" w:ascii="Times New Roman" w:hAnsi="Times New Roman" w:eastAsia="宋体" w:cs="Times New Roman"/>
                      <w:b w:val="0"/>
                      <w:bCs/>
                      <w:color w:val="auto"/>
                      <w:kern w:val="0"/>
                      <w:sz w:val="21"/>
                      <w:szCs w:val="21"/>
                      <w:highlight w:val="none"/>
                      <w:lang w:eastAsia="zh-CN"/>
                    </w:rPr>
                    <w:t>经集气罩收集后经负压风管进入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color w:val="auto"/>
                      <w:kern w:val="0"/>
                      <w:sz w:val="21"/>
                      <w:szCs w:val="21"/>
                      <w:highlight w:val="none"/>
                      <w:lang w:eastAsia="zh-CN"/>
                    </w:rPr>
                    <w:t>处理后达标排放。</w:t>
                  </w:r>
                </w:p>
              </w:tc>
              <w:tc>
                <w:tcPr>
                  <w:tcW w:w="644" w:type="dxa"/>
                  <w:noWrap w:val="0"/>
                  <w:vAlign w:val="center"/>
                </w:tcPr>
                <w:p w14:paraId="48AB5AF5">
                  <w:pPr>
                    <w:keepNext w:val="0"/>
                    <w:keepLines w:val="0"/>
                    <w:pageBreakBefore w:val="0"/>
                    <w:widowControl w:val="0"/>
                    <w:kinsoku/>
                    <w:wordWrap/>
                    <w:overflowPunct/>
                    <w:topLinePunct/>
                    <w:autoSpaceDE w:val="0"/>
                    <w:bidi w:val="0"/>
                    <w:adjustRightInd w:val="0"/>
                    <w:snapToGrid w:val="0"/>
                    <w:jc w:val="both"/>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符合</w:t>
                  </w:r>
                </w:p>
              </w:tc>
            </w:tr>
          </w:tbl>
          <w:p w14:paraId="32A52831">
            <w:pPr>
              <w:keepNext w:val="0"/>
              <w:keepLines w:val="0"/>
              <w:pageBreakBefore w:val="0"/>
              <w:widowControl w:val="0"/>
              <w:kinsoku/>
              <w:wordWrap/>
              <w:overflowPunct/>
              <w:topLinePunct/>
              <w:autoSpaceDE w:val="0"/>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eastAsia="zh-CN"/>
              </w:rPr>
              <w:t>上表</w:t>
            </w:r>
            <w:r>
              <w:rPr>
                <w:rFonts w:hint="default" w:ascii="Times New Roman" w:hAnsi="Times New Roman" w:eastAsia="宋体" w:cs="Times New Roman"/>
                <w:color w:val="auto"/>
                <w:sz w:val="24"/>
                <w:highlight w:val="none"/>
              </w:rPr>
              <w:t>分析，项目建设符合</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szCs w:val="24"/>
                <w:highlight w:val="none"/>
                <w:lang w:eastAsia="zh-CN"/>
              </w:rPr>
              <w:t>玉溪市重点行业挥发性有机物综合治理实施方案</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的</w:t>
            </w:r>
            <w:r>
              <w:rPr>
                <w:rStyle w:val="49"/>
                <w:rFonts w:hint="default" w:ascii="Times New Roman" w:hAnsi="Times New Roman" w:eastAsia="宋体" w:cs="Times New Roman"/>
                <w:b w:val="0"/>
                <w:bCs/>
                <w:color w:val="auto"/>
                <w:szCs w:val="24"/>
                <w:highlight w:val="none"/>
              </w:rPr>
              <w:t>相关要求。</w:t>
            </w:r>
          </w:p>
          <w:p w14:paraId="3713CB43">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7.</w:t>
            </w:r>
            <w:r>
              <w:rPr>
                <w:rFonts w:hint="default" w:ascii="Times New Roman" w:hAnsi="Times New Roman" w:eastAsia="宋体" w:cs="Times New Roman"/>
                <w:b/>
                <w:bCs/>
                <w:color w:val="auto"/>
                <w:kern w:val="0"/>
                <w:sz w:val="24"/>
                <w:szCs w:val="24"/>
                <w:highlight w:val="none"/>
                <w:lang w:val="en-US" w:eastAsia="zh-CN"/>
              </w:rPr>
              <w:t>与《关于加快解决当前挥发性有机物治理突出问题的通知》（环大气〔2021〕65号）的符合性分析</w:t>
            </w:r>
          </w:p>
          <w:p w14:paraId="25F9E35B">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sz w:val="24"/>
                <w:highlight w:val="none"/>
                <w:lang w:val="en-US" w:eastAsia="zh-CN"/>
              </w:rPr>
            </w:pPr>
            <w:r>
              <w:rPr>
                <w:rFonts w:hint="default" w:ascii="Times New Roman" w:hAnsi="Times New Roman" w:eastAsia="宋体" w:cs="Times New Roman"/>
                <w:caps w:val="0"/>
                <w:smallCaps w:val="0"/>
                <w:color w:val="auto"/>
                <w:sz w:val="24"/>
                <w:highlight w:val="none"/>
                <w:lang w:val="en-US" w:eastAsia="zh-CN"/>
              </w:rPr>
              <w:t>为深入打好污染防治攻坚战，生态环境部于2021年印发《关于加快解决当前挥发性有机物治理突出问题的通知》（环大气〔2021〕65号），提出了挥发性有机物治理突出问题排查整治工作要求，本项目与其符合性分析见下表。</w:t>
            </w:r>
          </w:p>
          <w:p w14:paraId="52A88C11">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caps w:val="0"/>
                <w:smallCaps w:val="0"/>
                <w:color w:val="auto"/>
                <w:sz w:val="21"/>
                <w:szCs w:val="21"/>
                <w:highlight w:val="none"/>
                <w:lang w:val="en-US"/>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1-9</w:t>
            </w:r>
            <w:r>
              <w:rPr>
                <w:rFonts w:hint="default" w:ascii="Times New Roman" w:hAnsi="Times New Roman" w:eastAsia="宋体" w:cs="Times New Roman"/>
                <w:b/>
                <w:caps w:val="0"/>
                <w:smallCaps w:val="0"/>
                <w:color w:val="auto"/>
                <w:sz w:val="21"/>
                <w:szCs w:val="21"/>
                <w:highlight w:val="none"/>
                <w:lang w:val="en-US" w:eastAsia="zh-CN"/>
              </w:rPr>
              <w:t xml:space="preserve">  与加快解决当前挥发性有机物治理突出问题符合性分析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3618"/>
              <w:gridCol w:w="1850"/>
              <w:gridCol w:w="698"/>
            </w:tblGrid>
            <w:tr w14:paraId="0862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6" w:type="pct"/>
                  <w:gridSpan w:val="2"/>
                  <w:noWrap w:val="0"/>
                  <w:tcMar>
                    <w:top w:w="0" w:type="dxa"/>
                    <w:left w:w="57" w:type="dxa"/>
                    <w:bottom w:w="0" w:type="dxa"/>
                    <w:right w:w="57" w:type="dxa"/>
                  </w:tcMar>
                  <w:vAlign w:val="center"/>
                </w:tcPr>
                <w:p w14:paraId="42611B8A">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center"/>
                    <w:textAlignment w:val="auto"/>
                    <w:rPr>
                      <w:rFonts w:hint="default" w:ascii="Times New Roman" w:hAnsi="Times New Roman" w:eastAsia="宋体" w:cs="Times New Roman"/>
                      <w:b/>
                      <w:bCs/>
                      <w:caps w:val="0"/>
                      <w:smallCaps w:val="0"/>
                      <w:color w:val="auto"/>
                      <w:sz w:val="21"/>
                      <w:szCs w:val="21"/>
                      <w:highlight w:val="none"/>
                      <w:vertAlign w:val="baseline"/>
                      <w:lang w:val="en-US" w:eastAsia="zh-CN"/>
                    </w:rPr>
                  </w:pPr>
                  <w:r>
                    <w:rPr>
                      <w:rFonts w:hint="default" w:ascii="Times New Roman" w:hAnsi="Times New Roman" w:eastAsia="宋体" w:cs="Times New Roman"/>
                      <w:b/>
                      <w:bCs/>
                      <w:caps w:val="0"/>
                      <w:smallCaps w:val="0"/>
                      <w:color w:val="auto"/>
                      <w:sz w:val="21"/>
                      <w:szCs w:val="21"/>
                      <w:highlight w:val="none"/>
                      <w:vertAlign w:val="baseline"/>
                      <w:lang w:val="en-US" w:eastAsia="zh-CN"/>
                    </w:rPr>
                    <w:t>整治要求</w:t>
                  </w:r>
                </w:p>
              </w:tc>
              <w:tc>
                <w:tcPr>
                  <w:tcW w:w="1396" w:type="pct"/>
                  <w:noWrap w:val="0"/>
                  <w:tcMar>
                    <w:top w:w="0" w:type="dxa"/>
                    <w:left w:w="57" w:type="dxa"/>
                    <w:bottom w:w="0" w:type="dxa"/>
                    <w:right w:w="57" w:type="dxa"/>
                  </w:tcMar>
                  <w:vAlign w:val="center"/>
                </w:tcPr>
                <w:p w14:paraId="5CEB840E">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center"/>
                    <w:textAlignment w:val="auto"/>
                    <w:rPr>
                      <w:rFonts w:hint="default" w:ascii="Times New Roman" w:hAnsi="Times New Roman" w:eastAsia="宋体" w:cs="Times New Roman"/>
                      <w:b/>
                      <w:bCs/>
                      <w:caps w:val="0"/>
                      <w:smallCaps w:val="0"/>
                      <w:color w:val="auto"/>
                      <w:sz w:val="21"/>
                      <w:szCs w:val="21"/>
                      <w:highlight w:val="none"/>
                      <w:vertAlign w:val="baseline"/>
                      <w:lang w:val="en-US" w:eastAsia="zh-CN"/>
                    </w:rPr>
                  </w:pPr>
                  <w:r>
                    <w:rPr>
                      <w:rFonts w:hint="default" w:ascii="Times New Roman" w:hAnsi="Times New Roman" w:eastAsia="宋体" w:cs="Times New Roman"/>
                      <w:b/>
                      <w:bCs/>
                      <w:caps w:val="0"/>
                      <w:smallCaps w:val="0"/>
                      <w:color w:val="auto"/>
                      <w:sz w:val="21"/>
                      <w:szCs w:val="21"/>
                      <w:highlight w:val="none"/>
                      <w:vertAlign w:val="baseline"/>
                      <w:lang w:val="en-US" w:eastAsia="zh-CN"/>
                    </w:rPr>
                    <w:t>本项目情况</w:t>
                  </w:r>
                </w:p>
              </w:tc>
              <w:tc>
                <w:tcPr>
                  <w:tcW w:w="527" w:type="pct"/>
                  <w:noWrap w:val="0"/>
                  <w:tcMar>
                    <w:top w:w="0" w:type="dxa"/>
                    <w:left w:w="57" w:type="dxa"/>
                    <w:bottom w:w="0" w:type="dxa"/>
                    <w:right w:w="57" w:type="dxa"/>
                  </w:tcMar>
                  <w:vAlign w:val="center"/>
                </w:tcPr>
                <w:p w14:paraId="3F6CC1D7">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center"/>
                    <w:textAlignment w:val="auto"/>
                    <w:rPr>
                      <w:rFonts w:hint="default" w:ascii="Times New Roman" w:hAnsi="Times New Roman" w:eastAsia="宋体" w:cs="Times New Roman"/>
                      <w:b/>
                      <w:bCs/>
                      <w:caps w:val="0"/>
                      <w:smallCaps w:val="0"/>
                      <w:color w:val="auto"/>
                      <w:sz w:val="21"/>
                      <w:szCs w:val="21"/>
                      <w:highlight w:val="none"/>
                      <w:vertAlign w:val="baseline"/>
                      <w:lang w:val="en-US" w:eastAsia="zh-CN"/>
                    </w:rPr>
                  </w:pPr>
                  <w:r>
                    <w:rPr>
                      <w:rFonts w:hint="default" w:ascii="Times New Roman" w:hAnsi="Times New Roman" w:eastAsia="宋体" w:cs="Times New Roman"/>
                      <w:b/>
                      <w:bCs/>
                      <w:caps w:val="0"/>
                      <w:smallCaps w:val="0"/>
                      <w:color w:val="auto"/>
                      <w:sz w:val="21"/>
                      <w:szCs w:val="21"/>
                      <w:highlight w:val="none"/>
                      <w:vertAlign w:val="baseline"/>
                      <w:lang w:val="en-US" w:eastAsia="zh-CN"/>
                    </w:rPr>
                    <w:t>符合性</w:t>
                  </w:r>
                </w:p>
              </w:tc>
            </w:tr>
            <w:tr w14:paraId="3546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noWrap w:val="0"/>
                  <w:tcMar>
                    <w:top w:w="0" w:type="dxa"/>
                    <w:left w:w="57" w:type="dxa"/>
                    <w:bottom w:w="0" w:type="dxa"/>
                    <w:right w:w="57" w:type="dxa"/>
                  </w:tcMar>
                  <w:vAlign w:val="center"/>
                </w:tcPr>
                <w:p w14:paraId="4EDFE905">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kern w:val="2"/>
                      <w:sz w:val="21"/>
                      <w:szCs w:val="21"/>
                      <w:highlight w:val="none"/>
                      <w:vertAlign w:val="baseline"/>
                      <w:lang w:val="en-US" w:eastAsia="zh-CN" w:bidi="ar-SA"/>
                    </w:rPr>
                  </w:pPr>
                  <w:r>
                    <w:rPr>
                      <w:rFonts w:hint="default" w:ascii="Times New Roman" w:hAnsi="Times New Roman" w:eastAsia="宋体" w:cs="Times New Roman"/>
                      <w:caps w:val="0"/>
                      <w:smallCaps w:val="0"/>
                      <w:color w:val="auto"/>
                      <w:sz w:val="21"/>
                      <w:szCs w:val="21"/>
                      <w:highlight w:val="none"/>
                      <w:vertAlign w:val="baseline"/>
                      <w:lang w:val="en-US" w:eastAsia="zh-CN"/>
                    </w:rPr>
                    <w:t>废气收集设施</w:t>
                  </w:r>
                </w:p>
              </w:tc>
              <w:tc>
                <w:tcPr>
                  <w:tcW w:w="2731" w:type="pct"/>
                  <w:noWrap w:val="0"/>
                  <w:tcMar>
                    <w:top w:w="0" w:type="dxa"/>
                    <w:left w:w="57" w:type="dxa"/>
                    <w:bottom w:w="0" w:type="dxa"/>
                    <w:right w:w="57" w:type="dxa"/>
                  </w:tcMar>
                  <w:vAlign w:val="center"/>
                </w:tcPr>
                <w:p w14:paraId="51D237EF">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kern w:val="2"/>
                      <w:sz w:val="21"/>
                      <w:szCs w:val="21"/>
                      <w:highlight w:val="none"/>
                      <w:vertAlign w:val="baseline"/>
                      <w:lang w:val="en-US" w:eastAsia="zh-CN" w:bidi="ar-SA"/>
                    </w:rPr>
                  </w:pPr>
                  <w:r>
                    <w:rPr>
                      <w:rFonts w:hint="default" w:ascii="Times New Roman" w:hAnsi="Times New Roman" w:eastAsia="宋体" w:cs="Times New Roman"/>
                      <w:caps w:val="0"/>
                      <w:smallCaps w:val="0"/>
                      <w:color w:val="auto"/>
                      <w:sz w:val="21"/>
                      <w:szCs w:val="21"/>
                      <w:highlight w:val="none"/>
                      <w:vertAlign w:val="baseline"/>
                      <w:lang w:val="en-US" w:eastAsia="zh-CN"/>
                    </w:rPr>
                    <w:t>产生VOCs的生产环节优先采用密闭设备、在密闭空间中操作或采用全密闭集气罩收集方式，并保持负压运行。废气收集系统的输送管道应密闭、无破损。有机液体进料鼓励采用底部、浸入管给料方式；固体物料投加逐步推进采用密闭式投料装置。</w:t>
                  </w:r>
                </w:p>
              </w:tc>
              <w:tc>
                <w:tcPr>
                  <w:tcW w:w="1396" w:type="pct"/>
                  <w:noWrap w:val="0"/>
                  <w:tcMar>
                    <w:top w:w="0" w:type="dxa"/>
                    <w:left w:w="57" w:type="dxa"/>
                    <w:bottom w:w="0" w:type="dxa"/>
                    <w:right w:w="57" w:type="dxa"/>
                  </w:tcMar>
                  <w:vAlign w:val="center"/>
                </w:tcPr>
                <w:p w14:paraId="3EE7793E">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shd w:val="clear" w:color="auto" w:fill="FFFFFF"/>
                      <w:lang w:val="en-US" w:eastAsia="zh-CN"/>
                    </w:rPr>
                    <w:t>项目生产过程中产生的有机废气经集气罩收集后经负压风管进</w:t>
                  </w:r>
                  <w:r>
                    <w:rPr>
                      <w:rFonts w:hint="default" w:ascii="Times New Roman" w:hAnsi="Times New Roman" w:eastAsia="宋体" w:cs="Times New Roman"/>
                      <w:caps w:val="0"/>
                      <w:smallCaps w:val="0"/>
                      <w:color w:val="auto"/>
                      <w:sz w:val="21"/>
                      <w:szCs w:val="21"/>
                      <w:highlight w:val="none"/>
                      <w:lang w:val="en-US" w:eastAsia="zh-CN"/>
                    </w:rPr>
                    <w:t>入</w:t>
                  </w:r>
                  <w:r>
                    <w:rPr>
                      <w:rFonts w:hint="default" w:ascii="Times New Roman" w:hAnsi="Times New Roman" w:eastAsia="宋体" w:cs="Times New Roman"/>
                      <w:caps w:val="0"/>
                      <w:smallCaps w:val="0"/>
                      <w:color w:val="auto"/>
                      <w:sz w:val="21"/>
                      <w:szCs w:val="21"/>
                      <w:highlight w:val="none"/>
                      <w:lang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aps w:val="0"/>
                      <w:smallCaps w:val="0"/>
                      <w:color w:val="auto"/>
                      <w:sz w:val="21"/>
                      <w:szCs w:val="21"/>
                      <w:highlight w:val="none"/>
                      <w:lang w:eastAsia="zh-CN"/>
                    </w:rPr>
                    <w:t>”</w:t>
                  </w:r>
                  <w:r>
                    <w:rPr>
                      <w:rFonts w:hint="default" w:ascii="Times New Roman" w:hAnsi="Times New Roman" w:eastAsia="宋体" w:cs="Times New Roman"/>
                      <w:color w:val="auto"/>
                      <w:sz w:val="21"/>
                      <w:szCs w:val="21"/>
                      <w:highlight w:val="none"/>
                      <w:shd w:val="clear" w:color="auto" w:fill="FFFFFF"/>
                      <w:lang w:val="en-US" w:eastAsia="zh-CN"/>
                    </w:rPr>
                    <w:t>处理，</w:t>
                  </w:r>
                  <w:r>
                    <w:rPr>
                      <w:rFonts w:hint="default" w:ascii="Times New Roman" w:hAnsi="Times New Roman" w:eastAsia="宋体" w:cs="Times New Roman"/>
                      <w:caps w:val="0"/>
                      <w:smallCaps w:val="0"/>
                      <w:color w:val="auto"/>
                      <w:sz w:val="21"/>
                      <w:szCs w:val="21"/>
                      <w:highlight w:val="none"/>
                    </w:rPr>
                    <w:t>项目</w:t>
                  </w:r>
                  <w:r>
                    <w:rPr>
                      <w:rFonts w:hint="default" w:ascii="Times New Roman" w:hAnsi="Times New Roman" w:eastAsia="宋体" w:cs="Times New Roman"/>
                      <w:caps w:val="0"/>
                      <w:smallCaps w:val="0"/>
                      <w:color w:val="auto"/>
                      <w:sz w:val="21"/>
                      <w:szCs w:val="21"/>
                      <w:highlight w:val="none"/>
                      <w:lang w:val="en-US" w:eastAsia="zh-CN"/>
                    </w:rPr>
                    <w:t>废气输送管道均密闭。</w:t>
                  </w:r>
                </w:p>
              </w:tc>
              <w:tc>
                <w:tcPr>
                  <w:tcW w:w="527" w:type="pct"/>
                  <w:noWrap w:val="0"/>
                  <w:tcMar>
                    <w:top w:w="0" w:type="dxa"/>
                    <w:left w:w="57" w:type="dxa"/>
                    <w:bottom w:w="0" w:type="dxa"/>
                    <w:right w:w="57" w:type="dxa"/>
                  </w:tcMar>
                  <w:vAlign w:val="center"/>
                </w:tcPr>
                <w:p w14:paraId="182DFB85">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kern w:val="2"/>
                      <w:sz w:val="21"/>
                      <w:szCs w:val="21"/>
                      <w:highlight w:val="none"/>
                      <w:vertAlign w:val="baseline"/>
                      <w:lang w:val="en-US" w:eastAsia="zh-CN" w:bidi="ar-SA"/>
                    </w:rPr>
                  </w:pPr>
                  <w:r>
                    <w:rPr>
                      <w:rFonts w:hint="default" w:ascii="Times New Roman" w:hAnsi="Times New Roman" w:eastAsia="宋体" w:cs="Times New Roman"/>
                      <w:caps w:val="0"/>
                      <w:smallCaps w:val="0"/>
                      <w:color w:val="auto"/>
                      <w:sz w:val="21"/>
                      <w:szCs w:val="21"/>
                      <w:highlight w:val="none"/>
                      <w:vertAlign w:val="baseline"/>
                      <w:lang w:val="en-US" w:eastAsia="zh-CN"/>
                    </w:rPr>
                    <w:t>符合</w:t>
                  </w:r>
                </w:p>
              </w:tc>
            </w:tr>
            <w:tr w14:paraId="3974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noWrap w:val="0"/>
                  <w:tcMar>
                    <w:top w:w="0" w:type="dxa"/>
                    <w:left w:w="57" w:type="dxa"/>
                    <w:bottom w:w="0" w:type="dxa"/>
                    <w:right w:w="57" w:type="dxa"/>
                  </w:tcMar>
                  <w:vAlign w:val="center"/>
                </w:tcPr>
                <w:p w14:paraId="26D0C192">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有机废气治理设施</w:t>
                  </w:r>
                </w:p>
              </w:tc>
              <w:tc>
                <w:tcPr>
                  <w:tcW w:w="2731" w:type="pct"/>
                  <w:noWrap w:val="0"/>
                  <w:tcMar>
                    <w:top w:w="0" w:type="dxa"/>
                    <w:left w:w="57" w:type="dxa"/>
                    <w:bottom w:w="0" w:type="dxa"/>
                    <w:right w:w="57" w:type="dxa"/>
                  </w:tcMar>
                  <w:vAlign w:val="center"/>
                </w:tcPr>
                <w:p w14:paraId="60B94553">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1396" w:type="pct"/>
                  <w:noWrap w:val="0"/>
                  <w:tcMar>
                    <w:top w:w="0" w:type="dxa"/>
                    <w:left w:w="57" w:type="dxa"/>
                    <w:bottom w:w="0" w:type="dxa"/>
                    <w:right w:w="57" w:type="dxa"/>
                  </w:tcMar>
                  <w:vAlign w:val="center"/>
                </w:tcPr>
                <w:p w14:paraId="5DB7F298">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rPr>
                    <w:t>项目</w:t>
                  </w:r>
                  <w:r>
                    <w:rPr>
                      <w:rFonts w:hint="default" w:ascii="Times New Roman" w:hAnsi="Times New Roman" w:eastAsia="宋体" w:cs="Times New Roman"/>
                      <w:caps w:val="0"/>
                      <w:smallCaps w:val="0"/>
                      <w:color w:val="auto"/>
                      <w:sz w:val="21"/>
                      <w:szCs w:val="21"/>
                      <w:highlight w:val="none"/>
                      <w:lang w:val="en-US" w:eastAsia="zh-CN"/>
                    </w:rPr>
                    <w:t>有机废气采用“</w:t>
                  </w:r>
                  <w:r>
                    <w:rPr>
                      <w:rFonts w:hint="default" w:ascii="Times New Roman" w:hAnsi="Times New Roman" w:eastAsia="宋体" w:cs="Times New Roman"/>
                      <w:caps w:val="0"/>
                      <w:smallCaps w:val="0"/>
                      <w:color w:val="auto"/>
                      <w:sz w:val="21"/>
                      <w:szCs w:val="21"/>
                      <w:highlight w:val="none"/>
                      <w:lang w:val="zh-CN" w:eastAsia="zh-CN"/>
                    </w:rPr>
                    <w:t>三级活性炭吸附装置</w:t>
                  </w:r>
                  <w:r>
                    <w:rPr>
                      <w:rFonts w:hint="default" w:ascii="Times New Roman" w:hAnsi="Times New Roman" w:eastAsia="宋体" w:cs="Times New Roman"/>
                      <w:caps w:val="0"/>
                      <w:smallCaps w:val="0"/>
                      <w:color w:val="auto"/>
                      <w:sz w:val="21"/>
                      <w:szCs w:val="21"/>
                      <w:highlight w:val="none"/>
                      <w:lang w:val="en-US" w:eastAsia="zh-CN"/>
                    </w:rPr>
                    <w:t>”+排气筒达标排放。</w:t>
                  </w:r>
                </w:p>
              </w:tc>
              <w:tc>
                <w:tcPr>
                  <w:tcW w:w="527" w:type="pct"/>
                  <w:noWrap w:val="0"/>
                  <w:tcMar>
                    <w:top w:w="0" w:type="dxa"/>
                    <w:left w:w="57" w:type="dxa"/>
                    <w:bottom w:w="0" w:type="dxa"/>
                    <w:right w:w="57" w:type="dxa"/>
                  </w:tcMar>
                  <w:vAlign w:val="center"/>
                </w:tcPr>
                <w:p w14:paraId="7A61A2B7">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符合</w:t>
                  </w:r>
                </w:p>
              </w:tc>
            </w:tr>
            <w:tr w14:paraId="3DA1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noWrap w:val="0"/>
                  <w:tcMar>
                    <w:top w:w="0" w:type="dxa"/>
                    <w:left w:w="57" w:type="dxa"/>
                    <w:bottom w:w="0" w:type="dxa"/>
                    <w:right w:w="57" w:type="dxa"/>
                  </w:tcMar>
                  <w:vAlign w:val="center"/>
                </w:tcPr>
                <w:p w14:paraId="754A91ED">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产品VOCs含量</w:t>
                  </w:r>
                </w:p>
              </w:tc>
              <w:tc>
                <w:tcPr>
                  <w:tcW w:w="2731" w:type="pct"/>
                  <w:noWrap w:val="0"/>
                  <w:tcMar>
                    <w:top w:w="0" w:type="dxa"/>
                    <w:left w:w="57" w:type="dxa"/>
                    <w:bottom w:w="0" w:type="dxa"/>
                    <w:right w:w="57" w:type="dxa"/>
                  </w:tcMar>
                  <w:vAlign w:val="center"/>
                </w:tcPr>
                <w:p w14:paraId="48416674">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工业涂装、包装印刷、鞋革箱包制造、竹木制品、电子等重点行业要加大低（无）VOCs含量原辅材料的源头替代力度，加强成熟技术替代品的应用。</w:t>
                  </w:r>
                </w:p>
              </w:tc>
              <w:tc>
                <w:tcPr>
                  <w:tcW w:w="1396" w:type="pct"/>
                  <w:noWrap w:val="0"/>
                  <w:tcMar>
                    <w:top w:w="0" w:type="dxa"/>
                    <w:left w:w="57" w:type="dxa"/>
                    <w:bottom w:w="0" w:type="dxa"/>
                    <w:right w:w="57" w:type="dxa"/>
                  </w:tcMar>
                  <w:vAlign w:val="center"/>
                </w:tcPr>
                <w:p w14:paraId="5A5494A3">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aps w:val="0"/>
                      <w:smallCaps w:val="0"/>
                      <w:color w:val="auto"/>
                      <w:sz w:val="21"/>
                      <w:szCs w:val="21"/>
                      <w:highlight w:val="none"/>
                      <w:lang w:val="en-US" w:eastAsia="zh-CN"/>
                    </w:rPr>
                    <w:t>不涉及</w:t>
                  </w:r>
                  <w:r>
                    <w:rPr>
                      <w:rFonts w:hint="default" w:ascii="Times New Roman" w:hAnsi="Times New Roman" w:eastAsia="宋体" w:cs="Times New Roman"/>
                      <w:caps w:val="0"/>
                      <w:smallCaps w:val="0"/>
                      <w:color w:val="auto"/>
                      <w:sz w:val="21"/>
                      <w:szCs w:val="21"/>
                      <w:highlight w:val="none"/>
                      <w:vertAlign w:val="baseline"/>
                      <w:lang w:val="en-US" w:eastAsia="zh-CN"/>
                    </w:rPr>
                    <w:t>工业涂装、包装印刷、鞋革箱包制造、竹木制品、电子等重点行业。</w:t>
                  </w:r>
                </w:p>
              </w:tc>
              <w:tc>
                <w:tcPr>
                  <w:tcW w:w="527" w:type="pct"/>
                  <w:noWrap w:val="0"/>
                  <w:tcMar>
                    <w:top w:w="0" w:type="dxa"/>
                    <w:left w:w="57" w:type="dxa"/>
                    <w:bottom w:w="0" w:type="dxa"/>
                    <w:right w:w="57" w:type="dxa"/>
                  </w:tcMar>
                  <w:vAlign w:val="center"/>
                </w:tcPr>
                <w:p w14:paraId="20BF140D">
                  <w:pPr>
                    <w:pStyle w:val="28"/>
                    <w:keepNext w:val="0"/>
                    <w:keepLines w:val="0"/>
                    <w:pageBreakBefore w:val="0"/>
                    <w:widowControl w:val="0"/>
                    <w:kinsoku/>
                    <w:wordWrap/>
                    <w:overflowPunct/>
                    <w:topLinePunct/>
                    <w:autoSpaceDE w:val="0"/>
                    <w:autoSpaceDN/>
                    <w:bidi w:val="0"/>
                    <w:adjustRightInd/>
                    <w:snapToGrid/>
                    <w:spacing w:after="0"/>
                    <w:ind w:left="0" w:leftChars="0" w:firstLine="0" w:firstLineChars="0"/>
                    <w:jc w:val="both"/>
                    <w:textAlignment w:val="auto"/>
                    <w:rPr>
                      <w:rFonts w:hint="default" w:ascii="Times New Roman" w:hAnsi="Times New Roman" w:eastAsia="宋体" w:cs="Times New Roman"/>
                      <w:caps w:val="0"/>
                      <w:smallCaps w:val="0"/>
                      <w:color w:val="auto"/>
                      <w:sz w:val="21"/>
                      <w:szCs w:val="21"/>
                      <w:highlight w:val="none"/>
                      <w:vertAlign w:val="baseline"/>
                      <w:lang w:val="en-US" w:eastAsia="zh-CN"/>
                    </w:rPr>
                  </w:pPr>
                  <w:r>
                    <w:rPr>
                      <w:rFonts w:hint="default" w:ascii="Times New Roman" w:hAnsi="Times New Roman" w:eastAsia="宋体" w:cs="Times New Roman"/>
                      <w:caps w:val="0"/>
                      <w:smallCaps w:val="0"/>
                      <w:color w:val="auto"/>
                      <w:sz w:val="21"/>
                      <w:szCs w:val="21"/>
                      <w:highlight w:val="none"/>
                      <w:vertAlign w:val="baseline"/>
                      <w:lang w:val="en-US" w:eastAsia="zh-CN"/>
                    </w:rPr>
                    <w:t>符合</w:t>
                  </w:r>
                </w:p>
              </w:tc>
            </w:tr>
          </w:tbl>
          <w:p w14:paraId="72CF1C17">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aps w:val="0"/>
                <w:smallCaps w:val="0"/>
                <w:color w:val="auto"/>
                <w:sz w:val="24"/>
                <w:szCs w:val="24"/>
                <w:highlight w:val="none"/>
                <w:lang w:val="en-US" w:eastAsia="zh-CN"/>
              </w:rPr>
              <w:t>综上，项目符合《关于加快解决当前挥发性有机物治理突出问题的通知》（环大气〔2021〕65号）的要求。</w:t>
            </w:r>
          </w:p>
          <w:p w14:paraId="71BBD4BB">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8.</w:t>
            </w:r>
            <w:r>
              <w:rPr>
                <w:rFonts w:hint="default" w:ascii="Times New Roman" w:hAnsi="Times New Roman" w:eastAsia="宋体" w:cs="Times New Roman"/>
                <w:b/>
                <w:bCs/>
                <w:color w:val="auto"/>
                <w:kern w:val="0"/>
                <w:sz w:val="24"/>
                <w:szCs w:val="24"/>
                <w:highlight w:val="none"/>
                <w:lang w:val="en-US" w:eastAsia="zh-CN"/>
              </w:rPr>
              <w:t>与《挥发性有机物无组织排放控制标准》的符合性分析</w:t>
            </w:r>
          </w:p>
          <w:p w14:paraId="3F92A526">
            <w:pPr>
              <w:pStyle w:val="28"/>
              <w:keepNext w:val="0"/>
              <w:keepLines w:val="0"/>
              <w:pageBreakBefore w:val="0"/>
              <w:widowControl/>
              <w:kinsoku/>
              <w:wordWrap/>
              <w:overflowPunct/>
              <w:topLinePunct/>
              <w:autoSpaceDE w:val="0"/>
              <w:autoSpaceDN/>
              <w:bidi w:val="0"/>
              <w:adjustRightInd/>
              <w:snapToGrid/>
              <w:spacing w:after="0" w:line="360" w:lineRule="auto"/>
              <w:ind w:left="0" w:firstLine="42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b w:val="0"/>
                <w:bCs w:val="0"/>
                <w:color w:val="auto"/>
                <w:sz w:val="24"/>
                <w:szCs w:val="24"/>
                <w:highlight w:val="none"/>
                <w:lang w:val="en-US" w:eastAsia="zh-CN"/>
              </w:rPr>
              <w:t>《挥发性有机物无组织排放控制标准》（</w:t>
            </w:r>
            <w:r>
              <w:rPr>
                <w:rFonts w:hint="default" w:ascii="Times New Roman" w:hAnsi="Times New Roman" w:eastAsia="宋体" w:cs="Times New Roman"/>
                <w:b w:val="0"/>
                <w:bCs w:val="0"/>
                <w:color w:val="auto"/>
                <w:kern w:val="0"/>
                <w:sz w:val="24"/>
                <w:szCs w:val="24"/>
                <w:highlight w:val="none"/>
                <w:lang w:val="en-US" w:eastAsia="zh-CN" w:bidi="ar"/>
              </w:rPr>
              <w:t>GB37822-2019</w:t>
            </w:r>
            <w:r>
              <w:rPr>
                <w:rFonts w:hint="default" w:ascii="Times New Roman" w:hAnsi="Times New Roman" w:eastAsia="宋体" w:cs="Times New Roman"/>
                <w:b w:val="0"/>
                <w:bCs w:val="0"/>
                <w:color w:val="auto"/>
                <w:sz w:val="24"/>
                <w:szCs w:val="24"/>
                <w:highlight w:val="none"/>
                <w:lang w:val="en-US" w:eastAsia="zh-CN"/>
              </w:rPr>
              <w:t>）的符合性分析详见下表。</w:t>
            </w:r>
          </w:p>
          <w:p w14:paraId="50DF9B4A">
            <w:pPr>
              <w:pStyle w:val="27"/>
              <w:keepNext w:val="0"/>
              <w:keepLines w:val="0"/>
              <w:pageBreakBefore w:val="0"/>
              <w:widowControl/>
              <w:kinsoku/>
              <w:wordWrap/>
              <w:overflowPunct/>
              <w:topLinePunct/>
              <w:autoSpaceDE w:val="0"/>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1-10  与《挥发性有机物无组织排放控制标准》符合性分析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525"/>
              <w:gridCol w:w="2561"/>
              <w:gridCol w:w="671"/>
            </w:tblGrid>
            <w:tr w14:paraId="3DCD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0" w:type="dxa"/>
                  <w:gridSpan w:val="2"/>
                  <w:noWrap w:val="0"/>
                  <w:vAlign w:val="center"/>
                </w:tcPr>
                <w:p w14:paraId="51E8649E">
                  <w:pPr>
                    <w:keepNext w:val="0"/>
                    <w:keepLines w:val="0"/>
                    <w:pageBreakBefore w:val="0"/>
                    <w:widowControl/>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标准要求</w:t>
                  </w:r>
                </w:p>
              </w:tc>
              <w:tc>
                <w:tcPr>
                  <w:tcW w:w="2561" w:type="dxa"/>
                  <w:noWrap w:val="0"/>
                  <w:vAlign w:val="center"/>
                </w:tcPr>
                <w:p w14:paraId="010BCB11">
                  <w:pPr>
                    <w:keepNext w:val="0"/>
                    <w:keepLines w:val="0"/>
                    <w:pageBreakBefore w:val="0"/>
                    <w:widowControl/>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671" w:type="dxa"/>
                  <w:noWrap w:val="0"/>
                  <w:vAlign w:val="center"/>
                </w:tcPr>
                <w:p w14:paraId="35F32E0E">
                  <w:pPr>
                    <w:keepNext w:val="0"/>
                    <w:keepLines w:val="0"/>
                    <w:pageBreakBefore w:val="0"/>
                    <w:widowControl/>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14:paraId="09A9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restart"/>
                  <w:noWrap w:val="0"/>
                  <w:vAlign w:val="center"/>
                </w:tcPr>
                <w:p w14:paraId="1B83BC0A">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VOCs物料储存无组织排放控制要求</w:t>
                  </w:r>
                </w:p>
              </w:tc>
              <w:tc>
                <w:tcPr>
                  <w:tcW w:w="2525" w:type="dxa"/>
                  <w:noWrap w:val="0"/>
                  <w:vAlign w:val="center"/>
                </w:tcPr>
                <w:p w14:paraId="2FC45F36">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rPr>
                    <w:t>VOCs物料应储存于密闭的容器、包装袋、储罐、储库、料仓中。</w:t>
                  </w:r>
                </w:p>
              </w:tc>
              <w:tc>
                <w:tcPr>
                  <w:tcW w:w="2561" w:type="dxa"/>
                  <w:noWrap w:val="0"/>
                  <w:vAlign w:val="center"/>
                </w:tcPr>
                <w:p w14:paraId="3E781A60">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项目使用的</w:t>
                  </w:r>
                  <w:r>
                    <w:rPr>
                      <w:rFonts w:hint="eastAsia" w:cs="Times New Roman"/>
                      <w:color w:val="auto"/>
                      <w:szCs w:val="21"/>
                      <w:lang w:val="en-US" w:eastAsia="zh-CN"/>
                    </w:rPr>
                    <w:t>PVC树脂</w:t>
                  </w:r>
                  <w:r>
                    <w:rPr>
                      <w:rFonts w:hint="eastAsia" w:ascii="Times New Roman" w:hAnsi="Times New Roman" w:cs="Times New Roman"/>
                      <w:color w:val="auto"/>
                      <w:szCs w:val="21"/>
                      <w:lang w:val="en-US" w:eastAsia="zh-CN"/>
                    </w:rPr>
                    <w:t>储存过程中不会产生</w:t>
                  </w:r>
                  <w:r>
                    <w:rPr>
                      <w:rFonts w:hint="default" w:ascii="Times New Roman" w:hAnsi="Times New Roman" w:eastAsia="宋体" w:cs="Times New Roman"/>
                      <w:color w:val="auto"/>
                      <w:sz w:val="21"/>
                      <w:szCs w:val="21"/>
                      <w:lang w:val="en-US"/>
                    </w:rPr>
                    <w:t>VOCs</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vertAlign w:val="baseline"/>
                      <w:lang w:val="en-US" w:eastAsia="zh-CN"/>
                    </w:rPr>
                    <w:t>原料储存于密闭的包装袋内</w:t>
                  </w:r>
                  <w:r>
                    <w:rPr>
                      <w:rFonts w:hint="eastAsia" w:eastAsia="宋体" w:cs="Times New Roman"/>
                      <w:color w:val="auto"/>
                      <w:sz w:val="21"/>
                      <w:szCs w:val="21"/>
                      <w:highlight w:val="none"/>
                      <w:vertAlign w:val="baseline"/>
                      <w:lang w:val="en-US" w:eastAsia="zh-CN"/>
                    </w:rPr>
                    <w:t>。</w:t>
                  </w:r>
                </w:p>
              </w:tc>
              <w:tc>
                <w:tcPr>
                  <w:tcW w:w="671" w:type="dxa"/>
                  <w:noWrap w:val="0"/>
                  <w:vAlign w:val="center"/>
                </w:tcPr>
                <w:p w14:paraId="65DA51B5">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216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continue"/>
                  <w:noWrap w:val="0"/>
                  <w:vAlign w:val="center"/>
                </w:tcPr>
                <w:p w14:paraId="2BECFE25">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dxa"/>
                  <w:noWrap w:val="0"/>
                  <w:vAlign w:val="center"/>
                </w:tcPr>
                <w:p w14:paraId="2998B372">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rPr>
                    <w:t>盛装VOCs物料的容器或包装袋应存放于室内，或存放于设置有雨棚、遮阳和防渗设施的专用场地。盛装VOCs物料的容器或包装袋在非取用状态时应加盖、封口，保持密闭。</w:t>
                  </w:r>
                </w:p>
              </w:tc>
              <w:tc>
                <w:tcPr>
                  <w:tcW w:w="2561" w:type="dxa"/>
                  <w:noWrap w:val="0"/>
                  <w:vAlign w:val="center"/>
                </w:tcPr>
                <w:p w14:paraId="7E1F63D8">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项目使用的原料储存于密闭的包装袋内，并储存于生产车间内；生产车间</w:t>
                  </w:r>
                  <w:r>
                    <w:rPr>
                      <w:rFonts w:hint="eastAsia" w:cs="Times New Roman"/>
                      <w:color w:val="auto"/>
                      <w:sz w:val="21"/>
                      <w:szCs w:val="21"/>
                      <w:highlight w:val="none"/>
                      <w:vertAlign w:val="baseline"/>
                      <w:lang w:val="en-US" w:eastAsia="zh-CN"/>
                    </w:rPr>
                    <w:t>采取</w:t>
                  </w:r>
                  <w:r>
                    <w:rPr>
                      <w:rFonts w:hint="default" w:ascii="Times New Roman" w:hAnsi="Times New Roman" w:eastAsia="宋体" w:cs="Times New Roman"/>
                      <w:color w:val="auto"/>
                      <w:sz w:val="21"/>
                      <w:szCs w:val="21"/>
                      <w:highlight w:val="none"/>
                      <w:vertAlign w:val="baseline"/>
                      <w:lang w:val="en-US" w:eastAsia="zh-CN"/>
                    </w:rPr>
                    <w:t>防雨、遮阳</w:t>
                  </w:r>
                  <w:r>
                    <w:rPr>
                      <w:rFonts w:hint="eastAsia" w:cs="Times New Roman"/>
                      <w:color w:val="auto"/>
                      <w:sz w:val="21"/>
                      <w:szCs w:val="21"/>
                      <w:highlight w:val="none"/>
                      <w:vertAlign w:val="baseline"/>
                      <w:lang w:val="en-US" w:eastAsia="zh-CN"/>
                    </w:rPr>
                    <w:t>，对</w:t>
                  </w:r>
                  <w:r>
                    <w:rPr>
                      <w:rFonts w:hint="default" w:ascii="Times New Roman" w:hAnsi="Times New Roman" w:eastAsia="宋体" w:cs="Times New Roman"/>
                      <w:color w:val="auto"/>
                      <w:sz w:val="21"/>
                      <w:szCs w:val="21"/>
                      <w:highlight w:val="none"/>
                      <w:vertAlign w:val="baseline"/>
                      <w:lang w:val="en-US" w:eastAsia="zh-CN"/>
                    </w:rPr>
                    <w:t>地面进行硬化。</w:t>
                  </w:r>
                  <w:r>
                    <w:rPr>
                      <w:rFonts w:hint="default" w:ascii="Times New Roman" w:hAnsi="Times New Roman" w:eastAsia="宋体" w:cs="Times New Roman"/>
                      <w:caps w:val="0"/>
                      <w:smallCaps w:val="0"/>
                      <w:color w:val="auto"/>
                      <w:sz w:val="21"/>
                      <w:szCs w:val="21"/>
                      <w:highlight w:val="none"/>
                    </w:rPr>
                    <w:t>本项目使用产生VOCs的物质主要</w:t>
                  </w:r>
                  <w:r>
                    <w:rPr>
                      <w:rFonts w:hint="default" w:ascii="Times New Roman" w:hAnsi="Times New Roman" w:eastAsia="宋体" w:cs="Times New Roman"/>
                      <w:caps w:val="0"/>
                      <w:smallCaps w:val="0"/>
                      <w:color w:val="auto"/>
                      <w:sz w:val="21"/>
                      <w:szCs w:val="21"/>
                      <w:highlight w:val="none"/>
                      <w:lang w:val="en-US" w:eastAsia="zh-CN"/>
                    </w:rPr>
                    <w:t>为</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aps w:val="0"/>
                      <w:smallCaps w:val="0"/>
                      <w:color w:val="auto"/>
                      <w:sz w:val="21"/>
                      <w:szCs w:val="21"/>
                      <w:highlight w:val="none"/>
                      <w:lang w:val="en-US" w:eastAsia="zh-CN"/>
                    </w:rPr>
                    <w:t>少量挥发有机废气的材料，常温常压下为固态，无挥发性有机废气产生</w:t>
                  </w:r>
                  <w:r>
                    <w:rPr>
                      <w:rFonts w:hint="default" w:ascii="Times New Roman" w:hAnsi="Times New Roman" w:eastAsia="宋体" w:cs="Times New Roman"/>
                      <w:caps w:val="0"/>
                      <w:smallCaps w:val="0"/>
                      <w:color w:val="auto"/>
                      <w:sz w:val="21"/>
                      <w:szCs w:val="21"/>
                      <w:highlight w:val="none"/>
                    </w:rPr>
                    <w:t>。</w:t>
                  </w:r>
                </w:p>
              </w:tc>
              <w:tc>
                <w:tcPr>
                  <w:tcW w:w="671" w:type="dxa"/>
                  <w:noWrap w:val="0"/>
                  <w:vAlign w:val="center"/>
                </w:tcPr>
                <w:p w14:paraId="78A00544">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21C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865" w:type="dxa"/>
                  <w:noWrap w:val="0"/>
                  <w:vAlign w:val="center"/>
                </w:tcPr>
                <w:p w14:paraId="2B4FBC2E">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VOCs物料转移和输送无组织排放控制要求</w:t>
                  </w:r>
                </w:p>
              </w:tc>
              <w:tc>
                <w:tcPr>
                  <w:tcW w:w="2525" w:type="dxa"/>
                  <w:noWrap w:val="0"/>
                  <w:vAlign w:val="center"/>
                </w:tcPr>
                <w:p w14:paraId="11BEA327">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rPr>
                    <w:t>粉状、粒状VOCs物料应采用气力输送设备、管状带式输送机、螺旋输送机等密闭输送方式，或者采用密闭的包装袋、容器或罐车进行物料转移。</w:t>
                  </w:r>
                </w:p>
              </w:tc>
              <w:tc>
                <w:tcPr>
                  <w:tcW w:w="2561" w:type="dxa"/>
                  <w:noWrap w:val="0"/>
                  <w:vAlign w:val="center"/>
                </w:tcPr>
                <w:p w14:paraId="113F6671">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项目生产过程中</w:t>
                  </w:r>
                  <w:r>
                    <w:rPr>
                      <w:rFonts w:hint="eastAsia" w:cs="Times New Roman"/>
                      <w:color w:val="auto"/>
                      <w:sz w:val="21"/>
                      <w:szCs w:val="21"/>
                      <w:highlight w:val="none"/>
                      <w:vertAlign w:val="baseline"/>
                      <w:lang w:val="en-US" w:eastAsia="zh-CN"/>
                    </w:rPr>
                    <w:t>使用的</w:t>
                  </w:r>
                  <w:r>
                    <w:rPr>
                      <w:rFonts w:hint="eastAsia" w:cs="Times New Roman"/>
                      <w:color w:val="auto"/>
                      <w:szCs w:val="21"/>
                      <w:lang w:val="en-US" w:eastAsia="zh-CN"/>
                    </w:rPr>
                    <w:t>PVC树脂为粉料，</w:t>
                  </w:r>
                  <w:r>
                    <w:rPr>
                      <w:rFonts w:hint="default" w:ascii="Times New Roman" w:hAnsi="Times New Roman" w:eastAsia="宋体" w:cs="Times New Roman"/>
                      <w:color w:val="auto"/>
                      <w:sz w:val="21"/>
                      <w:szCs w:val="21"/>
                      <w:highlight w:val="none"/>
                      <w:vertAlign w:val="baseline"/>
                      <w:lang w:val="en-US" w:eastAsia="zh-CN"/>
                    </w:rPr>
                    <w:t>使用密闭包装袋进行输送</w:t>
                  </w:r>
                  <w:r>
                    <w:rPr>
                      <w:rFonts w:hint="eastAsia" w:cs="Times New Roman"/>
                      <w:color w:val="auto"/>
                      <w:szCs w:val="21"/>
                      <w:lang w:val="en-US" w:eastAsia="zh-CN"/>
                    </w:rPr>
                    <w:t>，在</w:t>
                  </w:r>
                  <w:r>
                    <w:rPr>
                      <w:rFonts w:hint="eastAsia" w:ascii="Times New Roman" w:hAnsi="Times New Roman" w:eastAsia="宋体" w:cs="Times New Roman"/>
                      <w:color w:val="auto"/>
                      <w:sz w:val="21"/>
                      <w:szCs w:val="21"/>
                      <w:lang w:val="en-US" w:eastAsia="zh-CN"/>
                    </w:rPr>
                    <w:t>输送、转移过</w:t>
                  </w:r>
                  <w:r>
                    <w:rPr>
                      <w:rFonts w:hint="eastAsia" w:cs="Times New Roman"/>
                      <w:color w:val="auto"/>
                      <w:sz w:val="21"/>
                      <w:szCs w:val="21"/>
                      <w:lang w:val="en-US" w:eastAsia="zh-CN"/>
                    </w:rPr>
                    <w:t>程中</w:t>
                  </w:r>
                  <w:r>
                    <w:rPr>
                      <w:rFonts w:hint="eastAsia" w:ascii="Times New Roman" w:hAnsi="Times New Roman" w:eastAsia="宋体" w:cs="Times New Roman"/>
                      <w:color w:val="auto"/>
                      <w:sz w:val="21"/>
                      <w:szCs w:val="21"/>
                      <w:lang w:val="en-US" w:eastAsia="zh-CN"/>
                    </w:rPr>
                    <w:t>不会产生</w:t>
                  </w:r>
                  <w:r>
                    <w:rPr>
                      <w:rFonts w:hint="default" w:ascii="Times New Roman" w:hAnsi="Times New Roman" w:eastAsia="宋体" w:cs="Times New Roman"/>
                      <w:color w:val="auto"/>
                      <w:sz w:val="21"/>
                      <w:szCs w:val="21"/>
                      <w:vertAlign w:val="baseline"/>
                      <w:lang w:val="en-US" w:eastAsia="zh-CN"/>
                    </w:rPr>
                    <w:t>VOCs</w:t>
                  </w:r>
                  <w:r>
                    <w:rPr>
                      <w:rFonts w:hint="eastAsia"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仅</w:t>
                  </w:r>
                  <w:r>
                    <w:rPr>
                      <w:rFonts w:hint="eastAsia" w:ascii="Times New Roman" w:hAnsi="Times New Roman" w:eastAsia="宋体" w:cs="Times New Roman"/>
                      <w:color w:val="auto"/>
                      <w:sz w:val="21"/>
                      <w:szCs w:val="21"/>
                      <w:vertAlign w:val="baseline"/>
                      <w:lang w:val="en-US" w:eastAsia="zh-CN"/>
                    </w:rPr>
                    <w:t>在</w:t>
                  </w:r>
                  <w:r>
                    <w:rPr>
                      <w:rFonts w:hint="eastAsia"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eastAsia"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eastAsia" w:ascii="Times New Roman" w:hAnsi="Times New Roman" w:eastAsia="宋体" w:cs="Times New Roman"/>
                      <w:color w:val="auto"/>
                      <w:sz w:val="21"/>
                      <w:szCs w:val="21"/>
                      <w:vertAlign w:val="baseline"/>
                      <w:lang w:val="en-US" w:eastAsia="zh-CN"/>
                    </w:rPr>
                    <w:t>会产生少量的</w:t>
                  </w:r>
                  <w:r>
                    <w:rPr>
                      <w:rFonts w:hint="default" w:ascii="Times New Roman" w:hAnsi="Times New Roman" w:eastAsia="宋体" w:cs="Times New Roman"/>
                      <w:color w:val="auto"/>
                      <w:sz w:val="21"/>
                      <w:szCs w:val="21"/>
                      <w:vertAlign w:val="baseline"/>
                      <w:lang w:val="en-US" w:eastAsia="zh-CN"/>
                    </w:rPr>
                    <w:t>VOCs</w:t>
                  </w:r>
                  <w:r>
                    <w:rPr>
                      <w:rFonts w:hint="eastAsia" w:eastAsia="宋体" w:cs="Times New Roman"/>
                      <w:color w:val="auto"/>
                      <w:kern w:val="1"/>
                      <w:sz w:val="21"/>
                      <w:szCs w:val="21"/>
                      <w:highlight w:val="none"/>
                      <w:lang w:val="en-US" w:eastAsia="zh-CN"/>
                    </w:rPr>
                    <w:t>，</w:t>
                  </w:r>
                  <w:r>
                    <w:rPr>
                      <w:rFonts w:hint="default" w:ascii="Times New Roman" w:hAnsi="Times New Roman" w:eastAsia="宋体" w:cs="Times New Roman"/>
                      <w:color w:val="auto"/>
                      <w:kern w:val="1"/>
                      <w:sz w:val="21"/>
                      <w:szCs w:val="21"/>
                      <w:highlight w:val="none"/>
                      <w:lang w:val="en-US" w:eastAsia="zh-CN"/>
                    </w:rPr>
                    <w:t>经</w:t>
                  </w:r>
                  <w:r>
                    <w:rPr>
                      <w:rFonts w:hint="eastAsia" w:ascii="Times New Roman" w:hAnsi="Times New Roman" w:eastAsia="宋体" w:cs="Times New Roman"/>
                      <w:b w:val="0"/>
                      <w:bCs/>
                      <w:color w:val="auto"/>
                      <w:kern w:val="0"/>
                      <w:sz w:val="21"/>
                      <w:szCs w:val="21"/>
                      <w:lang w:eastAsia="zh-CN"/>
                    </w:rPr>
                    <w:t>集气罩</w:t>
                  </w:r>
                  <w:r>
                    <w:rPr>
                      <w:rFonts w:hint="default" w:ascii="Times New Roman" w:hAnsi="Times New Roman" w:eastAsia="宋体" w:cs="Times New Roman"/>
                      <w:color w:val="auto"/>
                      <w:kern w:val="1"/>
                      <w:sz w:val="21"/>
                      <w:szCs w:val="21"/>
                      <w:highlight w:val="none"/>
                      <w:lang w:val="en-US" w:eastAsia="zh-CN"/>
                    </w:rPr>
                    <w:t>收集后由</w:t>
                  </w:r>
                  <w:r>
                    <w:rPr>
                      <w:rFonts w:hint="default" w:ascii="Times New Roman" w:hAnsi="Times New Roman" w:eastAsia="宋体" w:cs="Times New Roman"/>
                      <w:color w:val="auto"/>
                      <w:sz w:val="21"/>
                      <w:szCs w:val="21"/>
                      <w:highlight w:val="none"/>
                      <w:shd w:val="clear" w:color="auto" w:fill="FFFFFF"/>
                      <w:lang w:val="en-US" w:eastAsia="zh-CN"/>
                    </w:rPr>
                    <w:t>三级活性炭吸附装置</w:t>
                  </w:r>
                  <w:r>
                    <w:rPr>
                      <w:rFonts w:hint="default" w:ascii="Times New Roman" w:hAnsi="Times New Roman" w:eastAsia="宋体" w:cs="Times New Roman"/>
                      <w:color w:val="auto"/>
                      <w:kern w:val="1"/>
                      <w:sz w:val="21"/>
                      <w:szCs w:val="21"/>
                      <w:highlight w:val="none"/>
                      <w:lang w:val="en-US" w:eastAsia="zh-CN"/>
                    </w:rPr>
                    <w:t>处理后能达标排放</w:t>
                  </w:r>
                  <w:r>
                    <w:rPr>
                      <w:rFonts w:hint="default" w:ascii="Times New Roman" w:hAnsi="Times New Roman" w:eastAsia="宋体" w:cs="Times New Roman"/>
                      <w:color w:val="auto"/>
                      <w:sz w:val="21"/>
                      <w:szCs w:val="21"/>
                      <w:highlight w:val="none"/>
                      <w:vertAlign w:val="baseline"/>
                      <w:lang w:val="en-US" w:eastAsia="zh-CN"/>
                    </w:rPr>
                    <w:t>。</w:t>
                  </w:r>
                </w:p>
              </w:tc>
              <w:tc>
                <w:tcPr>
                  <w:tcW w:w="671" w:type="dxa"/>
                  <w:noWrap w:val="0"/>
                  <w:vAlign w:val="center"/>
                </w:tcPr>
                <w:p w14:paraId="2ADF983E">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008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restart"/>
                  <w:noWrap w:val="0"/>
                  <w:vAlign w:val="center"/>
                </w:tcPr>
                <w:p w14:paraId="24E4029A">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工艺过程VOCs无组织排放控制要求</w:t>
                  </w:r>
                </w:p>
              </w:tc>
              <w:tc>
                <w:tcPr>
                  <w:tcW w:w="2525" w:type="dxa"/>
                  <w:noWrap w:val="0"/>
                  <w:vAlign w:val="center"/>
                </w:tcPr>
                <w:p w14:paraId="52A30527">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粉状、粒状VOCs物料应采用气力输送方式或采用密闭固体投料器等给料方式密闭投加。无法密闭投加的，应在密闭空间内操作，或进行局部气体收集，废气应排至除尘设施、VOCs废气收集处理系统</w:t>
                  </w:r>
                  <w:r>
                    <w:rPr>
                      <w:rFonts w:hint="default" w:ascii="Times New Roman" w:hAnsi="Times New Roman" w:eastAsia="宋体" w:cs="Times New Roman"/>
                      <w:color w:val="auto"/>
                      <w:sz w:val="21"/>
                      <w:szCs w:val="21"/>
                      <w:highlight w:val="none"/>
                      <w:lang w:val="en-US" w:eastAsia="zh-CN"/>
                    </w:rPr>
                    <w:t>。</w:t>
                  </w:r>
                </w:p>
              </w:tc>
              <w:tc>
                <w:tcPr>
                  <w:tcW w:w="2561" w:type="dxa"/>
                  <w:noWrap w:val="0"/>
                  <w:vAlign w:val="center"/>
                </w:tcPr>
                <w:p w14:paraId="1BB15227">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项目使用的原料</w:t>
                  </w:r>
                  <w:r>
                    <w:rPr>
                      <w:rFonts w:hint="eastAsia" w:cs="Times New Roman"/>
                      <w:color w:val="auto"/>
                      <w:szCs w:val="21"/>
                      <w:lang w:val="en-US" w:eastAsia="zh-CN"/>
                    </w:rPr>
                    <w:t>PVC树脂为粉料</w:t>
                  </w:r>
                  <w:r>
                    <w:rPr>
                      <w:rFonts w:hint="default" w:ascii="Times New Roman" w:hAnsi="Times New Roman" w:eastAsia="宋体" w:cs="Times New Roman"/>
                      <w:color w:val="auto"/>
                      <w:sz w:val="21"/>
                      <w:szCs w:val="21"/>
                      <w:highlight w:val="none"/>
                      <w:vertAlign w:val="baseline"/>
                      <w:lang w:val="en-US" w:eastAsia="zh-CN"/>
                    </w:rPr>
                    <w:t>，原料在常温下不产生VOCs，原料投加在</w:t>
                  </w:r>
                  <w:r>
                    <w:rPr>
                      <w:rFonts w:hint="eastAsia" w:cs="Times New Roman"/>
                      <w:color w:val="auto"/>
                      <w:sz w:val="21"/>
                      <w:szCs w:val="21"/>
                      <w:highlight w:val="none"/>
                      <w:vertAlign w:val="baseline"/>
                      <w:lang w:val="en-US" w:eastAsia="zh-CN"/>
                    </w:rPr>
                    <w:t>密闭空间</w:t>
                  </w:r>
                  <w:r>
                    <w:rPr>
                      <w:rFonts w:hint="default" w:ascii="Times New Roman" w:hAnsi="Times New Roman" w:eastAsia="宋体" w:cs="Times New Roman"/>
                      <w:color w:val="auto"/>
                      <w:sz w:val="21"/>
                      <w:szCs w:val="21"/>
                      <w:highlight w:val="none"/>
                      <w:vertAlign w:val="baseline"/>
                      <w:lang w:val="en-US" w:eastAsia="zh-CN"/>
                    </w:rPr>
                    <w:t>内进行。</w:t>
                  </w:r>
                </w:p>
              </w:tc>
              <w:tc>
                <w:tcPr>
                  <w:tcW w:w="671" w:type="dxa"/>
                  <w:noWrap w:val="0"/>
                  <w:vAlign w:val="center"/>
                </w:tcPr>
                <w:p w14:paraId="25B42888">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35B3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continue"/>
                  <w:noWrap w:val="0"/>
                  <w:vAlign w:val="center"/>
                </w:tcPr>
                <w:p w14:paraId="2CE9368A">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dxa"/>
                  <w:noWrap w:val="0"/>
                  <w:vAlign w:val="center"/>
                </w:tcPr>
                <w:p w14:paraId="62AF4F14">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VOCs物料卸（出、放）料过程应密闭，卸料废气应排至VOCs废气收集处理系统；无法密闭的，应采取局部气体收集措施，废气应排至VOCs废气收集处理系统。</w:t>
                  </w:r>
                </w:p>
              </w:tc>
              <w:tc>
                <w:tcPr>
                  <w:tcW w:w="2561" w:type="dxa"/>
                  <w:noWrap w:val="0"/>
                  <w:vAlign w:val="center"/>
                </w:tcPr>
                <w:p w14:paraId="5DC557B3">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项目使用的原料常温下卸料不产生VOCs。</w:t>
                  </w:r>
                </w:p>
              </w:tc>
              <w:tc>
                <w:tcPr>
                  <w:tcW w:w="671" w:type="dxa"/>
                  <w:noWrap w:val="0"/>
                  <w:vAlign w:val="center"/>
                </w:tcPr>
                <w:p w14:paraId="7730E1F5">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506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continue"/>
                  <w:noWrap w:val="0"/>
                  <w:vAlign w:val="center"/>
                </w:tcPr>
                <w:p w14:paraId="2ACEBAC0">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dxa"/>
                  <w:noWrap w:val="0"/>
                  <w:vAlign w:val="center"/>
                </w:tcPr>
                <w:p w14:paraId="46B95781">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w:t>
                  </w:r>
                </w:p>
              </w:tc>
              <w:tc>
                <w:tcPr>
                  <w:tcW w:w="2561" w:type="dxa"/>
                  <w:noWrap w:val="0"/>
                  <w:vAlign w:val="center"/>
                </w:tcPr>
                <w:p w14:paraId="045CBCFF">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项目生产过程中物料混合、搅拌等工序均在</w:t>
                  </w:r>
                  <w:r>
                    <w:rPr>
                      <w:rFonts w:hint="eastAsia" w:cs="Times New Roman"/>
                      <w:color w:val="auto"/>
                      <w:sz w:val="21"/>
                      <w:szCs w:val="21"/>
                      <w:highlight w:val="none"/>
                      <w:vertAlign w:val="baseline"/>
                      <w:lang w:val="en-US" w:eastAsia="zh-CN"/>
                    </w:rPr>
                    <w:t>密闭空间</w:t>
                  </w:r>
                  <w:r>
                    <w:rPr>
                      <w:rFonts w:hint="default" w:ascii="Times New Roman" w:hAnsi="Times New Roman" w:eastAsia="宋体" w:cs="Times New Roman"/>
                      <w:color w:val="auto"/>
                      <w:sz w:val="21"/>
                      <w:szCs w:val="21"/>
                      <w:highlight w:val="none"/>
                      <w:vertAlign w:val="baseline"/>
                      <w:lang w:val="en-US" w:eastAsia="zh-CN"/>
                    </w:rPr>
                    <w:t>内进行，并在热熔挤出工序设置集气罩，产生的挥发性有机物（以非甲烷总烃计）经集气罩收集后通过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vertAlign w:val="baseline"/>
                      <w:lang w:val="en-US" w:eastAsia="zh-CN"/>
                    </w:rPr>
                    <w:t>处理后经15m高排气筒排放。</w:t>
                  </w:r>
                </w:p>
              </w:tc>
              <w:tc>
                <w:tcPr>
                  <w:tcW w:w="671" w:type="dxa"/>
                  <w:noWrap w:val="0"/>
                  <w:vAlign w:val="center"/>
                </w:tcPr>
                <w:p w14:paraId="4BB8E813">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686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5" w:type="dxa"/>
                  <w:vMerge w:val="continue"/>
                  <w:noWrap w:val="0"/>
                  <w:vAlign w:val="center"/>
                </w:tcPr>
                <w:p w14:paraId="26F0C0AE">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p>
              </w:tc>
              <w:tc>
                <w:tcPr>
                  <w:tcW w:w="2525" w:type="dxa"/>
                  <w:noWrap w:val="0"/>
                  <w:vAlign w:val="center"/>
                </w:tcPr>
                <w:p w14:paraId="1F450DB6">
                  <w:pPr>
                    <w:keepNext w:val="0"/>
                    <w:keepLines w:val="0"/>
                    <w:pageBreakBefore w:val="0"/>
                    <w:widowControl/>
                    <w:kinsoku/>
                    <w:wordWrap/>
                    <w:overflowPunct/>
                    <w:topLinePunct/>
                    <w:autoSpaceDE w:val="0"/>
                    <w:autoSpaceDN/>
                    <w:bidi w:val="0"/>
                    <w:adjustRightInd/>
                    <w:snapToGrid/>
                    <w:spacing w:beforeLines="0" w:afterLines="0" w:line="240" w:lineRule="auto"/>
                    <w:ind w:firstLine="0" w:firstLineChars="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企业应建立台账，记录含VOCs原辅材料和含VOCs产品的名称、使用量、回收量、废弃量、去向以及VOCs含量等信息。台账保存期限不少于3年。</w:t>
                  </w:r>
                </w:p>
              </w:tc>
              <w:tc>
                <w:tcPr>
                  <w:tcW w:w="2561" w:type="dxa"/>
                  <w:noWrap w:val="0"/>
                  <w:vAlign w:val="center"/>
                </w:tcPr>
                <w:p w14:paraId="6D76C8EC">
                  <w:pPr>
                    <w:keepNext w:val="0"/>
                    <w:keepLines w:val="0"/>
                    <w:pageBreakBefore w:val="0"/>
                    <w:widowControl/>
                    <w:kinsoku/>
                    <w:wordWrap/>
                    <w:overflowPunct/>
                    <w:topLinePunct/>
                    <w:autoSpaceDE w:val="0"/>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项目建成后按要求建立相应台账，环评要求生产过程中严格按照要求记录原辅料的进厂量、用料量、回收利用量等，并保存台账不少于3年。</w:t>
                  </w:r>
                </w:p>
              </w:tc>
              <w:tc>
                <w:tcPr>
                  <w:tcW w:w="671" w:type="dxa"/>
                  <w:noWrap w:val="0"/>
                  <w:vAlign w:val="center"/>
                </w:tcPr>
                <w:p w14:paraId="6A959A2E">
                  <w:pPr>
                    <w:keepNext w:val="0"/>
                    <w:keepLines w:val="0"/>
                    <w:pageBreakBefore w:val="0"/>
                    <w:widowControl/>
                    <w:kinsoku/>
                    <w:wordWrap/>
                    <w:overflowPunct/>
                    <w:topLinePunct/>
                    <w:autoSpaceDE w:val="0"/>
                    <w:autoSpaceDN/>
                    <w:bidi w:val="0"/>
                    <w:adjustRightInd/>
                    <w:snapToGrid/>
                    <w:spacing w:line="240" w:lineRule="auto"/>
                    <w:ind w:firstLine="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14:paraId="27ED3430">
            <w:pPr>
              <w:pStyle w:val="19"/>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综上所述，项目的建设符合</w:t>
            </w:r>
            <w:r>
              <w:rPr>
                <w:rFonts w:hint="default" w:ascii="Times New Roman" w:hAnsi="Times New Roman" w:eastAsia="宋体" w:cs="Times New Roman"/>
                <w:b w:val="0"/>
                <w:bCs w:val="0"/>
                <w:color w:val="auto"/>
                <w:sz w:val="24"/>
                <w:szCs w:val="24"/>
                <w:highlight w:val="none"/>
                <w:lang w:val="en-US" w:eastAsia="zh-CN"/>
              </w:rPr>
              <w:t>《挥发性有机物无组织排放控制标准》（</w:t>
            </w:r>
            <w:r>
              <w:rPr>
                <w:rFonts w:hint="default" w:ascii="Times New Roman" w:hAnsi="Times New Roman" w:eastAsia="宋体" w:cs="Times New Roman"/>
                <w:b w:val="0"/>
                <w:bCs w:val="0"/>
                <w:color w:val="auto"/>
                <w:kern w:val="0"/>
                <w:sz w:val="24"/>
                <w:szCs w:val="24"/>
                <w:highlight w:val="none"/>
                <w:lang w:val="en-US" w:eastAsia="zh-CN" w:bidi="ar"/>
              </w:rPr>
              <w:t>GB37822-2019</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p>
          <w:p w14:paraId="6086544F">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9.</w:t>
            </w:r>
            <w:r>
              <w:rPr>
                <w:rFonts w:hint="default" w:ascii="Times New Roman" w:hAnsi="Times New Roman" w:eastAsia="宋体" w:cs="Times New Roman"/>
                <w:b/>
                <w:bCs/>
                <w:color w:val="auto"/>
                <w:kern w:val="0"/>
                <w:sz w:val="24"/>
                <w:szCs w:val="24"/>
                <w:highlight w:val="none"/>
                <w:lang w:val="en-US" w:eastAsia="zh-CN"/>
              </w:rPr>
              <w:t>与《关于印发〈2020年挥发性有机物治理攻坚方案〉的通知》（环大气〔2020〕33号）的符合性分析</w:t>
            </w:r>
          </w:p>
          <w:p w14:paraId="6962C1F8">
            <w:pPr>
              <w:pStyle w:val="19"/>
              <w:keepNext w:val="0"/>
              <w:keepLines w:val="0"/>
              <w:pageBreakBefore w:val="0"/>
              <w:widowControl w:val="0"/>
              <w:kinsoku/>
              <w:wordWrap/>
              <w:overflowPunct/>
              <w:topLinePunct/>
              <w:autoSpaceDE w:val="0"/>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本项目与《关于印发〈2020年挥发性有机物治理攻坚方案〉的通知》（环大气〔2020〕33号）的符合性分析详见下表。</w:t>
            </w:r>
          </w:p>
          <w:p w14:paraId="2E88EDED">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1-11  与2020年挥发性有机物治理攻坚方案符合性分析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469"/>
              <w:gridCol w:w="2496"/>
              <w:gridCol w:w="657"/>
            </w:tblGrid>
            <w:tr w14:paraId="6037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69" w:type="dxa"/>
                  <w:noWrap w:val="0"/>
                  <w:vAlign w:val="center"/>
                </w:tcPr>
                <w:p w14:paraId="2935CCF8">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2496" w:type="dxa"/>
                  <w:noWrap w:val="0"/>
                  <w:vAlign w:val="center"/>
                </w:tcPr>
                <w:p w14:paraId="39BBAAF6">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657" w:type="dxa"/>
                  <w:noWrap w:val="0"/>
                  <w:vAlign w:val="center"/>
                </w:tcPr>
                <w:p w14:paraId="6D93D3D3">
                  <w:pPr>
                    <w:pStyle w:val="48"/>
                    <w:keepNext w:val="0"/>
                    <w:keepLines w:val="0"/>
                    <w:pageBreakBefore w:val="0"/>
                    <w:kinsoku/>
                    <w:overflowPunct/>
                    <w:topLinePunct/>
                    <w:autoSpaceDE w:val="0"/>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相符</w:t>
                  </w:r>
                  <w:r>
                    <w:rPr>
                      <w:rFonts w:hint="default" w:ascii="Times New Roman" w:hAnsi="Times New Roman" w:eastAsia="宋体" w:cs="Times New Roman"/>
                      <w:b/>
                      <w:bCs/>
                      <w:color w:val="auto"/>
                      <w:sz w:val="21"/>
                      <w:szCs w:val="21"/>
                      <w:highlight w:val="none"/>
                      <w:lang w:eastAsia="zh-CN"/>
                    </w:rPr>
                    <w:t>性</w:t>
                  </w:r>
                </w:p>
              </w:tc>
            </w:tr>
            <w:tr w14:paraId="002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69" w:type="dxa"/>
                  <w:noWrap w:val="0"/>
                  <w:vAlign w:val="center"/>
                </w:tcPr>
                <w:p w14:paraId="1587325C">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大力推进源头替代，有效减少</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val="en-US" w:eastAsia="zh-CN"/>
                    </w:rPr>
                    <w:t>VOCs产生</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w:t>
                  </w:r>
                </w:p>
              </w:tc>
              <w:tc>
                <w:tcPr>
                  <w:tcW w:w="2496" w:type="dxa"/>
                  <w:noWrap w:val="0"/>
                  <w:vAlign w:val="center"/>
                </w:tcPr>
                <w:p w14:paraId="20009B8A">
                  <w:pPr>
                    <w:pStyle w:val="18"/>
                    <w:keepNext w:val="0"/>
                    <w:keepLines w:val="0"/>
                    <w:pageBreakBefore w:val="0"/>
                    <w:widowControl w:val="0"/>
                    <w:kinsoku/>
                    <w:wordWrap/>
                    <w:overflowPunct/>
                    <w:topLinePunct/>
                    <w:autoSpaceDE w:val="0"/>
                    <w:autoSpaceDN/>
                    <w:bidi w:val="0"/>
                    <w:adjustRightInd w:val="0"/>
                    <w:snapToGrid/>
                    <w:spacing w:line="240" w:lineRule="auto"/>
                    <w:ind w:firstLine="0"/>
                    <w:jc w:val="both"/>
                    <w:textAlignment w:val="baseline"/>
                    <w:rPr>
                      <w:rFonts w:hint="default" w:ascii="Times New Roman" w:hAnsi="Times New Roman" w:eastAsia="宋体" w:cs="Times New Roman"/>
                      <w:color w:val="auto"/>
                      <w:kern w:val="1"/>
                      <w:sz w:val="21"/>
                      <w:szCs w:val="21"/>
                      <w:highlight w:val="no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本项目使用原料均从国内正规生产厂家购入；</w:t>
                  </w: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kern w:val="0"/>
                      <w:sz w:val="21"/>
                      <w:szCs w:val="21"/>
                      <w:highlight w:val="none"/>
                      <w:lang w:val="en-US" w:eastAsia="zh-CN" w:bidi="ar"/>
                    </w:rPr>
                    <w:t>不涉及使用涂料</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油墨</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胶粘剂和清洗剂，项目主要吸塑片生产原料</w:t>
                  </w:r>
                  <w:r>
                    <w:rPr>
                      <w:rFonts w:hint="default" w:ascii="Times New Roman" w:hAnsi="Times New Roman" w:cs="Times New Roman"/>
                      <w:color w:val="auto"/>
                      <w:kern w:val="0"/>
                      <w:sz w:val="21"/>
                      <w:szCs w:val="21"/>
                      <w:highlight w:val="none"/>
                      <w:lang w:val="en-US" w:eastAsia="zh-CN" w:bidi="ar"/>
                    </w:rPr>
                    <w:t>（PVC）加热、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工序产生的挥发性有机物，本次环评建议使用通过环境标志产品认证的</w:t>
                  </w:r>
                  <w:r>
                    <w:rPr>
                      <w:rFonts w:hint="default" w:ascii="Times New Roman" w:hAnsi="Times New Roman" w:cs="Times New Roman"/>
                      <w:color w:val="auto"/>
                      <w:kern w:val="0"/>
                      <w:sz w:val="21"/>
                      <w:szCs w:val="21"/>
                      <w:highlight w:val="none"/>
                      <w:lang w:val="en-US" w:eastAsia="zh-CN" w:bidi="ar"/>
                    </w:rPr>
                    <w:t>PVC树脂</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有机废气产生环节主要为</w:t>
                  </w:r>
                  <w:r>
                    <w:rPr>
                      <w:rFonts w:hint="default"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压延冷却等</w:t>
                  </w:r>
                  <w:r>
                    <w:rPr>
                      <w:rFonts w:hint="default" w:ascii="Times New Roman" w:hAnsi="Times New Roman" w:eastAsia="宋体" w:cs="Times New Roman"/>
                      <w:color w:val="auto"/>
                      <w:kern w:val="0"/>
                      <w:sz w:val="21"/>
                      <w:szCs w:val="21"/>
                      <w:highlight w:val="none"/>
                      <w:lang w:val="en-US" w:eastAsia="zh-CN" w:bidi="ar"/>
                    </w:rPr>
                    <w:t>工序，</w:t>
                  </w:r>
                  <w:r>
                    <w:rPr>
                      <w:rFonts w:hint="default" w:ascii="Times New Roman" w:hAnsi="Times New Roman" w:eastAsia="宋体" w:cs="Times New Roman"/>
                      <w:color w:val="auto"/>
                      <w:kern w:val="1"/>
                      <w:sz w:val="21"/>
                      <w:szCs w:val="21"/>
                      <w:highlight w:val="none"/>
                      <w:lang w:val="en-US" w:eastAsia="zh-CN"/>
                    </w:rPr>
                    <w:t>在密闭</w:t>
                  </w:r>
                  <w:r>
                    <w:rPr>
                      <w:rFonts w:hint="eastAsia" w:cs="Times New Roman"/>
                      <w:color w:val="auto"/>
                      <w:kern w:val="1"/>
                      <w:sz w:val="21"/>
                      <w:szCs w:val="21"/>
                      <w:highlight w:val="none"/>
                      <w:lang w:val="en-US" w:eastAsia="zh-CN"/>
                    </w:rPr>
                    <w:t>空间</w:t>
                  </w:r>
                  <w:r>
                    <w:rPr>
                      <w:rFonts w:hint="default" w:ascii="Times New Roman" w:hAnsi="Times New Roman" w:eastAsia="宋体" w:cs="Times New Roman"/>
                      <w:color w:val="auto"/>
                      <w:kern w:val="1"/>
                      <w:sz w:val="21"/>
                      <w:szCs w:val="21"/>
                      <w:highlight w:val="none"/>
                      <w:lang w:val="en-US" w:eastAsia="zh-CN"/>
                    </w:rPr>
                    <w:t>操作；</w:t>
                  </w:r>
                  <w:r>
                    <w:rPr>
                      <w:rFonts w:hint="default" w:ascii="Times New Roman" w:hAnsi="Times New Roman" w:eastAsia="宋体" w:cs="Times New Roman"/>
                      <w:color w:val="auto"/>
                      <w:sz w:val="21"/>
                      <w:szCs w:val="21"/>
                      <w:highlight w:val="none"/>
                      <w:shd w:val="clear" w:color="auto" w:fill="FFFFFF"/>
                      <w:lang w:val="en-US" w:eastAsia="zh-CN"/>
                    </w:rPr>
                    <w:t>原料PVC</w:t>
                  </w:r>
                  <w:r>
                    <w:rPr>
                      <w:rFonts w:hint="eastAsia" w:cs="Times New Roman"/>
                      <w:color w:val="auto"/>
                      <w:sz w:val="21"/>
                      <w:szCs w:val="21"/>
                      <w:highlight w:val="none"/>
                      <w:shd w:val="clear" w:color="auto" w:fill="FFFFFF"/>
                      <w:lang w:val="en-US" w:eastAsia="zh-CN"/>
                    </w:rPr>
                    <w:t>树脂</w:t>
                  </w:r>
                  <w:r>
                    <w:rPr>
                      <w:rFonts w:hint="default" w:ascii="Times New Roman" w:hAnsi="Times New Roman" w:eastAsia="宋体" w:cs="Times New Roman"/>
                      <w:color w:val="auto"/>
                      <w:sz w:val="21"/>
                      <w:szCs w:val="21"/>
                      <w:highlight w:val="none"/>
                      <w:shd w:val="clear" w:color="auto" w:fill="FFFFFF"/>
                      <w:lang w:val="en-US" w:eastAsia="zh-CN"/>
                    </w:rPr>
                    <w:t>在挤出塑化阶段会产生挥发性有机物，</w:t>
                  </w:r>
                  <w:r>
                    <w:rPr>
                      <w:rFonts w:hint="default" w:ascii="Times New Roman" w:hAnsi="Times New Roman" w:eastAsia="宋体" w:cs="Times New Roman"/>
                      <w:color w:val="auto"/>
                      <w:kern w:val="1"/>
                      <w:sz w:val="21"/>
                      <w:szCs w:val="21"/>
                      <w:highlight w:val="none"/>
                      <w:lang w:val="en-US" w:eastAsia="zh-CN"/>
                    </w:rPr>
                    <w:t>经收集后由</w:t>
                  </w:r>
                  <w:r>
                    <w:rPr>
                      <w:rFonts w:hint="default" w:ascii="Times New Roman" w:hAnsi="Times New Roman" w:eastAsia="宋体" w:cs="Times New Roman"/>
                      <w:color w:val="auto"/>
                      <w:sz w:val="21"/>
                      <w:szCs w:val="21"/>
                      <w:highlight w:val="none"/>
                      <w:shd w:val="clear" w:color="auto" w:fill="FFFFFF"/>
                      <w:lang w:val="en-US" w:eastAsia="zh-CN"/>
                    </w:rPr>
                    <w:t>三级活性炭吸附装置</w:t>
                  </w:r>
                  <w:r>
                    <w:rPr>
                      <w:rFonts w:hint="default" w:ascii="Times New Roman" w:hAnsi="Times New Roman" w:eastAsia="宋体" w:cs="Times New Roman"/>
                      <w:color w:val="auto"/>
                      <w:kern w:val="1"/>
                      <w:sz w:val="21"/>
                      <w:szCs w:val="21"/>
                      <w:highlight w:val="none"/>
                      <w:lang w:val="en-US" w:eastAsia="zh-CN"/>
                    </w:rPr>
                    <w:t>处理后能达标排放。</w:t>
                  </w:r>
                </w:p>
                <w:p w14:paraId="3C80C561">
                  <w:pPr>
                    <w:pStyle w:val="18"/>
                    <w:keepNext w:val="0"/>
                    <w:keepLines w:val="0"/>
                    <w:pageBreakBefore w:val="0"/>
                    <w:widowControl w:val="0"/>
                    <w:kinsoku/>
                    <w:wordWrap/>
                    <w:overflowPunct/>
                    <w:topLinePunct/>
                    <w:autoSpaceDE w:val="0"/>
                    <w:autoSpaceDN/>
                    <w:bidi w:val="0"/>
                    <w:adjustRightInd w:val="0"/>
                    <w:snapToGrid/>
                    <w:spacing w:line="240" w:lineRule="auto"/>
                    <w:ind w:firstLine="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项目环评要求项目建成后企业运行过程中严格按照要求建立原辅料台账，并保存记录不少于3年。</w:t>
                  </w:r>
                </w:p>
              </w:tc>
              <w:tc>
                <w:tcPr>
                  <w:tcW w:w="657" w:type="dxa"/>
                  <w:noWrap w:val="0"/>
                  <w:vAlign w:val="center"/>
                </w:tcPr>
                <w:p w14:paraId="5D0E8B15">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符合</w:t>
                  </w:r>
                </w:p>
              </w:tc>
            </w:tr>
            <w:tr w14:paraId="32BB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69" w:type="dxa"/>
                  <w:noWrap w:val="0"/>
                  <w:vAlign w:val="center"/>
                </w:tcPr>
                <w:p w14:paraId="1D158E50">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全面落实标准要求，强化无组织排放控制</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tc>
              <w:tc>
                <w:tcPr>
                  <w:tcW w:w="2496" w:type="dxa"/>
                  <w:noWrap w:val="0"/>
                  <w:vAlign w:val="center"/>
                </w:tcPr>
                <w:p w14:paraId="77F11D76">
                  <w:pPr>
                    <w:pStyle w:val="18"/>
                    <w:keepNext w:val="0"/>
                    <w:keepLines w:val="0"/>
                    <w:pageBreakBefore w:val="0"/>
                    <w:widowControl w:val="0"/>
                    <w:kinsoku/>
                    <w:wordWrap/>
                    <w:overflowPunct/>
                    <w:topLinePunct/>
                    <w:autoSpaceDE w:val="0"/>
                    <w:autoSpaceDN/>
                    <w:bidi w:val="0"/>
                    <w:snapToGrid/>
                    <w:spacing w:line="240" w:lineRule="auto"/>
                    <w:ind w:firstLine="0"/>
                    <w:jc w:val="both"/>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vertAlign w:val="baseline"/>
                      <w:lang w:val="en-US" w:eastAsia="zh-CN"/>
                    </w:rPr>
                    <w:t>项目生产原料均为封闭袋装，且进厂后放置于车间仓库内，在转移及输送过程中均采用密闭的袋装。项目生产过程均在</w:t>
                  </w:r>
                  <w:r>
                    <w:rPr>
                      <w:rFonts w:hint="eastAsia" w:cs="Times New Roman"/>
                      <w:color w:val="auto"/>
                      <w:sz w:val="21"/>
                      <w:szCs w:val="21"/>
                      <w:highlight w:val="none"/>
                      <w:vertAlign w:val="baseline"/>
                      <w:lang w:val="en-US" w:eastAsia="zh-CN"/>
                    </w:rPr>
                    <w:t>密闭空间</w:t>
                  </w:r>
                  <w:r>
                    <w:rPr>
                      <w:rFonts w:hint="default" w:ascii="Times New Roman" w:hAnsi="Times New Roman" w:eastAsia="宋体" w:cs="Times New Roman"/>
                      <w:color w:val="auto"/>
                      <w:sz w:val="21"/>
                      <w:szCs w:val="21"/>
                      <w:highlight w:val="none"/>
                      <w:vertAlign w:val="baseline"/>
                      <w:lang w:val="en-US" w:eastAsia="zh-CN"/>
                    </w:rPr>
                    <w:t>内进行，并在</w:t>
                  </w:r>
                  <w:r>
                    <w:rPr>
                      <w:rFonts w:hint="default" w:ascii="Times New Roman" w:hAnsi="Times New Roman" w:cs="Times New Roman"/>
                      <w:color w:val="auto"/>
                      <w:kern w:val="0"/>
                      <w:sz w:val="21"/>
                      <w:szCs w:val="21"/>
                      <w:highlight w:val="none"/>
                      <w:lang w:val="en-US" w:eastAsia="zh-CN" w:bidi="ar"/>
                    </w:rPr>
                    <w:t>加热、</w:t>
                  </w:r>
                  <w:r>
                    <w:rPr>
                      <w:rFonts w:hint="default" w:ascii="Times New Roman" w:hAnsi="Times New Roman" w:eastAsia="宋体" w:cs="Times New Roman"/>
                      <w:color w:val="auto"/>
                      <w:kern w:val="0"/>
                      <w:sz w:val="21"/>
                      <w:szCs w:val="21"/>
                      <w:highlight w:val="none"/>
                      <w:lang w:val="en-US" w:eastAsia="zh-CN" w:bidi="ar"/>
                    </w:rPr>
                    <w:t>挤出塑化、</w:t>
                  </w:r>
                  <w:r>
                    <w:rPr>
                      <w:rFonts w:hint="default" w:ascii="Times New Roman" w:hAnsi="Times New Roman" w:cs="Times New Roman"/>
                      <w:color w:val="auto"/>
                      <w:kern w:val="0"/>
                      <w:sz w:val="21"/>
                      <w:szCs w:val="21"/>
                      <w:highlight w:val="none"/>
                      <w:lang w:val="en-US" w:eastAsia="zh-CN" w:bidi="ar"/>
                    </w:rPr>
                    <w:t>压延冷却</w:t>
                  </w:r>
                  <w:r>
                    <w:rPr>
                      <w:rFonts w:hint="default" w:ascii="Times New Roman" w:hAnsi="Times New Roman" w:eastAsia="宋体" w:cs="Times New Roman"/>
                      <w:color w:val="auto"/>
                      <w:sz w:val="21"/>
                      <w:szCs w:val="21"/>
                      <w:highlight w:val="none"/>
                      <w:vertAlign w:val="baseline"/>
                      <w:lang w:val="en-US" w:eastAsia="zh-CN"/>
                    </w:rPr>
                    <w:t>等</w:t>
                  </w:r>
                  <w:r>
                    <w:rPr>
                      <w:rFonts w:hint="eastAsia" w:cs="Times New Roman"/>
                      <w:color w:val="auto"/>
                      <w:sz w:val="21"/>
                      <w:szCs w:val="21"/>
                      <w:highlight w:val="none"/>
                      <w:vertAlign w:val="baseline"/>
                      <w:lang w:val="en-US" w:eastAsia="zh-CN"/>
                    </w:rPr>
                    <w:t>工序</w:t>
                  </w:r>
                  <w:r>
                    <w:rPr>
                      <w:rFonts w:hint="default" w:ascii="Times New Roman" w:hAnsi="Times New Roman" w:eastAsia="宋体" w:cs="Times New Roman"/>
                      <w:color w:val="auto"/>
                      <w:sz w:val="21"/>
                      <w:szCs w:val="21"/>
                      <w:highlight w:val="none"/>
                      <w:vertAlign w:val="baseline"/>
                      <w:lang w:val="en-US" w:eastAsia="zh-CN"/>
                    </w:rPr>
                    <w:t>产生的挥发性有机物（以非甲烷总烃计）</w:t>
                  </w:r>
                  <w:r>
                    <w:rPr>
                      <w:rFonts w:hint="eastAsia" w:cs="Times New Roman"/>
                      <w:color w:val="auto"/>
                      <w:sz w:val="21"/>
                      <w:szCs w:val="21"/>
                      <w:highlight w:val="none"/>
                      <w:vertAlign w:val="baseline"/>
                      <w:lang w:val="en-US" w:eastAsia="zh-CN"/>
                    </w:rPr>
                    <w:t>设备</w:t>
                  </w:r>
                  <w:r>
                    <w:rPr>
                      <w:rFonts w:hint="default" w:ascii="Times New Roman" w:hAnsi="Times New Roman" w:eastAsia="宋体" w:cs="Times New Roman"/>
                      <w:color w:val="auto"/>
                      <w:sz w:val="21"/>
                      <w:szCs w:val="21"/>
                      <w:highlight w:val="none"/>
                      <w:vertAlign w:val="baseline"/>
                      <w:lang w:val="en-US" w:eastAsia="zh-CN"/>
                    </w:rPr>
                    <w:t>上方设置集气罩，挥发性有机物收集后通过负压风管进入“</w:t>
                  </w:r>
                  <w:r>
                    <w:rPr>
                      <w:rFonts w:hint="default" w:ascii="Times New Roman" w:hAnsi="Times New Roman" w:eastAsia="宋体" w:cs="Times New Roman"/>
                      <w:color w:val="auto"/>
                      <w:sz w:val="21"/>
                      <w:szCs w:val="21"/>
                      <w:highlight w:val="none"/>
                      <w:vertAlign w:val="baseline"/>
                      <w:lang w:val="zh-CN" w:eastAsia="zh-CN"/>
                    </w:rPr>
                    <w:t>三级活性炭吸附装置</w:t>
                  </w:r>
                  <w:r>
                    <w:rPr>
                      <w:rFonts w:hint="default" w:ascii="Times New Roman" w:hAnsi="Times New Roman" w:eastAsia="宋体" w:cs="Times New Roman"/>
                      <w:color w:val="auto"/>
                      <w:sz w:val="21"/>
                      <w:szCs w:val="21"/>
                      <w:highlight w:val="none"/>
                      <w:vertAlign w:val="baseline"/>
                      <w:lang w:val="en-US" w:eastAsia="zh-CN"/>
                    </w:rPr>
                    <w:t>”处理。</w:t>
                  </w:r>
                </w:p>
              </w:tc>
              <w:tc>
                <w:tcPr>
                  <w:tcW w:w="657" w:type="dxa"/>
                  <w:noWrap w:val="0"/>
                  <w:vAlign w:val="center"/>
                </w:tcPr>
                <w:p w14:paraId="151FDB82">
                  <w:pPr>
                    <w:pStyle w:val="48"/>
                    <w:keepNext w:val="0"/>
                    <w:keepLines w:val="0"/>
                    <w:pageBreakBefore w:val="0"/>
                    <w:kinsoku/>
                    <w:overflowPunct/>
                    <w:topLinePunct/>
                    <w:autoSpaceDE w:val="0"/>
                    <w:bidi w:val="0"/>
                    <w:spacing w:before="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符合</w:t>
                  </w:r>
                </w:p>
              </w:tc>
            </w:tr>
            <w:tr w14:paraId="464B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469" w:type="dxa"/>
                  <w:noWrap w:val="0"/>
                  <w:vAlign w:val="center"/>
                </w:tcPr>
                <w:p w14:paraId="35855FD4">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pP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聚焦治污设施“三率”，提升综合治理效率</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r>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t>。</w:t>
                  </w:r>
                </w:p>
                <w:p w14:paraId="25E119F2">
                  <w:pPr>
                    <w:pStyle w:val="48"/>
                    <w:keepNext w:val="0"/>
                    <w:keepLines w:val="0"/>
                    <w:pageBreakBefore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b w:val="0"/>
                      <w:bCs w:val="0"/>
                      <w:i w:val="0"/>
                      <w:iCs w:val="0"/>
                      <w:caps w:val="0"/>
                      <w:color w:val="auto"/>
                      <w:spacing w:val="0"/>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shd w:val="clear" w:color="auto" w:fill="FFFFFF"/>
                      <w:lang w:eastAsia="zh-CN"/>
                    </w:rPr>
                    <w:t>按照“应收尽收”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2496" w:type="dxa"/>
                  <w:noWrap w:val="0"/>
                  <w:vAlign w:val="center"/>
                </w:tcPr>
                <w:p w14:paraId="301B7E4A">
                  <w:pPr>
                    <w:pStyle w:val="48"/>
                    <w:keepNext w:val="0"/>
                    <w:keepLines w:val="0"/>
                    <w:pageBreakBefore w:val="0"/>
                    <w:widowControl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FFFFFF"/>
                      <w:lang w:val="en-US" w:eastAsia="zh-CN"/>
                    </w:rPr>
                    <w:t>项目有机废气经集气罩收集后经负压风管进入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bidi="zh-CN"/>
                    </w:rPr>
                    <w:t>三级活性炭吸附装置</w:t>
                  </w:r>
                  <w:r>
                    <w:rPr>
                      <w:rFonts w:hint="default" w:ascii="Times New Roman" w:hAnsi="Times New Roman" w:eastAsia="宋体" w:cs="Times New Roman"/>
                      <w:b w:val="0"/>
                      <w:bCs w:val="0"/>
                      <w:color w:val="auto"/>
                      <w:sz w:val="21"/>
                      <w:szCs w:val="21"/>
                      <w:highlight w:val="none"/>
                      <w:lang w:val="zh-CN" w:eastAsia="zh-CN" w:bidi="zh-CN"/>
                    </w:rPr>
                    <w:t>”</w:t>
                  </w:r>
                  <w:r>
                    <w:rPr>
                      <w:rFonts w:hint="default" w:ascii="Times New Roman" w:hAnsi="Times New Roman" w:eastAsia="宋体" w:cs="Times New Roman"/>
                      <w:b w:val="0"/>
                      <w:bCs w:val="0"/>
                      <w:color w:val="auto"/>
                      <w:sz w:val="21"/>
                      <w:szCs w:val="21"/>
                      <w:highlight w:val="none"/>
                      <w:lang w:val="en-US" w:eastAsia="zh-CN" w:bidi="zh-CN"/>
                    </w:rPr>
                    <w:t>处</w:t>
                  </w:r>
                  <w:r>
                    <w:rPr>
                      <w:rFonts w:hint="default" w:ascii="Times New Roman" w:hAnsi="Times New Roman" w:eastAsia="宋体" w:cs="Times New Roman"/>
                      <w:color w:val="auto"/>
                      <w:sz w:val="21"/>
                      <w:szCs w:val="21"/>
                      <w:highlight w:val="none"/>
                      <w:shd w:val="clear" w:color="auto" w:fill="FFFFFF"/>
                      <w:lang w:val="en-US" w:eastAsia="zh-CN"/>
                    </w:rPr>
                    <w:t>理后通过车间排气筒达标排放</w:t>
                  </w:r>
                  <w:r>
                    <w:rPr>
                      <w:rFonts w:hint="default" w:ascii="Times New Roman" w:hAnsi="Times New Roman" w:eastAsia="宋体" w:cs="Times New Roman"/>
                      <w:b w:val="0"/>
                      <w:bCs w:val="0"/>
                      <w:color w:val="auto"/>
                      <w:sz w:val="21"/>
                      <w:szCs w:val="21"/>
                      <w:highlight w:val="none"/>
                      <w:lang w:eastAsia="zh-CN"/>
                    </w:rPr>
                    <w:t>。</w:t>
                  </w:r>
                </w:p>
                <w:p w14:paraId="231D142F">
                  <w:pPr>
                    <w:pStyle w:val="48"/>
                    <w:keepNext w:val="0"/>
                    <w:keepLines w:val="0"/>
                    <w:pageBreakBefore w:val="0"/>
                    <w:widowControl w:val="0"/>
                    <w:kinsoku/>
                    <w:wordWrap/>
                    <w:overflowPunct/>
                    <w:topLinePunct/>
                    <w:autoSpaceDE w:val="0"/>
                    <w:autoSpaceDN/>
                    <w:bidi w:val="0"/>
                    <w:adjustRightInd/>
                    <w:snapToGrid/>
                    <w:spacing w:before="0"/>
                    <w:jc w:val="both"/>
                    <w:textAlignment w:val="auto"/>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按照《排污许可证申请与核发技术规范 橡胶和塑料制品工业》（HJ1122-2020）要求，使用聚氯乙烯树脂企业挥发性有机物（以非甲烷总烃计）执行《大气污染物综合排放标准》（GB16297-1996），本项目使用PVC，项目挥发性有机物（以非甲烷总烃计）、HCl及颗粒物执行《大气污染物综合排放标准》（GB16297-1996）、《挥发性有机物无组织排放控制标准》（GB37822-2019）执行。</w:t>
                  </w:r>
                </w:p>
                <w:p w14:paraId="55E7BF07">
                  <w:pPr>
                    <w:pStyle w:val="48"/>
                    <w:keepNext w:val="0"/>
                    <w:keepLines w:val="0"/>
                    <w:pageBreakBefore w:val="0"/>
                    <w:widowControl w:val="0"/>
                    <w:kinsoku/>
                    <w:wordWrap/>
                    <w:overflowPunct/>
                    <w:topLinePunct/>
                    <w:autoSpaceDE w:val="0"/>
                    <w:autoSpaceDN/>
                    <w:bidi w:val="0"/>
                    <w:adjustRightInd/>
                    <w:snapToGrid/>
                    <w:spacing w:before="0"/>
                    <w:ind w:firstLine="0" w:firstLineChars="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rPr>
                    <w:t>生产和使用环节采用密闭设备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生产车间为密闭的标准厂房，废气治理设施按照与生产设备“同启同停”的原则提升治理设施运行率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shd w:val="clear" w:color="auto" w:fill="FFFFFF"/>
                      <w:lang w:eastAsia="zh-CN"/>
                    </w:rPr>
                    <w:t>距集气罩开口面最远处的VOCs无组织排放位置，控制风速不低于0.3</w:t>
                  </w:r>
                  <w:r>
                    <w:rPr>
                      <w:rFonts w:hint="default" w:ascii="Times New Roman" w:hAnsi="Times New Roman" w:eastAsia="宋体" w:cs="Times New Roman"/>
                      <w:color w:val="auto"/>
                      <w:sz w:val="21"/>
                      <w:szCs w:val="21"/>
                      <w:highlight w:val="none"/>
                      <w:shd w:val="clear" w:color="auto" w:fill="FFFFFF"/>
                      <w:lang w:val="en-US" w:eastAsia="zh-CN"/>
                    </w:rPr>
                    <w:t>m</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lang w:val="en-US" w:eastAsia="zh-CN"/>
                    </w:rPr>
                    <w:t>s</w:t>
                  </w:r>
                  <w:r>
                    <w:rPr>
                      <w:rFonts w:hint="default" w:ascii="Times New Roman" w:hAnsi="Times New Roman" w:eastAsia="宋体" w:cs="Times New Roman"/>
                      <w:color w:val="auto"/>
                      <w:sz w:val="21"/>
                      <w:szCs w:val="21"/>
                      <w:highlight w:val="none"/>
                      <w:shd w:val="clear" w:color="auto" w:fill="FFFFFF"/>
                      <w:lang w:eastAsia="zh-CN"/>
                    </w:rPr>
                    <w:t>；加强生产车间密闭管理，在非必要时保持</w:t>
                  </w:r>
                  <w:r>
                    <w:rPr>
                      <w:rFonts w:hint="default" w:ascii="Times New Roman" w:hAnsi="Times New Roman" w:eastAsia="宋体" w:cs="Times New Roman"/>
                      <w:color w:val="auto"/>
                      <w:sz w:val="21"/>
                      <w:szCs w:val="21"/>
                      <w:highlight w:val="none"/>
                      <w:shd w:val="clear" w:color="auto" w:fill="FFFFFF"/>
                      <w:lang w:val="en-US" w:eastAsia="zh-CN"/>
                    </w:rPr>
                    <w:t>出入口</w:t>
                  </w:r>
                  <w:r>
                    <w:rPr>
                      <w:rFonts w:hint="default" w:ascii="Times New Roman" w:hAnsi="Times New Roman" w:eastAsia="宋体" w:cs="Times New Roman"/>
                      <w:color w:val="auto"/>
                      <w:sz w:val="21"/>
                      <w:szCs w:val="21"/>
                      <w:highlight w:val="none"/>
                      <w:shd w:val="clear" w:color="auto" w:fill="FFFFFF"/>
                      <w:lang w:eastAsia="zh-CN"/>
                    </w:rPr>
                    <w:t>卷帘门关闭</w:t>
                  </w:r>
                  <w:r>
                    <w:rPr>
                      <w:rFonts w:hint="default" w:ascii="Times New Roman" w:hAnsi="Times New Roman" w:eastAsia="宋体" w:cs="Times New Roman"/>
                      <w:color w:val="auto"/>
                      <w:sz w:val="21"/>
                      <w:szCs w:val="21"/>
                      <w:highlight w:val="none"/>
                      <w:lang w:val="en-US" w:eastAsia="zh-CN"/>
                    </w:rPr>
                    <w:t>。</w:t>
                  </w:r>
                </w:p>
              </w:tc>
              <w:tc>
                <w:tcPr>
                  <w:tcW w:w="657" w:type="dxa"/>
                  <w:noWrap w:val="0"/>
                  <w:vAlign w:val="center"/>
                </w:tcPr>
                <w:p w14:paraId="60FC6DC6">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符合</w:t>
                  </w:r>
                </w:p>
              </w:tc>
            </w:tr>
          </w:tbl>
          <w:p w14:paraId="7C620B11">
            <w:pPr>
              <w:pStyle w:val="19"/>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综上所述，项目的建设符合《关于印发〈2020年挥发性有机物治理攻坚方案〉的通知》（环大气〔2020〕33号）的相关要求。</w:t>
            </w:r>
          </w:p>
          <w:p w14:paraId="53645F18">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SA"/>
              </w:rPr>
              <w:t>10.</w:t>
            </w:r>
            <w:r>
              <w:rPr>
                <w:rFonts w:hint="default" w:ascii="Times New Roman" w:hAnsi="Times New Roman" w:eastAsia="宋体" w:cs="Times New Roman"/>
                <w:b/>
                <w:bCs/>
                <w:color w:val="auto"/>
                <w:kern w:val="0"/>
                <w:sz w:val="24"/>
                <w:szCs w:val="24"/>
                <w:highlight w:val="none"/>
                <w:lang w:val="en-US" w:eastAsia="zh-CN"/>
              </w:rPr>
              <w:t>与《云南省推动长江经济带发展领导小组办公室关于印发〈云南省长江经济带发展负面清单指南实施细则（试行，2022年版）〉的通知》（云发改基础〔2022〕894号）相符性分析</w:t>
            </w:r>
          </w:p>
          <w:p w14:paraId="2E88C4B5">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本项目与《云南省长江经济带发展负面清单指南实施细则（试行，2022年版）》（云发改基础〔2022〕894号）的符合性分析情况如下表所示。</w:t>
            </w:r>
          </w:p>
          <w:p w14:paraId="2D724BC7">
            <w:pPr>
              <w:pStyle w:val="2"/>
              <w:rPr>
                <w:rFonts w:hint="default" w:ascii="Times New Roman" w:hAnsi="Times New Roman" w:eastAsia="宋体" w:cs="Times New Roman"/>
                <w:color w:val="auto"/>
                <w:sz w:val="24"/>
                <w:szCs w:val="24"/>
                <w:highlight w:val="none"/>
                <w:lang w:val="en-US" w:eastAsia="zh-CN"/>
              </w:rPr>
            </w:pPr>
          </w:p>
          <w:p w14:paraId="285121DB">
            <w:pPr>
              <w:pStyle w:val="3"/>
              <w:rPr>
                <w:rFonts w:hint="default" w:ascii="Times New Roman" w:hAnsi="Times New Roman" w:eastAsia="宋体" w:cs="Times New Roman"/>
                <w:color w:val="auto"/>
                <w:sz w:val="24"/>
                <w:szCs w:val="24"/>
                <w:highlight w:val="none"/>
                <w:lang w:val="en-US" w:eastAsia="zh-CN"/>
              </w:rPr>
            </w:pPr>
          </w:p>
          <w:p w14:paraId="54029A07">
            <w:pPr>
              <w:pStyle w:val="3"/>
              <w:rPr>
                <w:rFonts w:hint="default" w:ascii="Times New Roman" w:hAnsi="Times New Roman" w:eastAsia="宋体" w:cs="Times New Roman"/>
                <w:color w:val="auto"/>
                <w:sz w:val="24"/>
                <w:szCs w:val="24"/>
                <w:highlight w:val="none"/>
                <w:lang w:val="en-US" w:eastAsia="zh-CN"/>
              </w:rPr>
            </w:pPr>
          </w:p>
          <w:p w14:paraId="7E72C4D7">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表1-1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项目与（云发改基础〔2022〕894号）相符合性分析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3498"/>
              <w:gridCol w:w="2032"/>
              <w:gridCol w:w="671"/>
            </w:tblGrid>
            <w:tr w14:paraId="16CF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9" w:type="dxa"/>
                  <w:gridSpan w:val="2"/>
                  <w:noWrap w:val="0"/>
                  <w:vAlign w:val="center"/>
                </w:tcPr>
                <w:p w14:paraId="47189062">
                  <w:pPr>
                    <w:pStyle w:val="27"/>
                    <w:keepNext w:val="0"/>
                    <w:keepLines w:val="0"/>
                    <w:pageBreakBefore w:val="0"/>
                    <w:widowControl w:val="0"/>
                    <w:kinsoku/>
                    <w:wordWrap/>
                    <w:overflowPunct/>
                    <w:topLinePunct/>
                    <w:autoSpaceDE w:val="0"/>
                    <w:autoSpaceDN/>
                    <w:bidi w:val="0"/>
                    <w:adjustRightInd/>
                    <w:snapToGrid/>
                    <w:spacing w:after="0"/>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细则要求</w:t>
                  </w:r>
                </w:p>
              </w:tc>
              <w:tc>
                <w:tcPr>
                  <w:tcW w:w="2032" w:type="dxa"/>
                  <w:noWrap w:val="0"/>
                  <w:vAlign w:val="center"/>
                </w:tcPr>
                <w:p w14:paraId="617473AB">
                  <w:pPr>
                    <w:pStyle w:val="27"/>
                    <w:keepNext w:val="0"/>
                    <w:keepLines w:val="0"/>
                    <w:pageBreakBefore w:val="0"/>
                    <w:widowControl w:val="0"/>
                    <w:kinsoku/>
                    <w:wordWrap/>
                    <w:overflowPunct/>
                    <w:topLinePunct/>
                    <w:autoSpaceDE w:val="0"/>
                    <w:autoSpaceDN/>
                    <w:bidi w:val="0"/>
                    <w:adjustRightInd/>
                    <w:snapToGrid/>
                    <w:spacing w:after="0"/>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671" w:type="dxa"/>
                  <w:noWrap w:val="0"/>
                  <w:vAlign w:val="center"/>
                </w:tcPr>
                <w:p w14:paraId="7B10DFB3">
                  <w:pPr>
                    <w:pStyle w:val="27"/>
                    <w:keepNext w:val="0"/>
                    <w:keepLines w:val="0"/>
                    <w:pageBreakBefore w:val="0"/>
                    <w:widowControl w:val="0"/>
                    <w:kinsoku/>
                    <w:wordWrap/>
                    <w:overflowPunct/>
                    <w:topLinePunct/>
                    <w:autoSpaceDE w:val="0"/>
                    <w:autoSpaceDN/>
                    <w:bidi w:val="0"/>
                    <w:adjustRightInd/>
                    <w:snapToGrid/>
                    <w:spacing w:after="0"/>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14:paraId="6F15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3A0EF0E2">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第一条</w:t>
                  </w:r>
                </w:p>
              </w:tc>
              <w:tc>
                <w:tcPr>
                  <w:tcW w:w="3498" w:type="dxa"/>
                  <w:noWrap w:val="0"/>
                  <w:vAlign w:val="center"/>
                </w:tcPr>
                <w:p w14:paraId="45D6F271">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32" w:type="dxa"/>
                  <w:noWrap w:val="0"/>
                  <w:vAlign w:val="center"/>
                </w:tcPr>
                <w:p w14:paraId="6F9CE9F2">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，位于易门产业园，不涉及港口和码头。</w:t>
                  </w:r>
                </w:p>
              </w:tc>
              <w:tc>
                <w:tcPr>
                  <w:tcW w:w="671" w:type="dxa"/>
                  <w:noWrap w:val="0"/>
                  <w:vAlign w:val="center"/>
                </w:tcPr>
                <w:p w14:paraId="3CA57F5C">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E84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01F4177C">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第二条</w:t>
                  </w:r>
                </w:p>
              </w:tc>
              <w:tc>
                <w:tcPr>
                  <w:tcW w:w="3498" w:type="dxa"/>
                  <w:noWrap w:val="0"/>
                  <w:vAlign w:val="center"/>
                </w:tcPr>
                <w:p w14:paraId="320C8C5E">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032" w:type="dxa"/>
                  <w:noWrap w:val="0"/>
                  <w:vAlign w:val="center"/>
                </w:tcPr>
                <w:p w14:paraId="746D3639">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项目位于易门产业园区麦子田片区，不涉及自然保护区。</w:t>
                  </w:r>
                </w:p>
              </w:tc>
              <w:tc>
                <w:tcPr>
                  <w:tcW w:w="671" w:type="dxa"/>
                  <w:noWrap w:val="0"/>
                  <w:vAlign w:val="center"/>
                </w:tcPr>
                <w:p w14:paraId="32CD86E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9AC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645B9AE3">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第三条</w:t>
                  </w:r>
                </w:p>
              </w:tc>
              <w:tc>
                <w:tcPr>
                  <w:tcW w:w="3498" w:type="dxa"/>
                  <w:noWrap w:val="0"/>
                  <w:vAlign w:val="center"/>
                </w:tcPr>
                <w:p w14:paraId="79392A2A">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32" w:type="dxa"/>
                  <w:noWrap w:val="0"/>
                  <w:vAlign w:val="center"/>
                </w:tcPr>
                <w:p w14:paraId="3508890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项目位于易门产业园区麦子田片区，不涉及风景名胜保护区。</w:t>
                  </w:r>
                </w:p>
              </w:tc>
              <w:tc>
                <w:tcPr>
                  <w:tcW w:w="671" w:type="dxa"/>
                  <w:noWrap w:val="0"/>
                  <w:vAlign w:val="center"/>
                </w:tcPr>
                <w:p w14:paraId="0C6F9F5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9D9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0C4CDF9B">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第四条</w:t>
                  </w:r>
                </w:p>
              </w:tc>
              <w:tc>
                <w:tcPr>
                  <w:tcW w:w="3498" w:type="dxa"/>
                  <w:noWrap w:val="0"/>
                  <w:vAlign w:val="center"/>
                </w:tcPr>
                <w:p w14:paraId="3CEBB9FA">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32" w:type="dxa"/>
                  <w:noWrap w:val="0"/>
                  <w:vAlign w:val="center"/>
                </w:tcPr>
                <w:p w14:paraId="6398E828">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项目位于易门产业园区麦子田片区，用地</w:t>
                  </w:r>
                  <w:r>
                    <w:rPr>
                      <w:rFonts w:hint="default" w:ascii="Times New Roman" w:hAnsi="Times New Roman" w:eastAsia="宋体" w:cs="Times New Roman"/>
                      <w:color w:val="auto"/>
                      <w:sz w:val="21"/>
                      <w:szCs w:val="21"/>
                      <w:highlight w:val="none"/>
                    </w:rPr>
                    <w:t>范围不涉及饮用水水源一级保护区及二级保护区的岸线和河段范围。</w:t>
                  </w:r>
                </w:p>
              </w:tc>
              <w:tc>
                <w:tcPr>
                  <w:tcW w:w="671" w:type="dxa"/>
                  <w:noWrap w:val="0"/>
                  <w:vAlign w:val="center"/>
                </w:tcPr>
                <w:p w14:paraId="2A16318A">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C34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2B924687">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第五条</w:t>
                  </w:r>
                </w:p>
              </w:tc>
              <w:tc>
                <w:tcPr>
                  <w:tcW w:w="3498" w:type="dxa"/>
                  <w:noWrap w:val="0"/>
                  <w:vAlign w:val="center"/>
                </w:tcPr>
                <w:p w14:paraId="6371DB0C">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032" w:type="dxa"/>
                  <w:noWrap w:val="0"/>
                  <w:vAlign w:val="center"/>
                </w:tcPr>
                <w:p w14:paraId="2BAF63F7">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项目位于易门产业园区麦子田片区，不涉及水产种质资源保护区</w:t>
                  </w:r>
                  <w:r>
                    <w:rPr>
                      <w:rFonts w:hint="default" w:ascii="Times New Roman" w:hAnsi="Times New Roman" w:eastAsia="宋体" w:cs="Times New Roman"/>
                      <w:color w:val="auto"/>
                      <w:sz w:val="21"/>
                      <w:szCs w:val="21"/>
                      <w:highlight w:val="none"/>
                    </w:rPr>
                    <w:t>、国家湿地公园。</w:t>
                  </w:r>
                </w:p>
              </w:tc>
              <w:tc>
                <w:tcPr>
                  <w:tcW w:w="671" w:type="dxa"/>
                  <w:noWrap w:val="0"/>
                  <w:vAlign w:val="center"/>
                </w:tcPr>
                <w:p w14:paraId="04F7E1C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579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0CED3F8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第六条</w:t>
                  </w:r>
                </w:p>
              </w:tc>
              <w:tc>
                <w:tcPr>
                  <w:tcW w:w="3498" w:type="dxa"/>
                  <w:noWrap w:val="0"/>
                  <w:vAlign w:val="center"/>
                </w:tcPr>
                <w:p w14:paraId="1D59924A">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32" w:type="dxa"/>
                  <w:noWrap w:val="0"/>
                  <w:vAlign w:val="center"/>
                </w:tcPr>
                <w:p w14:paraId="52A00985">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项目位于易门产业园区麦子田片区，用地性质为二类工业用地，不涉及占用长江流域河湖岸线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不涉及金沙江岸线保护区和保留区。</w:t>
                  </w:r>
                </w:p>
              </w:tc>
              <w:tc>
                <w:tcPr>
                  <w:tcW w:w="671" w:type="dxa"/>
                  <w:noWrap w:val="0"/>
                  <w:vAlign w:val="center"/>
                </w:tcPr>
                <w:p w14:paraId="7F40F89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14EC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249DDC1F">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第七条</w:t>
                  </w:r>
                </w:p>
              </w:tc>
              <w:tc>
                <w:tcPr>
                  <w:tcW w:w="3498" w:type="dxa"/>
                  <w:noWrap w:val="0"/>
                  <w:vAlign w:val="center"/>
                </w:tcPr>
                <w:p w14:paraId="3DB833BF">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32" w:type="dxa"/>
                  <w:noWrap w:val="0"/>
                  <w:vAlign w:val="center"/>
                </w:tcPr>
                <w:p w14:paraId="6F487AF3">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，且位于易门产业园区麦子田片区，</w:t>
                  </w:r>
                  <w:r>
                    <w:rPr>
                      <w:rFonts w:hint="default" w:ascii="Times New Roman" w:hAnsi="Times New Roman" w:eastAsia="宋体" w:cs="Times New Roman"/>
                      <w:color w:val="auto"/>
                      <w:sz w:val="21"/>
                      <w:szCs w:val="21"/>
                      <w:highlight w:val="none"/>
                    </w:rPr>
                    <w:t>不涉及金沙江干流、长江一级支流建设除相关部门审批同意以外的过江基础设施项目。本</w:t>
                  </w:r>
                  <w:r>
                    <w:rPr>
                      <w:rFonts w:hint="default" w:ascii="Times New Roman" w:hAnsi="Times New Roman" w:eastAsia="宋体" w:cs="Times New Roman"/>
                      <w:color w:val="auto"/>
                      <w:sz w:val="21"/>
                      <w:szCs w:val="21"/>
                      <w:highlight w:val="none"/>
                      <w:lang w:val="en-US" w:eastAsia="zh-CN"/>
                    </w:rPr>
                    <w:t>项目不属于</w:t>
                  </w:r>
                  <w:r>
                    <w:rPr>
                      <w:rFonts w:hint="default" w:ascii="Times New Roman" w:hAnsi="Times New Roman" w:eastAsia="宋体" w:cs="Times New Roman"/>
                      <w:color w:val="auto"/>
                      <w:sz w:val="21"/>
                      <w:szCs w:val="21"/>
                      <w:highlight w:val="none"/>
                    </w:rPr>
                    <w:t>禁止未经许可在金沙江干流、长江一级支流、九大高原湖泊流域新设、改设或扩大排污口。</w:t>
                  </w:r>
                </w:p>
              </w:tc>
              <w:tc>
                <w:tcPr>
                  <w:tcW w:w="671" w:type="dxa"/>
                  <w:noWrap w:val="0"/>
                  <w:vAlign w:val="center"/>
                </w:tcPr>
                <w:p w14:paraId="45F71AD3">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5A6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4CC7CF80">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第八条</w:t>
                  </w:r>
                </w:p>
              </w:tc>
              <w:tc>
                <w:tcPr>
                  <w:tcW w:w="3498" w:type="dxa"/>
                  <w:noWrap w:val="0"/>
                  <w:vAlign w:val="center"/>
                </w:tcPr>
                <w:p w14:paraId="62746F78">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禁止在金沙江干流、长江一级支流、水生生物保护区和长江流域禁捕水域开展天然渔业资源生产性捕捞。</w:t>
                  </w:r>
                </w:p>
              </w:tc>
              <w:tc>
                <w:tcPr>
                  <w:tcW w:w="2032" w:type="dxa"/>
                  <w:noWrap w:val="0"/>
                  <w:vAlign w:val="center"/>
                </w:tcPr>
                <w:p w14:paraId="167E19BE">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项目不涉及渔业资源捕捞。</w:t>
                  </w:r>
                </w:p>
              </w:tc>
              <w:tc>
                <w:tcPr>
                  <w:tcW w:w="671" w:type="dxa"/>
                  <w:noWrap w:val="0"/>
                  <w:vAlign w:val="center"/>
                </w:tcPr>
                <w:p w14:paraId="4DDB7976">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9AA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7BB81554">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第九条</w:t>
                  </w:r>
                </w:p>
              </w:tc>
              <w:tc>
                <w:tcPr>
                  <w:tcW w:w="3498" w:type="dxa"/>
                  <w:noWrap w:val="0"/>
                  <w:vAlign w:val="center"/>
                </w:tcPr>
                <w:p w14:paraId="5646C5DD">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32" w:type="dxa"/>
                  <w:noWrap w:val="0"/>
                  <w:vAlign w:val="center"/>
                </w:tcPr>
                <w:p w14:paraId="6AB8BFCD">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，位于易门产业园区麦子田片区，</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在金沙江干流，长江一级支流和九大高原湖泊岸线1公里范围内新建、扩建化工园区和化工项目。</w:t>
                  </w:r>
                </w:p>
              </w:tc>
              <w:tc>
                <w:tcPr>
                  <w:tcW w:w="671" w:type="dxa"/>
                  <w:noWrap w:val="0"/>
                  <w:vAlign w:val="center"/>
                </w:tcPr>
                <w:p w14:paraId="3C193A2A">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3E9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2829E125">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第十条</w:t>
                  </w:r>
                </w:p>
              </w:tc>
              <w:tc>
                <w:tcPr>
                  <w:tcW w:w="3498" w:type="dxa"/>
                  <w:noWrap w:val="0"/>
                  <w:vAlign w:val="center"/>
                </w:tcPr>
                <w:p w14:paraId="75823339">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禁止在合规园区外新建、扩建钢铁、石化、化工、焦化、建材、有色、制浆造纸行业中的高污染项目。</w:t>
                  </w:r>
                </w:p>
              </w:tc>
              <w:tc>
                <w:tcPr>
                  <w:tcW w:w="2032" w:type="dxa"/>
                  <w:noWrap w:val="0"/>
                  <w:vAlign w:val="center"/>
                </w:tcPr>
                <w:p w14:paraId="42CF7D56">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项目位于易门产业园麦子田片区，</w:t>
                  </w:r>
                  <w:r>
                    <w:rPr>
                      <w:rFonts w:hint="default" w:ascii="Times New Roman" w:hAnsi="Times New Roman" w:eastAsia="宋体" w:cs="Times New Roman"/>
                      <w:color w:val="auto"/>
                      <w:sz w:val="21"/>
                      <w:szCs w:val="21"/>
                      <w:highlight w:val="none"/>
                    </w:rPr>
                    <w:t>属于合规园区</w:t>
                  </w:r>
                  <w:r>
                    <w:rPr>
                      <w:rFonts w:hint="default" w:ascii="Times New Roman" w:hAnsi="Times New Roman" w:eastAsia="宋体" w:cs="Times New Roman"/>
                      <w:color w:val="auto"/>
                      <w:sz w:val="21"/>
                      <w:szCs w:val="21"/>
                      <w:highlight w:val="none"/>
                      <w:vertAlign w:val="baseline"/>
                      <w:lang w:val="en-US" w:eastAsia="zh-CN"/>
                    </w:rPr>
                    <w:t>，且不属于高污染项目。</w:t>
                  </w:r>
                </w:p>
              </w:tc>
              <w:tc>
                <w:tcPr>
                  <w:tcW w:w="671" w:type="dxa"/>
                  <w:noWrap w:val="0"/>
                  <w:vAlign w:val="center"/>
                </w:tcPr>
                <w:p w14:paraId="4AF6B274">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C23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3840C03A">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第十一条</w:t>
                  </w:r>
                </w:p>
              </w:tc>
              <w:tc>
                <w:tcPr>
                  <w:tcW w:w="3498" w:type="dxa"/>
                  <w:noWrap w:val="0"/>
                  <w:vAlign w:val="center"/>
                </w:tcPr>
                <w:p w14:paraId="7B9C77A0">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32" w:type="dxa"/>
                  <w:noWrap w:val="0"/>
                  <w:vAlign w:val="center"/>
                </w:tcPr>
                <w:p w14:paraId="7CFAFAE7">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，不属于石化、现代煤化工和危险化学品生产项目。</w:t>
                  </w:r>
                </w:p>
              </w:tc>
              <w:tc>
                <w:tcPr>
                  <w:tcW w:w="671" w:type="dxa"/>
                  <w:noWrap w:val="0"/>
                  <w:vAlign w:val="center"/>
                </w:tcPr>
                <w:p w14:paraId="378A13DE">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02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noWrap w:val="0"/>
                  <w:vAlign w:val="center"/>
                </w:tcPr>
                <w:p w14:paraId="5D1CCB27">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第十二条</w:t>
                  </w:r>
                </w:p>
              </w:tc>
              <w:tc>
                <w:tcPr>
                  <w:tcW w:w="3498" w:type="dxa"/>
                  <w:noWrap w:val="0"/>
                  <w:vAlign w:val="center"/>
                </w:tcPr>
                <w:p w14:paraId="46C476CB">
                  <w:pPr>
                    <w:keepNext w:val="0"/>
                    <w:keepLines w:val="0"/>
                    <w:pageBreakBefore w:val="0"/>
                    <w:widowControl/>
                    <w:suppressLineNumbers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032" w:type="dxa"/>
                  <w:noWrap w:val="0"/>
                  <w:vAlign w:val="center"/>
                </w:tcPr>
                <w:p w14:paraId="452C6FE9">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项目所生产的产品不属于规定的鼓励类、限制类和淘汰类生产项目，视为允许类；项目采用的设备及工艺不属于限制类、淘汰类之列；不属于</w:t>
                  </w:r>
                  <w:r>
                    <w:rPr>
                      <w:rFonts w:hint="default" w:ascii="Times New Roman" w:hAnsi="Times New Roman" w:eastAsia="宋体" w:cs="Times New Roman"/>
                      <w:color w:val="auto"/>
                      <w:kern w:val="0"/>
                      <w:sz w:val="21"/>
                      <w:szCs w:val="21"/>
                      <w:highlight w:val="none"/>
                      <w:lang w:val="en-US" w:eastAsia="zh-CN" w:bidi="ar"/>
                    </w:rPr>
                    <w:t>高毒高残留以及对环境影响大的项目。</w:t>
                  </w:r>
                </w:p>
              </w:tc>
              <w:tc>
                <w:tcPr>
                  <w:tcW w:w="671" w:type="dxa"/>
                  <w:noWrap w:val="0"/>
                  <w:vAlign w:val="center"/>
                </w:tcPr>
                <w:p w14:paraId="02C81882">
                  <w:pPr>
                    <w:pStyle w:val="27"/>
                    <w:keepNext w:val="0"/>
                    <w:keepLines w:val="0"/>
                    <w:pageBreakBefore w:val="0"/>
                    <w:widowControl w:val="0"/>
                    <w:kinsoku/>
                    <w:wordWrap/>
                    <w:overflowPunct/>
                    <w:topLinePunct/>
                    <w:autoSpaceDE w:val="0"/>
                    <w:autoSpaceDN/>
                    <w:bidi w:val="0"/>
                    <w:adjustRightInd/>
                    <w:snapToGrid/>
                    <w:spacing w:after="0"/>
                    <w:ind w:firstLine="0" w:firstLine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14:paraId="729AC0D2">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综上所述，项目的建设满足《云南省推动长江经济带发展领导小组办公室关于印发〈云南省长江经济带发展负面清单指南实施细则（试行，2022年版）〉的通知》（云发改基础〔2022〕894号）的相关要求。</w:t>
            </w:r>
          </w:p>
          <w:p w14:paraId="7389A907">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lang w:val="en-US" w:eastAsia="zh-CN" w:bidi="ar-SA"/>
              </w:rPr>
              <w:t>11.</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SA"/>
              </w:rPr>
              <w:t>《云南省关于打好污染防治攻坚战实施意见》</w:t>
            </w:r>
            <w:r>
              <w:rPr>
                <w:rFonts w:hint="default" w:ascii="Times New Roman" w:hAnsi="Times New Roman" w:eastAsia="宋体" w:cs="Times New Roman"/>
                <w:b/>
                <w:bCs/>
                <w:color w:val="auto"/>
                <w:kern w:val="0"/>
                <w:sz w:val="24"/>
                <w:szCs w:val="24"/>
                <w:highlight w:val="none"/>
                <w:lang w:val="en-US" w:eastAsia="zh-CN"/>
              </w:rPr>
              <w:t>相符性分析</w:t>
            </w:r>
          </w:p>
          <w:p w14:paraId="71EBA5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2022</w:t>
            </w:r>
            <w:r>
              <w:rPr>
                <w:rFonts w:hint="eastAsia" w:ascii="Times New Roman" w:hAnsi="Times New Roman" w:eastAsia="宋体" w:cs="Times New Roman"/>
                <w:caps w:val="0"/>
                <w:smallCaps w:val="0"/>
                <w:color w:val="auto"/>
                <w:sz w:val="24"/>
                <w:szCs w:val="24"/>
                <w:highlight w:val="none"/>
                <w:lang w:val="en-US" w:eastAsia="zh-CN"/>
              </w:rPr>
              <w:t>年</w:t>
            </w:r>
            <w:r>
              <w:rPr>
                <w:rFonts w:hint="default" w:ascii="Times New Roman" w:hAnsi="Times New Roman" w:eastAsia="宋体" w:cs="Times New Roman"/>
                <w:caps w:val="0"/>
                <w:smallCaps w:val="0"/>
                <w:color w:val="auto"/>
                <w:sz w:val="24"/>
                <w:szCs w:val="24"/>
                <w:highlight w:val="none"/>
                <w:lang w:val="en-US" w:eastAsia="zh-CN"/>
              </w:rPr>
              <w:t>7</w:t>
            </w:r>
            <w:r>
              <w:rPr>
                <w:rFonts w:hint="eastAsia" w:ascii="Times New Roman" w:hAnsi="Times New Roman" w:eastAsia="宋体" w:cs="Times New Roman"/>
                <w:caps w:val="0"/>
                <w:smallCaps w:val="0"/>
                <w:color w:val="auto"/>
                <w:sz w:val="24"/>
                <w:szCs w:val="24"/>
                <w:highlight w:val="none"/>
                <w:lang w:val="en-US" w:eastAsia="zh-CN"/>
              </w:rPr>
              <w:t>月</w:t>
            </w:r>
            <w:r>
              <w:rPr>
                <w:rFonts w:hint="default" w:ascii="Times New Roman" w:hAnsi="Times New Roman" w:eastAsia="宋体" w:cs="Times New Roman"/>
                <w:caps w:val="0"/>
                <w:smallCaps w:val="0"/>
                <w:color w:val="auto"/>
                <w:sz w:val="24"/>
                <w:szCs w:val="24"/>
                <w:highlight w:val="none"/>
                <w:lang w:val="en-US" w:eastAsia="zh-CN"/>
              </w:rPr>
              <w:t>21</w:t>
            </w:r>
            <w:r>
              <w:rPr>
                <w:rFonts w:hint="eastAsia" w:ascii="Times New Roman" w:hAnsi="Times New Roman" w:eastAsia="宋体" w:cs="Times New Roman"/>
                <w:caps w:val="0"/>
                <w:smallCaps w:val="0"/>
                <w:color w:val="auto"/>
                <w:sz w:val="24"/>
                <w:szCs w:val="24"/>
                <w:highlight w:val="none"/>
                <w:lang w:val="en-US" w:eastAsia="zh-CN"/>
              </w:rPr>
              <w:t>日中共云南省委 云南省人民政府发布了《云南省关于深入打好污染防治攻坚战实施意见》</w:t>
            </w:r>
            <w:r>
              <w:rPr>
                <w:rFonts w:hint="default" w:ascii="Times New Roman" w:hAnsi="Times New Roman" w:eastAsia="宋体" w:cs="Times New Roman"/>
                <w:caps w:val="0"/>
                <w:smallCaps w:val="0"/>
                <w:color w:val="auto"/>
                <w:sz w:val="24"/>
                <w:szCs w:val="24"/>
                <w:highlight w:val="none"/>
                <w:lang w:val="en-US" w:eastAsia="zh-CN"/>
              </w:rPr>
              <w:t>，项目与其相关符合性分析详见下表。</w:t>
            </w:r>
          </w:p>
          <w:p w14:paraId="054C1F31">
            <w:pPr>
              <w:pStyle w:val="2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eastAsia" w:ascii="Times New Roman" w:hAnsi="Times New Roman" w:eastAsia="宋体" w:cs="Times New Roman"/>
                <w:b/>
                <w:bCs/>
                <w:caps w:val="0"/>
                <w:smallCaps w:val="0"/>
                <w:color w:val="auto"/>
                <w:sz w:val="21"/>
                <w:szCs w:val="21"/>
                <w:highlight w:val="none"/>
                <w:lang w:val="en-US" w:eastAsia="zh-CN"/>
              </w:rPr>
              <w:t>1-1</w:t>
            </w:r>
            <w:r>
              <w:rPr>
                <w:rFonts w:hint="eastAsia" w:cs="Times New Roman"/>
                <w:b/>
                <w:bCs/>
                <w:caps w:val="0"/>
                <w:smallCaps w:val="0"/>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与</w:t>
            </w:r>
            <w:r>
              <w:rPr>
                <w:rFonts w:hint="eastAsia" w:ascii="Times New Roman" w:hAnsi="Times New Roman" w:cs="Times New Roman"/>
                <w:b/>
                <w:bCs/>
                <w:color w:val="auto"/>
                <w:sz w:val="21"/>
                <w:szCs w:val="21"/>
                <w:highlight w:val="none"/>
                <w:lang w:val="en-US" w:eastAsia="zh-CN"/>
              </w:rPr>
              <w:t>《云南省关于深入打好污染防治攻坚战实施意见》</w:t>
            </w:r>
            <w:r>
              <w:rPr>
                <w:rFonts w:hint="default" w:ascii="Times New Roman" w:hAnsi="Times New Roman" w:cs="Times New Roman"/>
                <w:b/>
                <w:bCs/>
                <w:color w:val="auto"/>
                <w:sz w:val="21"/>
                <w:szCs w:val="21"/>
                <w:highlight w:val="none"/>
              </w:rPr>
              <w:t>符合性分析</w:t>
            </w:r>
          </w:p>
          <w:tbl>
            <w:tblPr>
              <w:tblStyle w:val="29"/>
              <w:tblW w:w="5000"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108" w:type="dxa"/>
                <w:bottom w:w="0" w:type="dxa"/>
                <w:right w:w="108" w:type="dxa"/>
              </w:tblCellMar>
            </w:tblPr>
            <w:tblGrid>
              <w:gridCol w:w="3824"/>
              <w:gridCol w:w="2129"/>
              <w:gridCol w:w="669"/>
            </w:tblGrid>
            <w:tr w14:paraId="6A9F901E">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340" w:hRule="atLeast"/>
                <w:jc w:val="center"/>
              </w:trPr>
              <w:tc>
                <w:tcPr>
                  <w:tcW w:w="4887" w:type="dxa"/>
                  <w:tcBorders>
                    <w:tl2br w:val="nil"/>
                    <w:tr2bl w:val="nil"/>
                  </w:tcBorders>
                  <w:tcMar>
                    <w:top w:w="0" w:type="dxa"/>
                    <w:left w:w="57" w:type="dxa"/>
                    <w:bottom w:w="0" w:type="dxa"/>
                    <w:right w:w="57" w:type="dxa"/>
                  </w:tcMar>
                  <w:vAlign w:val="center"/>
                </w:tcPr>
                <w:p w14:paraId="4F63239D">
                  <w:pPr>
                    <w:pStyle w:val="48"/>
                    <w:spacing w:before="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相关内容</w:t>
                  </w:r>
                </w:p>
              </w:tc>
              <w:tc>
                <w:tcPr>
                  <w:tcW w:w="2706" w:type="dxa"/>
                  <w:tcBorders>
                    <w:tl2br w:val="nil"/>
                    <w:tr2bl w:val="nil"/>
                  </w:tcBorders>
                  <w:tcMar>
                    <w:top w:w="0" w:type="dxa"/>
                    <w:left w:w="57" w:type="dxa"/>
                    <w:bottom w:w="0" w:type="dxa"/>
                    <w:right w:w="57" w:type="dxa"/>
                  </w:tcMar>
                  <w:vAlign w:val="center"/>
                </w:tcPr>
                <w:p w14:paraId="0B8C880E">
                  <w:pPr>
                    <w:pStyle w:val="48"/>
                    <w:spacing w:befor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827" w:type="dxa"/>
                  <w:tcBorders>
                    <w:tl2br w:val="nil"/>
                    <w:tr2bl w:val="nil"/>
                  </w:tcBorders>
                  <w:tcMar>
                    <w:top w:w="0" w:type="dxa"/>
                    <w:left w:w="57" w:type="dxa"/>
                    <w:bottom w:w="0" w:type="dxa"/>
                    <w:right w:w="57" w:type="dxa"/>
                  </w:tcMar>
                  <w:vAlign w:val="center"/>
                </w:tcPr>
                <w:p w14:paraId="14DBFACE">
                  <w:pPr>
                    <w:pStyle w:val="48"/>
                    <w:spacing w:befor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相符性</w:t>
                  </w:r>
                </w:p>
              </w:tc>
            </w:tr>
            <w:tr w14:paraId="28CC5E40">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340" w:hRule="atLeast"/>
                <w:jc w:val="center"/>
              </w:trPr>
              <w:tc>
                <w:tcPr>
                  <w:tcW w:w="4887" w:type="dxa"/>
                  <w:tcBorders>
                    <w:tl2br w:val="nil"/>
                    <w:tr2bl w:val="nil"/>
                  </w:tcBorders>
                  <w:tcMar>
                    <w:top w:w="0" w:type="dxa"/>
                    <w:left w:w="57" w:type="dxa"/>
                    <w:bottom w:w="0" w:type="dxa"/>
                    <w:right w:w="57" w:type="dxa"/>
                  </w:tcMar>
                  <w:vAlign w:val="center"/>
                </w:tcPr>
                <w:p w14:paraId="3F62D09B">
                  <w:pPr>
                    <w:pageBreakBefore w:val="0"/>
                    <w:widowControl w:val="0"/>
                    <w:wordWrap/>
                    <w:topLinePunct w:val="0"/>
                    <w:bidi w:val="0"/>
                    <w:jc w:val="both"/>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二、加快推动绿色低碳发展</w:t>
                  </w:r>
                </w:p>
                <w:p w14:paraId="7B38677E">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（二）推动能源清洁低碳转型。在保障能源安全的前提下，严格合理控制煤炭消费增长，有序减量替代。建设国家清洁能源基地，打造“风光水火储”多能互补基地，提高电能占终端能源消费比重。</w:t>
                  </w:r>
                </w:p>
                <w:p w14:paraId="3B1F4E19">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（三）坚决遏制高耗能高排放项目盲目发展。坚决停批停建不符合规定的项目，深入推进产业补链延链强链、绿色低碳转型。严格落实产能置换和产能控制政策，实施粗钢产能清理整顿。</w:t>
                  </w:r>
                </w:p>
                <w:p w14:paraId="7B641728">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（四）推进清洁生产和能源资源节约高效利用。深入实施清洁生产改造，依法开展清洁生产审核。推进绿色能源与绿色制造融合发展。强化能源和水资源“双控”，加强重点领域节能，实施节水行动。</w:t>
                  </w:r>
                </w:p>
                <w:p w14:paraId="58D212A1">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（五）加强生态环境分区管控。优化生态环境分区管控格局，不断完善“三线一单”生态环境分区管控体系。开展重大经济技术政策的生态环境影响分析和重大生态环境政策的社会经济影响评估。</w:t>
                  </w:r>
                </w:p>
                <w:p w14:paraId="68D93733">
                  <w:pPr>
                    <w:pageBreakBefore w:val="0"/>
                    <w:widowControl w:val="0"/>
                    <w:wordWrap/>
                    <w:topLinePunct w:val="0"/>
                    <w:bidi w:val="0"/>
                    <w:jc w:val="both"/>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（六）加快形成绿色低碳生活方式。把生态文明教育纳入国民教育体系。科学有序推动生活垃圾分类。加快快递包装绿色转型，加强塑料污染全链条防治。深入开展绿色生活行动，培育绿色消费理念。</w:t>
                  </w:r>
                </w:p>
              </w:tc>
              <w:tc>
                <w:tcPr>
                  <w:tcW w:w="2706" w:type="dxa"/>
                  <w:tcBorders>
                    <w:tl2br w:val="nil"/>
                    <w:tr2bl w:val="nil"/>
                  </w:tcBorders>
                  <w:tcMar>
                    <w:top w:w="0" w:type="dxa"/>
                    <w:left w:w="57" w:type="dxa"/>
                    <w:bottom w:w="0" w:type="dxa"/>
                    <w:right w:w="57" w:type="dxa"/>
                  </w:tcMar>
                  <w:vAlign w:val="center"/>
                </w:tcPr>
                <w:p w14:paraId="73012B40">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（二）项目</w:t>
                  </w:r>
                  <w:r>
                    <w:rPr>
                      <w:rFonts w:hint="eastAsia" w:cs="Times New Roman"/>
                      <w:b w:val="0"/>
                      <w:bCs w:val="0"/>
                      <w:color w:val="auto"/>
                      <w:sz w:val="21"/>
                      <w:szCs w:val="21"/>
                      <w:highlight w:val="none"/>
                      <w:lang w:val="en-US" w:eastAsia="zh-CN"/>
                    </w:rPr>
                    <w:t>各</w:t>
                  </w:r>
                  <w:r>
                    <w:rPr>
                      <w:rFonts w:hint="eastAsia" w:ascii="Times New Roman" w:hAnsi="Times New Roman" w:eastAsia="宋体" w:cs="Times New Roman"/>
                      <w:b w:val="0"/>
                      <w:bCs w:val="0"/>
                      <w:color w:val="auto"/>
                      <w:sz w:val="21"/>
                      <w:szCs w:val="21"/>
                      <w:highlight w:val="none"/>
                      <w:lang w:val="en-US" w:eastAsia="zh-CN"/>
                    </w:rPr>
                    <w:t>生产线</w:t>
                  </w:r>
                  <w:r>
                    <w:rPr>
                      <w:rFonts w:hint="eastAsia" w:cs="Times New Roman"/>
                      <w:b w:val="0"/>
                      <w:bCs w:val="0"/>
                      <w:color w:val="auto"/>
                      <w:sz w:val="21"/>
                      <w:szCs w:val="21"/>
                      <w:highlight w:val="none"/>
                      <w:lang w:val="en-US" w:eastAsia="zh-CN"/>
                    </w:rPr>
                    <w:t>均</w:t>
                  </w:r>
                  <w:r>
                    <w:rPr>
                      <w:rFonts w:hint="eastAsia" w:ascii="Times New Roman" w:hAnsi="Times New Roman" w:eastAsia="宋体" w:cs="Times New Roman"/>
                      <w:b w:val="0"/>
                      <w:bCs w:val="0"/>
                      <w:color w:val="auto"/>
                      <w:sz w:val="21"/>
                      <w:szCs w:val="21"/>
                      <w:highlight w:val="none"/>
                      <w:lang w:val="en-US" w:eastAsia="zh-CN"/>
                    </w:rPr>
                    <w:t xml:space="preserve">采用电能，为清洁能源。 </w:t>
                  </w:r>
                </w:p>
                <w:p w14:paraId="13FDB52F">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 xml:space="preserve">不属于高耗能高排放项目。 </w:t>
                  </w:r>
                </w:p>
                <w:p w14:paraId="54D43A27">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（四）项目企业不属于重点企业，建议后期按要求开展清洁生产工作。</w:t>
                  </w:r>
                </w:p>
                <w:p w14:paraId="7D471A91">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（五）项目所在区域不涉及生态保护红线</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项目属于</w:t>
                  </w:r>
                  <w:r>
                    <w:rPr>
                      <w:rFonts w:hint="default" w:ascii="Times New Roman" w:hAnsi="Times New Roman" w:eastAsia="宋体" w:cs="Times New Roman"/>
                      <w:color w:val="auto"/>
                      <w:kern w:val="2"/>
                      <w:sz w:val="21"/>
                      <w:szCs w:val="21"/>
                      <w:highlight w:val="none"/>
                    </w:rPr>
                    <w:t>易门县产业园区重点管控单元</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根据对照分析，项目</w:t>
                  </w:r>
                  <w:r>
                    <w:rPr>
                      <w:rFonts w:hint="eastAsia" w:ascii="Times New Roman" w:hAnsi="Times New Roman" w:eastAsia="宋体" w:cs="Times New Roman"/>
                      <w:b w:val="0"/>
                      <w:bCs w:val="0"/>
                      <w:color w:val="auto"/>
                      <w:sz w:val="21"/>
                      <w:szCs w:val="21"/>
                      <w:highlight w:val="none"/>
                      <w:lang w:val="en-US" w:eastAsia="zh-CN"/>
                    </w:rPr>
                    <w:t>符合《玉溪市生态环境局关于印发玉溪市生态环境分区管控动态更新调整方案</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2023</w:t>
                  </w:r>
                  <w:r>
                    <w:rPr>
                      <w:rFonts w:hint="eastAsia" w:ascii="Times New Roman" w:hAnsi="Times New Roman" w:eastAsia="宋体" w:cs="Times New Roman"/>
                      <w:b w:val="0"/>
                      <w:bCs w:val="0"/>
                      <w:color w:val="auto"/>
                      <w:sz w:val="21"/>
                      <w:szCs w:val="21"/>
                      <w:highlight w:val="none"/>
                      <w:lang w:val="en-US" w:eastAsia="zh-CN"/>
                    </w:rPr>
                    <w:t>年</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的通知》</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玉市环〔</w:t>
                  </w:r>
                  <w:r>
                    <w:rPr>
                      <w:rFonts w:hint="default" w:ascii="Times New Roman" w:hAnsi="Times New Roman" w:eastAsia="宋体" w:cs="Times New Roman"/>
                      <w:b w:val="0"/>
                      <w:bCs w:val="0"/>
                      <w:color w:val="auto"/>
                      <w:sz w:val="21"/>
                      <w:szCs w:val="21"/>
                      <w:highlight w:val="none"/>
                      <w:lang w:val="en-US" w:eastAsia="zh-CN"/>
                    </w:rPr>
                    <w:t>2024</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40</w:t>
                  </w:r>
                  <w:r>
                    <w:rPr>
                      <w:rFonts w:hint="eastAsia" w:ascii="Times New Roman" w:hAnsi="Times New Roman" w:eastAsia="宋体" w:cs="Times New Roman"/>
                      <w:b w:val="0"/>
                      <w:bCs w:val="0"/>
                      <w:color w:val="auto"/>
                      <w:sz w:val="21"/>
                      <w:szCs w:val="21"/>
                      <w:highlight w:val="none"/>
                      <w:lang w:val="en-US" w:eastAsia="zh-CN"/>
                    </w:rPr>
                    <w:t>号</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管控要求；</w:t>
                  </w:r>
                </w:p>
                <w:p w14:paraId="51774E94">
                  <w:pPr>
                    <w:pageBreakBefore w:val="0"/>
                    <w:widowControl w:val="0"/>
                    <w:wordWrap/>
                    <w:topLinePunct w:val="0"/>
                    <w:bidi w:val="0"/>
                    <w:jc w:val="both"/>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（六）生活垃圾分类收集后委托当地环卫站定期清运处置。</w:t>
                  </w:r>
                </w:p>
              </w:tc>
              <w:tc>
                <w:tcPr>
                  <w:tcW w:w="827" w:type="dxa"/>
                  <w:tcBorders>
                    <w:tl2br w:val="nil"/>
                    <w:tr2bl w:val="nil"/>
                  </w:tcBorders>
                  <w:shd w:val="clear" w:color="auto" w:fill="auto"/>
                  <w:tcMar>
                    <w:top w:w="0" w:type="dxa"/>
                    <w:left w:w="57" w:type="dxa"/>
                    <w:bottom w:w="0" w:type="dxa"/>
                    <w:right w:w="57" w:type="dxa"/>
                  </w:tcMar>
                  <w:vAlign w:val="center"/>
                </w:tcPr>
                <w:p w14:paraId="43E97B80">
                  <w:pPr>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1F6C2EA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340" w:hRule="atLeast"/>
                <w:jc w:val="center"/>
              </w:trPr>
              <w:tc>
                <w:tcPr>
                  <w:tcW w:w="4887" w:type="dxa"/>
                  <w:tcBorders>
                    <w:tl2br w:val="nil"/>
                    <w:tr2bl w:val="nil"/>
                  </w:tcBorders>
                  <w:tcMar>
                    <w:top w:w="0" w:type="dxa"/>
                    <w:left w:w="57" w:type="dxa"/>
                    <w:bottom w:w="0" w:type="dxa"/>
                    <w:right w:w="57" w:type="dxa"/>
                  </w:tcMar>
                  <w:vAlign w:val="center"/>
                </w:tcPr>
                <w:p w14:paraId="47112A2A">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三、深入打好蓝天保卫战</w:t>
                  </w:r>
                </w:p>
                <w:p w14:paraId="4B1F9BD5">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持续打好柴油货车污染治理攻坚战。深入开展清洁柴油车（机）行动，基本淘汰国三及以下排放标准汽车。加大清洁能源汽车推广力度，推动氢燃料电池汽车示范应用。以大宗货物运输“公转铁”、“公转水”为重点推进运输结构调整。</w:t>
                  </w:r>
                </w:p>
                <w:p w14:paraId="225762A4">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深入打好建筑施工工地扬尘污染治理攻坚战。全面推行绿色施工，落实施工工地“六个百分之百”工作要求，推动扬尘精细化管控。加强建筑渣土运输管理，严格落实密闭运输措施。强化施工、道路、堆场、裸露地面等扬尘管控。</w:t>
                  </w:r>
                </w:p>
                <w:p w14:paraId="7AE8B7B8">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推进挥发性有机物和氮氧化物协同治理。安全高效推进挥发性有机物综合治理，实施原辅材料和产品源头替代工程。推进氮氧化物排放深度治理，完成钢铁企业超低排放改造，实施煤电、水泥、焦化企业超低排放改造。</w:t>
                  </w:r>
                </w:p>
                <w:p w14:paraId="5A7069CB">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2706" w:type="dxa"/>
                  <w:tcBorders>
                    <w:tl2br w:val="nil"/>
                    <w:tr2bl w:val="nil"/>
                  </w:tcBorders>
                  <w:tcMar>
                    <w:top w:w="0" w:type="dxa"/>
                    <w:left w:w="57" w:type="dxa"/>
                    <w:bottom w:w="0" w:type="dxa"/>
                    <w:right w:w="57" w:type="dxa"/>
                  </w:tcMar>
                  <w:vAlign w:val="center"/>
                </w:tcPr>
                <w:p w14:paraId="6FF1E591">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（一）项目建成后原材料及产品建议运输车辆全部采用达到国六排放标准的汽车进行运输，必要时建议采用篷布遮盖运输。</w:t>
                  </w:r>
                </w:p>
                <w:p w14:paraId="692D1201">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（二）项目施工按</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六个百分之百</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要求进行落实。</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kern w:val="0"/>
                      <w:sz w:val="21"/>
                      <w:szCs w:val="21"/>
                    </w:rPr>
                    <w:t>施工过程中产生的扬尘主要是物料堆存及设备安装，产生量较少，经采取本环评提出的措施后对环境影响较小。</w:t>
                  </w:r>
                </w:p>
                <w:p w14:paraId="348AA502">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项目产生的</w:t>
                  </w:r>
                  <w:r>
                    <w:rPr>
                      <w:rFonts w:hint="eastAsia" w:ascii="Times New Roman" w:hAnsi="Times New Roman" w:eastAsia="宋体" w:cs="Times New Roman"/>
                      <w:b w:val="0"/>
                      <w:bCs w:val="0"/>
                      <w:color w:val="auto"/>
                      <w:sz w:val="21"/>
                      <w:szCs w:val="21"/>
                      <w:highlight w:val="none"/>
                      <w:lang w:val="en-US" w:eastAsia="zh-CN"/>
                    </w:rPr>
                    <w:t>挥发性有机物废气经</w:t>
                  </w:r>
                  <w:r>
                    <w:rPr>
                      <w:rFonts w:hint="eastAsia" w:cs="Times New Roman"/>
                      <w:b w:val="0"/>
                      <w:bCs w:val="0"/>
                      <w:color w:val="auto"/>
                      <w:sz w:val="21"/>
                      <w:szCs w:val="21"/>
                      <w:highlight w:val="none"/>
                      <w:lang w:val="en-US" w:eastAsia="zh-CN"/>
                    </w:rPr>
                    <w:t>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r>
                    <w:rPr>
                      <w:rFonts w:hint="eastAsia" w:ascii="Times New Roman" w:hAnsi="Times New Roman" w:eastAsia="宋体" w:cs="Times New Roman"/>
                      <w:b w:val="0"/>
                      <w:bCs w:val="0"/>
                      <w:color w:val="auto"/>
                      <w:sz w:val="21"/>
                      <w:szCs w:val="21"/>
                      <w:highlight w:val="none"/>
                      <w:lang w:val="en-US" w:eastAsia="zh-CN"/>
                    </w:rPr>
                    <w:t>。</w:t>
                  </w:r>
                </w:p>
                <w:p w14:paraId="3847B85D">
                  <w:pPr>
                    <w:pageBreakBefore w:val="0"/>
                    <w:widowControl w:val="0"/>
                    <w:wordWrap/>
                    <w:topLinePunct w:val="0"/>
                    <w:bidi w:val="0"/>
                    <w:jc w:val="both"/>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（四）经工程分析核算，项目废气经采取措施后可达标排放，污染物排放量较小，不会加重对区域环境空气质量的影响。厂界噪声满足《工业企业厂界环境噪声排放标准》（</w:t>
                  </w:r>
                  <w:r>
                    <w:rPr>
                      <w:rFonts w:hint="default" w:ascii="Times New Roman" w:hAnsi="Times New Roman" w:eastAsia="宋体" w:cs="Times New Roman"/>
                      <w:b w:val="0"/>
                      <w:bCs w:val="0"/>
                      <w:color w:val="auto"/>
                      <w:sz w:val="21"/>
                      <w:szCs w:val="21"/>
                      <w:highlight w:val="none"/>
                      <w:lang w:val="en-US" w:eastAsia="zh-CN"/>
                    </w:rPr>
                    <w:t>GB12348-2008</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类标准。</w:t>
                  </w:r>
                </w:p>
              </w:tc>
              <w:tc>
                <w:tcPr>
                  <w:tcW w:w="827" w:type="dxa"/>
                  <w:tcBorders>
                    <w:tl2br w:val="nil"/>
                    <w:tr2bl w:val="nil"/>
                  </w:tcBorders>
                  <w:shd w:val="clear" w:color="auto" w:fill="auto"/>
                  <w:tcMar>
                    <w:top w:w="0" w:type="dxa"/>
                    <w:left w:w="57" w:type="dxa"/>
                    <w:bottom w:w="0" w:type="dxa"/>
                    <w:right w:w="57" w:type="dxa"/>
                  </w:tcMar>
                  <w:vAlign w:val="center"/>
                </w:tcPr>
                <w:p w14:paraId="69A28816">
                  <w:pPr>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47AFB71">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340" w:hRule="atLeast"/>
                <w:jc w:val="center"/>
              </w:trPr>
              <w:tc>
                <w:tcPr>
                  <w:tcW w:w="4887" w:type="dxa"/>
                  <w:tcBorders>
                    <w:tl2br w:val="nil"/>
                    <w:tr2bl w:val="nil"/>
                  </w:tcBorders>
                  <w:tcMar>
                    <w:top w:w="0" w:type="dxa"/>
                    <w:left w:w="57" w:type="dxa"/>
                    <w:bottom w:w="0" w:type="dxa"/>
                    <w:right w:w="57" w:type="dxa"/>
                  </w:tcMar>
                  <w:vAlign w:val="center"/>
                </w:tcPr>
                <w:p w14:paraId="01491028">
                  <w:pPr>
                    <w:pageBreakBefore w:val="0"/>
                    <w:widowControl w:val="0"/>
                    <w:wordWrap/>
                    <w:topLinePunct w:val="0"/>
                    <w:bidi w:val="0"/>
                    <w:jc w:val="both"/>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四、深入打好碧水保卫战</w:t>
                  </w:r>
                </w:p>
                <w:p w14:paraId="2929E7FC">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深入打好长江流域（云南段）保护修复攻坚战。严控长江岸线开发利用，强化自然岸线保护，推进岸线生态修复，巩固小水电清理整改成果。实施好长江流域重点水域十年禁渔。持续开展工业园区污染治理、“三磷”行业整治等专项行动。</w:t>
                  </w:r>
                </w:p>
                <w:p w14:paraId="6359C4A9">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（三）深入打好珠江流域（云南段）保护治理攻坚战。强化南盘江总磷超标治理，持续推进重金属行业企业排查整治。加强南盘江干流及重要支流水生态环境综合治理。</w:t>
                  </w:r>
                </w:p>
              </w:tc>
              <w:tc>
                <w:tcPr>
                  <w:tcW w:w="2706" w:type="dxa"/>
                  <w:tcBorders>
                    <w:tl2br w:val="nil"/>
                    <w:tr2bl w:val="nil"/>
                  </w:tcBorders>
                  <w:tcMar>
                    <w:top w:w="0" w:type="dxa"/>
                    <w:left w:w="57" w:type="dxa"/>
                    <w:bottom w:w="0" w:type="dxa"/>
                    <w:right w:w="57" w:type="dxa"/>
                  </w:tcMar>
                  <w:vAlign w:val="center"/>
                </w:tcPr>
                <w:p w14:paraId="65F86CE7">
                  <w:pPr>
                    <w:pageBreakBefore w:val="0"/>
                    <w:widowControl w:val="0"/>
                    <w:wordWrap/>
                    <w:topLinePunct w:val="0"/>
                    <w:bidi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lang w:val="en-US" w:eastAsia="zh-CN"/>
                    </w:rPr>
                    <w:t>运营期实行</w:t>
                  </w:r>
                  <w:r>
                    <w:rPr>
                      <w:rFonts w:hint="default" w:ascii="Times New Roman" w:hAnsi="Times New Roman" w:eastAsia="宋体" w:cs="Times New Roman"/>
                      <w:b w:val="0"/>
                      <w:bCs w:val="0"/>
                      <w:color w:val="auto"/>
                      <w:sz w:val="21"/>
                      <w:szCs w:val="21"/>
                      <w:highlight w:val="none"/>
                      <w:lang w:val="en-US" w:eastAsia="zh-CN"/>
                    </w:rPr>
                    <w:t>雨污分流，厂区内路面雨水汇集后经雨水口排入厂区雨水管道，最终排入</w:t>
                  </w:r>
                  <w:r>
                    <w:rPr>
                      <w:rFonts w:hint="eastAsia" w:cs="Times New Roman"/>
                      <w:b w:val="0"/>
                      <w:bCs w:val="0"/>
                      <w:color w:val="auto"/>
                      <w:sz w:val="21"/>
                      <w:szCs w:val="21"/>
                      <w:highlight w:val="none"/>
                      <w:lang w:val="en-US" w:eastAsia="zh-CN"/>
                    </w:rPr>
                    <w:t>园区</w:t>
                  </w:r>
                  <w:r>
                    <w:rPr>
                      <w:rFonts w:hint="default" w:ascii="Times New Roman" w:hAnsi="Times New Roman" w:eastAsia="宋体" w:cs="Times New Roman"/>
                      <w:b w:val="0"/>
                      <w:bCs w:val="0"/>
                      <w:color w:val="auto"/>
                      <w:sz w:val="21"/>
                      <w:szCs w:val="21"/>
                      <w:highlight w:val="none"/>
                      <w:lang w:val="en-US" w:eastAsia="zh-CN"/>
                    </w:rPr>
                    <w:t>市政雨水管网</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p>
              </w:tc>
              <w:tc>
                <w:tcPr>
                  <w:tcW w:w="827" w:type="dxa"/>
                  <w:tcBorders>
                    <w:tl2br w:val="nil"/>
                    <w:tr2bl w:val="nil"/>
                  </w:tcBorders>
                  <w:shd w:val="clear" w:color="auto" w:fill="auto"/>
                  <w:tcMar>
                    <w:top w:w="0" w:type="dxa"/>
                    <w:left w:w="57" w:type="dxa"/>
                    <w:bottom w:w="0" w:type="dxa"/>
                    <w:right w:w="57" w:type="dxa"/>
                  </w:tcMar>
                  <w:vAlign w:val="center"/>
                </w:tcPr>
                <w:p w14:paraId="4C98CFD7">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AA8A52">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340" w:hRule="atLeast"/>
                <w:jc w:val="center"/>
              </w:trPr>
              <w:tc>
                <w:tcPr>
                  <w:tcW w:w="4887" w:type="dxa"/>
                  <w:tcBorders>
                    <w:tl2br w:val="nil"/>
                    <w:tr2bl w:val="nil"/>
                  </w:tcBorders>
                  <w:tcMar>
                    <w:top w:w="0" w:type="dxa"/>
                    <w:left w:w="57" w:type="dxa"/>
                    <w:bottom w:w="0" w:type="dxa"/>
                    <w:right w:w="57" w:type="dxa"/>
                  </w:tcMar>
                  <w:vAlign w:val="center"/>
                </w:tcPr>
                <w:p w14:paraId="5F0AE12B">
                  <w:pPr>
                    <w:pageBreakBefore w:val="0"/>
                    <w:widowControl w:val="0"/>
                    <w:wordWrap/>
                    <w:topLinePunct w:val="0"/>
                    <w:bidi w:val="0"/>
                    <w:jc w:val="both"/>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五、深入打好净土保卫战</w:t>
                  </w:r>
                </w:p>
                <w:p w14:paraId="0654F006">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（二）深入推进农用地土壤污染防治和安全利用。实施农用地土壤镉等重金属污染源头防治行动。开展耕地土壤污染成因排查和分析。落实农用地分类管理制度，强化受污染耕地安全利用和风险管控。</w:t>
                  </w:r>
                </w:p>
                <w:p w14:paraId="29D057F7">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（三）有效管控建设用地土壤污染风险。严格建设用地土壤污染风险管控和修复名录内地块的准入管理，从严管控农药、化工等行业的重度污染地块规划用途。</w:t>
                  </w:r>
                </w:p>
                <w:p w14:paraId="5593160E">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（五）加强新污染物治理。推进持久性有机污染物、内分泌干扰物等新污染物的调查监测和环境风险评估。建立健全有毒有害化学物质环境风险管理制度，强化源头准入，加强新污染物环境风险管控。</w:t>
                  </w:r>
                </w:p>
                <w:p w14:paraId="4E89DE98">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（六）进一步加强重金属污染防控。完善重金属污染物排放全口径清单动态调整机制。依法依规推动有色金属矿采选、冶炼行业落后和低效产能退出。深入开展重点行业重金属污染治理。</w:t>
                  </w:r>
                </w:p>
                <w:p w14:paraId="3C9A3823">
                  <w:pPr>
                    <w:pageBreakBefore w:val="0"/>
                    <w:widowControl w:val="0"/>
                    <w:wordWrap/>
                    <w:topLinePunct w:val="0"/>
                    <w:bidi w:val="0"/>
                    <w:jc w:val="both"/>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（七）强化地下水污染协同防治。持续开展地下水环境状况调查评估，加强地下水型饮用水水源补给区保护，开展地下水污染防治重点区划定及污染风险管控。</w:t>
                  </w:r>
                </w:p>
              </w:tc>
              <w:tc>
                <w:tcPr>
                  <w:tcW w:w="2706" w:type="dxa"/>
                  <w:tcBorders>
                    <w:tl2br w:val="nil"/>
                    <w:tr2bl w:val="nil"/>
                  </w:tcBorders>
                  <w:tcMar>
                    <w:top w:w="0" w:type="dxa"/>
                    <w:left w:w="57" w:type="dxa"/>
                    <w:bottom w:w="0" w:type="dxa"/>
                    <w:right w:w="57" w:type="dxa"/>
                  </w:tcMar>
                  <w:vAlign w:val="center"/>
                </w:tcPr>
                <w:p w14:paraId="7E91EBFD">
                  <w:pPr>
                    <w:keepNext w:val="0"/>
                    <w:keepLines w:val="0"/>
                    <w:widowControl/>
                    <w:suppressLineNumbers w:val="0"/>
                    <w:jc w:val="both"/>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highlight w:val="none"/>
                      <w:lang w:val="en-US" w:eastAsia="zh-CN"/>
                    </w:rPr>
                    <w:t>（二）~（三）、</w:t>
                  </w:r>
                  <w:r>
                    <w:rPr>
                      <w:rFonts w:hint="default" w:ascii="Times New Roman" w:hAnsi="Times New Roman" w:eastAsia="宋体" w:cs="Times New Roman"/>
                      <w:caps w:val="0"/>
                      <w:smallCaps w:val="0"/>
                      <w:color w:val="auto"/>
                      <w:sz w:val="21"/>
                      <w:szCs w:val="21"/>
                      <w:highlight w:val="none"/>
                      <w:lang w:val="en-US" w:eastAsia="zh-CN"/>
                    </w:rPr>
                    <w:t>本项目</w:t>
                  </w:r>
                  <w:r>
                    <w:rPr>
                      <w:rFonts w:hint="default" w:ascii="Times New Roman" w:hAnsi="Times New Roman" w:eastAsia="宋体" w:cs="Times New Roman"/>
                      <w:caps w:val="0"/>
                      <w:smallCaps w:val="0"/>
                      <w:color w:val="auto"/>
                      <w:sz w:val="21"/>
                      <w:szCs w:val="21"/>
                      <w:lang w:val="en-US" w:eastAsia="zh-CN"/>
                    </w:rPr>
                    <w:t>位于</w:t>
                  </w:r>
                  <w:r>
                    <w:rPr>
                      <w:rFonts w:hint="default" w:ascii="Times New Roman" w:hAnsi="Times New Roman" w:eastAsia="宋体" w:cs="Times New Roman"/>
                      <w:color w:val="auto"/>
                      <w:kern w:val="0"/>
                      <w:sz w:val="21"/>
                      <w:szCs w:val="21"/>
                      <w:highlight w:val="none"/>
                    </w:rPr>
                    <w:t>云南易门产业园区麦子田片区</w:t>
                  </w:r>
                  <w:r>
                    <w:rPr>
                      <w:rFonts w:hint="default" w:ascii="Times New Roman" w:hAnsi="Times New Roman" w:eastAsia="宋体" w:cs="Times New Roman"/>
                      <w:caps w:val="0"/>
                      <w:smallCaps w:val="0"/>
                      <w:color w:val="auto"/>
                      <w:sz w:val="21"/>
                      <w:szCs w:val="21"/>
                      <w:highlight w:val="none"/>
                      <w:lang w:val="en-US" w:eastAsia="zh-CN"/>
                    </w:rPr>
                    <w:t>，</w:t>
                  </w:r>
                  <w:r>
                    <w:rPr>
                      <w:rFonts w:hint="default" w:ascii="Times New Roman" w:hAnsi="Times New Roman" w:eastAsia="宋体" w:cs="Times New Roman"/>
                      <w:caps w:val="0"/>
                      <w:smallCaps w:val="0"/>
                      <w:color w:val="auto"/>
                      <w:sz w:val="21"/>
                      <w:szCs w:val="21"/>
                      <w:lang w:val="en-US" w:eastAsia="zh-CN"/>
                    </w:rPr>
                    <w:t>用地为二类工业用地，</w:t>
                  </w:r>
                  <w:r>
                    <w:rPr>
                      <w:rFonts w:hint="eastAsia" w:cs="Times New Roman"/>
                      <w:caps w:val="0"/>
                      <w:smallCaps w:val="0"/>
                      <w:color w:val="auto"/>
                      <w:sz w:val="21"/>
                      <w:szCs w:val="21"/>
                      <w:highlight w:val="none"/>
                      <w:lang w:val="en-US" w:eastAsia="zh-CN"/>
                    </w:rPr>
                    <w:t>目前已由园区进行场地平整，</w:t>
                  </w:r>
                  <w:r>
                    <w:rPr>
                      <w:rFonts w:hint="eastAsia" w:ascii="Times New Roman" w:hAnsi="Times New Roman" w:cs="Times New Roman"/>
                      <w:caps w:val="0"/>
                      <w:smallCaps w:val="0"/>
                      <w:color w:val="auto"/>
                      <w:kern w:val="0"/>
                      <w:sz w:val="21"/>
                      <w:szCs w:val="21"/>
                      <w:highlight w:val="none"/>
                      <w:lang w:val="en-US" w:eastAsia="zh-CN"/>
                    </w:rPr>
                    <w:t>项目用地性质</w:t>
                  </w:r>
                  <w:r>
                    <w:rPr>
                      <w:rFonts w:hint="default" w:ascii="Times New Roman" w:hAnsi="Times New Roman" w:cs="Times New Roman"/>
                      <w:caps w:val="0"/>
                      <w:smallCaps w:val="0"/>
                      <w:color w:val="auto"/>
                      <w:kern w:val="1"/>
                      <w:sz w:val="21"/>
                      <w:szCs w:val="21"/>
                      <w:highlight w:val="none"/>
                      <w:lang w:val="en-US" w:eastAsia="zh-CN"/>
                    </w:rPr>
                    <w:t>为工业用地</w:t>
                  </w:r>
                  <w:r>
                    <w:rPr>
                      <w:rFonts w:hint="eastAsia" w:ascii="Times New Roman" w:hAnsi="Times New Roman" w:cs="Times New Roman"/>
                      <w:caps w:val="0"/>
                      <w:smallCaps w:val="0"/>
                      <w:color w:val="auto"/>
                      <w:kern w:val="1"/>
                      <w:sz w:val="21"/>
                      <w:szCs w:val="21"/>
                      <w:highlight w:val="none"/>
                      <w:lang w:val="en-US" w:eastAsia="zh-CN"/>
                    </w:rPr>
                    <w:t>，不存在占用耕地或其他农用地的情况，不属于污染地块</w:t>
                  </w:r>
                  <w:r>
                    <w:rPr>
                      <w:rFonts w:hint="default" w:ascii="Times New Roman" w:hAnsi="Times New Roman" w:eastAsia="宋体" w:cs="Times New Roman"/>
                      <w:caps w:val="0"/>
                      <w:smallCaps w:val="0"/>
                      <w:color w:val="auto"/>
                      <w:sz w:val="21"/>
                      <w:szCs w:val="21"/>
                      <w:lang w:val="en-US" w:eastAsia="zh-CN"/>
                    </w:rPr>
                    <w:t>。</w:t>
                  </w:r>
                </w:p>
                <w:p w14:paraId="6B1F5ABE">
                  <w:pPr>
                    <w:keepNext w:val="0"/>
                    <w:keepLines w:val="0"/>
                    <w:widowControl/>
                    <w:suppressLineNumbers w:val="0"/>
                    <w:jc w:val="both"/>
                    <w:rPr>
                      <w:rFonts w:hint="eastAsia" w:ascii="Times New Roman" w:hAnsi="Times New Roman" w:cs="Times New Roman"/>
                      <w:caps w:val="0"/>
                      <w:smallCaps w:val="0"/>
                      <w:color w:val="auto"/>
                      <w:kern w:val="1"/>
                      <w:sz w:val="21"/>
                      <w:szCs w:val="21"/>
                      <w:highlight w:val="none"/>
                      <w:lang w:val="en-US" w:eastAsia="zh-CN"/>
                    </w:rPr>
                  </w:pPr>
                  <w:r>
                    <w:rPr>
                      <w:rFonts w:hint="eastAsia" w:ascii="Times New Roman" w:hAnsi="Times New Roman" w:cs="Times New Roman"/>
                      <w:caps w:val="0"/>
                      <w:smallCaps w:val="0"/>
                      <w:color w:val="auto"/>
                      <w:kern w:val="1"/>
                      <w:sz w:val="21"/>
                      <w:szCs w:val="21"/>
                      <w:highlight w:val="none"/>
                      <w:lang w:val="en-US" w:eastAsia="zh-CN"/>
                    </w:rPr>
                    <w:t>（五）</w:t>
                  </w:r>
                  <w:r>
                    <w:rPr>
                      <w:rFonts w:hint="eastAsia" w:ascii="Times New Roman" w:hAnsi="Times New Roman" w:eastAsia="宋体" w:cs="Times New Roman"/>
                      <w:b w:val="0"/>
                      <w:bCs w:val="0"/>
                      <w:color w:val="auto"/>
                      <w:sz w:val="21"/>
                      <w:szCs w:val="21"/>
                      <w:highlight w:val="none"/>
                      <w:lang w:val="en-US" w:eastAsia="zh-CN"/>
                    </w:rPr>
                    <w:t>经工程分析核算，项目废气经采取措施后可达标排放，污染物排放量较小，不会加重对区域环境空气质量的影响。</w:t>
                  </w:r>
                </w:p>
                <w:p w14:paraId="10B15B65">
                  <w:pPr>
                    <w:keepNext w:val="0"/>
                    <w:keepLines w:val="0"/>
                    <w:widowControl/>
                    <w:suppressLineNumbers w:val="0"/>
                    <w:jc w:val="both"/>
                    <w:rPr>
                      <w:rFonts w:hint="eastAsia" w:ascii="Times New Roman" w:hAnsi="Times New Roman" w:cs="Times New Roman"/>
                      <w:caps w:val="0"/>
                      <w:smallCaps w:val="0"/>
                      <w:color w:val="auto"/>
                      <w:kern w:val="1"/>
                      <w:sz w:val="21"/>
                      <w:szCs w:val="21"/>
                      <w:highlight w:val="none"/>
                      <w:lang w:val="en-US" w:eastAsia="zh-CN"/>
                    </w:rPr>
                  </w:pPr>
                  <w:r>
                    <w:rPr>
                      <w:rFonts w:hint="eastAsia" w:ascii="Times New Roman" w:hAnsi="Times New Roman" w:cs="Times New Roman"/>
                      <w:caps w:val="0"/>
                      <w:smallCaps w:val="0"/>
                      <w:color w:val="auto"/>
                      <w:kern w:val="1"/>
                      <w:sz w:val="21"/>
                      <w:szCs w:val="21"/>
                      <w:highlight w:val="none"/>
                      <w:lang w:val="en-US" w:eastAsia="zh-CN"/>
                    </w:rPr>
                    <w:t>（六）项目不涉及</w:t>
                  </w:r>
                  <w:r>
                    <w:rPr>
                      <w:rFonts w:hint="eastAsia" w:cs="Times New Roman"/>
                      <w:caps w:val="0"/>
                      <w:smallCaps w:val="0"/>
                      <w:color w:val="auto"/>
                      <w:kern w:val="1"/>
                      <w:sz w:val="21"/>
                      <w:szCs w:val="21"/>
                      <w:highlight w:val="none"/>
                      <w:lang w:val="en-US" w:eastAsia="zh-CN"/>
                    </w:rPr>
                    <w:t>电镀等工序，项目不涉及</w:t>
                  </w:r>
                  <w:r>
                    <w:rPr>
                      <w:rFonts w:hint="eastAsia" w:ascii="Times New Roman" w:hAnsi="Times New Roman" w:cs="Times New Roman"/>
                      <w:caps w:val="0"/>
                      <w:smallCaps w:val="0"/>
                      <w:color w:val="auto"/>
                      <w:kern w:val="1"/>
                      <w:sz w:val="21"/>
                      <w:szCs w:val="21"/>
                      <w:highlight w:val="none"/>
                      <w:lang w:val="en-US" w:eastAsia="zh-CN"/>
                    </w:rPr>
                    <w:t>重金属</w:t>
                  </w:r>
                  <w:r>
                    <w:rPr>
                      <w:rFonts w:hint="eastAsia" w:cs="Times New Roman"/>
                      <w:caps w:val="0"/>
                      <w:smallCaps w:val="0"/>
                      <w:color w:val="auto"/>
                      <w:kern w:val="1"/>
                      <w:sz w:val="21"/>
                      <w:szCs w:val="21"/>
                      <w:highlight w:val="none"/>
                      <w:lang w:val="en-US" w:eastAsia="zh-CN"/>
                    </w:rPr>
                    <w:t>排放，用地不涉及</w:t>
                  </w:r>
                  <w:r>
                    <w:rPr>
                      <w:rFonts w:hint="eastAsia" w:ascii="Times New Roman" w:hAnsi="Times New Roman" w:cs="Times New Roman"/>
                      <w:caps w:val="0"/>
                      <w:smallCaps w:val="0"/>
                      <w:color w:val="auto"/>
                      <w:kern w:val="1"/>
                      <w:sz w:val="21"/>
                      <w:szCs w:val="21"/>
                      <w:highlight w:val="none"/>
                      <w:lang w:val="en-US" w:eastAsia="zh-CN"/>
                    </w:rPr>
                    <w:t>重金属污染。</w:t>
                  </w:r>
                </w:p>
                <w:p w14:paraId="0070BBD5">
                  <w:pPr>
                    <w:keepNext w:val="0"/>
                    <w:keepLines w:val="0"/>
                    <w:widowControl/>
                    <w:suppressLineNumbers w:val="0"/>
                    <w:jc w:val="both"/>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caps w:val="0"/>
                      <w:smallCaps w:val="0"/>
                      <w:color w:val="auto"/>
                      <w:kern w:val="1"/>
                      <w:sz w:val="21"/>
                      <w:szCs w:val="21"/>
                      <w:highlight w:val="none"/>
                      <w:lang w:val="en-US" w:eastAsia="zh-CN"/>
                    </w:rPr>
                    <w:t>（七）本次评价提出厂区按要求进行分区防渗，防止废水渗漏对周边地下水及土壤造成污染。</w:t>
                  </w:r>
                </w:p>
              </w:tc>
              <w:tc>
                <w:tcPr>
                  <w:tcW w:w="827" w:type="dxa"/>
                  <w:tcBorders>
                    <w:tl2br w:val="nil"/>
                    <w:tr2bl w:val="nil"/>
                  </w:tcBorders>
                  <w:shd w:val="clear" w:color="auto" w:fill="auto"/>
                  <w:tcMar>
                    <w:top w:w="0" w:type="dxa"/>
                    <w:left w:w="57" w:type="dxa"/>
                    <w:bottom w:w="0" w:type="dxa"/>
                    <w:right w:w="57" w:type="dxa"/>
                  </w:tcMar>
                  <w:vAlign w:val="center"/>
                </w:tcPr>
                <w:p w14:paraId="50258431">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FEC70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综上</w:t>
            </w:r>
            <w:r>
              <w:rPr>
                <w:rFonts w:hint="default" w:ascii="Times New Roman" w:hAnsi="Times New Roman" w:eastAsia="宋体" w:cs="Times New Roman"/>
                <w:caps w:val="0"/>
                <w:smallCaps w:val="0"/>
                <w:color w:val="auto"/>
                <w:sz w:val="24"/>
                <w:szCs w:val="24"/>
                <w:highlight w:val="none"/>
                <w:lang w:val="en-US" w:eastAsia="zh-CN"/>
              </w:rPr>
              <w:t>，本项目建设符合</w:t>
            </w:r>
            <w:r>
              <w:rPr>
                <w:rFonts w:hint="eastAsia" w:ascii="Times New Roman" w:hAnsi="Times New Roman" w:eastAsia="宋体" w:cs="Times New Roman"/>
                <w:caps w:val="0"/>
                <w:smallCaps w:val="0"/>
                <w:color w:val="auto"/>
                <w:sz w:val="24"/>
                <w:szCs w:val="24"/>
                <w:highlight w:val="none"/>
                <w:lang w:val="en-US" w:eastAsia="zh-CN"/>
              </w:rPr>
              <w:t>《云南省关于深入打好污染防治攻坚战实施方案》</w:t>
            </w:r>
            <w:r>
              <w:rPr>
                <w:rFonts w:hint="default" w:ascii="Times New Roman" w:hAnsi="Times New Roman" w:eastAsia="宋体" w:cs="Times New Roman"/>
                <w:caps w:val="0"/>
                <w:smallCaps w:val="0"/>
                <w:color w:val="auto"/>
                <w:sz w:val="24"/>
                <w:szCs w:val="24"/>
                <w:highlight w:val="none"/>
                <w:lang w:val="en-US" w:eastAsia="zh-CN"/>
              </w:rPr>
              <w:t>中相关规定</w:t>
            </w:r>
            <w:r>
              <w:rPr>
                <w:rFonts w:hint="eastAsia" w:ascii="Times New Roman" w:hAnsi="Times New Roman" w:eastAsia="宋体" w:cs="Times New Roman"/>
                <w:caps w:val="0"/>
                <w:smallCaps w:val="0"/>
                <w:color w:val="auto"/>
                <w:sz w:val="24"/>
                <w:szCs w:val="24"/>
                <w:highlight w:val="none"/>
                <w:lang w:val="en-US" w:eastAsia="zh-CN"/>
              </w:rPr>
              <w:t>。</w:t>
            </w:r>
          </w:p>
          <w:p w14:paraId="03EE7299">
            <w:pPr>
              <w:topLinePunct w:val="0"/>
              <w:autoSpaceDE w:val="0"/>
              <w:autoSpaceDN w:val="0"/>
              <w:bidi w:val="0"/>
              <w:adjustRightInd w:val="0"/>
              <w:snapToGrid w:val="0"/>
              <w:spacing w:after="0" w:afterLines="0" w:line="360" w:lineRule="auto"/>
              <w:ind w:right="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kern w:val="0"/>
                <w:sz w:val="24"/>
                <w:szCs w:val="24"/>
                <w:lang w:val="en-US" w:eastAsia="zh-CN" w:bidi="ar-SA"/>
              </w:rPr>
              <w:t>12.</w:t>
            </w:r>
            <w:r>
              <w:rPr>
                <w:rFonts w:hint="default" w:ascii="Times New Roman" w:hAnsi="Times New Roman" w:eastAsia="宋体" w:cs="Times New Roman"/>
                <w:b/>
                <w:bCs/>
                <w:color w:val="auto"/>
                <w:sz w:val="24"/>
                <w:szCs w:val="24"/>
              </w:rPr>
              <w:t>与《</w:t>
            </w:r>
            <w:r>
              <w:rPr>
                <w:rFonts w:hint="eastAsia" w:ascii="Times New Roman" w:hAnsi="Times New Roman" w:cs="Times New Roman"/>
                <w:b/>
                <w:bCs/>
                <w:color w:val="auto"/>
                <w:sz w:val="24"/>
                <w:szCs w:val="24"/>
                <w:lang w:val="en-US" w:eastAsia="zh-CN"/>
              </w:rPr>
              <w:t>玉溪市人民政府</w:t>
            </w:r>
            <w:r>
              <w:rPr>
                <w:rFonts w:hint="default" w:ascii="Times New Roman" w:hAnsi="Times New Roman" w:eastAsia="宋体" w:cs="Times New Roman"/>
                <w:b/>
                <w:bCs/>
                <w:color w:val="auto"/>
                <w:sz w:val="24"/>
                <w:szCs w:val="24"/>
              </w:rPr>
              <w:t>关</w:t>
            </w:r>
            <w:r>
              <w:rPr>
                <w:rFonts w:hint="default" w:ascii="Times New Roman" w:hAnsi="Times New Roman" w:eastAsia="宋体" w:cs="Times New Roman"/>
                <w:b/>
                <w:color w:val="auto"/>
                <w:sz w:val="24"/>
                <w:szCs w:val="24"/>
              </w:rPr>
              <w:t>于深入打好污染防治攻坚战的实施</w:t>
            </w:r>
            <w:r>
              <w:rPr>
                <w:rFonts w:hint="eastAsia" w:ascii="Times New Roman" w:hAnsi="Times New Roman" w:cs="Times New Roman"/>
                <w:b/>
                <w:color w:val="auto"/>
                <w:sz w:val="24"/>
                <w:szCs w:val="24"/>
                <w:lang w:val="en-US" w:eastAsia="zh-CN"/>
              </w:rPr>
              <w:t>方案</w:t>
            </w:r>
            <w:r>
              <w:rPr>
                <w:rFonts w:hint="default" w:ascii="Times New Roman" w:hAnsi="Times New Roman" w:eastAsia="宋体" w:cs="Times New Roman"/>
                <w:b/>
                <w:color w:val="auto"/>
                <w:sz w:val="24"/>
                <w:szCs w:val="24"/>
              </w:rPr>
              <w:t>》相符性</w:t>
            </w:r>
          </w:p>
          <w:p w14:paraId="4E681665">
            <w:pPr>
              <w:pStyle w:val="59"/>
              <w:topLinePunct w:val="0"/>
              <w:bidi w:val="0"/>
              <w:adjustRightInd w:val="0"/>
              <w:snapToGrid w:val="0"/>
              <w:spacing w:after="0" w:afterLines="0" w:line="360" w:lineRule="auto"/>
              <w:ind w:left="0" w:leftChars="0" w:right="0" w:firstLine="48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项目与《</w:t>
            </w:r>
            <w:r>
              <w:rPr>
                <w:color w:val="auto"/>
                <w:spacing w:val="-2"/>
                <w:sz w:val="24"/>
                <w:szCs w:val="24"/>
              </w:rPr>
              <w:t>玉溪市</w:t>
            </w:r>
            <w:r>
              <w:rPr>
                <w:rFonts w:hint="eastAsia"/>
                <w:color w:val="auto"/>
                <w:spacing w:val="-2"/>
                <w:sz w:val="24"/>
                <w:szCs w:val="24"/>
                <w:lang w:val="en-US" w:eastAsia="zh-CN"/>
              </w:rPr>
              <w:t>人民政府关于深入打好污染防治攻坚战的实施方案</w:t>
            </w:r>
            <w:r>
              <w:rPr>
                <w:rFonts w:hint="eastAsia" w:ascii="Times New Roman" w:hAnsi="Times New Roman" w:eastAsia="宋体" w:cs="Times New Roman"/>
                <w:color w:val="auto"/>
                <w:sz w:val="24"/>
                <w:szCs w:val="24"/>
                <w:lang w:val="en-US" w:eastAsia="zh-CN"/>
              </w:rPr>
              <w:t>》的相符性分析具体如下：</w:t>
            </w:r>
          </w:p>
          <w:p w14:paraId="51F30808">
            <w:pPr>
              <w:pStyle w:val="76"/>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eastAsia" w:cs="Times New Roman"/>
                <w:color w:val="auto"/>
                <w:lang w:val="en-US" w:eastAsia="zh-CN"/>
              </w:rPr>
              <w:t xml:space="preserve">4 </w:t>
            </w:r>
            <w:r>
              <w:rPr>
                <w:rFonts w:hint="default" w:ascii="Times New Roman" w:hAnsi="Times New Roman" w:eastAsia="宋体" w:cs="Times New Roman"/>
                <w:color w:val="auto"/>
              </w:rPr>
              <w:t>与《玉溪市</w:t>
            </w:r>
            <w:r>
              <w:rPr>
                <w:rFonts w:hint="eastAsia" w:ascii="Times New Roman" w:hAnsi="Times New Roman" w:eastAsia="宋体" w:cs="Times New Roman"/>
                <w:color w:val="auto"/>
                <w:lang w:val="en-US" w:eastAsia="zh-CN"/>
              </w:rPr>
              <w:t>人民政府关于深入打好污染防治攻坚战的实施方案</w:t>
            </w:r>
            <w:r>
              <w:rPr>
                <w:rFonts w:hint="default" w:ascii="Times New Roman" w:hAnsi="Times New Roman" w:eastAsia="宋体" w:cs="Times New Roman"/>
                <w:color w:val="auto"/>
              </w:rPr>
              <w:t>》相符性分析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623"/>
              <w:gridCol w:w="2582"/>
              <w:gridCol w:w="731"/>
            </w:tblGrid>
            <w:tr w14:paraId="7FB0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noWrap w:val="0"/>
                  <w:vAlign w:val="center"/>
                </w:tcPr>
                <w:p w14:paraId="67ED4633">
                  <w:pPr>
                    <w:pStyle w:val="48"/>
                    <w:spacing w:befor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主要目标</w:t>
                  </w:r>
                </w:p>
              </w:tc>
              <w:tc>
                <w:tcPr>
                  <w:tcW w:w="1981" w:type="pct"/>
                  <w:noWrap w:val="0"/>
                  <w:vAlign w:val="center"/>
                </w:tcPr>
                <w:p w14:paraId="3C426E85">
                  <w:pPr>
                    <w:pStyle w:val="48"/>
                    <w:spacing w:befor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方案要求</w:t>
                  </w:r>
                </w:p>
              </w:tc>
              <w:tc>
                <w:tcPr>
                  <w:tcW w:w="1950" w:type="pct"/>
                  <w:noWrap w:val="0"/>
                  <w:vAlign w:val="center"/>
                </w:tcPr>
                <w:p w14:paraId="24F4054B">
                  <w:pPr>
                    <w:pStyle w:val="48"/>
                    <w:spacing w:befor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本项目情况</w:t>
                  </w:r>
                </w:p>
              </w:tc>
              <w:tc>
                <w:tcPr>
                  <w:tcW w:w="552" w:type="pct"/>
                  <w:noWrap w:val="0"/>
                  <w:vAlign w:val="center"/>
                </w:tcPr>
                <w:p w14:paraId="1B2A61A0">
                  <w:pPr>
                    <w:pStyle w:val="48"/>
                    <w:spacing w:befor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195D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noWrap w:val="0"/>
                  <w:vAlign w:val="center"/>
                </w:tcPr>
                <w:p w14:paraId="08D203CB">
                  <w:pPr>
                    <w:pStyle w:val="48"/>
                    <w:spacing w:befor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二、加快推动绿色低碳发展</w:t>
                  </w:r>
                </w:p>
              </w:tc>
              <w:tc>
                <w:tcPr>
                  <w:tcW w:w="1981" w:type="pct"/>
                  <w:noWrap w:val="0"/>
                  <w:vAlign w:val="center"/>
                </w:tcPr>
                <w:p w14:paraId="7B9CE9B1">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w:t>
                  </w:r>
                  <w:r>
                    <w:rPr>
                      <w:rFonts w:hint="default" w:ascii="Times New Roman" w:hAnsi="Times New Roman" w:eastAsia="宋体" w:cs="Times New Roman"/>
                      <w:color w:val="auto"/>
                      <w:sz w:val="21"/>
                      <w:szCs w:val="21"/>
                      <w:shd w:val="clear" w:color="auto" w:fill="FFFFFF"/>
                    </w:rPr>
                    <w:t>坚决遏制高耗能高排放项目盲目发展。严把高耗能高排放项目准入关口，落实污染物削减要求。深入推进产业补链延链强链、绿色低碳转型。严格落实产能置换和控制政策，推动钢铁等行业高质量发展。</w:t>
                  </w:r>
                </w:p>
              </w:tc>
              <w:tc>
                <w:tcPr>
                  <w:tcW w:w="1950" w:type="pct"/>
                  <w:noWrap w:val="0"/>
                  <w:vAlign w:val="center"/>
                </w:tcPr>
                <w:p w14:paraId="253477BA">
                  <w:pPr>
                    <w:topLinePunct w:val="0"/>
                    <w:bidi w:val="0"/>
                    <w:adjustRightInd w:val="0"/>
                    <w:snapToGrid w:val="0"/>
                    <w:spacing w:after="0" w:afterLines="0"/>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rPr>
                    <w:t>不属于高耗能高排放项目。</w:t>
                  </w:r>
                </w:p>
              </w:tc>
              <w:tc>
                <w:tcPr>
                  <w:tcW w:w="552" w:type="pct"/>
                  <w:noWrap w:val="0"/>
                  <w:vAlign w:val="center"/>
                </w:tcPr>
                <w:p w14:paraId="0572E0BC">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C56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55FC6CFA">
                  <w:pPr>
                    <w:pStyle w:val="48"/>
                    <w:spacing w:before="0"/>
                    <w:jc w:val="both"/>
                    <w:rPr>
                      <w:rFonts w:hint="default" w:ascii="Times New Roman" w:hAnsi="Times New Roman" w:eastAsia="宋体" w:cs="Times New Roman"/>
                      <w:b/>
                      <w:bCs/>
                      <w:color w:val="auto"/>
                      <w:sz w:val="21"/>
                      <w:szCs w:val="21"/>
                      <w:highlight w:val="none"/>
                      <w:lang w:val="en-US" w:eastAsia="zh-CN"/>
                    </w:rPr>
                  </w:pPr>
                </w:p>
              </w:tc>
              <w:tc>
                <w:tcPr>
                  <w:tcW w:w="1981" w:type="pct"/>
                  <w:noWrap w:val="0"/>
                  <w:vAlign w:val="center"/>
                </w:tcPr>
                <w:p w14:paraId="3F066C0A">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w:t>
                  </w:r>
                  <w:r>
                    <w:rPr>
                      <w:rFonts w:hint="default" w:ascii="Times New Roman" w:hAnsi="Times New Roman" w:eastAsia="宋体" w:cs="Times New Roman"/>
                      <w:color w:val="auto"/>
                      <w:sz w:val="21"/>
                      <w:szCs w:val="21"/>
                      <w:shd w:val="clear" w:color="auto" w:fill="FFFFFF"/>
                    </w:rPr>
                    <w:t>加强生态环境分区管控。优化“三线一单”生态环境分区管控格局，细化落实分区管控要求，加强成果运用。严格规划环评审查和项目环评准入，健全以环评制度为主体的源头预防体系。</w:t>
                  </w:r>
                </w:p>
              </w:tc>
              <w:tc>
                <w:tcPr>
                  <w:tcW w:w="1950" w:type="pct"/>
                  <w:noWrap w:val="0"/>
                  <w:vAlign w:val="center"/>
                </w:tcPr>
                <w:p w14:paraId="184A773E">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eastAsia" w:ascii="Times New Roman" w:hAnsi="Times New Roman" w:cs="Times New Roman" w:eastAsiaTheme="minorEastAsia"/>
                      <w:color w:val="auto"/>
                      <w:kern w:val="0"/>
                      <w:sz w:val="21"/>
                      <w:szCs w:val="21"/>
                      <w:lang w:val="en-US" w:eastAsia="zh-CN"/>
                    </w:rPr>
                    <w:t>项目位于</w:t>
                  </w:r>
                  <w:r>
                    <w:rPr>
                      <w:rFonts w:hint="default" w:ascii="Times New Roman" w:hAnsi="Times New Roman" w:eastAsia="宋体" w:cs="Times New Roman"/>
                      <w:color w:val="auto"/>
                      <w:kern w:val="0"/>
                      <w:sz w:val="21"/>
                      <w:szCs w:val="21"/>
                      <w:highlight w:val="none"/>
                    </w:rPr>
                    <w:t>云南易门产业园区麦子田片区</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根据分析，本项目符合</w:t>
                  </w:r>
                  <w:r>
                    <w:rPr>
                      <w:rFonts w:hint="default" w:ascii="Times New Roman" w:hAnsi="Times New Roman" w:eastAsia="宋体" w:cs="Times New Roman"/>
                      <w:color w:val="auto"/>
                      <w:sz w:val="21"/>
                      <w:szCs w:val="21"/>
                      <w:shd w:val="clear" w:color="auto" w:fill="FFFFFF"/>
                    </w:rPr>
                    <w:t>《玉溪市“三线一单”生态环境分区管控实施意见》及《玉溪市生态环境分区管控动态更新调整方案（2023年）》生态环境分区管控要求。</w:t>
                  </w:r>
                </w:p>
              </w:tc>
              <w:tc>
                <w:tcPr>
                  <w:tcW w:w="552" w:type="pct"/>
                  <w:noWrap w:val="0"/>
                  <w:vAlign w:val="center"/>
                </w:tcPr>
                <w:p w14:paraId="136122AA">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3F3B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noWrap w:val="0"/>
                  <w:vAlign w:val="center"/>
                </w:tcPr>
                <w:p w14:paraId="2537C088">
                  <w:pPr>
                    <w:pStyle w:val="48"/>
                    <w:spacing w:befor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三、深入打好蓝天保卫战</w:t>
                  </w:r>
                </w:p>
              </w:tc>
              <w:tc>
                <w:tcPr>
                  <w:tcW w:w="1981" w:type="pct"/>
                  <w:noWrap w:val="0"/>
                  <w:vAlign w:val="center"/>
                </w:tcPr>
                <w:p w14:paraId="12531783">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shd w:val="clear" w:color="auto" w:fill="FFFFFF"/>
                    </w:rPr>
                    <w:t>（七）持续打好柴油货车污染治理攻坚战。深入开展清洁柴油车（机）、清洁油品、车用尿素等专项行动。基本淘汰国三及以下排放标准汽车，有序推广清洁能源汽车。强化非道路移动源治理和排放控制区管控。以大宗货物运输“公转铁”为重点，推进运输结构调整。</w:t>
                  </w:r>
                </w:p>
              </w:tc>
              <w:tc>
                <w:tcPr>
                  <w:tcW w:w="1950" w:type="pct"/>
                  <w:noWrap w:val="0"/>
                  <w:vAlign w:val="center"/>
                </w:tcPr>
                <w:p w14:paraId="007F7F81">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eastAsia" w:ascii="Times New Roman" w:hAnsi="Times New Roman" w:eastAsia="宋体" w:cs="Times New Roman"/>
                      <w:b w:val="0"/>
                      <w:bCs w:val="0"/>
                      <w:color w:val="auto"/>
                      <w:sz w:val="21"/>
                      <w:szCs w:val="21"/>
                      <w:highlight w:val="none"/>
                      <w:lang w:val="en-US" w:eastAsia="zh-CN"/>
                    </w:rPr>
                    <w:t>项目建成后原材料及产品建议运输车辆全部采用达到国六排放标准的汽车进行运输，</w:t>
                  </w:r>
                  <w:r>
                    <w:rPr>
                      <w:rFonts w:hint="eastAsia" w:ascii="Times New Roman" w:hAnsi="Times New Roman" w:cs="Times New Roman"/>
                      <w:b w:val="0"/>
                      <w:bCs w:val="0"/>
                      <w:color w:val="auto"/>
                      <w:kern w:val="0"/>
                      <w:sz w:val="21"/>
                      <w:szCs w:val="21"/>
                      <w:highlight w:val="none"/>
                      <w:lang w:val="en-US" w:eastAsia="zh-CN"/>
                    </w:rPr>
                    <w:t>有条件的建议选用</w:t>
                  </w:r>
                  <w:r>
                    <w:rPr>
                      <w:rFonts w:hint="default" w:ascii="Times New Roman" w:hAnsi="Times New Roman" w:eastAsia="宋体" w:cs="Times New Roman"/>
                      <w:b w:val="0"/>
                      <w:bCs w:val="0"/>
                      <w:color w:val="auto"/>
                      <w:kern w:val="0"/>
                      <w:sz w:val="21"/>
                      <w:szCs w:val="21"/>
                      <w:highlight w:val="none"/>
                    </w:rPr>
                    <w:t>达标的</w:t>
                  </w:r>
                  <w:r>
                    <w:rPr>
                      <w:rFonts w:hint="eastAsia" w:ascii="Times New Roman" w:hAnsi="Times New Roman" w:cs="Times New Roman"/>
                      <w:b w:val="0"/>
                      <w:bCs w:val="0"/>
                      <w:color w:val="auto"/>
                      <w:kern w:val="0"/>
                      <w:sz w:val="21"/>
                      <w:szCs w:val="21"/>
                      <w:highlight w:val="none"/>
                      <w:lang w:val="en-US" w:eastAsia="zh-CN"/>
                    </w:rPr>
                    <w:t>清洁</w:t>
                  </w:r>
                  <w:r>
                    <w:rPr>
                      <w:rFonts w:hint="default" w:ascii="Times New Roman" w:hAnsi="Times New Roman" w:eastAsia="宋体" w:cs="Times New Roman"/>
                      <w:b w:val="0"/>
                      <w:bCs w:val="0"/>
                      <w:color w:val="auto"/>
                      <w:kern w:val="0"/>
                      <w:sz w:val="21"/>
                      <w:szCs w:val="21"/>
                      <w:highlight w:val="none"/>
                    </w:rPr>
                    <w:t>柴油货运车</w:t>
                  </w:r>
                  <w:r>
                    <w:rPr>
                      <w:rFonts w:hint="eastAsia" w:ascii="Times New Roman" w:hAnsi="Times New Roman" w:cs="Times New Roman"/>
                      <w:b w:val="0"/>
                      <w:bCs w:val="0"/>
                      <w:color w:val="auto"/>
                      <w:kern w:val="0"/>
                      <w:sz w:val="21"/>
                      <w:szCs w:val="21"/>
                      <w:highlight w:val="none"/>
                      <w:lang w:val="en-US" w:eastAsia="zh-CN"/>
                    </w:rPr>
                    <w:t>或</w:t>
                  </w:r>
                  <w:r>
                    <w:rPr>
                      <w:rFonts w:hint="default" w:ascii="Times New Roman" w:hAnsi="Times New Roman" w:eastAsia="宋体" w:cs="Times New Roman"/>
                      <w:color w:val="auto"/>
                      <w:sz w:val="21"/>
                      <w:szCs w:val="21"/>
                      <w:shd w:val="clear" w:color="auto" w:fill="FFFFFF"/>
                    </w:rPr>
                    <w:t>清洁能源汽车</w:t>
                  </w:r>
                  <w:r>
                    <w:rPr>
                      <w:rFonts w:hint="default" w:ascii="Times New Roman" w:hAnsi="Times New Roman" w:eastAsia="宋体" w:cs="Times New Roman"/>
                      <w:b w:val="0"/>
                      <w:bCs w:val="0"/>
                      <w:color w:val="auto"/>
                      <w:kern w:val="0"/>
                      <w:sz w:val="21"/>
                      <w:szCs w:val="21"/>
                      <w:highlight w:val="none"/>
                    </w:rPr>
                    <w:t>。</w:t>
                  </w:r>
                </w:p>
              </w:tc>
              <w:tc>
                <w:tcPr>
                  <w:tcW w:w="552" w:type="pct"/>
                  <w:noWrap w:val="0"/>
                  <w:vAlign w:val="center"/>
                </w:tcPr>
                <w:p w14:paraId="3B728C64">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44C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16" w:type="pct"/>
                  <w:vMerge w:val="continue"/>
                  <w:noWrap w:val="0"/>
                  <w:vAlign w:val="center"/>
                </w:tcPr>
                <w:p w14:paraId="7823F6F7">
                  <w:pPr>
                    <w:pStyle w:val="48"/>
                    <w:spacing w:before="0"/>
                    <w:jc w:val="both"/>
                    <w:rPr>
                      <w:rFonts w:hint="default" w:ascii="Times New Roman" w:hAnsi="Times New Roman" w:eastAsia="宋体" w:cs="Times New Roman"/>
                      <w:b/>
                      <w:bCs/>
                      <w:color w:val="auto"/>
                      <w:sz w:val="21"/>
                      <w:szCs w:val="21"/>
                      <w:highlight w:val="none"/>
                      <w:lang w:val="en-US" w:eastAsia="zh-CN"/>
                    </w:rPr>
                  </w:pPr>
                </w:p>
              </w:tc>
              <w:tc>
                <w:tcPr>
                  <w:tcW w:w="1981" w:type="pct"/>
                  <w:noWrap w:val="0"/>
                  <w:vAlign w:val="center"/>
                </w:tcPr>
                <w:p w14:paraId="297C0979">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sz w:val="21"/>
                      <w:szCs w:val="21"/>
                      <w:shd w:val="clear" w:color="auto" w:fill="FFFFFF"/>
                    </w:rPr>
                    <w:t>（八）深入打好建筑施工工地扬尘污染治理攻坚战。全面推行绿色施工，落实施工工地“六个百分之百”工作要求，开展全市建筑施工工地扬尘专项治理。加强建筑渣土运输管理。强化施工、裸露地面等扬尘管控。</w:t>
                  </w:r>
                </w:p>
              </w:tc>
              <w:tc>
                <w:tcPr>
                  <w:tcW w:w="1950" w:type="pct"/>
                  <w:noWrap w:val="0"/>
                  <w:vAlign w:val="center"/>
                </w:tcPr>
                <w:p w14:paraId="2E7483BE">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val="0"/>
                      <w:bCs w:val="0"/>
                      <w:color w:val="auto"/>
                      <w:sz w:val="21"/>
                      <w:szCs w:val="21"/>
                      <w:highlight w:val="none"/>
                      <w:lang w:val="en-US" w:eastAsia="zh-CN"/>
                    </w:rPr>
                    <w:t>项目施工按</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六个百分之百</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要求进行落实。</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kern w:val="0"/>
                      <w:sz w:val="21"/>
                      <w:szCs w:val="21"/>
                    </w:rPr>
                    <w:t>施工过程中产生的扬尘主要是物料堆存及设备安装，产生量较少，经采取本环评提出的措施后对环境影响较小。</w:t>
                  </w:r>
                </w:p>
              </w:tc>
              <w:tc>
                <w:tcPr>
                  <w:tcW w:w="552" w:type="pct"/>
                  <w:noWrap w:val="0"/>
                  <w:vAlign w:val="center"/>
                </w:tcPr>
                <w:p w14:paraId="565F3F20">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2DE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224F84C9">
                  <w:pPr>
                    <w:pStyle w:val="48"/>
                    <w:spacing w:before="0"/>
                    <w:jc w:val="both"/>
                    <w:rPr>
                      <w:rFonts w:hint="default" w:ascii="Times New Roman" w:hAnsi="Times New Roman" w:eastAsia="宋体" w:cs="Times New Roman"/>
                      <w:b/>
                      <w:bCs/>
                      <w:color w:val="auto"/>
                      <w:sz w:val="21"/>
                      <w:szCs w:val="21"/>
                      <w:highlight w:val="none"/>
                      <w:lang w:val="en-US" w:eastAsia="zh-CN"/>
                    </w:rPr>
                  </w:pPr>
                </w:p>
              </w:tc>
              <w:tc>
                <w:tcPr>
                  <w:tcW w:w="1981" w:type="pct"/>
                  <w:noWrap w:val="0"/>
                  <w:vAlign w:val="center"/>
                </w:tcPr>
                <w:p w14:paraId="3DF4141F">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（九）推进挥发性有机物（VOCs）和氮氧化物（NOx）协同治理。</w:t>
                  </w:r>
                </w:p>
              </w:tc>
              <w:tc>
                <w:tcPr>
                  <w:tcW w:w="1950" w:type="pct"/>
                  <w:noWrap w:val="0"/>
                  <w:vAlign w:val="center"/>
                </w:tcPr>
                <w:p w14:paraId="75B329CB">
                  <w:pPr>
                    <w:pStyle w:val="7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项目产生的</w:t>
                  </w:r>
                  <w:r>
                    <w:rPr>
                      <w:rFonts w:hint="eastAsia" w:ascii="Times New Roman" w:hAnsi="Times New Roman" w:eastAsia="宋体" w:cs="Times New Roman"/>
                      <w:b w:val="0"/>
                      <w:bCs w:val="0"/>
                      <w:color w:val="auto"/>
                      <w:sz w:val="21"/>
                      <w:szCs w:val="21"/>
                      <w:highlight w:val="none"/>
                      <w:lang w:val="en-US" w:eastAsia="zh-CN"/>
                    </w:rPr>
                    <w:t>挥发性有机物废气经</w:t>
                  </w:r>
                  <w:r>
                    <w:rPr>
                      <w:rFonts w:hint="eastAsia" w:cs="Times New Roman"/>
                      <w:b w:val="0"/>
                      <w:bCs w:val="0"/>
                      <w:color w:val="auto"/>
                      <w:sz w:val="21"/>
                      <w:szCs w:val="21"/>
                      <w:highlight w:val="none"/>
                      <w:lang w:val="en-US" w:eastAsia="zh-CN"/>
                    </w:rPr>
                    <w:t>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r>
                    <w:rPr>
                      <w:rFonts w:hint="eastAsia" w:ascii="Times New Roman" w:hAnsi="Times New Roman" w:eastAsia="宋体" w:cs="Times New Roman"/>
                      <w:b w:val="0"/>
                      <w:bCs w:val="0"/>
                      <w:color w:val="auto"/>
                      <w:sz w:val="21"/>
                      <w:szCs w:val="21"/>
                      <w:highlight w:val="none"/>
                      <w:lang w:val="en-US" w:eastAsia="zh-CN"/>
                    </w:rPr>
                    <w:t>。</w:t>
                  </w:r>
                </w:p>
              </w:tc>
              <w:tc>
                <w:tcPr>
                  <w:tcW w:w="552" w:type="pct"/>
                  <w:noWrap w:val="0"/>
                  <w:vAlign w:val="center"/>
                </w:tcPr>
                <w:p w14:paraId="552B309A">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8C1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5DDC4936">
                  <w:pPr>
                    <w:pStyle w:val="48"/>
                    <w:spacing w:before="0"/>
                    <w:jc w:val="both"/>
                    <w:rPr>
                      <w:rFonts w:hint="default" w:ascii="Times New Roman" w:hAnsi="Times New Roman" w:eastAsia="宋体" w:cs="Times New Roman"/>
                      <w:b/>
                      <w:bCs/>
                      <w:color w:val="auto"/>
                      <w:sz w:val="21"/>
                      <w:szCs w:val="21"/>
                      <w:highlight w:val="none"/>
                      <w:lang w:val="en-US" w:eastAsia="zh-CN"/>
                    </w:rPr>
                  </w:pPr>
                </w:p>
              </w:tc>
              <w:tc>
                <w:tcPr>
                  <w:tcW w:w="1981" w:type="pct"/>
                  <w:noWrap w:val="0"/>
                  <w:vAlign w:val="center"/>
                </w:tcPr>
                <w:p w14:paraId="4BF3C35B">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改善区域大气和声环境质量。强化大气污染协同治理，持续开展春夏季攻坚行动，推进细颗粒物和臭氧协同控制。落实大气污染联防联控机制。加大餐饮油烟污染、恶臭异味治理力度，强化秸秆综合利用和禁烧管控。实施噪声污染防治行动，创造安静的生活环境。</w:t>
                  </w:r>
                </w:p>
              </w:tc>
              <w:tc>
                <w:tcPr>
                  <w:tcW w:w="1950" w:type="pct"/>
                  <w:noWrap w:val="0"/>
                  <w:vAlign w:val="center"/>
                </w:tcPr>
                <w:p w14:paraId="7E2462AD">
                  <w:pPr>
                    <w:pStyle w:val="2"/>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both"/>
                    <w:textAlignment w:val="auto"/>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val="0"/>
                      <w:bCs w:val="0"/>
                      <w:color w:val="auto"/>
                      <w:sz w:val="21"/>
                      <w:szCs w:val="21"/>
                      <w:highlight w:val="none"/>
                      <w:lang w:val="en-US" w:eastAsia="zh-CN"/>
                    </w:rPr>
                    <w:t>经工程分析核算，</w:t>
                  </w:r>
                  <w:r>
                    <w:rPr>
                      <w:rFonts w:hint="eastAsia" w:ascii="Times New Roman" w:hAnsi="Times New Roman" w:eastAsia="宋体" w:cs="Times New Roman"/>
                      <w:color w:val="auto"/>
                      <w:kern w:val="0"/>
                      <w:sz w:val="21"/>
                      <w:szCs w:val="21"/>
                      <w:highlight w:val="none"/>
                      <w:lang w:val="en-US" w:eastAsia="zh-CN"/>
                    </w:rPr>
                    <w:t>项目产生的</w:t>
                  </w:r>
                  <w:r>
                    <w:rPr>
                      <w:rFonts w:hint="eastAsia" w:ascii="Times New Roman" w:hAnsi="Times New Roman" w:eastAsia="宋体" w:cs="Times New Roman"/>
                      <w:b w:val="0"/>
                      <w:bCs w:val="0"/>
                      <w:color w:val="auto"/>
                      <w:sz w:val="21"/>
                      <w:szCs w:val="21"/>
                      <w:highlight w:val="none"/>
                      <w:lang w:val="en-US" w:eastAsia="zh-CN"/>
                    </w:rPr>
                    <w:t>挥发性有机物废气经</w:t>
                  </w:r>
                  <w:r>
                    <w:rPr>
                      <w:rFonts w:hint="eastAsia" w:cs="Times New Roman"/>
                      <w:b w:val="0"/>
                      <w:bCs w:val="0"/>
                      <w:color w:val="auto"/>
                      <w:sz w:val="21"/>
                      <w:szCs w:val="21"/>
                      <w:highlight w:val="none"/>
                      <w:lang w:val="en-US" w:eastAsia="zh-CN"/>
                    </w:rPr>
                    <w:t>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aps w:val="0"/>
                      <w:smallCaps w:val="0"/>
                      <w:color w:val="auto"/>
                      <w:sz w:val="21"/>
                      <w:szCs w:val="21"/>
                      <w:highlight w:val="none"/>
                      <w:lang w:val="zh-CN"/>
                    </w:rPr>
                    <w:t>三级活性炭吸附装置</w:t>
                  </w:r>
                  <w:r>
                    <w:rPr>
                      <w:rFonts w:hint="default" w:ascii="Times New Roman" w:hAnsi="Times New Roman" w:eastAsia="宋体" w:cs="Times New Roman"/>
                      <w:color w:val="auto"/>
                      <w:sz w:val="21"/>
                      <w:szCs w:val="21"/>
                      <w:highlight w:val="none"/>
                      <w:shd w:val="clear" w:color="auto" w:fill="FFFFFF"/>
                      <w:lang w:val="en-US" w:eastAsia="zh-CN"/>
                    </w:rPr>
                    <w:t>”</w:t>
                  </w:r>
                  <w:r>
                    <w:rPr>
                      <w:rFonts w:hint="default" w:ascii="Times New Roman" w:hAnsi="Times New Roman" w:eastAsia="宋体" w:cs="Times New Roman"/>
                      <w:color w:val="auto"/>
                      <w:kern w:val="0"/>
                      <w:sz w:val="21"/>
                      <w:szCs w:val="21"/>
                      <w:highlight w:val="none"/>
                      <w:lang w:val="en-US" w:eastAsia="zh-CN" w:bidi="ar"/>
                    </w:rPr>
                    <w:t>处理达标后由15m高排气筒排放</w:t>
                  </w:r>
                  <w:r>
                    <w:rPr>
                      <w:rFonts w:hint="eastAsia"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b w:val="0"/>
                      <w:bCs w:val="0"/>
                      <w:color w:val="auto"/>
                      <w:sz w:val="21"/>
                      <w:szCs w:val="21"/>
                      <w:highlight w:val="none"/>
                      <w:lang w:val="en-US" w:eastAsia="zh-CN"/>
                    </w:rPr>
                    <w:t>项目粉尘经采取布袋除尘器处理后均可达标排放，污染物排放量较小，不会加重对区域环境空气质量的影响</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根据后文分析，</w:t>
                  </w:r>
                  <w:r>
                    <w:rPr>
                      <w:rFonts w:hint="eastAsia" w:ascii="Times New Roman" w:hAnsi="Times New Roman" w:eastAsia="宋体" w:cs="Times New Roman"/>
                      <w:b w:val="0"/>
                      <w:bCs w:val="0"/>
                      <w:color w:val="auto"/>
                      <w:sz w:val="21"/>
                      <w:szCs w:val="21"/>
                      <w:highlight w:val="none"/>
                      <w:lang w:val="en-US" w:eastAsia="zh-CN"/>
                    </w:rPr>
                    <w:t>厂界噪声满足《工业企业厂界环境噪声排放标准》（</w:t>
                  </w:r>
                  <w:r>
                    <w:rPr>
                      <w:rFonts w:hint="default" w:ascii="Times New Roman" w:hAnsi="Times New Roman" w:eastAsia="宋体" w:cs="Times New Roman"/>
                      <w:b w:val="0"/>
                      <w:bCs w:val="0"/>
                      <w:color w:val="auto"/>
                      <w:sz w:val="21"/>
                      <w:szCs w:val="21"/>
                      <w:highlight w:val="none"/>
                      <w:lang w:val="en-US" w:eastAsia="zh-CN"/>
                    </w:rPr>
                    <w:t>GB12348-2008</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3</w:t>
                  </w:r>
                  <w:r>
                    <w:rPr>
                      <w:rFonts w:hint="eastAsia" w:ascii="Times New Roman" w:hAnsi="Times New Roman" w:eastAsia="宋体" w:cs="Times New Roman"/>
                      <w:b w:val="0"/>
                      <w:bCs w:val="0"/>
                      <w:color w:val="auto"/>
                      <w:sz w:val="21"/>
                      <w:szCs w:val="21"/>
                      <w:highlight w:val="none"/>
                      <w:lang w:val="en-US" w:eastAsia="zh-CN"/>
                    </w:rPr>
                    <w:t>类标准</w:t>
                  </w:r>
                  <w:r>
                    <w:rPr>
                      <w:rFonts w:hint="default" w:ascii="Times New Roman" w:hAnsi="Times New Roman" w:eastAsia="宋体" w:cs="Times New Roman"/>
                      <w:color w:val="auto"/>
                      <w:kern w:val="0"/>
                      <w:sz w:val="21"/>
                      <w:szCs w:val="21"/>
                    </w:rPr>
                    <w:t>，对所在区域的声环境、大气环境影响不大。</w:t>
                  </w:r>
                </w:p>
              </w:tc>
              <w:tc>
                <w:tcPr>
                  <w:tcW w:w="552" w:type="pct"/>
                  <w:noWrap w:val="0"/>
                  <w:vAlign w:val="center"/>
                </w:tcPr>
                <w:p w14:paraId="4060BF2B">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color w:val="auto"/>
                      <w:kern w:val="0"/>
                      <w:sz w:val="21"/>
                      <w:szCs w:val="21"/>
                    </w:rPr>
                    <w:t>符合</w:t>
                  </w:r>
                </w:p>
              </w:tc>
            </w:tr>
            <w:tr w14:paraId="6616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noWrap w:val="0"/>
                  <w:vAlign w:val="center"/>
                </w:tcPr>
                <w:p w14:paraId="4E2F98FD">
                  <w:pPr>
                    <w:pStyle w:val="48"/>
                    <w:spacing w:befor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四、深入打好碧水保卫战</w:t>
                  </w:r>
                </w:p>
              </w:tc>
              <w:tc>
                <w:tcPr>
                  <w:tcW w:w="1981" w:type="pct"/>
                  <w:noWrap w:val="0"/>
                  <w:vAlign w:val="center"/>
                </w:tcPr>
                <w:p w14:paraId="3A739CDD">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一）深入打好“湖泊革命”攻坚战。坚持“退、减、调、治、管”多措并举，围绕“三治一改善”重点任务，以革命性措施抓好三大高原湖泊保护治理。强化流域空间管控和生态减负，优化流域空间格局。全面推进流域农业绿色发展，严控农业面源污染。系统推进流域环湖截污治污，补齐流域“两污”收集治理设施短板，加强湖泊内源污染风险防范。</w:t>
                  </w:r>
                </w:p>
              </w:tc>
              <w:tc>
                <w:tcPr>
                  <w:tcW w:w="1950" w:type="pct"/>
                  <w:noWrap w:val="0"/>
                  <w:vAlign w:val="center"/>
                </w:tcPr>
                <w:p w14:paraId="4AA0935E">
                  <w:pPr>
                    <w:keepNext w:val="0"/>
                    <w:keepLines w:val="0"/>
                    <w:pageBreakBefore w:val="0"/>
                    <w:widowControl w:val="0"/>
                    <w:kinsoku/>
                    <w:wordWrap/>
                    <w:overflowPunct/>
                    <w:topLinePunct w:val="0"/>
                    <w:autoSpaceDE/>
                    <w:autoSpaceDN/>
                    <w:bidi w:val="0"/>
                    <w:adjustRightInd w:val="0"/>
                    <w:snapToGrid w:val="0"/>
                    <w:spacing w:after="0" w:afterLines="0" w:line="240" w:lineRule="auto"/>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lang w:val="en-US" w:eastAsia="zh-CN"/>
                    </w:rPr>
                    <w:t>运营期实行</w:t>
                  </w:r>
                  <w:r>
                    <w:rPr>
                      <w:rFonts w:hint="default" w:ascii="Times New Roman" w:hAnsi="Times New Roman" w:eastAsia="宋体" w:cs="Times New Roman"/>
                      <w:b w:val="0"/>
                      <w:bCs w:val="0"/>
                      <w:color w:val="auto"/>
                      <w:sz w:val="21"/>
                      <w:szCs w:val="21"/>
                      <w:highlight w:val="none"/>
                      <w:lang w:val="en-US" w:eastAsia="zh-CN"/>
                    </w:rPr>
                    <w:t>雨污分流，厂区内路面雨水汇集后经雨水口排入厂区雨水管道，最终排入</w:t>
                  </w:r>
                  <w:r>
                    <w:rPr>
                      <w:rFonts w:hint="eastAsia" w:cs="Times New Roman"/>
                      <w:b w:val="0"/>
                      <w:bCs w:val="0"/>
                      <w:color w:val="auto"/>
                      <w:sz w:val="21"/>
                      <w:szCs w:val="21"/>
                      <w:highlight w:val="none"/>
                      <w:lang w:val="en-US" w:eastAsia="zh-CN"/>
                    </w:rPr>
                    <w:t>园区</w:t>
                  </w:r>
                  <w:r>
                    <w:rPr>
                      <w:rFonts w:hint="default" w:ascii="Times New Roman" w:hAnsi="Times New Roman" w:eastAsia="宋体" w:cs="Times New Roman"/>
                      <w:b w:val="0"/>
                      <w:bCs w:val="0"/>
                      <w:color w:val="auto"/>
                      <w:sz w:val="21"/>
                      <w:szCs w:val="21"/>
                      <w:highlight w:val="none"/>
                      <w:lang w:val="en-US" w:eastAsia="zh-CN"/>
                    </w:rPr>
                    <w:t>市政雨水管网</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eastAsia" w:ascii="Times New Roman" w:hAnsi="Times New Roman" w:eastAsia="宋体" w:cs="Times New Roman"/>
                      <w:strike w:val="0"/>
                      <w:dstrike w:val="0"/>
                      <w:color w:val="auto"/>
                      <w:kern w:val="0"/>
                      <w:sz w:val="21"/>
                      <w:szCs w:val="21"/>
                      <w:highlight w:val="none"/>
                      <w:lang w:eastAsia="zh-CN"/>
                    </w:rPr>
                    <w:t>。</w:t>
                  </w:r>
                </w:p>
              </w:tc>
              <w:tc>
                <w:tcPr>
                  <w:tcW w:w="552" w:type="pct"/>
                  <w:noWrap w:val="0"/>
                  <w:vAlign w:val="center"/>
                </w:tcPr>
                <w:p w14:paraId="24C23B30">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F62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47F7246B">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1981" w:type="pct"/>
                  <w:noWrap w:val="0"/>
                  <w:vAlign w:val="center"/>
                </w:tcPr>
                <w:p w14:paraId="079359A5">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四）深入打好重度污染水体脱劣攻坚战。以杞麓湖等重度污染水体脱劣企稳为目标，坚持综合治理和精准治理相结合，实施以污水处理提质增效、农业面源污染治理、入河排污口整治等为重点的专项整治行动。建立水环境质量管理长效机制，持续巩固治理成效。</w:t>
                  </w:r>
                </w:p>
              </w:tc>
              <w:tc>
                <w:tcPr>
                  <w:tcW w:w="1950" w:type="pct"/>
                  <w:vMerge w:val="restart"/>
                  <w:noWrap w:val="0"/>
                  <w:vAlign w:val="center"/>
                </w:tcPr>
                <w:p w14:paraId="54CFC5E8">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项目</w:t>
                  </w:r>
                  <w:r>
                    <w:rPr>
                      <w:rFonts w:hint="eastAsia" w:ascii="Times New Roman" w:hAnsi="Times New Roman" w:eastAsia="宋体" w:cs="Times New Roman"/>
                      <w:b w:val="0"/>
                      <w:bCs w:val="0"/>
                      <w:color w:val="auto"/>
                      <w:sz w:val="21"/>
                      <w:szCs w:val="21"/>
                      <w:highlight w:val="none"/>
                      <w:lang w:val="en-US" w:eastAsia="zh-CN"/>
                    </w:rPr>
                    <w:t>运营期实行</w:t>
                  </w:r>
                  <w:r>
                    <w:rPr>
                      <w:rFonts w:hint="default" w:ascii="Times New Roman" w:hAnsi="Times New Roman" w:eastAsia="宋体" w:cs="Times New Roman"/>
                      <w:b w:val="0"/>
                      <w:bCs w:val="0"/>
                      <w:color w:val="auto"/>
                      <w:sz w:val="21"/>
                      <w:szCs w:val="21"/>
                      <w:highlight w:val="none"/>
                      <w:lang w:val="en-US" w:eastAsia="zh-CN"/>
                    </w:rPr>
                    <w:t>雨污分流，厂区内路面雨水汇集后经雨水口排入厂区雨水管道，最终排入</w:t>
                  </w:r>
                  <w:r>
                    <w:rPr>
                      <w:rFonts w:hint="eastAsia" w:cs="Times New Roman"/>
                      <w:b w:val="0"/>
                      <w:bCs w:val="0"/>
                      <w:color w:val="auto"/>
                      <w:sz w:val="21"/>
                      <w:szCs w:val="21"/>
                      <w:highlight w:val="none"/>
                      <w:lang w:val="en-US" w:eastAsia="zh-CN"/>
                    </w:rPr>
                    <w:t>园区</w:t>
                  </w:r>
                  <w:r>
                    <w:rPr>
                      <w:rFonts w:hint="default" w:ascii="Times New Roman" w:hAnsi="Times New Roman" w:eastAsia="宋体" w:cs="Times New Roman"/>
                      <w:b w:val="0"/>
                      <w:bCs w:val="0"/>
                      <w:color w:val="auto"/>
                      <w:sz w:val="21"/>
                      <w:szCs w:val="21"/>
                      <w:highlight w:val="none"/>
                      <w:lang w:val="en-US" w:eastAsia="zh-CN"/>
                    </w:rPr>
                    <w:t>市政雨水管网</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eastAsia" w:ascii="Times New Roman" w:hAnsi="Times New Roman" w:eastAsia="宋体" w:cs="Times New Roman"/>
                      <w:strike w:val="0"/>
                      <w:dstrike w:val="0"/>
                      <w:color w:val="auto"/>
                      <w:kern w:val="0"/>
                      <w:sz w:val="21"/>
                      <w:szCs w:val="21"/>
                      <w:highlight w:val="none"/>
                      <w:lang w:eastAsia="zh-CN"/>
                    </w:rPr>
                    <w:t>。</w:t>
                  </w:r>
                </w:p>
              </w:tc>
              <w:tc>
                <w:tcPr>
                  <w:tcW w:w="552" w:type="pct"/>
                  <w:noWrap w:val="0"/>
                  <w:vAlign w:val="center"/>
                </w:tcPr>
                <w:p w14:paraId="4B9ED557">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054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67F91679">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p>
              </w:tc>
              <w:tc>
                <w:tcPr>
                  <w:tcW w:w="1981" w:type="pct"/>
                  <w:noWrap w:val="0"/>
                  <w:vAlign w:val="center"/>
                </w:tcPr>
                <w:p w14:paraId="118A2A8A">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（十七）强化陆域水域污染协同治理。持续开展入河排污口“查、测、溯、治”。完善水污染防治流域协同机制，深化重点流域综合治理，推进重要河湖污染防治和生态修复。积极开展美丽河湖建设。</w:t>
                  </w:r>
                </w:p>
              </w:tc>
              <w:tc>
                <w:tcPr>
                  <w:tcW w:w="1950" w:type="pct"/>
                  <w:vMerge w:val="continue"/>
                  <w:noWrap w:val="0"/>
                  <w:vAlign w:val="center"/>
                </w:tcPr>
                <w:p w14:paraId="75DB2C3D">
                  <w:pPr>
                    <w:pStyle w:val="2"/>
                    <w:topLinePunct w:val="0"/>
                    <w:bidi w:val="0"/>
                    <w:adjustRightInd w:val="0"/>
                    <w:snapToGrid w:val="0"/>
                    <w:spacing w:after="0" w:afterLines="0" w:line="240" w:lineRule="auto"/>
                    <w:ind w:left="0" w:leftChars="0" w:right="0" w:firstLine="420" w:firstLineChars="200"/>
                    <w:jc w:val="both"/>
                    <w:rPr>
                      <w:rFonts w:hint="default" w:ascii="Times New Roman" w:hAnsi="Times New Roman" w:eastAsia="宋体" w:cs="Times New Roman"/>
                      <w:color w:val="auto"/>
                      <w:kern w:val="0"/>
                      <w:sz w:val="21"/>
                      <w:szCs w:val="21"/>
                    </w:rPr>
                  </w:pPr>
                </w:p>
              </w:tc>
              <w:tc>
                <w:tcPr>
                  <w:tcW w:w="552" w:type="pct"/>
                  <w:noWrap w:val="0"/>
                  <w:vAlign w:val="center"/>
                </w:tcPr>
                <w:p w14:paraId="5BE21CCC">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ED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noWrap w:val="0"/>
                  <w:vAlign w:val="center"/>
                </w:tcPr>
                <w:p w14:paraId="0C376028">
                  <w:pPr>
                    <w:pStyle w:val="48"/>
                    <w:spacing w:befor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五、深入打好净土保卫战</w:t>
                  </w:r>
                </w:p>
              </w:tc>
              <w:tc>
                <w:tcPr>
                  <w:tcW w:w="1981" w:type="pct"/>
                  <w:noWrap w:val="0"/>
                  <w:vAlign w:val="center"/>
                </w:tcPr>
                <w:p w14:paraId="0278B34B">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（二十）有效管控建设用地土壤污染风险。严格建设用地土壤污染风险管控和修复名录内地块的准入管理。落实土壤污染状况调查和风险评估要求，从严管控化工等行业重度污染地块的规划用途。</w:t>
                  </w:r>
                </w:p>
              </w:tc>
              <w:tc>
                <w:tcPr>
                  <w:tcW w:w="1950" w:type="pct"/>
                  <w:noWrap w:val="0"/>
                  <w:vAlign w:val="center"/>
                </w:tcPr>
                <w:p w14:paraId="675E51B6">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eastAsia" w:ascii="Times New Roman" w:hAnsi="Times New Roman" w:cs="Times New Roman"/>
                      <w:caps w:val="0"/>
                      <w:smallCaps w:val="0"/>
                      <w:color w:val="auto"/>
                      <w:kern w:val="1"/>
                      <w:sz w:val="21"/>
                      <w:szCs w:val="21"/>
                      <w:highlight w:val="none"/>
                      <w:lang w:val="en-US" w:eastAsia="zh-CN"/>
                    </w:rPr>
                    <w:t>本次评价提出厂区按要求进行分区防渗</w:t>
                  </w:r>
                  <w:r>
                    <w:rPr>
                      <w:rFonts w:hint="default" w:ascii="Times New Roman" w:hAnsi="Times New Roman" w:eastAsia="宋体" w:cs="Times New Roman"/>
                      <w:color w:val="auto"/>
                      <w:kern w:val="0"/>
                      <w:sz w:val="21"/>
                      <w:szCs w:val="21"/>
                    </w:rPr>
                    <w:t>，项目建成后对区域土壤环境质量产生影响较小，土壤环境风险较低。</w:t>
                  </w:r>
                </w:p>
              </w:tc>
              <w:tc>
                <w:tcPr>
                  <w:tcW w:w="552" w:type="pct"/>
                  <w:noWrap w:val="0"/>
                  <w:vAlign w:val="center"/>
                </w:tcPr>
                <w:p w14:paraId="646649B4">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5F56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noWrap w:val="0"/>
                  <w:vAlign w:val="center"/>
                </w:tcPr>
                <w:p w14:paraId="75714AF1">
                  <w:pPr>
                    <w:pStyle w:val="48"/>
                    <w:spacing w:before="0"/>
                    <w:jc w:val="both"/>
                    <w:rPr>
                      <w:rFonts w:hint="default" w:ascii="Times New Roman" w:hAnsi="Times New Roman" w:eastAsia="宋体" w:cs="Times New Roman"/>
                      <w:b/>
                      <w:bCs/>
                      <w:color w:val="auto"/>
                      <w:sz w:val="21"/>
                      <w:szCs w:val="21"/>
                      <w:highlight w:val="none"/>
                      <w:lang w:val="en-US" w:eastAsia="zh-CN"/>
                    </w:rPr>
                  </w:pPr>
                </w:p>
              </w:tc>
              <w:tc>
                <w:tcPr>
                  <w:tcW w:w="1981" w:type="pct"/>
                  <w:noWrap w:val="0"/>
                  <w:vAlign w:val="center"/>
                </w:tcPr>
                <w:p w14:paraId="1CAAEE93">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（二十一）稳步推进“无废城市”建设。稳步推进玉溪市“无废城市”建设，推进城市固体废物精细化管理。积极推进无废学校、社区、企业等“无废细胞”建设。</w:t>
                  </w:r>
                </w:p>
              </w:tc>
              <w:tc>
                <w:tcPr>
                  <w:tcW w:w="1950" w:type="pct"/>
                  <w:noWrap w:val="0"/>
                  <w:vAlign w:val="center"/>
                </w:tcPr>
                <w:p w14:paraId="50E2B5F7">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项目产生的一般固废妥善处置，危险废物委托有资质单位处置，不随意处置，</w:t>
                  </w:r>
                  <w:r>
                    <w:rPr>
                      <w:rFonts w:hint="default" w:ascii="Times New Roman" w:hAnsi="Times New Roman" w:eastAsia="宋体" w:cs="Times New Roman"/>
                      <w:color w:val="auto"/>
                      <w:kern w:val="0"/>
                      <w:sz w:val="21"/>
                      <w:szCs w:val="21"/>
                    </w:rPr>
                    <w:t>固废处置率为100%。</w:t>
                  </w:r>
                </w:p>
              </w:tc>
              <w:tc>
                <w:tcPr>
                  <w:tcW w:w="552" w:type="pct"/>
                  <w:noWrap w:val="0"/>
                  <w:vAlign w:val="center"/>
                </w:tcPr>
                <w:p w14:paraId="098C0204">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421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noWrap w:val="0"/>
                  <w:vAlign w:val="center"/>
                </w:tcPr>
                <w:p w14:paraId="1D2E5202">
                  <w:pPr>
                    <w:pStyle w:val="48"/>
                    <w:spacing w:before="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六、切实维护生态环境安全</w:t>
                  </w:r>
                </w:p>
              </w:tc>
              <w:tc>
                <w:tcPr>
                  <w:tcW w:w="1981" w:type="pct"/>
                  <w:noWrap w:val="0"/>
                  <w:vAlign w:val="center"/>
                </w:tcPr>
                <w:p w14:paraId="0289B263">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二十九）严密防控环境风险。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950" w:type="pct"/>
                  <w:noWrap w:val="0"/>
                  <w:vAlign w:val="center"/>
                </w:tcPr>
                <w:p w14:paraId="3F516A1F">
                  <w:pPr>
                    <w:pStyle w:val="2"/>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本项目风险物质主要为</w:t>
                  </w:r>
                  <w:r>
                    <w:rPr>
                      <w:rFonts w:hint="default" w:ascii="Times New Roman" w:hAnsi="Times New Roman" w:eastAsia="宋体" w:cs="Times New Roman"/>
                      <w:color w:val="auto"/>
                      <w:kern w:val="0"/>
                      <w:sz w:val="21"/>
                      <w:szCs w:val="21"/>
                      <w:lang w:val="en-US" w:eastAsia="zh-CN"/>
                    </w:rPr>
                    <w:t>废</w:t>
                  </w:r>
                  <w:r>
                    <w:rPr>
                      <w:rFonts w:hint="eastAsia" w:ascii="Times New Roman" w:hAnsi="Times New Roman" w:cs="Times New Roman"/>
                      <w:color w:val="auto"/>
                      <w:kern w:val="0"/>
                      <w:sz w:val="21"/>
                      <w:szCs w:val="21"/>
                      <w:lang w:val="en-US" w:eastAsia="zh-CN"/>
                    </w:rPr>
                    <w:t>润滑油、废活性炭</w:t>
                  </w:r>
                  <w:r>
                    <w:rPr>
                      <w:rFonts w:hint="default" w:ascii="Times New Roman" w:hAnsi="Times New Roman" w:eastAsia="宋体" w:cs="Times New Roman"/>
                      <w:color w:val="auto"/>
                      <w:kern w:val="0"/>
                      <w:sz w:val="21"/>
                      <w:szCs w:val="21"/>
                    </w:rPr>
                    <w:t>等，厂区最大存在量大于临界量不构成重大风险源。本环评要求项目</w:t>
                  </w:r>
                  <w:r>
                    <w:rPr>
                      <w:rFonts w:hint="eastAsia" w:ascii="Times New Roman" w:hAnsi="Times New Roman" w:cs="Times New Roman"/>
                      <w:color w:val="auto"/>
                      <w:kern w:val="0"/>
                      <w:sz w:val="21"/>
                      <w:szCs w:val="21"/>
                      <w:lang w:val="en-US" w:eastAsia="zh-CN"/>
                    </w:rPr>
                    <w:t>建成运营后尽快</w:t>
                  </w:r>
                  <w:r>
                    <w:rPr>
                      <w:rFonts w:hint="default" w:ascii="Times New Roman" w:hAnsi="Times New Roman" w:eastAsia="宋体" w:cs="Times New Roman"/>
                      <w:color w:val="auto"/>
                      <w:kern w:val="0"/>
                      <w:sz w:val="21"/>
                      <w:szCs w:val="21"/>
                    </w:rPr>
                    <w:t>制定“突发环境事件应急预案”，厂区</w:t>
                  </w:r>
                  <w:r>
                    <w:rPr>
                      <w:rFonts w:hint="eastAsia" w:ascii="Times New Roman" w:hAnsi="Times New Roman" w:cs="Times New Roman"/>
                      <w:color w:val="auto"/>
                      <w:kern w:val="0"/>
                      <w:sz w:val="21"/>
                      <w:szCs w:val="21"/>
                      <w:lang w:val="en-US" w:eastAsia="zh-CN"/>
                    </w:rPr>
                    <w:t>按要求</w:t>
                  </w:r>
                  <w:r>
                    <w:rPr>
                      <w:rFonts w:hint="default" w:ascii="Times New Roman" w:hAnsi="Times New Roman" w:eastAsia="宋体" w:cs="Times New Roman"/>
                      <w:color w:val="auto"/>
                      <w:kern w:val="0"/>
                      <w:sz w:val="21"/>
                      <w:szCs w:val="21"/>
                    </w:rPr>
                    <w:t>采取风险防范措施，并配备环境风险应急物资等。突发环境事件时启用环境应急预案，将风险控制在厂内，在可控范围内。</w:t>
                  </w:r>
                </w:p>
              </w:tc>
              <w:tc>
                <w:tcPr>
                  <w:tcW w:w="552" w:type="pct"/>
                  <w:noWrap w:val="0"/>
                  <w:vAlign w:val="center"/>
                </w:tcPr>
                <w:p w14:paraId="6FCE8EB3">
                  <w:pPr>
                    <w:topLinePunct w:val="0"/>
                    <w:bidi w:val="0"/>
                    <w:adjustRightInd w:val="0"/>
                    <w:snapToGrid w:val="0"/>
                    <w:spacing w:after="0" w:afterLines="0" w:line="240" w:lineRule="auto"/>
                    <w:ind w:left="0" w:leftChars="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0CB6BF2C">
            <w:pPr>
              <w:pStyle w:val="59"/>
              <w:topLinePunct w:val="0"/>
              <w:bidi w:val="0"/>
              <w:adjustRightInd w:val="0"/>
              <w:snapToGrid w:val="0"/>
              <w:spacing w:after="0" w:afterLines="0"/>
              <w:ind w:left="0" w:leftChars="0" w:right="0" w:firstLine="480"/>
              <w:jc w:val="both"/>
              <w:rPr>
                <w:color w:val="auto"/>
              </w:rPr>
            </w:pPr>
            <w:r>
              <w:rPr>
                <w:rFonts w:hint="eastAsia"/>
                <w:color w:val="auto"/>
                <w:sz w:val="24"/>
                <w:szCs w:val="24"/>
                <w:lang w:val="en-US" w:eastAsia="zh-CN"/>
              </w:rPr>
              <w:t>根据上表分析</w:t>
            </w:r>
            <w:r>
              <w:rPr>
                <w:color w:val="auto"/>
                <w:sz w:val="24"/>
                <w:szCs w:val="24"/>
              </w:rPr>
              <w:t>，本项目建设符合</w:t>
            </w:r>
            <w:r>
              <w:rPr>
                <w:rFonts w:hint="eastAsia" w:ascii="Times New Roman" w:hAnsi="Times New Roman" w:eastAsia="宋体" w:cs="Times New Roman"/>
                <w:color w:val="auto"/>
                <w:sz w:val="24"/>
                <w:szCs w:val="24"/>
                <w:lang w:val="en-US" w:eastAsia="zh-CN"/>
              </w:rPr>
              <w:t>《</w:t>
            </w:r>
            <w:r>
              <w:rPr>
                <w:color w:val="auto"/>
                <w:spacing w:val="-2"/>
                <w:sz w:val="24"/>
                <w:szCs w:val="24"/>
              </w:rPr>
              <w:t>玉溪市</w:t>
            </w:r>
            <w:r>
              <w:rPr>
                <w:rFonts w:hint="eastAsia"/>
                <w:color w:val="auto"/>
                <w:spacing w:val="-2"/>
                <w:sz w:val="24"/>
                <w:szCs w:val="24"/>
                <w:lang w:val="en-US" w:eastAsia="zh-CN"/>
              </w:rPr>
              <w:t>人民政府关于深入打好污染防治攻坚战的实施方案</w:t>
            </w:r>
            <w:r>
              <w:rPr>
                <w:rFonts w:hint="eastAsia" w:ascii="Times New Roman" w:hAnsi="Times New Roman" w:eastAsia="宋体" w:cs="Times New Roman"/>
                <w:color w:val="auto"/>
                <w:sz w:val="24"/>
                <w:szCs w:val="24"/>
                <w:lang w:val="en-US" w:eastAsia="zh-CN"/>
              </w:rPr>
              <w:t>》</w:t>
            </w:r>
            <w:r>
              <w:rPr>
                <w:color w:val="auto"/>
                <w:sz w:val="24"/>
                <w:szCs w:val="24"/>
              </w:rPr>
              <w:t>中的相关要求。</w:t>
            </w:r>
          </w:p>
          <w:p w14:paraId="77C83BC2">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lang w:val="en-US" w:eastAsia="zh-CN" w:bidi="ar-SA"/>
              </w:rPr>
              <w:t>13.</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SA"/>
              </w:rPr>
              <w:t>《空气质量持续改善行动计划》</w:t>
            </w:r>
            <w:r>
              <w:rPr>
                <w:rFonts w:hint="default" w:ascii="Times New Roman" w:hAnsi="Times New Roman" w:eastAsia="宋体" w:cs="Times New Roman"/>
                <w:b/>
                <w:bCs/>
                <w:color w:val="auto"/>
                <w:kern w:val="0"/>
                <w:sz w:val="24"/>
                <w:szCs w:val="24"/>
                <w:highlight w:val="none"/>
                <w:lang w:val="en-US" w:eastAsia="zh-CN"/>
              </w:rPr>
              <w:t>相符性分析</w:t>
            </w:r>
          </w:p>
          <w:p w14:paraId="48AE1F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val="en-US" w:eastAsia="zh-CN"/>
              </w:rPr>
              <w:t>2023年11月30日</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rPr>
              <w:t>国务院关于印发《空气质量持续改善行动计划》的通知</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国发〔2023〕24号</w:t>
            </w:r>
            <w:r>
              <w:rPr>
                <w:rFonts w:hint="eastAsia" w:ascii="Times New Roman" w:hAnsi="Times New Roman" w:cs="Times New Roman"/>
                <w:color w:val="auto"/>
                <w:sz w:val="24"/>
                <w:szCs w:val="24"/>
                <w:lang w:eastAsia="zh-CN"/>
              </w:rPr>
              <w:t>），</w:t>
            </w:r>
            <w:r>
              <w:rPr>
                <w:rFonts w:hint="default" w:ascii="Times New Roman" w:hAnsi="Times New Roman" w:cs="Times New Roman"/>
                <w:caps w:val="0"/>
                <w:smallCaps w:val="0"/>
                <w:color w:val="auto"/>
                <w:sz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与其相关符合性分析详见下表。</w:t>
            </w:r>
          </w:p>
          <w:p w14:paraId="3F0A6093">
            <w:pPr>
              <w:pStyle w:val="2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eastAsia" w:cs="Times New Roman"/>
                <w:b/>
                <w:bCs/>
                <w:caps w:val="0"/>
                <w:smallCaps w:val="0"/>
                <w:color w:val="auto"/>
                <w:sz w:val="21"/>
                <w:szCs w:val="21"/>
                <w:highlight w:val="none"/>
                <w:lang w:val="en-US" w:eastAsia="zh-CN"/>
              </w:rPr>
              <w:t>1-15</w:t>
            </w:r>
            <w:r>
              <w:rPr>
                <w:rFonts w:hint="default" w:ascii="Times New Roman" w:hAnsi="Times New Roman" w:cs="Times New Roman"/>
                <w:b/>
                <w:bCs/>
                <w:color w:val="auto"/>
                <w:sz w:val="21"/>
                <w:szCs w:val="21"/>
                <w:highlight w:val="none"/>
              </w:rPr>
              <w:t xml:space="preserve">  与</w:t>
            </w:r>
            <w:r>
              <w:rPr>
                <w:rFonts w:hint="eastAsia" w:ascii="Times New Roman" w:hAnsi="Times New Roman" w:cs="Times New Roman"/>
                <w:b/>
                <w:bCs/>
                <w:color w:val="auto"/>
                <w:sz w:val="21"/>
                <w:szCs w:val="21"/>
                <w:highlight w:val="none"/>
              </w:rPr>
              <w:t>《空气质量持续改善行动计划》</w:t>
            </w:r>
            <w:r>
              <w:rPr>
                <w:rFonts w:hint="default" w:ascii="Times New Roman" w:hAnsi="Times New Roman" w:cs="Times New Roman"/>
                <w:b/>
                <w:bCs/>
                <w:color w:val="auto"/>
                <w:sz w:val="21"/>
                <w:szCs w:val="21"/>
                <w:highlight w:val="none"/>
              </w:rPr>
              <w:t>符合性分析</w:t>
            </w:r>
          </w:p>
          <w:tbl>
            <w:tblPr>
              <w:tblStyle w:val="29"/>
              <w:tblW w:w="5000" w:type="pct"/>
              <w:jc w:val="center"/>
              <w:tblLayout w:type="fixed"/>
              <w:tblCellMar>
                <w:top w:w="0" w:type="dxa"/>
                <w:left w:w="108" w:type="dxa"/>
                <w:bottom w:w="0" w:type="dxa"/>
                <w:right w:w="108" w:type="dxa"/>
              </w:tblCellMar>
            </w:tblPr>
            <w:tblGrid>
              <w:gridCol w:w="3165"/>
              <w:gridCol w:w="2797"/>
              <w:gridCol w:w="670"/>
            </w:tblGrid>
            <w:tr w14:paraId="217B4622">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6787720B">
                  <w:pPr>
                    <w:pStyle w:val="48"/>
                    <w:spacing w:before="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相关内容</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40B6757A">
                  <w:pPr>
                    <w:pStyle w:val="4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6C7BA5FD">
                  <w:pPr>
                    <w:pStyle w:val="4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相符性</w:t>
                  </w:r>
                </w:p>
              </w:tc>
            </w:tr>
            <w:tr w14:paraId="6248F41B">
              <w:tblPrEx>
                <w:tblCellMar>
                  <w:top w:w="0" w:type="dxa"/>
                  <w:left w:w="108" w:type="dxa"/>
                  <w:bottom w:w="0" w:type="dxa"/>
                  <w:right w:w="108" w:type="dxa"/>
                </w:tblCellMar>
              </w:tblPrEx>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27DBD92D">
                  <w:pPr>
                    <w:keepNext w:val="0"/>
                    <w:keepLines w:val="0"/>
                    <w:widowControl/>
                    <w:suppressLineNumbers w:val="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lang w:val="en-US" w:eastAsia="zh-CN" w:bidi="ar"/>
                    </w:rPr>
                    <w:t>（四）坚决遏制高耗能、高排放、低水平项目盲目上马。</w:t>
                  </w:r>
                  <w:r>
                    <w:rPr>
                      <w:rFonts w:hint="default" w:ascii="Times New Roman" w:hAnsi="Times New Roman" w:eastAsia="宋体" w:cs="Times New Roman"/>
                      <w:color w:val="auto"/>
                      <w:kern w:val="0"/>
                      <w:sz w:val="21"/>
                      <w:szCs w:val="21"/>
                      <w:lang w:val="en-US" w:eastAsia="zh-CN" w:bidi="ar"/>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0F4AF1F5">
                  <w:pPr>
                    <w:keepNext w:val="0"/>
                    <w:keepLines w:val="0"/>
                    <w:widowControl/>
                    <w:suppressLineNumbers w:val="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b w:val="0"/>
                      <w:bCs w:val="0"/>
                      <w:color w:val="auto"/>
                      <w:sz w:val="21"/>
                      <w:szCs w:val="21"/>
                      <w:highlight w:val="none"/>
                      <w:lang w:val="en-US" w:eastAsia="zh-CN"/>
                    </w:rPr>
                    <w:t>，不</w:t>
                  </w:r>
                  <w:r>
                    <w:rPr>
                      <w:rFonts w:hint="default" w:ascii="Times New Roman" w:hAnsi="Times New Roman" w:eastAsia="宋体" w:cs="Times New Roman"/>
                      <w:color w:val="auto"/>
                      <w:kern w:val="0"/>
                      <w:sz w:val="21"/>
                      <w:szCs w:val="21"/>
                      <w:lang w:val="en-US" w:eastAsia="zh-CN" w:bidi="ar"/>
                    </w:rPr>
                    <w:t>属于“两高”项目，项目符合《产业结构调整指导目录（2024年本）》、</w:t>
                  </w:r>
                  <w:r>
                    <w:rPr>
                      <w:rFonts w:hint="eastAsia" w:ascii="Times New Roman" w:hAnsi="Times New Roman" w:eastAsia="宋体" w:cs="Times New Roman"/>
                      <w:b w:val="0"/>
                      <w:bCs w:val="0"/>
                      <w:color w:val="auto"/>
                      <w:sz w:val="21"/>
                      <w:szCs w:val="21"/>
                      <w:highlight w:val="none"/>
                      <w:lang w:val="en-US" w:eastAsia="zh-CN"/>
                    </w:rPr>
                    <w:t>项目所在区域不涉及生态保护红线，符合</w:t>
                  </w:r>
                  <w:r>
                    <w:rPr>
                      <w:rFonts w:hint="default" w:ascii="Times New Roman" w:hAnsi="Times New Roman" w:eastAsia="宋体" w:cs="Times New Roman"/>
                      <w:color w:val="auto"/>
                      <w:kern w:val="0"/>
                      <w:sz w:val="21"/>
                      <w:szCs w:val="21"/>
                      <w:lang w:val="en-US" w:eastAsia="zh-CN" w:bidi="ar"/>
                    </w:rPr>
                    <w:t>生态环境分区管控方案、规划环评、项目环评</w:t>
                  </w:r>
                  <w:r>
                    <w:rPr>
                      <w:rFonts w:hint="eastAsia" w:ascii="Times New Roman" w:hAnsi="Times New Roman" w:eastAsia="宋体" w:cs="Times New Roman"/>
                      <w:color w:val="auto"/>
                      <w:kern w:val="0"/>
                      <w:sz w:val="21"/>
                      <w:szCs w:val="21"/>
                      <w:lang w:val="en-US" w:eastAsia="zh-CN" w:bidi="ar"/>
                    </w:rPr>
                    <w:t>等相关要求。</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1B186B23">
                  <w:pPr>
                    <w:keepNext w:val="0"/>
                    <w:keepLines w:val="0"/>
                    <w:pageBreakBefore w:val="0"/>
                    <w:widowControl w:val="0"/>
                    <w:kinsoku/>
                    <w:wordWrap/>
                    <w:overflowPunct/>
                    <w:topLinePunct w:val="0"/>
                    <w:bidi w:val="0"/>
                    <w:snapToGrid w:val="0"/>
                    <w:jc w:val="both"/>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lang w:val="en-US" w:eastAsia="zh-CN"/>
                    </w:rPr>
                    <w:t>符合</w:t>
                  </w:r>
                </w:p>
              </w:tc>
            </w:tr>
            <w:tr w14:paraId="59DDE435">
              <w:tblPrEx>
                <w:tblCellMar>
                  <w:top w:w="0" w:type="dxa"/>
                  <w:left w:w="108" w:type="dxa"/>
                  <w:bottom w:w="0" w:type="dxa"/>
                  <w:right w:w="108" w:type="dxa"/>
                </w:tblCellMar>
              </w:tblPrEx>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39D5AF4F">
                  <w:pPr>
                    <w:keepNext w:val="0"/>
                    <w:keepLines w:val="0"/>
                    <w:widowControl/>
                    <w:suppressLineNumbers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i w:val="0"/>
                      <w:iCs w:val="0"/>
                      <w:caps w:val="0"/>
                      <w:color w:val="auto"/>
                      <w:spacing w:val="0"/>
                      <w:sz w:val="21"/>
                      <w:szCs w:val="21"/>
                      <w:shd w:val="clear" w:fill="FFFFFF"/>
                    </w:rPr>
                    <w:t>（七）优化含VOCs原辅材料和产品结构。</w:t>
                  </w:r>
                  <w:r>
                    <w:rPr>
                      <w:rFonts w:hint="default" w:ascii="Times New Roman" w:hAnsi="Times New Roman" w:eastAsia="宋体" w:cs="Times New Roman"/>
                      <w:i w:val="0"/>
                      <w:iCs w:val="0"/>
                      <w:caps w:val="0"/>
                      <w:color w:val="auto"/>
                      <w:spacing w:val="0"/>
                      <w:sz w:val="21"/>
                      <w:szCs w:val="21"/>
                      <w:shd w:val="clear" w:fill="FFFFFF"/>
                    </w:rPr>
                    <w:t>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0BE19370">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default" w:ascii="Times New Roman" w:hAnsi="Times New Roman" w:eastAsia="宋体" w:cs="Times New Roman"/>
                      <w:color w:val="auto"/>
                      <w:sz w:val="21"/>
                      <w:szCs w:val="21"/>
                      <w:highlight w:val="none"/>
                      <w:lang w:val="en-US" w:eastAsia="zh-CN"/>
                    </w:rPr>
                    <w:t>主要进行烫钻生产</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中间产品为珠柸及吸塑片，</w:t>
                  </w:r>
                  <w:r>
                    <w:rPr>
                      <w:rFonts w:hint="default" w:ascii="Times New Roman" w:hAnsi="Times New Roman" w:eastAsia="宋体" w:cs="Times New Roman"/>
                      <w:color w:val="auto"/>
                      <w:kern w:val="0"/>
                      <w:sz w:val="21"/>
                      <w:szCs w:val="21"/>
                      <w:highlight w:val="none"/>
                      <w:lang w:val="en-US" w:eastAsia="zh-CN" w:bidi="ar"/>
                    </w:rPr>
                    <w:t>不涉及使用</w:t>
                  </w:r>
                  <w:r>
                    <w:rPr>
                      <w:rFonts w:hint="eastAsia" w:cs="Times New Roman"/>
                      <w:color w:val="auto"/>
                      <w:kern w:val="0"/>
                      <w:sz w:val="21"/>
                      <w:szCs w:val="21"/>
                      <w:highlight w:val="none"/>
                      <w:lang w:val="en-US" w:eastAsia="zh-CN" w:bidi="ar"/>
                    </w:rPr>
                    <w:t>涂料、</w:t>
                  </w:r>
                  <w:r>
                    <w:rPr>
                      <w:rFonts w:hint="default" w:ascii="Times New Roman" w:hAnsi="Times New Roman" w:eastAsia="宋体" w:cs="Times New Roman"/>
                      <w:color w:val="auto"/>
                      <w:kern w:val="0"/>
                      <w:sz w:val="21"/>
                      <w:szCs w:val="21"/>
                      <w:highlight w:val="none"/>
                      <w:lang w:val="en-US" w:eastAsia="zh-CN" w:bidi="ar"/>
                    </w:rPr>
                    <w:t>油墨、胶粘剂和清洗剂。</w:t>
                  </w:r>
                </w:p>
                <w:p w14:paraId="2696DC34">
                  <w:pPr>
                    <w:keepNext w:val="0"/>
                    <w:keepLines w:val="0"/>
                    <w:widowControl/>
                    <w:suppressLineNumbers w:val="0"/>
                    <w:jc w:val="both"/>
                    <w:rPr>
                      <w:rFonts w:hint="default"/>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运营期有机废气产生环节主要为</w:t>
                  </w:r>
                  <w:r>
                    <w:rPr>
                      <w:rFonts w:hint="eastAsia" w:cs="Times New Roman"/>
                      <w:color w:val="auto"/>
                      <w:kern w:val="0"/>
                      <w:sz w:val="21"/>
                      <w:szCs w:val="21"/>
                      <w:highlight w:val="none"/>
                      <w:lang w:val="en-US" w:eastAsia="zh-CN" w:bidi="ar"/>
                    </w:rPr>
                    <w:t>吸塑片生产加热</w:t>
                  </w:r>
                  <w:r>
                    <w:rPr>
                      <w:rFonts w:hint="default" w:ascii="Times New Roman" w:hAnsi="Times New Roman" w:eastAsia="宋体" w:cs="Times New Roman"/>
                      <w:color w:val="auto"/>
                      <w:kern w:val="0"/>
                      <w:sz w:val="21"/>
                      <w:szCs w:val="21"/>
                      <w:highlight w:val="none"/>
                      <w:lang w:val="en-US" w:eastAsia="zh-CN" w:bidi="ar"/>
                    </w:rPr>
                    <w:t>、挤出及</w:t>
                  </w:r>
                  <w:r>
                    <w:rPr>
                      <w:rFonts w:hint="eastAsia" w:cs="Times New Roman"/>
                      <w:color w:val="auto"/>
                      <w:kern w:val="0"/>
                      <w:sz w:val="21"/>
                      <w:szCs w:val="21"/>
                      <w:highlight w:val="none"/>
                      <w:lang w:val="en-US" w:eastAsia="zh-CN" w:bidi="ar"/>
                    </w:rPr>
                    <w:t>压延等</w:t>
                  </w:r>
                  <w:r>
                    <w:rPr>
                      <w:rFonts w:hint="default" w:ascii="Times New Roman" w:hAnsi="Times New Roman" w:eastAsia="宋体" w:cs="Times New Roman"/>
                      <w:color w:val="auto"/>
                      <w:kern w:val="0"/>
                      <w:sz w:val="21"/>
                      <w:szCs w:val="21"/>
                      <w:highlight w:val="none"/>
                      <w:lang w:val="en-US" w:eastAsia="zh-CN" w:bidi="ar"/>
                    </w:rPr>
                    <w:t>工序，项目挤出机</w:t>
                  </w:r>
                  <w:r>
                    <w:rPr>
                      <w:rFonts w:hint="eastAsia" w:cs="Times New Roman"/>
                      <w:color w:val="auto"/>
                      <w:kern w:val="0"/>
                      <w:sz w:val="21"/>
                      <w:szCs w:val="21"/>
                      <w:highlight w:val="none"/>
                      <w:lang w:val="en-US" w:eastAsia="zh-CN" w:bidi="ar"/>
                    </w:rPr>
                    <w:t>等</w:t>
                  </w:r>
                  <w:r>
                    <w:rPr>
                      <w:rFonts w:hint="default" w:ascii="Times New Roman" w:hAnsi="Times New Roman" w:eastAsia="宋体" w:cs="Times New Roman"/>
                      <w:color w:val="auto"/>
                      <w:kern w:val="0"/>
                      <w:sz w:val="21"/>
                      <w:szCs w:val="21"/>
                      <w:highlight w:val="none"/>
                      <w:lang w:val="en-US" w:eastAsia="zh-CN" w:bidi="ar"/>
                    </w:rPr>
                    <w:t>上方设置集气罩对有机废气进行收集，有机废气</w:t>
                  </w:r>
                  <w:r>
                    <w:rPr>
                      <w:rFonts w:hint="eastAsia" w:cs="Times New Roman"/>
                      <w:color w:val="auto"/>
                      <w:kern w:val="0"/>
                      <w:sz w:val="21"/>
                      <w:szCs w:val="21"/>
                      <w:highlight w:val="none"/>
                      <w:lang w:val="en-US" w:eastAsia="zh-CN" w:bidi="ar"/>
                    </w:rPr>
                    <w:t>经集气罩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eastAsia" w:ascii="Times New Roman" w:hAnsi="Times New Roman"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三级</w:t>
                  </w:r>
                  <w:r>
                    <w:rPr>
                      <w:rFonts w:hint="eastAsia" w:ascii="Times New Roman" w:hAnsi="Times New Roman" w:cs="Times New Roman"/>
                      <w:color w:val="auto"/>
                      <w:sz w:val="21"/>
                      <w:szCs w:val="21"/>
                      <w:highlight w:val="none"/>
                      <w:shd w:val="clear" w:color="auto" w:fill="FFFFFF"/>
                      <w:lang w:val="en-US" w:eastAsia="zh-CN"/>
                    </w:rPr>
                    <w:t>活性炭吸附装置”</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13430378">
                  <w:pPr>
                    <w:keepNext w:val="0"/>
                    <w:keepLines w:val="0"/>
                    <w:pageBreakBefore w:val="0"/>
                    <w:widowControl w:val="0"/>
                    <w:kinsoku/>
                    <w:wordWrap/>
                    <w:overflowPunct/>
                    <w:topLinePunct w:val="0"/>
                    <w:bidi w:val="0"/>
                    <w:snapToGrid w:val="0"/>
                    <w:jc w:val="both"/>
                    <w:textAlignment w:val="auto"/>
                    <w:outlineLvl w:val="9"/>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符合</w:t>
                  </w:r>
                </w:p>
              </w:tc>
            </w:tr>
            <w:tr w14:paraId="59702158">
              <w:tblPrEx>
                <w:tblCellMar>
                  <w:top w:w="0" w:type="dxa"/>
                  <w:left w:w="108" w:type="dxa"/>
                  <w:bottom w:w="0" w:type="dxa"/>
                  <w:right w:w="108" w:type="dxa"/>
                </w:tblCellMar>
              </w:tblPrEx>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0E3D5A11">
                  <w:pPr>
                    <w:keepNext w:val="0"/>
                    <w:keepLines w:val="0"/>
                    <w:widowControl/>
                    <w:suppressLineNumbers w:val="0"/>
                    <w:jc w:val="both"/>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（八）推动绿色环保产业健康发展。</w:t>
                  </w:r>
                  <w:r>
                    <w:rPr>
                      <w:rFonts w:hint="default" w:ascii="Times New Roman" w:hAnsi="Times New Roman" w:eastAsia="宋体" w:cs="Times New Roman"/>
                      <w:i w:val="0"/>
                      <w:iCs w:val="0"/>
                      <w:caps w:val="0"/>
                      <w:color w:val="auto"/>
                      <w:spacing w:val="0"/>
                      <w:sz w:val="21"/>
                      <w:szCs w:val="21"/>
                      <w:shd w:val="clear" w:fill="FFFFFF"/>
                    </w:rPr>
                    <w:t>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19FD4325">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运营期有机废气产生环节主要为</w:t>
                  </w:r>
                  <w:r>
                    <w:rPr>
                      <w:rFonts w:hint="eastAsia" w:cs="Times New Roman"/>
                      <w:color w:val="auto"/>
                      <w:kern w:val="0"/>
                      <w:sz w:val="21"/>
                      <w:szCs w:val="21"/>
                      <w:highlight w:val="none"/>
                      <w:lang w:val="en-US" w:eastAsia="zh-CN" w:bidi="ar"/>
                    </w:rPr>
                    <w:t>吸塑片生产加热</w:t>
                  </w:r>
                  <w:r>
                    <w:rPr>
                      <w:rFonts w:hint="default" w:ascii="Times New Roman" w:hAnsi="Times New Roman" w:eastAsia="宋体" w:cs="Times New Roman"/>
                      <w:color w:val="auto"/>
                      <w:kern w:val="0"/>
                      <w:sz w:val="21"/>
                      <w:szCs w:val="21"/>
                      <w:highlight w:val="none"/>
                      <w:lang w:val="en-US" w:eastAsia="zh-CN" w:bidi="ar"/>
                    </w:rPr>
                    <w:t>、挤出及</w:t>
                  </w:r>
                  <w:r>
                    <w:rPr>
                      <w:rFonts w:hint="eastAsia" w:cs="Times New Roman"/>
                      <w:color w:val="auto"/>
                      <w:kern w:val="0"/>
                      <w:sz w:val="21"/>
                      <w:szCs w:val="21"/>
                      <w:highlight w:val="none"/>
                      <w:lang w:val="en-US" w:eastAsia="zh-CN" w:bidi="ar"/>
                    </w:rPr>
                    <w:t>压延等</w:t>
                  </w:r>
                  <w:r>
                    <w:rPr>
                      <w:rFonts w:hint="default" w:ascii="Times New Roman" w:hAnsi="Times New Roman" w:eastAsia="宋体" w:cs="Times New Roman"/>
                      <w:color w:val="auto"/>
                      <w:kern w:val="0"/>
                      <w:sz w:val="21"/>
                      <w:szCs w:val="21"/>
                      <w:highlight w:val="none"/>
                      <w:lang w:val="en-US" w:eastAsia="zh-CN" w:bidi="ar"/>
                    </w:rPr>
                    <w:t>工序，项目挤出机</w:t>
                  </w:r>
                  <w:r>
                    <w:rPr>
                      <w:rFonts w:hint="eastAsia" w:cs="Times New Roman"/>
                      <w:color w:val="auto"/>
                      <w:kern w:val="0"/>
                      <w:sz w:val="21"/>
                      <w:szCs w:val="21"/>
                      <w:highlight w:val="none"/>
                      <w:lang w:val="en-US" w:eastAsia="zh-CN" w:bidi="ar"/>
                    </w:rPr>
                    <w:t>等</w:t>
                  </w:r>
                  <w:r>
                    <w:rPr>
                      <w:rFonts w:hint="default" w:ascii="Times New Roman" w:hAnsi="Times New Roman" w:eastAsia="宋体" w:cs="Times New Roman"/>
                      <w:color w:val="auto"/>
                      <w:kern w:val="0"/>
                      <w:sz w:val="21"/>
                      <w:szCs w:val="21"/>
                      <w:highlight w:val="none"/>
                      <w:lang w:val="en-US" w:eastAsia="zh-CN" w:bidi="ar"/>
                    </w:rPr>
                    <w:t>上方设置集气罩对有机废气进行收集，有机废气</w:t>
                  </w:r>
                  <w:r>
                    <w:rPr>
                      <w:rFonts w:hint="eastAsia" w:cs="Times New Roman"/>
                      <w:color w:val="auto"/>
                      <w:kern w:val="0"/>
                      <w:sz w:val="21"/>
                      <w:szCs w:val="21"/>
                      <w:highlight w:val="none"/>
                      <w:lang w:val="en-US" w:eastAsia="zh-CN" w:bidi="ar"/>
                    </w:rPr>
                    <w:t>经集气罩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eastAsia" w:ascii="Times New Roman" w:hAnsi="Times New Roman"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三级</w:t>
                  </w:r>
                  <w:r>
                    <w:rPr>
                      <w:rFonts w:hint="eastAsia" w:ascii="Times New Roman" w:hAnsi="Times New Roman" w:cs="Times New Roman"/>
                      <w:color w:val="auto"/>
                      <w:sz w:val="21"/>
                      <w:szCs w:val="21"/>
                      <w:highlight w:val="none"/>
                      <w:shd w:val="clear" w:color="auto" w:fill="FFFFFF"/>
                      <w:lang w:val="en-US" w:eastAsia="zh-CN"/>
                    </w:rPr>
                    <w:t>活性炭吸附装置”</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7E4697EC">
                  <w:pPr>
                    <w:keepNext w:val="0"/>
                    <w:keepLines w:val="0"/>
                    <w:pageBreakBefore w:val="0"/>
                    <w:widowControl w:val="0"/>
                    <w:kinsoku/>
                    <w:wordWrap/>
                    <w:overflowPunct/>
                    <w:topLinePunct w:val="0"/>
                    <w:bidi w:val="0"/>
                    <w:snapToGrid w:val="0"/>
                    <w:jc w:val="both"/>
                    <w:textAlignment w:val="auto"/>
                    <w:outlineLvl w:val="9"/>
                    <w:rPr>
                      <w:rFonts w:hint="default" w:ascii="Times New Roman" w:hAnsi="Times New Roman" w:eastAsia="宋体" w:cs="Times New Roman"/>
                      <w:caps w:val="0"/>
                      <w:smallCaps w:val="0"/>
                      <w:color w:val="auto"/>
                      <w:sz w:val="21"/>
                      <w:szCs w:val="21"/>
                      <w:highlight w:val="none"/>
                      <w:lang w:val="en-US" w:eastAsia="zh-CN"/>
                    </w:rPr>
                  </w:pPr>
                  <w:r>
                    <w:rPr>
                      <w:rFonts w:hint="default" w:ascii="Times New Roman" w:hAnsi="Times New Roman" w:eastAsia="宋体" w:cs="Times New Roman"/>
                      <w:caps w:val="0"/>
                      <w:smallCaps w:val="0"/>
                      <w:color w:val="auto"/>
                      <w:sz w:val="21"/>
                      <w:szCs w:val="21"/>
                      <w:highlight w:val="none"/>
                      <w:lang w:val="en-US" w:eastAsia="zh-CN"/>
                    </w:rPr>
                    <w:t>符合</w:t>
                  </w:r>
                </w:p>
              </w:tc>
            </w:tr>
            <w:tr w14:paraId="26742F8C">
              <w:tblPrEx>
                <w:tblCellMar>
                  <w:top w:w="0" w:type="dxa"/>
                  <w:left w:w="108" w:type="dxa"/>
                  <w:bottom w:w="0" w:type="dxa"/>
                  <w:right w:w="108" w:type="dxa"/>
                </w:tblCellMar>
              </w:tblPrEx>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153AA860">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（九）大力发展新能源和清洁能源。</w:t>
                  </w:r>
                  <w:r>
                    <w:rPr>
                      <w:rFonts w:hint="default" w:ascii="Times New Roman" w:hAnsi="Times New Roman" w:eastAsia="宋体" w:cs="Times New Roman"/>
                      <w:color w:val="auto"/>
                      <w:kern w:val="0"/>
                      <w:sz w:val="21"/>
                      <w:szCs w:val="21"/>
                      <w:lang w:val="en-US" w:eastAsia="zh-CN" w:bidi="ar"/>
                    </w:rPr>
                    <w:t>到2025年，非化石能源消费比重达20%左右，电能占终端能源消费比重达30%左右。持续增加天然气生产供应，新增天然气优先保障居民生活和清洁取暖需求。</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65DC0B75">
                  <w:pPr>
                    <w:pStyle w:val="48"/>
                    <w:spacing w:before="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 xml:space="preserve">项目生产线采用电能，为清洁能源。 </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7E5A4154">
                  <w:pPr>
                    <w:keepNext w:val="0"/>
                    <w:keepLines w:val="0"/>
                    <w:pageBreakBefore w:val="0"/>
                    <w:widowControl w:val="0"/>
                    <w:kinsoku/>
                    <w:wordWrap/>
                    <w:overflowPunct/>
                    <w:topLinePunct w:val="0"/>
                    <w:bidi w:val="0"/>
                    <w:snapToGrid w:val="0"/>
                    <w:jc w:val="both"/>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符合</w:t>
                  </w:r>
                </w:p>
              </w:tc>
            </w:tr>
            <w:tr w14:paraId="431194A7">
              <w:tblPrEx>
                <w:tblCellMar>
                  <w:top w:w="0" w:type="dxa"/>
                  <w:left w:w="108" w:type="dxa"/>
                  <w:bottom w:w="0" w:type="dxa"/>
                  <w:right w:w="108" w:type="dxa"/>
                </w:tblCellMar>
              </w:tblPrEx>
              <w:trPr>
                <w:trHeight w:val="340" w:hRule="atLeast"/>
                <w:jc w:val="center"/>
              </w:trPr>
              <w:tc>
                <w:tcPr>
                  <w:tcW w:w="4071"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000D85EA">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（十四）持续优化调整货物运输结构。</w:t>
                  </w:r>
                  <w:r>
                    <w:rPr>
                      <w:rFonts w:hint="eastAsia" w:ascii="Times New Roman" w:hAnsi="Times New Roman" w:eastAsia="宋体" w:cs="Times New Roman"/>
                      <w:color w:val="auto"/>
                      <w:kern w:val="0"/>
                      <w:sz w:val="21"/>
                      <w:szCs w:val="21"/>
                      <w:lang w:val="en-US" w:eastAsia="zh-CN" w:bidi="ar"/>
                    </w:rPr>
                    <w:t>大宗货物中长距</w:t>
                  </w:r>
                  <w:r>
                    <w:rPr>
                      <w:rFonts w:hint="default" w:ascii="Times New Roman" w:hAnsi="Times New Roman" w:eastAsia="宋体" w:cs="Times New Roman"/>
                      <w:color w:val="auto"/>
                      <w:kern w:val="0"/>
                      <w:sz w:val="21"/>
                      <w:szCs w:val="21"/>
                      <w:lang w:val="en-US" w:eastAsia="zh-CN" w:bidi="ar"/>
                    </w:rPr>
                    <w:t>离运输优先采用铁路、水路运输，短距离运输优先采用封闭式皮带廊道或新能源车船。探索将清洁运输作为煤矿、钢铁、火电、有色、焦化、煤化工等行业新改扩建项目审核和监管重点。</w:t>
                  </w:r>
                </w:p>
              </w:tc>
              <w:tc>
                <w:tcPr>
                  <w:tcW w:w="359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7F457BF1">
                  <w:pPr>
                    <w:pStyle w:val="48"/>
                    <w:spacing w:before="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项目建成后原材料及产品建议运输车辆全部采用达到国六排放标准的汽车进行运输</w:t>
                  </w:r>
                  <w:r>
                    <w:rPr>
                      <w:rFonts w:hint="default" w:ascii="Times New Roman" w:hAnsi="Times New Roman" w:eastAsia="宋体" w:cs="Times New Roman"/>
                      <w:b w:val="0"/>
                      <w:bCs w:val="0"/>
                      <w:color w:val="auto"/>
                      <w:kern w:val="0"/>
                      <w:sz w:val="21"/>
                      <w:szCs w:val="21"/>
                      <w:highlight w:val="none"/>
                    </w:rPr>
                    <w:t>。</w:t>
                  </w:r>
                </w:p>
              </w:tc>
              <w:tc>
                <w:tcPr>
                  <w:tcW w:w="833" w:type="dxa"/>
                  <w:tcBorders>
                    <w:top w:val="single" w:color="231F20" w:sz="4" w:space="0"/>
                    <w:left w:val="single" w:color="231F20" w:sz="4" w:space="0"/>
                    <w:bottom w:val="single" w:color="231F20" w:sz="4" w:space="0"/>
                    <w:right w:val="single" w:color="231F20" w:sz="4" w:space="0"/>
                  </w:tcBorders>
                  <w:tcMar>
                    <w:top w:w="0" w:type="dxa"/>
                    <w:left w:w="57" w:type="dxa"/>
                    <w:bottom w:w="0" w:type="dxa"/>
                    <w:right w:w="57" w:type="dxa"/>
                  </w:tcMar>
                  <w:vAlign w:val="center"/>
                </w:tcPr>
                <w:p w14:paraId="088152F0">
                  <w:pPr>
                    <w:keepNext w:val="0"/>
                    <w:keepLines w:val="0"/>
                    <w:pageBreakBefore w:val="0"/>
                    <w:widowControl w:val="0"/>
                    <w:kinsoku/>
                    <w:wordWrap/>
                    <w:overflowPunct/>
                    <w:topLinePunct w:val="0"/>
                    <w:bidi w:val="0"/>
                    <w:snapToGrid w:val="0"/>
                    <w:jc w:val="both"/>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lang w:val="en-US" w:eastAsia="zh-CN"/>
                    </w:rPr>
                    <w:t>符合</w:t>
                  </w:r>
                </w:p>
              </w:tc>
            </w:tr>
          </w:tbl>
          <w:p w14:paraId="2DC58C8C">
            <w:pPr>
              <w:pStyle w:val="16"/>
              <w:keepNext w:val="0"/>
              <w:keepLines w:val="0"/>
              <w:pageBreakBefore w:val="0"/>
              <w:widowControl w:val="0"/>
              <w:kinsoku/>
              <w:wordWrap/>
              <w:overflowPunct/>
              <w:topLinePunct/>
              <w:autoSpaceDE w:val="0"/>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sz w:val="24"/>
                <w:szCs w:val="24"/>
                <w:highlight w:val="none"/>
                <w:lang w:val="en-US" w:eastAsia="zh-CN"/>
              </w:rPr>
              <w:t>综上</w:t>
            </w:r>
            <w:r>
              <w:rPr>
                <w:rFonts w:hint="default" w:ascii="Times New Roman" w:hAnsi="Times New Roman" w:eastAsia="宋体" w:cs="Times New Roman"/>
                <w:caps w:val="0"/>
                <w:smallCaps w:val="0"/>
                <w:color w:val="auto"/>
                <w:sz w:val="24"/>
                <w:szCs w:val="24"/>
                <w:highlight w:val="none"/>
                <w:lang w:val="en-US" w:eastAsia="zh-CN"/>
              </w:rPr>
              <w:t>，本项目建设符合</w:t>
            </w:r>
            <w:r>
              <w:rPr>
                <w:rFonts w:hint="eastAsia" w:ascii="Times New Roman" w:hAnsi="Times New Roman" w:cs="Times New Roman"/>
                <w:color w:val="auto"/>
                <w:sz w:val="24"/>
                <w:szCs w:val="24"/>
              </w:rPr>
              <w:t>《空气质量持续改善行动计划》</w:t>
            </w:r>
            <w:r>
              <w:rPr>
                <w:rFonts w:hint="default" w:ascii="Times New Roman" w:hAnsi="Times New Roman" w:eastAsia="宋体" w:cs="Times New Roman"/>
                <w:caps w:val="0"/>
                <w:smallCaps w:val="0"/>
                <w:color w:val="auto"/>
                <w:sz w:val="24"/>
                <w:szCs w:val="24"/>
                <w:highlight w:val="none"/>
                <w:lang w:val="en-US" w:eastAsia="zh-CN"/>
              </w:rPr>
              <w:t>中相关规定</w:t>
            </w:r>
            <w:r>
              <w:rPr>
                <w:rFonts w:hint="eastAsia" w:ascii="Times New Roman" w:hAnsi="Times New Roman" w:eastAsia="宋体" w:cs="Times New Roman"/>
                <w:caps w:val="0"/>
                <w:smallCaps w:val="0"/>
                <w:color w:val="auto"/>
                <w:sz w:val="24"/>
                <w:szCs w:val="24"/>
                <w:highlight w:val="none"/>
                <w:lang w:val="en-US" w:eastAsia="zh-CN"/>
              </w:rPr>
              <w:t>。</w:t>
            </w:r>
          </w:p>
          <w:p w14:paraId="011DF7DA">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14.</w:t>
            </w:r>
            <w:r>
              <w:rPr>
                <w:rFonts w:hint="default" w:ascii="Times New Roman" w:hAnsi="Times New Roman" w:eastAsia="宋体" w:cs="Times New Roman"/>
                <w:b/>
                <w:bCs/>
                <w:color w:val="auto"/>
                <w:kern w:val="0"/>
                <w:sz w:val="24"/>
                <w:szCs w:val="24"/>
                <w:lang w:val="en-US" w:eastAsia="zh-CN" w:bidi="ar-SA"/>
              </w:rPr>
              <w:t>与《云南省空气质量持续改善行动实施方案》的符合性分析</w:t>
            </w:r>
          </w:p>
          <w:p w14:paraId="4A685230">
            <w:pPr>
              <w:pStyle w:val="74"/>
              <w:topLinePunct w:val="0"/>
              <w:bidi w:val="0"/>
              <w:adjustRightInd w:val="0"/>
              <w:snapToGrid w:val="0"/>
              <w:spacing w:after="0" w:afterLines="0" w:line="360" w:lineRule="auto"/>
              <w:ind w:left="0" w:leftChars="0" w:right="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根据云南省人民政府关于印发《云南省空气质量持续改善行动实施方案》的通知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云政发〔2024〕14号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分析</w:t>
            </w:r>
            <w:r>
              <w:rPr>
                <w:rFonts w:hint="eastAsia" w:cs="Times New Roman"/>
                <w:color w:val="auto"/>
                <w:sz w:val="24"/>
                <w:szCs w:val="24"/>
                <w:lang w:val="en-US" w:eastAsia="zh-CN"/>
              </w:rPr>
              <w:t>见下表。</w:t>
            </w:r>
          </w:p>
          <w:p w14:paraId="7493F4EF">
            <w:pPr>
              <w:pStyle w:val="74"/>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b/>
                <w:bCs/>
                <w:color w:val="auto"/>
                <w:sz w:val="21"/>
                <w:szCs w:val="18"/>
                <w:lang w:val="en-US" w:eastAsia="zh-CN"/>
              </w:rPr>
            </w:pPr>
            <w:r>
              <w:rPr>
                <w:rFonts w:hint="default" w:ascii="Times New Roman" w:hAnsi="Times New Roman" w:eastAsia="宋体" w:cs="Times New Roman"/>
                <w:b/>
                <w:bCs/>
                <w:color w:val="auto"/>
                <w:sz w:val="21"/>
                <w:szCs w:val="18"/>
              </w:rPr>
              <w:t>表1-1</w:t>
            </w:r>
            <w:r>
              <w:rPr>
                <w:rFonts w:hint="eastAsia" w:cs="Times New Roman"/>
                <w:b/>
                <w:bCs/>
                <w:color w:val="auto"/>
                <w:sz w:val="21"/>
                <w:szCs w:val="18"/>
                <w:lang w:val="en-US" w:eastAsia="zh-CN"/>
              </w:rPr>
              <w:t>6</w:t>
            </w:r>
            <w:r>
              <w:rPr>
                <w:rFonts w:hint="eastAsia" w:ascii="Times New Roman" w:hAnsi="Times New Roman" w:cs="Times New Roman"/>
                <w:b/>
                <w:bCs/>
                <w:color w:val="auto"/>
                <w:sz w:val="21"/>
                <w:szCs w:val="18"/>
                <w:lang w:val="en-US" w:eastAsia="zh-CN"/>
              </w:rPr>
              <w:t xml:space="preserve"> </w:t>
            </w:r>
            <w:r>
              <w:rPr>
                <w:rFonts w:hint="eastAsia" w:ascii="Times New Roman" w:hAnsi="Times New Roman" w:eastAsia="宋体" w:cs="Times New Roman"/>
                <w:b/>
                <w:bCs/>
                <w:color w:val="auto"/>
                <w:sz w:val="21"/>
                <w:szCs w:val="18"/>
                <w:lang w:val="en-US" w:eastAsia="zh-CN"/>
              </w:rPr>
              <w:t xml:space="preserve"> </w:t>
            </w:r>
            <w:r>
              <w:rPr>
                <w:rFonts w:hint="default" w:ascii="Times New Roman" w:hAnsi="Times New Roman" w:eastAsia="宋体" w:cs="Times New Roman"/>
                <w:b/>
                <w:bCs/>
                <w:color w:val="auto"/>
                <w:sz w:val="21"/>
                <w:szCs w:val="18"/>
              </w:rPr>
              <w:t>与《云南省空气质量持续改善行动实施方案》的符合性分析表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909"/>
              <w:gridCol w:w="2317"/>
              <w:gridCol w:w="732"/>
            </w:tblGrid>
            <w:tr w14:paraId="3A9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7" w:type="pct"/>
                  <w:gridSpan w:val="2"/>
                  <w:noWrap w:val="0"/>
                  <w:vAlign w:val="center"/>
                </w:tcPr>
                <w:p w14:paraId="4D64F8B3">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通知要求</w:t>
                  </w:r>
                  <w:r>
                    <w:rPr>
                      <w:rFonts w:hint="eastAsia" w:ascii="Times New Roman" w:hAnsi="Times New Roman" w:cs="Times New Roman"/>
                      <w:b/>
                      <w:bCs/>
                      <w:color w:val="auto"/>
                      <w:sz w:val="21"/>
                      <w:szCs w:val="18"/>
                      <w:lang w:eastAsia="zh-CN"/>
                    </w:rPr>
                    <w:t>（</w:t>
                  </w:r>
                  <w:r>
                    <w:rPr>
                      <w:rFonts w:hint="default" w:ascii="Times New Roman" w:hAnsi="Times New Roman" w:eastAsia="宋体" w:cs="Times New Roman"/>
                      <w:b/>
                      <w:bCs/>
                      <w:color w:val="auto"/>
                      <w:sz w:val="21"/>
                      <w:szCs w:val="18"/>
                      <w:lang w:val="en-US" w:eastAsia="zh-CN"/>
                    </w:rPr>
                    <w:t>摘抄</w:t>
                  </w:r>
                  <w:r>
                    <w:rPr>
                      <w:rFonts w:hint="eastAsia" w:ascii="Times New Roman" w:hAnsi="Times New Roman" w:cs="Times New Roman"/>
                      <w:b/>
                      <w:bCs/>
                      <w:color w:val="auto"/>
                      <w:sz w:val="21"/>
                      <w:szCs w:val="18"/>
                      <w:lang w:val="en-US" w:eastAsia="zh-CN"/>
                    </w:rPr>
                    <w:t>）</w:t>
                  </w:r>
                </w:p>
              </w:tc>
              <w:tc>
                <w:tcPr>
                  <w:tcW w:w="1749" w:type="pct"/>
                  <w:noWrap w:val="0"/>
                  <w:vAlign w:val="center"/>
                </w:tcPr>
                <w:p w14:paraId="4FE327C5">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本项目情况</w:t>
                  </w:r>
                </w:p>
              </w:tc>
              <w:tc>
                <w:tcPr>
                  <w:tcW w:w="552" w:type="pct"/>
                  <w:noWrap w:val="0"/>
                  <w:vAlign w:val="center"/>
                </w:tcPr>
                <w:p w14:paraId="68FD1ACC">
                  <w:pPr>
                    <w:pStyle w:val="74"/>
                    <w:topLinePunct w:val="0"/>
                    <w:bidi w:val="0"/>
                    <w:adjustRightInd w:val="0"/>
                    <w:snapToGrid w:val="0"/>
                    <w:spacing w:after="0" w:afterLines="0"/>
                    <w:ind w:left="0" w:leftChars="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416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00F05500">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Style w:val="32"/>
                      <w:rFonts w:hint="default" w:ascii="Times New Roman" w:hAnsi="Times New Roman" w:eastAsia="宋体" w:cs="Times New Roman"/>
                      <w:i w:val="0"/>
                      <w:iCs w:val="0"/>
                      <w:caps w:val="0"/>
                      <w:color w:val="auto"/>
                      <w:spacing w:val="0"/>
                      <w:sz w:val="21"/>
                      <w:szCs w:val="21"/>
                      <w:shd w:val="clear" w:color="auto" w:fill="FFFFFF"/>
                    </w:rPr>
                    <w:t>二、优化产业结构</w:t>
                  </w:r>
                </w:p>
              </w:tc>
              <w:tc>
                <w:tcPr>
                  <w:tcW w:w="2196" w:type="pct"/>
                  <w:noWrap w:val="0"/>
                  <w:vAlign w:val="center"/>
                </w:tcPr>
                <w:p w14:paraId="6950087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val="0"/>
                    <w:spacing w:before="0" w:beforeAutospacing="0" w:after="0" w:afterLines="0" w:afterAutospacing="0" w:line="240" w:lineRule="auto"/>
                    <w:ind w:left="0" w:leftChars="0" w:right="0"/>
                    <w:jc w:val="both"/>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rPr>
                    <w:t>（四）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2257EE4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val="0"/>
                    <w:spacing w:before="0" w:beforeAutospacing="0" w:after="0" w:afterLines="0" w:afterAutospacing="0" w:line="240" w:lineRule="auto"/>
                    <w:ind w:left="0" w:leftChars="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五）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r>
                    <w:rPr>
                      <w:rFonts w:hint="default" w:ascii="Times New Roman" w:hAnsi="Times New Roman" w:eastAsia="宋体" w:cs="Times New Roman"/>
                      <w:color w:val="auto"/>
                      <w:sz w:val="21"/>
                      <w:szCs w:val="21"/>
                    </w:rPr>
                    <w:t>。</w:t>
                  </w:r>
                </w:p>
              </w:tc>
              <w:tc>
                <w:tcPr>
                  <w:tcW w:w="1749" w:type="pct"/>
                  <w:shd w:val="clear" w:color="auto" w:fill="auto"/>
                  <w:noWrap w:val="0"/>
                  <w:vAlign w:val="center"/>
                </w:tcPr>
                <w:p w14:paraId="1AD7991D">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highlight w:val="none"/>
                      <w:lang w:val="en-US" w:eastAsia="zh-CN"/>
                    </w:rPr>
                    <w:t>本项目主要进行烫钻生产，属于非金属矿物制品业</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highlight w:val="none"/>
                      <w:lang w:val="en-US" w:eastAsia="zh-CN" w:bidi="ar"/>
                    </w:rPr>
                    <w:t>不涉及使用</w:t>
                  </w:r>
                  <w:r>
                    <w:rPr>
                      <w:rFonts w:hint="eastAsia" w:cs="Times New Roman"/>
                      <w:color w:val="auto"/>
                      <w:kern w:val="0"/>
                      <w:sz w:val="21"/>
                      <w:szCs w:val="21"/>
                      <w:highlight w:val="none"/>
                      <w:lang w:val="en-US" w:eastAsia="zh-CN" w:bidi="ar"/>
                    </w:rPr>
                    <w:t>涂料、</w:t>
                  </w:r>
                  <w:r>
                    <w:rPr>
                      <w:rFonts w:hint="default" w:ascii="Times New Roman" w:hAnsi="Times New Roman" w:eastAsia="宋体" w:cs="Times New Roman"/>
                      <w:color w:val="auto"/>
                      <w:kern w:val="0"/>
                      <w:sz w:val="21"/>
                      <w:szCs w:val="21"/>
                      <w:highlight w:val="none"/>
                      <w:lang w:val="en-US" w:eastAsia="zh-CN" w:bidi="ar"/>
                    </w:rPr>
                    <w:t>油墨、胶粘剂和清洗剂。</w:t>
                  </w:r>
                </w:p>
                <w:p w14:paraId="3ABDA0F6">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kern w:val="0"/>
                      <w:sz w:val="21"/>
                      <w:szCs w:val="21"/>
                      <w:highlight w:val="none"/>
                      <w:lang w:val="en-US" w:eastAsia="zh-CN" w:bidi="ar"/>
                    </w:rPr>
                    <w:t>运营期有机废气产生环节主要为</w:t>
                  </w:r>
                  <w:r>
                    <w:rPr>
                      <w:rFonts w:hint="eastAsia" w:cs="Times New Roman"/>
                      <w:color w:val="auto"/>
                      <w:kern w:val="0"/>
                      <w:sz w:val="21"/>
                      <w:szCs w:val="21"/>
                      <w:highlight w:val="none"/>
                      <w:lang w:val="en-US" w:eastAsia="zh-CN" w:bidi="ar"/>
                    </w:rPr>
                    <w:t>吸塑片生产加热</w:t>
                  </w:r>
                  <w:r>
                    <w:rPr>
                      <w:rFonts w:hint="default" w:ascii="Times New Roman" w:hAnsi="Times New Roman" w:eastAsia="宋体" w:cs="Times New Roman"/>
                      <w:color w:val="auto"/>
                      <w:kern w:val="0"/>
                      <w:sz w:val="21"/>
                      <w:szCs w:val="21"/>
                      <w:highlight w:val="none"/>
                      <w:lang w:val="en-US" w:eastAsia="zh-CN" w:bidi="ar"/>
                    </w:rPr>
                    <w:t>、挤出及</w:t>
                  </w:r>
                  <w:r>
                    <w:rPr>
                      <w:rFonts w:hint="eastAsia" w:cs="Times New Roman"/>
                      <w:color w:val="auto"/>
                      <w:kern w:val="0"/>
                      <w:sz w:val="21"/>
                      <w:szCs w:val="21"/>
                      <w:highlight w:val="none"/>
                      <w:lang w:val="en-US" w:eastAsia="zh-CN" w:bidi="ar"/>
                    </w:rPr>
                    <w:t>压延等</w:t>
                  </w:r>
                  <w:r>
                    <w:rPr>
                      <w:rFonts w:hint="default" w:ascii="Times New Roman" w:hAnsi="Times New Roman" w:eastAsia="宋体" w:cs="Times New Roman"/>
                      <w:color w:val="auto"/>
                      <w:kern w:val="0"/>
                      <w:sz w:val="21"/>
                      <w:szCs w:val="21"/>
                      <w:highlight w:val="none"/>
                      <w:lang w:val="en-US" w:eastAsia="zh-CN" w:bidi="ar"/>
                    </w:rPr>
                    <w:t>工序，项目挤出机</w:t>
                  </w:r>
                  <w:r>
                    <w:rPr>
                      <w:rFonts w:hint="eastAsia" w:cs="Times New Roman"/>
                      <w:color w:val="auto"/>
                      <w:kern w:val="0"/>
                      <w:sz w:val="21"/>
                      <w:szCs w:val="21"/>
                      <w:highlight w:val="none"/>
                      <w:lang w:val="en-US" w:eastAsia="zh-CN" w:bidi="ar"/>
                    </w:rPr>
                    <w:t>等</w:t>
                  </w:r>
                  <w:r>
                    <w:rPr>
                      <w:rFonts w:hint="default" w:ascii="Times New Roman" w:hAnsi="Times New Roman" w:eastAsia="宋体" w:cs="Times New Roman"/>
                      <w:color w:val="auto"/>
                      <w:kern w:val="0"/>
                      <w:sz w:val="21"/>
                      <w:szCs w:val="21"/>
                      <w:highlight w:val="none"/>
                      <w:lang w:val="en-US" w:eastAsia="zh-CN" w:bidi="ar"/>
                    </w:rPr>
                    <w:t>上方设置集气罩对有机废气进行收集，有机废气</w:t>
                  </w:r>
                  <w:r>
                    <w:rPr>
                      <w:rFonts w:hint="eastAsia" w:cs="Times New Roman"/>
                      <w:color w:val="auto"/>
                      <w:kern w:val="0"/>
                      <w:sz w:val="21"/>
                      <w:szCs w:val="21"/>
                      <w:highlight w:val="none"/>
                      <w:lang w:val="en-US" w:eastAsia="zh-CN" w:bidi="ar"/>
                    </w:rPr>
                    <w:t>经集气罩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eastAsia" w:ascii="Times New Roman" w:hAnsi="Times New Roman"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三级</w:t>
                  </w:r>
                  <w:r>
                    <w:rPr>
                      <w:rFonts w:hint="eastAsia" w:ascii="Times New Roman" w:hAnsi="Times New Roman" w:cs="Times New Roman"/>
                      <w:color w:val="auto"/>
                      <w:sz w:val="21"/>
                      <w:szCs w:val="21"/>
                      <w:highlight w:val="none"/>
                      <w:shd w:val="clear" w:color="auto" w:fill="FFFFFF"/>
                      <w:lang w:val="en-US" w:eastAsia="zh-CN"/>
                    </w:rPr>
                    <w:t>活性炭吸附装置”</w:t>
                  </w:r>
                  <w:r>
                    <w:rPr>
                      <w:rFonts w:hint="default" w:ascii="Times New Roman" w:hAnsi="Times New Roman" w:eastAsia="宋体" w:cs="Times New Roman"/>
                      <w:color w:val="auto"/>
                      <w:kern w:val="0"/>
                      <w:sz w:val="21"/>
                      <w:szCs w:val="21"/>
                      <w:highlight w:val="none"/>
                      <w:lang w:val="en-US" w:eastAsia="zh-CN" w:bidi="ar"/>
                    </w:rPr>
                    <w:t>处理达标后由15m高排气筒排放。</w:t>
                  </w:r>
                </w:p>
              </w:tc>
              <w:tc>
                <w:tcPr>
                  <w:tcW w:w="552" w:type="pct"/>
                  <w:noWrap w:val="0"/>
                  <w:vAlign w:val="center"/>
                </w:tcPr>
                <w:p w14:paraId="6AD8BF62">
                  <w:pPr>
                    <w:pStyle w:val="74"/>
                    <w:topLinePunct w:val="0"/>
                    <w:bidi w:val="0"/>
                    <w:adjustRightInd w:val="0"/>
                    <w:snapToGrid w:val="0"/>
                    <w:spacing w:after="0" w:afterLines="0"/>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484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42ACEE69">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Style w:val="32"/>
                      <w:rFonts w:hint="default" w:ascii="Times New Roman" w:hAnsi="Times New Roman" w:eastAsia="宋体" w:cs="Times New Roman"/>
                      <w:i w:val="0"/>
                      <w:iCs w:val="0"/>
                      <w:caps w:val="0"/>
                      <w:color w:val="auto"/>
                      <w:spacing w:val="0"/>
                      <w:sz w:val="21"/>
                      <w:szCs w:val="21"/>
                      <w:shd w:val="clear" w:color="auto" w:fill="FFFFFF"/>
                    </w:rPr>
                    <w:t>三、优化能源结构</w:t>
                  </w:r>
                </w:p>
              </w:tc>
              <w:tc>
                <w:tcPr>
                  <w:tcW w:w="2196" w:type="pct"/>
                  <w:noWrap w:val="0"/>
                  <w:vAlign w:val="center"/>
                </w:tcPr>
                <w:p w14:paraId="7502AE04">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rPr>
                    <w:t>（九）推动工业炉窑清洁能源替代。有序推进以电代煤，积极稳妥推进以气代煤。对以煤、石油焦、渣油、重油等为燃料的工业炉窑，加快使用工业余热、电能、天然气等清洁能源进行替代</w:t>
                  </w:r>
                  <w:r>
                    <w:rPr>
                      <w:rFonts w:hint="default" w:ascii="Times New Roman" w:hAnsi="Times New Roman" w:eastAsia="宋体" w:cs="Times New Roman"/>
                      <w:color w:val="auto"/>
                      <w:sz w:val="21"/>
                      <w:szCs w:val="21"/>
                    </w:rPr>
                    <w:t>。</w:t>
                  </w:r>
                </w:p>
              </w:tc>
              <w:tc>
                <w:tcPr>
                  <w:tcW w:w="1749" w:type="pct"/>
                  <w:noWrap w:val="0"/>
                  <w:vAlign w:val="center"/>
                </w:tcPr>
                <w:p w14:paraId="3745FDC9">
                  <w:pPr>
                    <w:pStyle w:val="74"/>
                    <w:keepNext w:val="0"/>
                    <w:keepLines w:val="0"/>
                    <w:pageBreakBefore w:val="0"/>
                    <w:kinsoku/>
                    <w:wordWrap/>
                    <w:overflowPunct/>
                    <w:topLinePunct w:val="0"/>
                    <w:autoSpaceDE/>
                    <w:autoSpaceDN/>
                    <w:bidi w:val="0"/>
                    <w:adjustRightInd w:val="0"/>
                    <w:snapToGrid w:val="0"/>
                    <w:spacing w:after="0" w:afterLines="0" w:line="240" w:lineRule="auto"/>
                    <w:ind w:left="0" w:leftChars="0" w:right="0"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本项目采用电能供热</w:t>
                  </w:r>
                  <w:r>
                    <w:rPr>
                      <w:rFonts w:hint="default" w:ascii="Times New Roman" w:hAnsi="Times New Roman" w:eastAsia="宋体" w:cs="Times New Roman"/>
                      <w:color w:val="auto"/>
                      <w:sz w:val="21"/>
                      <w:szCs w:val="21"/>
                    </w:rPr>
                    <w:t>。</w:t>
                  </w:r>
                </w:p>
              </w:tc>
              <w:tc>
                <w:tcPr>
                  <w:tcW w:w="552" w:type="pct"/>
                  <w:noWrap w:val="0"/>
                  <w:vAlign w:val="center"/>
                </w:tcPr>
                <w:p w14:paraId="7309F3FD">
                  <w:pPr>
                    <w:pStyle w:val="74"/>
                    <w:topLinePunct w:val="0"/>
                    <w:bidi w:val="0"/>
                    <w:adjustRightInd w:val="0"/>
                    <w:snapToGrid w:val="0"/>
                    <w:spacing w:after="0" w:afterLines="0"/>
                    <w:ind w:left="0" w:leftChars="0" w:right="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1B5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67ACAF14">
                  <w:pPr>
                    <w:pStyle w:val="7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Style w:val="32"/>
                      <w:rFonts w:hint="default" w:ascii="Times New Roman" w:hAnsi="Times New Roman" w:eastAsia="宋体" w:cs="Times New Roman"/>
                      <w:i w:val="0"/>
                      <w:iCs w:val="0"/>
                      <w:caps w:val="0"/>
                      <w:color w:val="auto"/>
                      <w:spacing w:val="0"/>
                      <w:sz w:val="21"/>
                      <w:szCs w:val="21"/>
                      <w:shd w:val="clear" w:color="auto" w:fill="FFFFFF"/>
                    </w:rPr>
                    <w:t>六、强化多污染物减排</w:t>
                  </w:r>
                </w:p>
              </w:tc>
              <w:tc>
                <w:tcPr>
                  <w:tcW w:w="2196" w:type="pct"/>
                  <w:noWrap w:val="0"/>
                  <w:vAlign w:val="center"/>
                </w:tcPr>
                <w:p w14:paraId="50EDF792">
                  <w:pPr>
                    <w:pStyle w:val="7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color="auto" w:fill="FFFFFF"/>
                    </w:rPr>
                    <w:t>（十七）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r>
                    <w:rPr>
                      <w:rFonts w:hint="default" w:ascii="Times New Roman" w:hAnsi="Times New Roman" w:eastAsia="宋体" w:cs="Times New Roman"/>
                      <w:i w:val="0"/>
                      <w:iCs w:val="0"/>
                      <w:caps w:val="0"/>
                      <w:color w:val="auto"/>
                      <w:spacing w:val="0"/>
                      <w:sz w:val="21"/>
                      <w:szCs w:val="21"/>
                      <w:shd w:val="clear" w:color="auto" w:fill="FFFFFF"/>
                      <w:lang w:eastAsia="zh-CN"/>
                    </w:rPr>
                    <w:t>。</w:t>
                  </w:r>
                </w:p>
              </w:tc>
              <w:tc>
                <w:tcPr>
                  <w:tcW w:w="1749" w:type="pct"/>
                  <w:noWrap w:val="0"/>
                  <w:vAlign w:val="center"/>
                </w:tcPr>
                <w:p w14:paraId="27F29E11">
                  <w:pPr>
                    <w:pStyle w:val="7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
                    </w:rPr>
                    <w:t>运营期有机废气产生环节主要为</w:t>
                  </w:r>
                  <w:r>
                    <w:rPr>
                      <w:rFonts w:hint="eastAsia" w:cs="Times New Roman"/>
                      <w:color w:val="auto"/>
                      <w:kern w:val="0"/>
                      <w:sz w:val="21"/>
                      <w:szCs w:val="21"/>
                      <w:highlight w:val="none"/>
                      <w:lang w:val="en-US" w:eastAsia="zh-CN" w:bidi="ar"/>
                    </w:rPr>
                    <w:t>吸塑片生产加热</w:t>
                  </w:r>
                  <w:r>
                    <w:rPr>
                      <w:rFonts w:hint="default" w:ascii="Times New Roman" w:hAnsi="Times New Roman" w:eastAsia="宋体" w:cs="Times New Roman"/>
                      <w:color w:val="auto"/>
                      <w:kern w:val="0"/>
                      <w:sz w:val="21"/>
                      <w:szCs w:val="21"/>
                      <w:highlight w:val="none"/>
                      <w:lang w:val="en-US" w:eastAsia="zh-CN" w:bidi="ar"/>
                    </w:rPr>
                    <w:t>、挤出及</w:t>
                  </w:r>
                  <w:r>
                    <w:rPr>
                      <w:rFonts w:hint="eastAsia" w:cs="Times New Roman"/>
                      <w:color w:val="auto"/>
                      <w:kern w:val="0"/>
                      <w:sz w:val="21"/>
                      <w:szCs w:val="21"/>
                      <w:highlight w:val="none"/>
                      <w:lang w:val="en-US" w:eastAsia="zh-CN" w:bidi="ar"/>
                    </w:rPr>
                    <w:t>压延等</w:t>
                  </w:r>
                  <w:r>
                    <w:rPr>
                      <w:rFonts w:hint="default" w:ascii="Times New Roman" w:hAnsi="Times New Roman" w:eastAsia="宋体" w:cs="Times New Roman"/>
                      <w:color w:val="auto"/>
                      <w:kern w:val="0"/>
                      <w:sz w:val="21"/>
                      <w:szCs w:val="21"/>
                      <w:highlight w:val="none"/>
                      <w:lang w:val="en-US" w:eastAsia="zh-CN" w:bidi="ar"/>
                    </w:rPr>
                    <w:t>工序，项目挤出机</w:t>
                  </w:r>
                  <w:r>
                    <w:rPr>
                      <w:rFonts w:hint="eastAsia" w:cs="Times New Roman"/>
                      <w:color w:val="auto"/>
                      <w:kern w:val="0"/>
                      <w:sz w:val="21"/>
                      <w:szCs w:val="21"/>
                      <w:highlight w:val="none"/>
                      <w:lang w:val="en-US" w:eastAsia="zh-CN" w:bidi="ar"/>
                    </w:rPr>
                    <w:t>等设备</w:t>
                  </w:r>
                  <w:r>
                    <w:rPr>
                      <w:rFonts w:hint="default" w:ascii="Times New Roman" w:hAnsi="Times New Roman" w:eastAsia="宋体" w:cs="Times New Roman"/>
                      <w:color w:val="auto"/>
                      <w:kern w:val="0"/>
                      <w:sz w:val="21"/>
                      <w:szCs w:val="21"/>
                      <w:highlight w:val="none"/>
                      <w:lang w:val="en-US" w:eastAsia="zh-CN" w:bidi="ar"/>
                    </w:rPr>
                    <w:t>上方设置集气罩对有机废气进行收集，有机废气</w:t>
                  </w:r>
                  <w:r>
                    <w:rPr>
                      <w:rFonts w:hint="eastAsia" w:cs="Times New Roman"/>
                      <w:color w:val="auto"/>
                      <w:kern w:val="0"/>
                      <w:sz w:val="21"/>
                      <w:szCs w:val="21"/>
                      <w:highlight w:val="none"/>
                      <w:lang w:val="en-US" w:eastAsia="zh-CN" w:bidi="ar"/>
                    </w:rPr>
                    <w:t>经集气罩</w:t>
                  </w:r>
                  <w:r>
                    <w:rPr>
                      <w:rFonts w:hint="default" w:ascii="Times New Roman" w:hAnsi="Times New Roman" w:eastAsia="宋体" w:cs="Times New Roman"/>
                      <w:color w:val="auto"/>
                      <w:kern w:val="0"/>
                      <w:sz w:val="21"/>
                      <w:szCs w:val="21"/>
                      <w:highlight w:val="none"/>
                      <w:lang w:val="en-US" w:eastAsia="zh-CN" w:bidi="ar"/>
                    </w:rPr>
                    <w:t>收集后进入</w:t>
                  </w:r>
                  <w:r>
                    <w:rPr>
                      <w:rFonts w:hint="eastAsia" w:ascii="Times New Roman" w:hAnsi="Times New Roman"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三级</w:t>
                  </w:r>
                  <w:r>
                    <w:rPr>
                      <w:rFonts w:hint="eastAsia" w:ascii="Times New Roman" w:hAnsi="Times New Roman" w:cs="Times New Roman"/>
                      <w:color w:val="auto"/>
                      <w:sz w:val="21"/>
                      <w:szCs w:val="21"/>
                      <w:highlight w:val="none"/>
                      <w:shd w:val="clear" w:color="auto" w:fill="FFFFFF"/>
                      <w:lang w:val="en-US" w:eastAsia="zh-CN"/>
                    </w:rPr>
                    <w:t>活性炭吸附装置”</w:t>
                  </w:r>
                  <w:r>
                    <w:rPr>
                      <w:rFonts w:hint="default" w:ascii="Times New Roman" w:hAnsi="Times New Roman" w:eastAsia="宋体" w:cs="Times New Roman"/>
                      <w:color w:val="auto"/>
                      <w:kern w:val="0"/>
                      <w:sz w:val="21"/>
                      <w:szCs w:val="21"/>
                      <w:highlight w:val="none"/>
                      <w:lang w:val="en-US" w:eastAsia="zh-CN" w:bidi="ar"/>
                    </w:rPr>
                    <w:t>处理达标后由15m高排气筒排放</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参照《排污许可证申请与核发技术规范 橡胶和塑料制品工业》（HJ1122-2020）附录A中表A.2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项目采用的</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吸附</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技术为可行性技术</w:t>
                  </w:r>
                  <w:r>
                    <w:rPr>
                      <w:rFonts w:hint="eastAsia" w:ascii="Times New Roman" w:hAnsi="Times New Roman" w:eastAsia="宋体" w:cs="Times New Roman"/>
                      <w:color w:val="auto"/>
                      <w:kern w:val="0"/>
                      <w:sz w:val="21"/>
                      <w:szCs w:val="21"/>
                      <w:highlight w:val="none"/>
                      <w:lang w:val="en-US" w:eastAsia="zh-CN" w:bidi="ar"/>
                    </w:rPr>
                    <w:t>。</w:t>
                  </w:r>
                </w:p>
              </w:tc>
              <w:tc>
                <w:tcPr>
                  <w:tcW w:w="552" w:type="pct"/>
                  <w:noWrap w:val="0"/>
                  <w:vAlign w:val="center"/>
                </w:tcPr>
                <w:p w14:paraId="4B64F072">
                  <w:pPr>
                    <w:pStyle w:val="74"/>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F87E55F">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根据上表分析，项目符合《云南省空气质量持续改善行动实施方案》中的相关要求。</w:t>
            </w:r>
          </w:p>
          <w:p w14:paraId="1A339FE4">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5</w:t>
            </w:r>
            <w:r>
              <w:rPr>
                <w:rFonts w:hint="default" w:ascii="Times New Roman" w:hAnsi="Times New Roman" w:eastAsia="宋体" w:cs="Times New Roman"/>
                <w:b/>
                <w:bCs/>
                <w:color w:val="auto"/>
                <w:kern w:val="0"/>
                <w:sz w:val="24"/>
                <w:szCs w:val="24"/>
                <w:lang w:val="en-US" w:eastAsia="zh-CN" w:bidi="ar-SA"/>
              </w:rPr>
              <w:t>.</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SA"/>
              </w:rPr>
              <w:t>《玉溪市“十四五”生态建设与环境保护规划</w:t>
            </w:r>
            <w:r>
              <w:rPr>
                <w:rFonts w:hint="default" w:ascii="Times New Roman" w:hAnsi="Times New Roman" w:eastAsia="宋体" w:cs="Times New Roman"/>
                <w:b/>
                <w:bCs/>
                <w:color w:val="auto"/>
                <w:kern w:val="0"/>
                <w:sz w:val="24"/>
                <w:szCs w:val="24"/>
                <w:highlight w:val="none"/>
                <w:lang w:val="en-US" w:eastAsia="zh-CN"/>
              </w:rPr>
              <w:t>（2021-2025）</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eastAsia="宋体" w:cs="Times New Roman"/>
                <w:b/>
                <w:bCs/>
                <w:color w:val="auto"/>
                <w:kern w:val="0"/>
                <w:sz w:val="24"/>
                <w:szCs w:val="24"/>
                <w:highlight w:val="none"/>
                <w:lang w:val="en-US" w:eastAsia="zh-CN"/>
              </w:rPr>
              <w:t>相符性分析</w:t>
            </w:r>
          </w:p>
          <w:p w14:paraId="60626607">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项目与《玉溪市“十四五”生态建设与环境保护规划（2021-2025）》相符性分析见下表。</w:t>
            </w:r>
          </w:p>
          <w:p w14:paraId="63508733">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1"/>
                <w:szCs w:val="18"/>
              </w:rPr>
              <w:t>表1-1</w:t>
            </w:r>
            <w:r>
              <w:rPr>
                <w:rFonts w:hint="eastAsia" w:cs="Times New Roman"/>
                <w:b/>
                <w:bCs/>
                <w:color w:val="auto"/>
                <w:sz w:val="21"/>
                <w:szCs w:val="18"/>
                <w:lang w:val="en-US" w:eastAsia="zh-CN"/>
              </w:rPr>
              <w:t>7</w:t>
            </w:r>
            <w:r>
              <w:rPr>
                <w:rFonts w:hint="eastAsia" w:ascii="Times New Roman" w:hAnsi="Times New Roman" w:cs="Times New Roman"/>
                <w:b/>
                <w:bCs/>
                <w:color w:val="auto"/>
                <w:sz w:val="21"/>
                <w:szCs w:val="18"/>
                <w:lang w:val="en-US" w:eastAsia="zh-CN"/>
              </w:rPr>
              <w:t xml:space="preserve"> </w:t>
            </w: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与</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玉溪市“十四五”生态建设与环境保护规划</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相符合性分析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2466"/>
              <w:gridCol w:w="712"/>
            </w:tblGrid>
            <w:tr w14:paraId="4D18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4" w:type="dxa"/>
                  <w:noWrap w:val="0"/>
                  <w:vAlign w:val="center"/>
                </w:tcPr>
                <w:p w14:paraId="46911A99">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相关要求</w:t>
                  </w:r>
                </w:p>
              </w:tc>
              <w:tc>
                <w:tcPr>
                  <w:tcW w:w="2466" w:type="dxa"/>
                  <w:noWrap w:val="0"/>
                  <w:vAlign w:val="center"/>
                </w:tcPr>
                <w:p w14:paraId="58B08506">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712" w:type="dxa"/>
                  <w:noWrap w:val="0"/>
                  <w:vAlign w:val="center"/>
                </w:tcPr>
                <w:p w14:paraId="5BD8720D">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202D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4" w:type="dxa"/>
                  <w:noWrap w:val="0"/>
                  <w:vAlign w:val="center"/>
                </w:tcPr>
                <w:p w14:paraId="37088375">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严控产业准入门槛</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调整优化产业结构，推进产业绿色发展。加快完成生态保护红线、环境质量底线、资源利用上线、环境准入清单编制工作，明确禁止和限制发展的行业、生产工艺和产业目录。修订完善高耗能、高污染和资源型行业准入条件，制订更严格的产业准入门槛</w:t>
                  </w:r>
                  <w:r>
                    <w:rPr>
                      <w:rFonts w:hint="eastAsia" w:ascii="Times New Roman" w:hAnsi="Times New Roman" w:eastAsia="宋体" w:cs="Times New Roman"/>
                      <w:color w:val="auto"/>
                      <w:sz w:val="21"/>
                      <w:szCs w:val="21"/>
                      <w:highlight w:val="none"/>
                      <w:lang w:val="en-US" w:eastAsia="zh-CN"/>
                    </w:rPr>
                    <w:t>。</w:t>
                  </w:r>
                </w:p>
              </w:tc>
              <w:tc>
                <w:tcPr>
                  <w:tcW w:w="2466" w:type="dxa"/>
                  <w:noWrap w:val="0"/>
                  <w:vAlign w:val="center"/>
                </w:tcPr>
                <w:p w14:paraId="43F41F21">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本项目位于云南易门产业园区麦子田片区，符合“三线一单”管控要求，本项目主要进行烫钻生产，属于非金属矿物制品业，对照《产业结构调整指导目录》（2024年本），属于</w:t>
                  </w:r>
                  <w:r>
                    <w:rPr>
                      <w:rFonts w:hint="eastAsia" w:ascii="Times New Roman" w:hAnsi="Times New Roman" w:eastAsia="宋体" w:cs="Times New Roman"/>
                      <w:color w:val="auto"/>
                      <w:sz w:val="21"/>
                      <w:szCs w:val="21"/>
                      <w:highlight w:val="none"/>
                      <w:lang w:val="en-US" w:eastAsia="zh-CN"/>
                    </w:rPr>
                    <w:t>允许</w:t>
                  </w:r>
                  <w:r>
                    <w:rPr>
                      <w:rFonts w:hint="default" w:ascii="Times New Roman" w:hAnsi="Times New Roman" w:eastAsia="宋体" w:cs="Times New Roman"/>
                      <w:color w:val="auto"/>
                      <w:sz w:val="21"/>
                      <w:szCs w:val="21"/>
                      <w:highlight w:val="none"/>
                      <w:lang w:val="en-US" w:eastAsia="zh-CN"/>
                    </w:rPr>
                    <w:t>类项目。</w:t>
                  </w:r>
                </w:p>
              </w:tc>
              <w:tc>
                <w:tcPr>
                  <w:tcW w:w="712" w:type="dxa"/>
                  <w:noWrap w:val="0"/>
                  <w:vAlign w:val="center"/>
                </w:tcPr>
                <w:p w14:paraId="477AA1C6">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符合</w:t>
                  </w:r>
                </w:p>
              </w:tc>
            </w:tr>
            <w:tr w14:paraId="3448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4" w:type="dxa"/>
                  <w:noWrap w:val="0"/>
                  <w:vAlign w:val="center"/>
                </w:tcPr>
                <w:p w14:paraId="3DCBD0AF">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淘汰落后产能</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认真落实产业政策，严格环境影响评价，坚决遏制高耗能高排放项目盲目发展，加快淘汰落后产能，推动产业结构优化升级。严格执行质量、环保、能耗、安全等法规标准，加大钢铁、水泥熟料等行业落后产能淘汰和过剩产能压减力度。</w:t>
                  </w:r>
                </w:p>
              </w:tc>
              <w:tc>
                <w:tcPr>
                  <w:tcW w:w="2466" w:type="dxa"/>
                  <w:noWrap w:val="0"/>
                  <w:vAlign w:val="center"/>
                </w:tcPr>
                <w:p w14:paraId="17E517CB">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本项目位于云南易门产业园区麦子田片区，符合“三线一单”管控要求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项目主要进行烫钻生产，属于非金属矿物制品业，对照《产业结构调整指导目录》（2024年本），属于</w:t>
                  </w:r>
                  <w:r>
                    <w:rPr>
                      <w:rFonts w:hint="eastAsia" w:ascii="Times New Roman" w:hAnsi="Times New Roman" w:eastAsia="宋体" w:cs="Times New Roman"/>
                      <w:color w:val="auto"/>
                      <w:sz w:val="21"/>
                      <w:szCs w:val="21"/>
                      <w:highlight w:val="none"/>
                      <w:lang w:val="en-US" w:eastAsia="zh-CN"/>
                    </w:rPr>
                    <w:t>允许</w:t>
                  </w:r>
                  <w:r>
                    <w:rPr>
                      <w:rFonts w:hint="default" w:ascii="Times New Roman" w:hAnsi="Times New Roman" w:eastAsia="宋体" w:cs="Times New Roman"/>
                      <w:color w:val="auto"/>
                      <w:sz w:val="21"/>
                      <w:szCs w:val="21"/>
                      <w:highlight w:val="none"/>
                      <w:lang w:val="en-US" w:eastAsia="zh-CN"/>
                    </w:rPr>
                    <w:t>类项目</w:t>
                  </w:r>
                  <w:r>
                    <w:rPr>
                      <w:rFonts w:hint="eastAsia" w:ascii="Times New Roman" w:hAnsi="Times New Roman" w:eastAsia="宋体" w:cs="Times New Roman"/>
                      <w:color w:val="auto"/>
                      <w:sz w:val="21"/>
                      <w:szCs w:val="21"/>
                      <w:highlight w:val="none"/>
                      <w:lang w:val="en-US" w:eastAsia="zh-CN"/>
                    </w:rPr>
                    <w:t>，也不属于</w:t>
                  </w:r>
                  <w:r>
                    <w:rPr>
                      <w:rFonts w:hint="default" w:ascii="Times New Roman" w:hAnsi="Times New Roman" w:eastAsia="宋体" w:cs="Times New Roman"/>
                      <w:color w:val="auto"/>
                      <w:sz w:val="21"/>
                      <w:szCs w:val="21"/>
                      <w:highlight w:val="none"/>
                      <w:lang w:val="en-US" w:eastAsia="zh-CN"/>
                    </w:rPr>
                    <w:t>淘汰落后产能</w:t>
                  </w:r>
                  <w:r>
                    <w:rPr>
                      <w:rFonts w:hint="eastAsia" w:ascii="Times New Roman" w:hAnsi="Times New Roman" w:eastAsia="宋体" w:cs="Times New Roman"/>
                      <w:color w:val="auto"/>
                      <w:sz w:val="21"/>
                      <w:szCs w:val="21"/>
                      <w:highlight w:val="none"/>
                      <w:lang w:val="en-US" w:eastAsia="zh-CN"/>
                    </w:rPr>
                    <w:t>。</w:t>
                  </w:r>
                </w:p>
              </w:tc>
              <w:tc>
                <w:tcPr>
                  <w:tcW w:w="712" w:type="dxa"/>
                  <w:noWrap w:val="0"/>
                  <w:vAlign w:val="center"/>
                </w:tcPr>
                <w:p w14:paraId="17B77296">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符合</w:t>
                  </w:r>
                </w:p>
              </w:tc>
            </w:tr>
            <w:tr w14:paraId="5AAB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4" w:type="dxa"/>
                  <w:noWrap w:val="0"/>
                  <w:vAlign w:val="center"/>
                </w:tcPr>
                <w:p w14:paraId="4AD8143C">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加强危险废物环境风险防控</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严格执行危险废物申报制度、经营许可证制度、转移联单制度，确保危险废物产生、贮存、转移及处置的全过程规范化管理。建立健全“源头严防、过程严管、后果严惩”的危险废物环境监管体系。加强新建项目的危险废物环境管理，鼓励危险废物源头减量，加强对企业自行处理处置过程的监督性监测和监管。加强对辖区内危险废物收集企业的监管，采用定期检查和不定期抽查方式，强化对经营单位危险废物收集、储存、处置的规范性，严格查处非法危险废物收集，使危险废物的收集储存工作走上良性循环。</w:t>
                  </w:r>
                </w:p>
              </w:tc>
              <w:tc>
                <w:tcPr>
                  <w:tcW w:w="2466" w:type="dxa"/>
                  <w:noWrap w:val="0"/>
                  <w:vAlign w:val="center"/>
                </w:tcPr>
                <w:p w14:paraId="454A52A8">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本项目危险废物主要为废润滑油、</w:t>
                  </w:r>
                  <w:r>
                    <w:rPr>
                      <w:rFonts w:hint="eastAsia" w:ascii="Times New Roman" w:hAnsi="Times New Roman" w:eastAsia="宋体" w:cs="Times New Roman"/>
                      <w:color w:val="auto"/>
                      <w:sz w:val="21"/>
                      <w:szCs w:val="21"/>
                      <w:highlight w:val="none"/>
                      <w:lang w:val="en-US" w:eastAsia="zh-CN"/>
                    </w:rPr>
                    <w:t>废油桶、</w:t>
                  </w:r>
                  <w:r>
                    <w:rPr>
                      <w:rFonts w:hint="default" w:ascii="Times New Roman" w:hAnsi="Times New Roman" w:eastAsia="宋体" w:cs="Times New Roman"/>
                      <w:color w:val="auto"/>
                      <w:sz w:val="21"/>
                      <w:szCs w:val="21"/>
                      <w:highlight w:val="none"/>
                      <w:lang w:val="en-US" w:eastAsia="zh-CN"/>
                    </w:rPr>
                    <w:t>废活性炭等，</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收集后在危废暂存间分区暂存，本项目危险废物需收集于</w:t>
                  </w:r>
                  <w:r>
                    <w:rPr>
                      <w:rFonts w:hint="eastAsia"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lang w:val="en-US" w:eastAsia="zh-CN"/>
                    </w:rPr>
                    <w:t>地面根据要求进行防渗，危险废物委托有资质单位进行清运处置。</w:t>
                  </w:r>
                  <w:r>
                    <w:rPr>
                      <w:rFonts w:hint="eastAsia" w:ascii="Times New Roman" w:hAnsi="Times New Roman" w:eastAsia="宋体" w:cs="Times New Roman"/>
                      <w:color w:val="auto"/>
                      <w:sz w:val="21"/>
                      <w:szCs w:val="21"/>
                      <w:highlight w:val="none"/>
                      <w:lang w:val="en-US" w:eastAsia="zh-CN"/>
                    </w:rPr>
                    <w:t>项目建成后</w:t>
                  </w:r>
                  <w:r>
                    <w:rPr>
                      <w:rFonts w:hint="default" w:ascii="Times New Roman" w:hAnsi="Times New Roman" w:eastAsia="宋体" w:cs="Times New Roman"/>
                      <w:color w:val="auto"/>
                      <w:sz w:val="21"/>
                      <w:szCs w:val="21"/>
                      <w:highlight w:val="none"/>
                      <w:lang w:val="en-US" w:eastAsia="zh-CN"/>
                    </w:rPr>
                    <w:t>设置环保专员对危险废物的产生及转运情况进行管理，形成管理台账。</w:t>
                  </w:r>
                </w:p>
              </w:tc>
              <w:tc>
                <w:tcPr>
                  <w:tcW w:w="712" w:type="dxa"/>
                  <w:noWrap w:val="0"/>
                  <w:vAlign w:val="center"/>
                </w:tcPr>
                <w:p w14:paraId="43325C86">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rPr>
                    <w:t>符合</w:t>
                  </w:r>
                </w:p>
              </w:tc>
            </w:tr>
          </w:tbl>
          <w:p w14:paraId="43CB8297">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lang w:val="en-US" w:eastAsia="zh-CN"/>
              </w:rPr>
              <w:t>项目的建设符合《玉溪市“十四五”生态建设与环境保护规划（2021-2025）》的相关要求。</w:t>
            </w:r>
          </w:p>
          <w:p w14:paraId="7936079F">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6</w:t>
            </w:r>
            <w:r>
              <w:rPr>
                <w:rFonts w:hint="default" w:ascii="Times New Roman" w:hAnsi="Times New Roman" w:eastAsia="宋体" w:cs="Times New Roman"/>
                <w:b/>
                <w:bCs/>
                <w:color w:val="auto"/>
                <w:kern w:val="0"/>
                <w:sz w:val="24"/>
                <w:szCs w:val="24"/>
                <w:lang w:val="en-US" w:eastAsia="zh-CN" w:bidi="ar-SA"/>
              </w:rPr>
              <w:t>.</w:t>
            </w:r>
            <w:r>
              <w:rPr>
                <w:rFonts w:hint="default" w:ascii="Times New Roman" w:hAnsi="Times New Roman" w:eastAsia="宋体" w:cs="Times New Roman"/>
                <w:b/>
                <w:bCs/>
                <w:color w:val="auto"/>
                <w:kern w:val="0"/>
                <w:sz w:val="24"/>
                <w:szCs w:val="24"/>
                <w:highlight w:val="none"/>
                <w:lang w:val="en-US" w:eastAsia="zh-CN"/>
              </w:rPr>
              <w:t>与《易门县生态环境保护“十四五”规划（2021-2025）》相符性分析</w:t>
            </w:r>
          </w:p>
          <w:p w14:paraId="24F4F0FE">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项目与《易门县生态环境保护“十四五”规划（2021-2025）》相符性分析见下表。</w:t>
            </w:r>
          </w:p>
          <w:p w14:paraId="01CCF454">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1"/>
                <w:szCs w:val="21"/>
                <w:highlight w:val="none"/>
                <w:lang w:val="en-US" w:eastAsia="zh-CN"/>
              </w:rPr>
              <w:t>表1-1</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与</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易门县生态环境保护“十四五”规划</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3689"/>
              <w:gridCol w:w="1900"/>
              <w:gridCol w:w="712"/>
            </w:tblGrid>
            <w:tr w14:paraId="2A57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0" w:type="dxa"/>
                  <w:gridSpan w:val="2"/>
                  <w:noWrap w:val="0"/>
                  <w:vAlign w:val="center"/>
                </w:tcPr>
                <w:p w14:paraId="3C5C8D84">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相关要求</w:t>
                  </w:r>
                </w:p>
              </w:tc>
              <w:tc>
                <w:tcPr>
                  <w:tcW w:w="1900" w:type="dxa"/>
                  <w:noWrap w:val="0"/>
                  <w:vAlign w:val="center"/>
                </w:tcPr>
                <w:p w14:paraId="53EDA560">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712" w:type="dxa"/>
                  <w:noWrap w:val="0"/>
                  <w:vAlign w:val="center"/>
                </w:tcPr>
                <w:p w14:paraId="6C4AF5E3">
                  <w:pPr>
                    <w:keepNext w:val="0"/>
                    <w:keepLines w:val="0"/>
                    <w:pageBreakBefore w:val="0"/>
                    <w:widowControl w:val="0"/>
                    <w:kinsoku/>
                    <w:wordWrap/>
                    <w:overflowPunct/>
                    <w:topLinePunct/>
                    <w:autoSpaceDE w:val="0"/>
                    <w:autoSpaceDN/>
                    <w:bidi w:val="0"/>
                    <w:adjustRightInd/>
                    <w:snapToGrid/>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0F0F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restart"/>
                  <w:noWrap w:val="0"/>
                  <w:vAlign w:val="center"/>
                </w:tcPr>
                <w:p w14:paraId="3758B7B3">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改善水环境质量</w:t>
                  </w:r>
                </w:p>
              </w:tc>
              <w:tc>
                <w:tcPr>
                  <w:tcW w:w="3689" w:type="dxa"/>
                  <w:noWrap w:val="0"/>
                  <w:vAlign w:val="center"/>
                </w:tcPr>
                <w:p w14:paraId="040A00EF">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统筹水资源、水环境、水生态系统治理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饮用水水源保护区内，禁止设置排污口。禁止在饮用水水源一级保护区内新建、改建、扩建与供水设施和保护水源无关的建设项目；已建成的与供水设施和保护水源无关的建设项目，由县人民政府责令拆除或者关闭。禁止在饮用水水源一级保护区内从事网箱养殖、旅游、游泳、垂钓或者其他可能污染饮用水水体的活动。禁止在饮用水水源二级保护区内新建、改建、扩建排放污染物的建设项目；已建成的排放污染物的建设项目，由县人民政府责令拆除或者关闭。在饮用水水源二级保护区内从事网箱养殖、旅游等活动的，应当按照规定采取措施，防止污染饮用水水体。禁止在饮用水水源准保护区内新建、扩建对水体污染严重的建设项目；改建建设项目，不得增加排污量。</w:t>
                  </w:r>
                </w:p>
              </w:tc>
              <w:tc>
                <w:tcPr>
                  <w:tcW w:w="1900" w:type="dxa"/>
                  <w:noWrap w:val="0"/>
                  <w:vAlign w:val="center"/>
                </w:tcPr>
                <w:p w14:paraId="72A8019A">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，位于已规划的易门产业园区麦子田片区，不涉及饮用水源保护区。</w:t>
                  </w:r>
                </w:p>
              </w:tc>
              <w:tc>
                <w:tcPr>
                  <w:tcW w:w="712" w:type="dxa"/>
                  <w:noWrap w:val="0"/>
                  <w:vAlign w:val="center"/>
                </w:tcPr>
                <w:p w14:paraId="417F37FC">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6484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continue"/>
                  <w:noWrap w:val="0"/>
                  <w:vAlign w:val="center"/>
                </w:tcPr>
                <w:p w14:paraId="01980C79">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p>
              </w:tc>
              <w:tc>
                <w:tcPr>
                  <w:tcW w:w="3689" w:type="dxa"/>
                  <w:noWrap w:val="0"/>
                  <w:vAlign w:val="center"/>
                </w:tcPr>
                <w:p w14:paraId="0EC5937E">
                  <w:pPr>
                    <w:keepNext w:val="0"/>
                    <w:keepLines w:val="0"/>
                    <w:pageBreakBefore w:val="0"/>
                    <w:widowControl w:val="0"/>
                    <w:kinsoku/>
                    <w:wordWrap/>
                    <w:overflowPunct/>
                    <w:topLinePunct/>
                    <w:autoSpaceDE w:val="0"/>
                    <w:autoSpaceDN/>
                    <w:bidi w:val="0"/>
                    <w:adjustRightInd/>
                    <w:snapToGrid/>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持续打赢水污染防治攻坚战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狠抓工业废水污染防治。调整产业、能源结构，严格落实环境准入制度，严格落实环境影响评价和后评价制度，严格排污许可证制度，依法淘汰落后产能，严格按照国家的有关政策实行关、停、并、转，坚决取缔国家明令禁止的“十小”企业。依法开展清洁生产审核，严格限制高排放企业。引导企业入园，实施“工业进园，产业成链”的产业集聚与簇群化战略，有计划有步骤地引导有色金属、陶瓷建材、食（药）品加工，生物医药、装备制造等产业不断集聚。加快完善工业园区配套管网、污水集中处理设施和自动监控系统，推进“清污分流”、“雨污分流”，实现废水分类收集、分质处理，确保达标排放</w:t>
                  </w:r>
                  <w:r>
                    <w:rPr>
                      <w:rFonts w:hint="default" w:ascii="Times New Roman" w:hAnsi="Times New Roman" w:eastAsia="宋体" w:cs="Times New Roman"/>
                      <w:color w:val="auto"/>
                      <w:sz w:val="21"/>
                      <w:szCs w:val="21"/>
                      <w:highlight w:val="none"/>
                      <w:lang w:eastAsia="zh-CN"/>
                    </w:rPr>
                    <w:t>。</w:t>
                  </w:r>
                </w:p>
              </w:tc>
              <w:tc>
                <w:tcPr>
                  <w:tcW w:w="1900" w:type="dxa"/>
                  <w:noWrap w:val="0"/>
                  <w:vAlign w:val="center"/>
                </w:tcPr>
                <w:p w14:paraId="5218D355">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项目严格执行</w:t>
                  </w:r>
                  <w:r>
                    <w:rPr>
                      <w:rFonts w:hint="default" w:ascii="Times New Roman" w:hAnsi="Times New Roman" w:eastAsia="宋体" w:cs="Times New Roman"/>
                      <w:color w:val="auto"/>
                      <w:sz w:val="21"/>
                      <w:szCs w:val="21"/>
                      <w:highlight w:val="none"/>
                    </w:rPr>
                    <w:t>环境准入制度</w:t>
                  </w:r>
                  <w:r>
                    <w:rPr>
                      <w:rFonts w:hint="default" w:ascii="Times New Roman" w:hAnsi="Times New Roman" w:eastAsia="宋体" w:cs="Times New Roman"/>
                      <w:color w:val="auto"/>
                      <w:sz w:val="21"/>
                      <w:szCs w:val="21"/>
                      <w:highlight w:val="none"/>
                      <w:lang w:eastAsia="zh-CN"/>
                    </w:rPr>
                    <w:t>及</w:t>
                  </w:r>
                  <w:r>
                    <w:rPr>
                      <w:rFonts w:hint="default" w:ascii="Times New Roman" w:hAnsi="Times New Roman" w:eastAsia="宋体" w:cs="Times New Roman"/>
                      <w:color w:val="auto"/>
                      <w:sz w:val="21"/>
                      <w:szCs w:val="21"/>
                      <w:highlight w:val="none"/>
                    </w:rPr>
                    <w:t>环境影响评价和排污许可证制度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sz w:val="21"/>
                      <w:szCs w:val="21"/>
                      <w:highlight w:val="none"/>
                      <w:lang w:eastAsia="zh-CN"/>
                    </w:rPr>
                    <w:t>，不属于“十小”企业。项目实行雨污分流制，</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default" w:ascii="Times New Roman" w:hAnsi="Times New Roman" w:eastAsia="宋体" w:cs="Times New Roman"/>
                      <w:color w:val="auto"/>
                      <w:sz w:val="21"/>
                      <w:szCs w:val="21"/>
                      <w:highlight w:val="none"/>
                      <w:lang w:eastAsia="zh-CN"/>
                    </w:rPr>
                    <w:t>。</w:t>
                  </w:r>
                </w:p>
              </w:tc>
              <w:tc>
                <w:tcPr>
                  <w:tcW w:w="712" w:type="dxa"/>
                  <w:noWrap w:val="0"/>
                  <w:vAlign w:val="center"/>
                </w:tcPr>
                <w:p w14:paraId="64FA0FD4">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79DD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restart"/>
                  <w:noWrap w:val="0"/>
                  <w:vAlign w:val="center"/>
                </w:tcPr>
                <w:p w14:paraId="73233A8E">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协同控制保持大气环境质量</w:t>
                  </w:r>
                </w:p>
              </w:tc>
              <w:tc>
                <w:tcPr>
                  <w:tcW w:w="3689" w:type="dxa"/>
                  <w:noWrap w:val="0"/>
                  <w:vAlign w:val="center"/>
                </w:tcPr>
                <w:p w14:paraId="32E7A32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保障区域大气环境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力推进重点行业VOCs治理。以石化、化工、工业涂装、包装印刷、油品储运销、汽车维修（维护）等6个行业（领域）为重点，全面开展VOCs污染综合治理。建立完善源头、过程和末端的VOCs全过程控制体系，实施VOCs排放总量控制。严格落实国家和省市VOCs含量限值标准，大力推进低（无）VOCs含量原辅材料替代。加强含VOCs物料全方位、全链条、全环节密闭管理。按照与生产设备“同启同停”的原则提升治理设施运行率，按照“应收尽收”的原则提升废气收集率，按照“适宜高效”的原则提高治理设施去除率，不得以稀释排放。加大汽柴油、煤油等油品储运销全过程VOCs排放控制，在保障安全的前提下，重点推进储油库、油罐车、加油站油气回收治理，加大油气排放监管力度。</w:t>
                  </w:r>
                </w:p>
              </w:tc>
              <w:tc>
                <w:tcPr>
                  <w:tcW w:w="1900" w:type="dxa"/>
                  <w:noWrap w:val="0"/>
                  <w:vAlign w:val="center"/>
                </w:tcPr>
                <w:p w14:paraId="51773379">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项目主要进行烫钻生产，属于非金属矿物制品业</w:t>
                  </w:r>
                  <w:r>
                    <w:rPr>
                      <w:rFonts w:hint="default" w:ascii="Times New Roman" w:hAnsi="Times New Roman" w:eastAsia="宋体" w:cs="Times New Roman"/>
                      <w:color w:val="auto"/>
                      <w:sz w:val="21"/>
                      <w:szCs w:val="21"/>
                      <w:highlight w:val="none"/>
                      <w:vertAlign w:val="baseline"/>
                      <w:lang w:val="en-US" w:eastAsia="zh-CN"/>
                    </w:rPr>
                    <w:t>，不属于</w:t>
                  </w:r>
                  <w:r>
                    <w:rPr>
                      <w:rFonts w:hint="default" w:ascii="Times New Roman" w:hAnsi="Times New Roman" w:eastAsia="宋体" w:cs="Times New Roman"/>
                      <w:color w:val="auto"/>
                      <w:sz w:val="21"/>
                      <w:szCs w:val="21"/>
                      <w:highlight w:val="none"/>
                    </w:rPr>
                    <w:t>石化、化工、工业涂装、包装印刷、油品储运销、汽车维修（维护）</w:t>
                  </w:r>
                  <w:r>
                    <w:rPr>
                      <w:rFonts w:hint="default" w:ascii="Times New Roman" w:hAnsi="Times New Roman"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rPr>
                    <w:t>重点</w:t>
                  </w:r>
                  <w:r>
                    <w:rPr>
                      <w:rFonts w:hint="default" w:ascii="Times New Roman" w:hAnsi="Times New Roman" w:eastAsia="宋体" w:cs="Times New Roman"/>
                      <w:color w:val="auto"/>
                      <w:sz w:val="21"/>
                      <w:szCs w:val="21"/>
                      <w:highlight w:val="none"/>
                      <w:lang w:eastAsia="zh-CN"/>
                    </w:rPr>
                    <w:t>行业；</w:t>
                  </w:r>
                  <w:r>
                    <w:rPr>
                      <w:rFonts w:hint="default" w:ascii="Times New Roman" w:hAnsi="Times New Roman" w:eastAsia="宋体" w:cs="Times New Roman"/>
                      <w:color w:val="auto"/>
                      <w:sz w:val="21"/>
                      <w:szCs w:val="21"/>
                      <w:highlight w:val="none"/>
                      <w:lang w:val="en-US" w:eastAsia="zh-CN"/>
                    </w:rPr>
                    <w:t>生产过</w:t>
                  </w:r>
                  <w:r>
                    <w:rPr>
                      <w:rFonts w:hint="eastAsia" w:cs="Times New Roman"/>
                      <w:color w:val="auto"/>
                      <w:sz w:val="21"/>
                      <w:szCs w:val="21"/>
                      <w:highlight w:val="none"/>
                      <w:lang w:val="en-US" w:eastAsia="zh-CN"/>
                    </w:rPr>
                    <w:t>程中</w:t>
                  </w:r>
                  <w:r>
                    <w:rPr>
                      <w:rFonts w:hint="default" w:ascii="Times New Roman" w:hAnsi="Times New Roman" w:eastAsia="宋体" w:cs="Times New Roman"/>
                      <w:color w:val="auto"/>
                      <w:sz w:val="21"/>
                      <w:szCs w:val="21"/>
                      <w:highlight w:val="none"/>
                      <w:lang w:eastAsia="zh-CN"/>
                    </w:rPr>
                    <w:t>的挥发性有机</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eastAsia="zh-CN"/>
                    </w:rPr>
                    <w:t>经集气罩收集经负压风管进入“</w:t>
                  </w:r>
                  <w:r>
                    <w:rPr>
                      <w:rFonts w:hint="default" w:ascii="Times New Roman" w:hAnsi="Times New Roman" w:eastAsia="宋体" w:cs="Times New Roman"/>
                      <w:color w:val="auto"/>
                      <w:sz w:val="21"/>
                      <w:szCs w:val="21"/>
                      <w:highlight w:val="none"/>
                      <w:lang w:val="zh-CN" w:eastAsia="zh-CN"/>
                    </w:rPr>
                    <w:t>三级活性炭吸附装置</w:t>
                  </w:r>
                  <w:r>
                    <w:rPr>
                      <w:rFonts w:hint="default" w:ascii="Times New Roman" w:hAnsi="Times New Roman" w:eastAsia="宋体" w:cs="Times New Roman"/>
                      <w:color w:val="auto"/>
                      <w:sz w:val="21"/>
                      <w:szCs w:val="21"/>
                      <w:highlight w:val="none"/>
                      <w:lang w:eastAsia="zh-CN"/>
                    </w:rPr>
                    <w:t>”处理后达标排放。</w:t>
                  </w:r>
                </w:p>
              </w:tc>
              <w:tc>
                <w:tcPr>
                  <w:tcW w:w="712" w:type="dxa"/>
                  <w:noWrap w:val="0"/>
                  <w:vAlign w:val="center"/>
                </w:tcPr>
                <w:p w14:paraId="6A39999A">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23FE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continue"/>
                  <w:noWrap w:val="0"/>
                  <w:vAlign w:val="center"/>
                </w:tcPr>
                <w:p w14:paraId="4695213E">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p>
              </w:tc>
              <w:tc>
                <w:tcPr>
                  <w:tcW w:w="3689" w:type="dxa"/>
                  <w:noWrap w:val="0"/>
                  <w:vAlign w:val="center"/>
                </w:tcPr>
                <w:p w14:paraId="776D7CEA">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加强噪声污染防治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强化污染源监管，严控工业噪声污染。严格现有工业噪声污染源的监督管理，大型鼓风机、锅炉以及生产机械等工业噪声声源必须采用消声、吸声、隔声等降噪措施。合理规划、严格审批新建企业噪声设备的生产空间布局，企业厂界噪声必须满足相应声环境功能区标准要求。严禁在居民生活区内进行工业生产。强化法律手段、经济手段、技术手段以及社会和全民共治等方法减轻环境噪声污染，提升污染治理能力</w:t>
                  </w:r>
                  <w:r>
                    <w:rPr>
                      <w:rFonts w:hint="default" w:ascii="Times New Roman" w:hAnsi="Times New Roman" w:eastAsia="宋体" w:cs="Times New Roman"/>
                      <w:color w:val="auto"/>
                      <w:sz w:val="21"/>
                      <w:szCs w:val="21"/>
                      <w:highlight w:val="none"/>
                      <w:lang w:eastAsia="zh-CN"/>
                    </w:rPr>
                    <w:t>。</w:t>
                  </w:r>
                </w:p>
              </w:tc>
              <w:tc>
                <w:tcPr>
                  <w:tcW w:w="1900" w:type="dxa"/>
                  <w:noWrap w:val="0"/>
                  <w:vAlign w:val="center"/>
                </w:tcPr>
                <w:p w14:paraId="200E1402">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项目大部分产噪设备均设置于车间内，项目位于产业园区内，噪声经厂房隔声、距离衰减后在厂界达标排放。</w:t>
                  </w:r>
                </w:p>
              </w:tc>
              <w:tc>
                <w:tcPr>
                  <w:tcW w:w="712" w:type="dxa"/>
                  <w:noWrap w:val="0"/>
                  <w:vAlign w:val="center"/>
                </w:tcPr>
                <w:p w14:paraId="4E44A8BF">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4FA2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restart"/>
                  <w:noWrap w:val="0"/>
                  <w:vAlign w:val="center"/>
                </w:tcPr>
                <w:p w14:paraId="20393EF1">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统筹风险防范，守牢环境安全底线</w:t>
                  </w:r>
                </w:p>
              </w:tc>
              <w:tc>
                <w:tcPr>
                  <w:tcW w:w="3689" w:type="dxa"/>
                  <w:noWrap w:val="0"/>
                  <w:vAlign w:val="center"/>
                </w:tcPr>
                <w:p w14:paraId="0AF356FD">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加强工业固体废物处置监管。对辖区内工业固废的产生、贮存、处置情况开展摸排工作，建立固体废物管理数据库，加大对辖区内各工业固废产生企业的监管力度，依法依规严令禁止企业擅自倾倒、丢弃、遗撒固体废物。推进重点行业固体废物的清洁生产工作。促进企业废物交换和综合利用，避免处理和利用过程中的二次污染。禁止工业固体废物与生活垃圾的混合收集、合并处理。对污染物排放量大、能耗大、效益差的工业企业，进行产业布局调整，实施搬迁、改造甚至关停。大力推进共伴生矿及尾矿、废石、灰渣、冶炼废渣、脱硫石膏、粉煤灰、煤矸石等工业固体废物和城镇建筑垃圾的综合利用，确保一般工业固体废物处置利用率达到100%</w:t>
                  </w:r>
                  <w:r>
                    <w:rPr>
                      <w:rFonts w:hint="default" w:ascii="Times New Roman" w:hAnsi="Times New Roman" w:eastAsia="宋体" w:cs="Times New Roman"/>
                      <w:color w:val="auto"/>
                      <w:sz w:val="21"/>
                      <w:szCs w:val="21"/>
                      <w:highlight w:val="none"/>
                      <w:lang w:eastAsia="zh-CN"/>
                    </w:rPr>
                    <w:t>。</w:t>
                  </w:r>
                </w:p>
              </w:tc>
              <w:tc>
                <w:tcPr>
                  <w:tcW w:w="1900" w:type="dxa"/>
                  <w:noWrap w:val="0"/>
                  <w:vAlign w:val="center"/>
                </w:tcPr>
                <w:p w14:paraId="38603AEE">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项目工业固废能回收利用的回收利用，不能回收利用的外售资源回收商处理，工业固废和生活垃圾分开处置，固废处置利用率达100%。</w:t>
                  </w:r>
                </w:p>
              </w:tc>
              <w:tc>
                <w:tcPr>
                  <w:tcW w:w="712" w:type="dxa"/>
                  <w:noWrap w:val="0"/>
                  <w:vAlign w:val="center"/>
                </w:tcPr>
                <w:p w14:paraId="1325CC7D">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0550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 w:type="dxa"/>
                  <w:vMerge w:val="continue"/>
                  <w:noWrap w:val="0"/>
                  <w:vAlign w:val="center"/>
                </w:tcPr>
                <w:p w14:paraId="5F01800C">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p>
              </w:tc>
              <w:tc>
                <w:tcPr>
                  <w:tcW w:w="3689" w:type="dxa"/>
                  <w:noWrap w:val="0"/>
                  <w:vAlign w:val="center"/>
                </w:tcPr>
                <w:p w14:paraId="4D71DAB3">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加强危险废物处置监管。建立各行业危险废物产生、利用、处置单位信息档案库和数据库，健全危险废物企业信息系统，完善</w:t>
                  </w:r>
                  <w:r>
                    <w:rPr>
                      <w:rFonts w:hint="default" w:ascii="Times New Roman" w:hAnsi="Times New Roman" w:eastAsia="宋体" w:cs="Times New Roman"/>
                      <w:color w:val="auto"/>
                      <w:sz w:val="21"/>
                      <w:szCs w:val="21"/>
                      <w:highlight w:val="none"/>
                      <w:lang w:eastAsia="zh-CN"/>
                    </w:rPr>
                    <w:t>台账</w:t>
                  </w:r>
                  <w:r>
                    <w:rPr>
                      <w:rFonts w:hint="default" w:ascii="Times New Roman" w:hAnsi="Times New Roman" w:eastAsia="宋体" w:cs="Times New Roman"/>
                      <w:color w:val="auto"/>
                      <w:sz w:val="21"/>
                      <w:szCs w:val="21"/>
                      <w:highlight w:val="none"/>
                    </w:rPr>
                    <w:t>管理制度。加强涉危险废物企业监管，严格执行危险废物经营许可证制度和危险废物转移联单制度。加强电解铝阳极泥、电解锰铬渣、铜业砷渣、氰化物、无机氟化物、废碱废酸和废矿物油等危险废物无害化处理和利用。优化产业结构，采用无废、少废原料，减少工业危废产生量，实施工业危废收集、运输、贮存、利用、处置的全过程监管；开展重点行业危险废物产生情况调查，开展重点行业危险废物综合利用研究；制定工业危险废物突发环境事故应急预案</w:t>
                  </w:r>
                  <w:r>
                    <w:rPr>
                      <w:rFonts w:hint="default" w:ascii="Times New Roman" w:hAnsi="Times New Roman" w:eastAsia="宋体" w:cs="Times New Roman"/>
                      <w:color w:val="auto"/>
                      <w:sz w:val="21"/>
                      <w:szCs w:val="21"/>
                      <w:highlight w:val="none"/>
                      <w:lang w:eastAsia="zh-CN"/>
                    </w:rPr>
                    <w:t>。</w:t>
                  </w:r>
                </w:p>
              </w:tc>
              <w:tc>
                <w:tcPr>
                  <w:tcW w:w="1900" w:type="dxa"/>
                  <w:noWrap w:val="0"/>
                  <w:vAlign w:val="center"/>
                </w:tcPr>
                <w:p w14:paraId="7D06E6B6">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本项目涉及的危险废物主要为废润滑油、废油桶、废活性炭等，项目运营期</w:t>
                  </w:r>
                  <w:r>
                    <w:rPr>
                      <w:rFonts w:hint="eastAsia" w:cs="Times New Roman"/>
                      <w:color w:val="auto"/>
                      <w:sz w:val="21"/>
                      <w:szCs w:val="21"/>
                      <w:highlight w:val="none"/>
                      <w:vertAlign w:val="baseline"/>
                      <w:lang w:val="en-US" w:eastAsia="zh-CN"/>
                    </w:rPr>
                    <w:t>需</w:t>
                  </w:r>
                  <w:r>
                    <w:rPr>
                      <w:rFonts w:hint="default" w:ascii="Times New Roman" w:hAnsi="Times New Roman" w:eastAsia="宋体" w:cs="Times New Roman"/>
                      <w:color w:val="auto"/>
                      <w:sz w:val="21"/>
                      <w:szCs w:val="21"/>
                      <w:highlight w:val="none"/>
                      <w:vertAlign w:val="baseline"/>
                      <w:lang w:val="en-US" w:eastAsia="zh-CN"/>
                    </w:rPr>
                    <w:t>严格按照要求建设符合要求的</w:t>
                  </w:r>
                  <w:r>
                    <w:rPr>
                      <w:rFonts w:hint="eastAsia" w:cs="Times New Roman"/>
                      <w:color w:val="auto"/>
                      <w:sz w:val="21"/>
                      <w:szCs w:val="21"/>
                      <w:highlight w:val="none"/>
                      <w:vertAlign w:val="baseline"/>
                      <w:lang w:val="en-US" w:eastAsia="zh-CN"/>
                    </w:rPr>
                    <w:t>危险废物贮存库</w:t>
                  </w:r>
                  <w:r>
                    <w:rPr>
                      <w:rFonts w:hint="default" w:ascii="Times New Roman" w:hAnsi="Times New Roman" w:eastAsia="宋体" w:cs="Times New Roman"/>
                      <w:color w:val="auto"/>
                      <w:sz w:val="21"/>
                      <w:szCs w:val="21"/>
                      <w:highlight w:val="none"/>
                      <w:vertAlign w:val="baseline"/>
                      <w:lang w:val="en-US" w:eastAsia="zh-CN"/>
                    </w:rPr>
                    <w:t>，危险废物收集后暂存于</w:t>
                  </w:r>
                  <w:r>
                    <w:rPr>
                      <w:rFonts w:hint="eastAsia" w:cs="Times New Roman"/>
                      <w:color w:val="auto"/>
                      <w:sz w:val="21"/>
                      <w:szCs w:val="21"/>
                      <w:highlight w:val="none"/>
                      <w:vertAlign w:val="baseline"/>
                      <w:lang w:val="en-US" w:eastAsia="zh-CN"/>
                    </w:rPr>
                    <w:t>危险废物贮存库</w:t>
                  </w:r>
                  <w:r>
                    <w:rPr>
                      <w:rFonts w:hint="default" w:ascii="Times New Roman" w:hAnsi="Times New Roman" w:eastAsia="宋体" w:cs="Times New Roman"/>
                      <w:color w:val="auto"/>
                      <w:sz w:val="21"/>
                      <w:szCs w:val="21"/>
                      <w:highlight w:val="none"/>
                      <w:vertAlign w:val="baseline"/>
                      <w:lang w:val="en-US" w:eastAsia="zh-CN"/>
                    </w:rPr>
                    <w:t>，定期委托有资质单位清运处置，并按要求严格建立台账</w:t>
                  </w:r>
                  <w:r>
                    <w:rPr>
                      <w:rFonts w:hint="default" w:ascii="Times New Roman" w:hAnsi="Times New Roman" w:eastAsia="宋体" w:cs="Times New Roman"/>
                      <w:color w:val="auto"/>
                      <w:sz w:val="21"/>
                      <w:szCs w:val="21"/>
                      <w:highlight w:val="none"/>
                    </w:rPr>
                    <w:t>管理制度</w:t>
                  </w:r>
                  <w:r>
                    <w:rPr>
                      <w:rFonts w:hint="default" w:ascii="Times New Roman" w:hAnsi="Times New Roman" w:eastAsia="宋体" w:cs="Times New Roman"/>
                      <w:color w:val="auto"/>
                      <w:sz w:val="21"/>
                      <w:szCs w:val="21"/>
                      <w:highlight w:val="none"/>
                      <w:lang w:eastAsia="zh-CN"/>
                    </w:rPr>
                    <w:t>。</w:t>
                  </w:r>
                </w:p>
              </w:tc>
              <w:tc>
                <w:tcPr>
                  <w:tcW w:w="712" w:type="dxa"/>
                  <w:noWrap w:val="0"/>
                  <w:vAlign w:val="center"/>
                </w:tcPr>
                <w:p w14:paraId="5487CAEC">
                  <w:pPr>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14:paraId="39C33985">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综上所述，项目的建设符合《易门县生态环境保护“十四五”规划（2021-2025）》的相关要求。</w:t>
            </w:r>
          </w:p>
          <w:p w14:paraId="55C2B133">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bidi="ar-SA"/>
              </w:rPr>
              <w:t>17.</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eastAsia="宋体" w:cs="Times New Roman"/>
                <w:b/>
                <w:bCs/>
                <w:color w:val="auto"/>
                <w:sz w:val="24"/>
                <w:szCs w:val="24"/>
                <w:highlight w:val="none"/>
                <w:lang w:val="en-US" w:eastAsia="zh-CN"/>
              </w:rPr>
              <w:t>中华人民共和国固体废物污染环境防治法</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eastAsia="宋体" w:cs="Times New Roman"/>
                <w:b/>
                <w:bCs/>
                <w:color w:val="auto"/>
                <w:kern w:val="0"/>
                <w:sz w:val="24"/>
                <w:szCs w:val="24"/>
                <w:highlight w:val="none"/>
                <w:lang w:val="en-US" w:eastAsia="zh-CN"/>
              </w:rPr>
              <w:t>相符性分析</w:t>
            </w:r>
          </w:p>
          <w:p w14:paraId="0DD2274C">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中华人民共和国固体废物污染环境防治法》（2020年4月29日修订，2020年9月1日起施行</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caps w:val="0"/>
                <w:smallCaps w:val="0"/>
                <w:color w:val="auto"/>
                <w:sz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与其相关符合性分析详见下表。</w:t>
            </w:r>
          </w:p>
          <w:p w14:paraId="4F382A3B">
            <w:pPr>
              <w:keepNext w:val="0"/>
              <w:keepLines w:val="0"/>
              <w:pageBreakBefore w:val="0"/>
              <w:widowControl w:val="0"/>
              <w:kinsoku/>
              <w:wordWrap/>
              <w:overflowPunct/>
              <w:topLinePunct w:val="0"/>
              <w:autoSpaceDE/>
              <w:autoSpaceDN/>
              <w:bidi w:val="0"/>
              <w:adjustRightInd w:val="0"/>
              <w:snapToGrid/>
              <w:spacing w:line="240" w:lineRule="auto"/>
              <w:ind w:firstLine="0" w:firstLineChars="0"/>
              <w:contextualSpacing/>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eastAsia" w:ascii="Times New Roman" w:hAnsi="Times New Roman" w:eastAsia="宋体" w:cs="Times New Roman"/>
                <w:b/>
                <w:bCs/>
                <w:caps w:val="0"/>
                <w:smallCaps w:val="0"/>
                <w:color w:val="auto"/>
                <w:sz w:val="21"/>
                <w:szCs w:val="21"/>
                <w:highlight w:val="none"/>
                <w:lang w:val="en-US" w:eastAsia="zh-CN"/>
              </w:rPr>
              <w:t>1-</w:t>
            </w:r>
            <w:r>
              <w:rPr>
                <w:rFonts w:hint="eastAsia" w:cs="Times New Roman"/>
                <w:b/>
                <w:bCs/>
                <w:caps w:val="0"/>
                <w:smallCaps w:val="0"/>
                <w:color w:val="auto"/>
                <w:sz w:val="21"/>
                <w:szCs w:val="21"/>
                <w:highlight w:val="none"/>
                <w:lang w:val="en-US" w:eastAsia="zh-CN"/>
              </w:rPr>
              <w:t xml:space="preserve">19 </w:t>
            </w:r>
            <w:r>
              <w:rPr>
                <w:rFonts w:hint="default" w:ascii="Times New Roman" w:hAnsi="Times New Roman" w:eastAsia="宋体" w:cs="Times New Roman"/>
                <w:b/>
                <w:bCs/>
                <w:caps w:val="0"/>
                <w:smallCaps w:val="0"/>
                <w:color w:val="auto"/>
                <w:sz w:val="21"/>
                <w:szCs w:val="21"/>
                <w:highlight w:val="none"/>
                <w:lang w:val="en-US" w:eastAsia="zh-CN"/>
              </w:rPr>
              <w:t xml:space="preserve"> </w:t>
            </w:r>
            <w:r>
              <w:rPr>
                <w:rFonts w:hint="default" w:ascii="Times New Roman" w:hAnsi="Times New Roman" w:eastAsia="宋体" w:cs="Times New Roman"/>
                <w:b/>
                <w:bCs/>
                <w:caps w:val="0"/>
                <w:smallCaps w:val="0"/>
                <w:color w:val="auto"/>
                <w:sz w:val="21"/>
                <w:szCs w:val="21"/>
                <w:highlight w:val="none"/>
              </w:rPr>
              <w:t>与</w:t>
            </w:r>
            <w:r>
              <w:rPr>
                <w:rFonts w:hint="eastAsia" w:ascii="Times New Roman" w:hAnsi="Times New Roman" w:eastAsia="宋体" w:cs="Times New Roman"/>
                <w:b/>
                <w:bCs/>
                <w:caps w:val="0"/>
                <w:smallCaps w:val="0"/>
                <w:color w:val="auto"/>
                <w:sz w:val="21"/>
                <w:szCs w:val="21"/>
                <w:highlight w:val="none"/>
                <w:lang w:val="en-US" w:eastAsia="zh-CN"/>
              </w:rPr>
              <w:t>《</w:t>
            </w:r>
            <w:r>
              <w:rPr>
                <w:rFonts w:hint="default" w:ascii="Times New Roman" w:hAnsi="Times New Roman" w:eastAsia="宋体" w:cs="Times New Roman"/>
                <w:b/>
                <w:bCs/>
                <w:caps w:val="0"/>
                <w:smallCaps w:val="0"/>
                <w:color w:val="auto"/>
                <w:sz w:val="21"/>
                <w:szCs w:val="21"/>
                <w:highlight w:val="none"/>
                <w:lang w:val="en-US" w:eastAsia="zh-CN"/>
              </w:rPr>
              <w:t>中华人民共和国固体废物污染环境防治法</w:t>
            </w:r>
            <w:r>
              <w:rPr>
                <w:rFonts w:hint="eastAsia" w:ascii="Times New Roman" w:hAnsi="Times New Roman" w:eastAsia="宋体" w:cs="Times New Roman"/>
                <w:b/>
                <w:bCs/>
                <w:caps w:val="0"/>
                <w:smallCaps w:val="0"/>
                <w:color w:val="auto"/>
                <w:sz w:val="21"/>
                <w:szCs w:val="21"/>
                <w:highlight w:val="none"/>
                <w:lang w:val="en-US" w:eastAsia="zh-CN"/>
              </w:rPr>
              <w:t>》</w:t>
            </w:r>
            <w:r>
              <w:rPr>
                <w:rFonts w:hint="default" w:ascii="Times New Roman" w:hAnsi="Times New Roman" w:eastAsia="宋体" w:cs="Times New Roman"/>
                <w:b/>
                <w:bCs/>
                <w:caps w:val="0"/>
                <w:smallCaps w:val="0"/>
                <w:color w:val="auto"/>
                <w:sz w:val="21"/>
                <w:szCs w:val="21"/>
                <w:highlight w:val="none"/>
              </w:rPr>
              <w:t>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9"/>
              <w:gridCol w:w="2979"/>
              <w:gridCol w:w="724"/>
            </w:tblGrid>
            <w:tr w14:paraId="0DC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919" w:type="dxa"/>
                  <w:noWrap w:val="0"/>
                  <w:vAlign w:val="center"/>
                </w:tcPr>
                <w:p w14:paraId="2DC4511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相关</w:t>
                  </w:r>
                  <w:r>
                    <w:rPr>
                      <w:rFonts w:hint="default" w:ascii="Times New Roman" w:hAnsi="Times New Roman" w:eastAsia="宋体" w:cs="Times New Roman"/>
                      <w:b/>
                      <w:bCs/>
                      <w:color w:val="auto"/>
                      <w:sz w:val="21"/>
                      <w:szCs w:val="21"/>
                    </w:rPr>
                    <w:t>内容</w:t>
                  </w:r>
                </w:p>
              </w:tc>
              <w:tc>
                <w:tcPr>
                  <w:tcW w:w="2979" w:type="dxa"/>
                  <w:noWrap w:val="0"/>
                  <w:vAlign w:val="center"/>
                </w:tcPr>
                <w:p w14:paraId="460A1CF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highlight w:val="none"/>
                    </w:rPr>
                    <w:t>本</w:t>
                  </w:r>
                  <w:r>
                    <w:rPr>
                      <w:rFonts w:hint="eastAsia"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情况</w:t>
                  </w:r>
                </w:p>
              </w:tc>
              <w:tc>
                <w:tcPr>
                  <w:tcW w:w="724" w:type="dxa"/>
                  <w:noWrap w:val="0"/>
                  <w:vAlign w:val="center"/>
                </w:tcPr>
                <w:p w14:paraId="0451E95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96C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393EAAD8">
                  <w:pPr>
                    <w:pStyle w:val="26"/>
                    <w:keepNext w:val="0"/>
                    <w:keepLines w:val="0"/>
                    <w:widowControl/>
                    <w:suppressLineNumbers w:val="0"/>
                    <w:wordWrap w:val="0"/>
                    <w:spacing w:after="0" w:afterAutospacing="0" w:line="18" w:lineRule="atLeast"/>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lang w:val="en-US" w:eastAsia="zh-CN" w:bidi="ar-SA"/>
                    </w:rPr>
                    <w:t>第四条</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固体废物污染环境防治坚持减量化、资源化和无害化的原则。</w:t>
                  </w:r>
                </w:p>
                <w:p w14:paraId="29026097">
                  <w:pPr>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任何单位和个人都应当采取措施，减少固体废物的产生量，促进固体废物的综合利用，降低固体废物的危害性</w:t>
                  </w:r>
                  <w:r>
                    <w:rPr>
                      <w:rFonts w:hint="eastAsia" w:ascii="Times New Roman" w:hAnsi="Times New Roman" w:eastAsia="宋体" w:cs="Times New Roman"/>
                      <w:color w:val="auto"/>
                      <w:kern w:val="2"/>
                      <w:sz w:val="21"/>
                      <w:szCs w:val="21"/>
                      <w:highlight w:val="none"/>
                      <w:lang w:val="en-US" w:eastAsia="zh-CN" w:bidi="ar-SA"/>
                    </w:rPr>
                    <w:t>。</w:t>
                  </w:r>
                </w:p>
              </w:tc>
              <w:tc>
                <w:tcPr>
                  <w:tcW w:w="2979" w:type="dxa"/>
                  <w:noWrap w:val="0"/>
                  <w:vAlign w:val="center"/>
                </w:tcPr>
                <w:p w14:paraId="48AE3409">
                  <w:pPr>
                    <w:jc w:val="both"/>
                    <w:rPr>
                      <w:rFonts w:hint="default" w:ascii="Times New Roman" w:hAnsi="Times New Roman" w:eastAsia="宋体" w:cs="Times New Roman"/>
                      <w:b/>
                      <w:color w:val="auto"/>
                      <w:sz w:val="21"/>
                      <w:szCs w:val="21"/>
                      <w:highlight w:val="none"/>
                    </w:rPr>
                  </w:pPr>
                  <w:r>
                    <w:rPr>
                      <w:rFonts w:hint="eastAsia" w:ascii="宋体" w:hAnsi="宋体" w:eastAsia="宋体" w:cs="宋体"/>
                      <w:color w:val="auto"/>
                      <w:kern w:val="0"/>
                      <w:sz w:val="21"/>
                      <w:szCs w:val="21"/>
                      <w:lang w:val="en-US" w:eastAsia="zh-CN" w:bidi="ar"/>
                    </w:rPr>
                    <w:t>建设项目产生的废包装材料定期出售给物资回收商回收处置，</w:t>
                  </w:r>
                  <w:r>
                    <w:rPr>
                      <w:rFonts w:hint="eastAsia" w:ascii="宋体" w:hAnsi="宋体" w:cs="宋体"/>
                      <w:color w:val="auto"/>
                      <w:kern w:val="0"/>
                      <w:sz w:val="21"/>
                      <w:szCs w:val="21"/>
                      <w:lang w:val="en-US" w:eastAsia="zh-CN" w:bidi="ar"/>
                    </w:rPr>
                    <w:t>生产工序</w:t>
                  </w:r>
                  <w:r>
                    <w:rPr>
                      <w:rFonts w:hint="eastAsia" w:ascii="宋体" w:hAnsi="宋体" w:eastAsia="宋体" w:cs="宋体"/>
                      <w:color w:val="auto"/>
                      <w:kern w:val="0"/>
                      <w:sz w:val="21"/>
                      <w:szCs w:val="21"/>
                      <w:lang w:val="en-US" w:eastAsia="zh-CN" w:bidi="ar"/>
                    </w:rPr>
                    <w:t>废边角料、不合格产品</w:t>
                  </w:r>
                  <w:r>
                    <w:rPr>
                      <w:rFonts w:hint="eastAsia" w:ascii="宋体" w:hAnsi="宋体" w:cs="宋体"/>
                      <w:color w:val="auto"/>
                      <w:kern w:val="0"/>
                      <w:sz w:val="21"/>
                      <w:szCs w:val="21"/>
                      <w:lang w:val="en-US" w:eastAsia="zh-CN" w:bidi="ar"/>
                    </w:rPr>
                    <w:t>等经收集后</w:t>
                  </w:r>
                  <w:r>
                    <w:rPr>
                      <w:rFonts w:hint="eastAsia" w:ascii="宋体" w:hAnsi="宋体" w:eastAsia="宋体" w:cs="宋体"/>
                      <w:color w:val="auto"/>
                      <w:kern w:val="0"/>
                      <w:sz w:val="21"/>
                      <w:szCs w:val="21"/>
                      <w:lang w:val="en-US" w:eastAsia="zh-CN" w:bidi="ar"/>
                    </w:rPr>
                    <w:t>返回生产线</w:t>
                  </w:r>
                  <w:r>
                    <w:rPr>
                      <w:rFonts w:hint="eastAsia" w:ascii="宋体" w:hAnsi="宋体" w:cs="宋体"/>
                      <w:color w:val="auto"/>
                      <w:kern w:val="0"/>
                      <w:sz w:val="21"/>
                      <w:szCs w:val="21"/>
                      <w:lang w:val="en-US" w:eastAsia="zh-CN" w:bidi="ar"/>
                    </w:rPr>
                    <w:t>，</w:t>
                  </w:r>
                  <w:r>
                    <w:rPr>
                      <w:rFonts w:hint="default" w:ascii="Times New Roman" w:hAnsi="Times New Roman" w:eastAsia="宋体" w:cs="Times New Roman"/>
                      <w:strike w:val="0"/>
                      <w:dstrike w:val="0"/>
                      <w:color w:val="auto"/>
                      <w:sz w:val="21"/>
                      <w:szCs w:val="21"/>
                      <w:highlight w:val="none"/>
                      <w:vertAlign w:val="baseline"/>
                      <w:lang w:val="en-US" w:eastAsia="zh-CN"/>
                    </w:rPr>
                    <w:t>各</w:t>
                  </w:r>
                  <w:r>
                    <w:rPr>
                      <w:rFonts w:hint="eastAsia" w:cs="Times New Roman"/>
                      <w:strike w:val="0"/>
                      <w:dstrike w:val="0"/>
                      <w:color w:val="auto"/>
                      <w:sz w:val="21"/>
                      <w:szCs w:val="21"/>
                      <w:highlight w:val="none"/>
                      <w:vertAlign w:val="baseline"/>
                      <w:lang w:val="en-US" w:eastAsia="zh-CN"/>
                    </w:rPr>
                    <w:t>循环水</w:t>
                  </w:r>
                  <w:r>
                    <w:rPr>
                      <w:rFonts w:hint="default" w:ascii="Times New Roman" w:hAnsi="Times New Roman" w:eastAsia="宋体" w:cs="Times New Roman"/>
                      <w:strike w:val="0"/>
                      <w:dstrike w:val="0"/>
                      <w:color w:val="auto"/>
                      <w:sz w:val="21"/>
                      <w:szCs w:val="21"/>
                      <w:highlight w:val="none"/>
                      <w:vertAlign w:val="baseline"/>
                      <w:lang w:val="en-US" w:eastAsia="zh-CN"/>
                    </w:rPr>
                    <w:t>池沉渣</w:t>
                  </w:r>
                  <w:r>
                    <w:rPr>
                      <w:rFonts w:hint="default" w:ascii="Times New Roman" w:hAnsi="Times New Roman" w:eastAsia="宋体" w:cs="Times New Roman"/>
                      <w:color w:val="auto"/>
                      <w:spacing w:val="-1"/>
                      <w:sz w:val="21"/>
                      <w:szCs w:val="21"/>
                      <w:highlight w:val="none"/>
                    </w:rPr>
                    <w:t>经脱水干化后</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r>
                    <w:rPr>
                      <w:rFonts w:hint="eastAsia" w:ascii="宋体" w:hAnsi="宋体" w:eastAsia="宋体" w:cs="宋体"/>
                      <w:color w:val="auto"/>
                      <w:kern w:val="0"/>
                      <w:sz w:val="21"/>
                      <w:szCs w:val="21"/>
                      <w:lang w:val="en-US" w:eastAsia="zh-CN" w:bidi="ar"/>
                    </w:rPr>
                    <w:t>。废活性炭、</w:t>
                  </w:r>
                  <w:r>
                    <w:rPr>
                      <w:rFonts w:hint="default" w:ascii="Times New Roman" w:hAnsi="Times New Roman" w:cs="Times New Roman"/>
                      <w:color w:val="auto"/>
                      <w:sz w:val="21"/>
                      <w:szCs w:val="21"/>
                      <w:vertAlign w:val="baseline"/>
                      <w:lang w:val="en-US" w:eastAsia="zh-CN"/>
                    </w:rPr>
                    <w:t>废</w:t>
                  </w:r>
                  <w:r>
                    <w:rPr>
                      <w:rFonts w:hint="eastAsia" w:ascii="Times New Roman" w:hAnsi="Times New Roman" w:cs="Times New Roman"/>
                      <w:color w:val="auto"/>
                      <w:sz w:val="21"/>
                      <w:szCs w:val="21"/>
                      <w:vertAlign w:val="baseline"/>
                      <w:lang w:val="en-US" w:eastAsia="zh-CN"/>
                    </w:rPr>
                    <w:t>润滑油</w:t>
                  </w:r>
                  <w:r>
                    <w:rPr>
                      <w:rFonts w:hint="eastAsia" w:ascii="宋体" w:hAnsi="宋体" w:eastAsia="宋体" w:cs="宋体"/>
                      <w:color w:val="auto"/>
                      <w:kern w:val="0"/>
                      <w:sz w:val="21"/>
                      <w:szCs w:val="21"/>
                      <w:lang w:val="en-US" w:eastAsia="zh-CN" w:bidi="ar"/>
                    </w:rPr>
                    <w:t>等分类暂存于危废暂存间内，委托有资质的单位清运处置。生活垃圾、化粪池污泥委托环卫部门定期清理；隔油池油污委托有资质的单位处置。固废均得到有效处置。</w:t>
                  </w:r>
                </w:p>
              </w:tc>
              <w:tc>
                <w:tcPr>
                  <w:tcW w:w="724" w:type="dxa"/>
                  <w:noWrap w:val="0"/>
                  <w:vAlign w:val="center"/>
                </w:tcPr>
                <w:p w14:paraId="0AEEC6D5">
                  <w:pPr>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FD0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50E00759">
                  <w:pPr>
                    <w:pStyle w:val="26"/>
                    <w:keepNext w:val="0"/>
                    <w:keepLines w:val="0"/>
                    <w:widowControl/>
                    <w:suppressLineNumbers w:val="0"/>
                    <w:wordWrap w:val="0"/>
                    <w:spacing w:after="0" w:afterAutospacing="0" w:line="18" w:lineRule="atLeast"/>
                    <w:ind w:left="0" w:right="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2"/>
                      <w:sz w:val="21"/>
                      <w:szCs w:val="21"/>
                      <w:highlight w:val="none"/>
                      <w:lang w:val="en-US" w:eastAsia="zh-CN" w:bidi="ar-SA"/>
                    </w:rPr>
                    <w:t>第十七条</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建设产生、贮存、利用、处置固体废物的项目，应当依法进行环境影响评价，并遵守国家有关建设项目环境保护管理的规定。</w:t>
                  </w:r>
                </w:p>
              </w:tc>
              <w:tc>
                <w:tcPr>
                  <w:tcW w:w="2979" w:type="dxa"/>
                  <w:noWrap w:val="0"/>
                  <w:vAlign w:val="center"/>
                </w:tcPr>
                <w:p w14:paraId="09F11B90">
                  <w:pPr>
                    <w:jc w:val="both"/>
                    <w:rPr>
                      <w:rFonts w:hint="default" w:ascii="Times New Roman" w:hAnsi="Times New Roman" w:eastAsia="宋体" w:cs="Times New Roman"/>
                      <w:b w:val="0"/>
                      <w:bCs/>
                      <w:color w:val="auto"/>
                      <w:sz w:val="21"/>
                      <w:szCs w:val="21"/>
                      <w:highlight w:val="none"/>
                      <w:lang w:val="en-US" w:eastAsia="zh-CN"/>
                    </w:rPr>
                  </w:pPr>
                  <w:r>
                    <w:rPr>
                      <w:rFonts w:hint="eastAsia" w:ascii="宋体" w:hAnsi="宋体" w:eastAsia="宋体" w:cs="宋体"/>
                      <w:color w:val="auto"/>
                      <w:kern w:val="0"/>
                      <w:sz w:val="21"/>
                      <w:szCs w:val="21"/>
                      <w:lang w:val="en-US" w:eastAsia="zh-CN" w:bidi="ar"/>
                    </w:rPr>
                    <w:t>按照《中华人民共和国环境保护法》、《中华人民共和国环境影响评价法》和《建设项目环境保护管理条例》的规定，</w:t>
                  </w:r>
                  <w:r>
                    <w:rPr>
                      <w:rFonts w:hint="eastAsia" w:ascii="Times New Roman" w:hAnsi="Times New Roman" w:eastAsia="宋体" w:cs="Times New Roman"/>
                      <w:b w:val="0"/>
                      <w:bCs/>
                      <w:color w:val="auto"/>
                      <w:sz w:val="21"/>
                      <w:szCs w:val="21"/>
                      <w:highlight w:val="none"/>
                      <w:lang w:val="en-US" w:eastAsia="zh-CN"/>
                    </w:rPr>
                    <w:t>本项目建成后</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、利用固体废物</w:t>
                  </w:r>
                  <w:r>
                    <w:rPr>
                      <w:rFonts w:hint="eastAsia" w:ascii="Times New Roman" w:hAnsi="Times New Roman" w:eastAsia="宋体" w:cs="Times New Roman"/>
                      <w:color w:val="auto"/>
                      <w:kern w:val="2"/>
                      <w:sz w:val="21"/>
                      <w:szCs w:val="21"/>
                      <w:highlight w:val="none"/>
                      <w:lang w:val="en-US" w:eastAsia="zh-CN" w:bidi="ar-SA"/>
                    </w:rPr>
                    <w:t>，目前正在</w:t>
                  </w:r>
                  <w:r>
                    <w:rPr>
                      <w:rFonts w:hint="default" w:ascii="Times New Roman" w:hAnsi="Times New Roman" w:eastAsia="宋体" w:cs="Times New Roman"/>
                      <w:color w:val="auto"/>
                      <w:kern w:val="2"/>
                      <w:sz w:val="21"/>
                      <w:szCs w:val="21"/>
                      <w:highlight w:val="none"/>
                      <w:lang w:val="en-US" w:eastAsia="zh-CN" w:bidi="ar-SA"/>
                    </w:rPr>
                    <w:t>依法进行环境影响评价</w:t>
                  </w:r>
                  <w:r>
                    <w:rPr>
                      <w:rFonts w:hint="eastAsia" w:ascii="Times New Roman" w:hAnsi="Times New Roman" w:eastAsia="宋体" w:cs="Times New Roman"/>
                      <w:color w:val="auto"/>
                      <w:kern w:val="2"/>
                      <w:sz w:val="21"/>
                      <w:szCs w:val="21"/>
                      <w:highlight w:val="none"/>
                      <w:lang w:val="en-US" w:eastAsia="zh-CN" w:bidi="ar-SA"/>
                    </w:rPr>
                    <w:t>。</w:t>
                  </w:r>
                </w:p>
              </w:tc>
              <w:tc>
                <w:tcPr>
                  <w:tcW w:w="724" w:type="dxa"/>
                  <w:noWrap w:val="0"/>
                  <w:vAlign w:val="center"/>
                </w:tcPr>
                <w:p w14:paraId="70495B76">
                  <w:pPr>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3351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3F220AB3">
                  <w:pPr>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第二十条</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color w:val="auto"/>
                      <w:kern w:val="2"/>
                      <w:sz w:val="21"/>
                      <w:szCs w:val="21"/>
                      <w:highlight w:val="none"/>
                      <w:lang w:val="en-US" w:eastAsia="zh-CN" w:bidi="ar-SA"/>
                    </w:rPr>
                    <w:t>产生、收集、贮存、运输、利用、处置固体废物的单位和其他生产经营者，应当采取防扬散、防流失、防渗漏或者其他防止污染环境的措施，不得擅自倾倒、堆放、丢弃、遗撒固体废物。</w:t>
                  </w:r>
                </w:p>
                <w:p w14:paraId="6C577E66">
                  <w:pPr>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禁止任何单位或者个人向江河、湖泊、运河、渠道、水库及其最高水位线以下的滩地和岸坡以及法律法规规定的其他地点倾倒、堆放、贮存固体废物。</w:t>
                  </w:r>
                </w:p>
              </w:tc>
              <w:tc>
                <w:tcPr>
                  <w:tcW w:w="2979" w:type="dxa"/>
                  <w:noWrap w:val="0"/>
                  <w:vAlign w:val="center"/>
                </w:tcPr>
                <w:p w14:paraId="3D03636D">
                  <w:pPr>
                    <w:jc w:val="both"/>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lang w:val="en-US" w:eastAsia="zh-CN" w:bidi="ar"/>
                    </w:rPr>
                    <w:t>项目施工期、运营期所有固体废物均得到妥善处置，项目建成后设置</w:t>
                  </w:r>
                  <w:r>
                    <w:rPr>
                      <w:rFonts w:hint="default" w:ascii="Times New Roman" w:hAnsi="Times New Roman" w:eastAsia="宋体" w:cs="Times New Roman"/>
                      <w:color w:val="auto"/>
                      <w:spacing w:val="3"/>
                      <w:sz w:val="21"/>
                      <w:szCs w:val="21"/>
                      <w:highlight w:val="none"/>
                      <w:lang w:val="en-US" w:eastAsia="zh-CN"/>
                    </w:rPr>
                    <w:t>一般固废暂存间</w:t>
                  </w:r>
                  <w:r>
                    <w:rPr>
                      <w:rFonts w:hint="eastAsia" w:ascii="Times New Roman" w:hAnsi="Times New Roman" w:eastAsia="宋体" w:cs="Times New Roman"/>
                      <w:color w:val="auto"/>
                      <w:spacing w:val="3"/>
                      <w:sz w:val="21"/>
                      <w:szCs w:val="21"/>
                      <w:highlight w:val="none"/>
                      <w:lang w:val="en-US" w:eastAsia="zh-CN"/>
                    </w:rPr>
                    <w:t>及</w:t>
                  </w:r>
                  <w:r>
                    <w:rPr>
                      <w:rFonts w:hint="eastAsia" w:cs="Times New Roman"/>
                      <w:color w:val="auto"/>
                      <w:spacing w:val="3"/>
                      <w:sz w:val="21"/>
                      <w:szCs w:val="21"/>
                      <w:highlight w:val="none"/>
                      <w:lang w:val="en-US" w:eastAsia="zh-CN"/>
                    </w:rPr>
                    <w:t>危险废物贮存库</w:t>
                  </w:r>
                  <w:r>
                    <w:rPr>
                      <w:rFonts w:hint="eastAsia" w:ascii="Times New Roman" w:hAnsi="Times New Roman" w:eastAsia="宋体" w:cs="Times New Roman"/>
                      <w:color w:val="auto"/>
                      <w:spacing w:val="3"/>
                      <w:sz w:val="21"/>
                      <w:szCs w:val="21"/>
                      <w:highlight w:val="none"/>
                      <w:lang w:val="en-US" w:eastAsia="zh-CN"/>
                    </w:rPr>
                    <w:t>用于暂存</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、利用</w:t>
                  </w:r>
                  <w:r>
                    <w:rPr>
                      <w:rFonts w:hint="eastAsia" w:ascii="Times New Roman" w:hAnsi="Times New Roman" w:eastAsia="宋体"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val="en-US" w:eastAsia="zh-CN" w:bidi="ar-SA"/>
                    </w:rPr>
                    <w:t>固体废物</w:t>
                  </w:r>
                  <w:r>
                    <w:rPr>
                      <w:rFonts w:hint="eastAsia" w:ascii="宋体" w:hAnsi="宋体" w:eastAsia="宋体" w:cs="宋体"/>
                      <w:color w:val="auto"/>
                      <w:kern w:val="0"/>
                      <w:sz w:val="21"/>
                      <w:szCs w:val="21"/>
                      <w:lang w:val="en-US" w:eastAsia="zh-CN" w:bidi="ar"/>
                    </w:rPr>
                    <w:t>，并</w:t>
                  </w:r>
                  <w:r>
                    <w:rPr>
                      <w:rFonts w:hint="default" w:ascii="Times New Roman" w:hAnsi="Times New Roman" w:eastAsia="宋体" w:cs="Times New Roman"/>
                      <w:color w:val="auto"/>
                      <w:kern w:val="2"/>
                      <w:sz w:val="21"/>
                      <w:szCs w:val="21"/>
                      <w:highlight w:val="none"/>
                      <w:lang w:val="en-US" w:eastAsia="zh-CN" w:bidi="ar-SA"/>
                    </w:rPr>
                    <w:t>采取防扬散、防流失、防渗漏或者其他防止污染环境的措施</w:t>
                  </w:r>
                  <w:r>
                    <w:rPr>
                      <w:rFonts w:hint="eastAsia" w:ascii="宋体" w:hAnsi="宋体" w:eastAsia="宋体" w:cs="宋体"/>
                      <w:color w:val="auto"/>
                      <w:kern w:val="0"/>
                      <w:sz w:val="21"/>
                      <w:szCs w:val="21"/>
                      <w:lang w:val="en-US" w:eastAsia="zh-CN" w:bidi="ar"/>
                    </w:rPr>
                    <w:t>；无向江河、湖泊、运河、渠道、水库及其最高水位线以下的滩地和岸坡以及法律法规规定的其他地点倾倒、堆放、贮存固体废物的行为。</w:t>
                  </w:r>
                </w:p>
              </w:tc>
              <w:tc>
                <w:tcPr>
                  <w:tcW w:w="724" w:type="dxa"/>
                  <w:noWrap w:val="0"/>
                  <w:vAlign w:val="center"/>
                </w:tcPr>
                <w:p w14:paraId="7A81D7A7">
                  <w:pPr>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2943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3C399B7D">
                  <w:pPr>
                    <w:pStyle w:val="26"/>
                    <w:keepNext w:val="0"/>
                    <w:keepLines w:val="0"/>
                    <w:widowControl/>
                    <w:suppressLineNumbers w:val="0"/>
                    <w:wordWrap w:val="0"/>
                    <w:spacing w:after="0" w:afterAutospacing="0" w:line="18" w:lineRule="atLeast"/>
                    <w:ind w:left="0" w:right="0"/>
                    <w:jc w:val="both"/>
                    <w:rPr>
                      <w:rFonts w:hint="default" w:ascii="宋体" w:hAnsi="宋体" w:eastAsia="宋体" w:cs="宋体"/>
                      <w:color w:val="auto"/>
                      <w:kern w:val="0"/>
                      <w:sz w:val="21"/>
                      <w:szCs w:val="21"/>
                      <w:lang w:val="en-US" w:eastAsia="zh-CN" w:bidi="ar"/>
                    </w:rPr>
                  </w:pPr>
                  <w:r>
                    <w:rPr>
                      <w:rFonts w:hint="default" w:ascii="宋体" w:hAnsi="宋体" w:eastAsia="宋体" w:cs="宋体"/>
                      <w:b/>
                      <w:bCs/>
                      <w:color w:val="auto"/>
                      <w:kern w:val="0"/>
                      <w:sz w:val="21"/>
                      <w:szCs w:val="21"/>
                      <w:lang w:val="en-US" w:eastAsia="zh-CN" w:bidi="ar"/>
                    </w:rPr>
                    <w:t>第二十一条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在生态保护红线区域、永久基本农田集中区域和其他需要特别保护的区域内，禁止建设工业固体废物、危险废物集中贮存、利用、处置的设施、场所和生活垃圾填埋场</w:t>
                  </w:r>
                  <w:r>
                    <w:rPr>
                      <w:rFonts w:hint="eastAsia" w:ascii="宋体" w:hAnsi="宋体" w:eastAsia="宋体" w:cs="宋体"/>
                      <w:color w:val="auto"/>
                      <w:kern w:val="0"/>
                      <w:sz w:val="21"/>
                      <w:szCs w:val="21"/>
                      <w:lang w:val="en-US" w:eastAsia="zh-CN" w:bidi="ar"/>
                    </w:rPr>
                    <w:t>。</w:t>
                  </w:r>
                </w:p>
              </w:tc>
              <w:tc>
                <w:tcPr>
                  <w:tcW w:w="2979" w:type="dxa"/>
                  <w:noWrap w:val="0"/>
                  <w:vAlign w:val="center"/>
                </w:tcPr>
                <w:p w14:paraId="238DFC2B">
                  <w:pPr>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本项目不涉及生态保护红线区域、永久基本农田集中区域和其他需要特别保护的区域。</w:t>
                  </w:r>
                </w:p>
              </w:tc>
              <w:tc>
                <w:tcPr>
                  <w:tcW w:w="724" w:type="dxa"/>
                  <w:noWrap w:val="0"/>
                  <w:vAlign w:val="center"/>
                </w:tcPr>
                <w:p w14:paraId="0990A96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123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5810C576">
                  <w:pPr>
                    <w:jc w:val="both"/>
                    <w:rPr>
                      <w:rFonts w:hint="default" w:ascii="宋体" w:hAnsi="宋体" w:eastAsia="宋体" w:cs="宋体"/>
                      <w:color w:val="auto"/>
                      <w:kern w:val="0"/>
                      <w:sz w:val="21"/>
                      <w:szCs w:val="21"/>
                      <w:lang w:val="en-US" w:eastAsia="zh-CN" w:bidi="ar"/>
                    </w:rPr>
                  </w:pPr>
                  <w:r>
                    <w:rPr>
                      <w:rFonts w:hint="default" w:ascii="宋体" w:hAnsi="宋体" w:eastAsia="宋体" w:cs="宋体"/>
                      <w:b/>
                      <w:bCs/>
                      <w:color w:val="auto"/>
                      <w:kern w:val="0"/>
                      <w:sz w:val="21"/>
                      <w:szCs w:val="21"/>
                      <w:lang w:val="en-US" w:eastAsia="zh-CN" w:bidi="ar"/>
                    </w:rPr>
                    <w:t>第三十六条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tc>
              <w:tc>
                <w:tcPr>
                  <w:tcW w:w="2979" w:type="dxa"/>
                  <w:noWrap w:val="0"/>
                  <w:vAlign w:val="center"/>
                </w:tcPr>
                <w:p w14:paraId="49A00340">
                  <w:pPr>
                    <w:jc w:val="both"/>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本项目运营过程中，严格按照国家有关规定建立工业固体废物管理台账，如实记录产生工业固体废物的种类、时间、数量、流向、贮存、利用、处置等信息。</w:t>
                  </w:r>
                </w:p>
              </w:tc>
              <w:tc>
                <w:tcPr>
                  <w:tcW w:w="724" w:type="dxa"/>
                  <w:noWrap w:val="0"/>
                  <w:vAlign w:val="center"/>
                </w:tcPr>
                <w:p w14:paraId="35DC479C">
                  <w:pPr>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2C0E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52BC375F">
                  <w:pPr>
                    <w:pStyle w:val="26"/>
                    <w:keepNext w:val="0"/>
                    <w:keepLines w:val="0"/>
                    <w:widowControl/>
                    <w:suppressLineNumbers w:val="0"/>
                    <w:wordWrap w:val="0"/>
                    <w:spacing w:after="0" w:afterAutospacing="0" w:line="18" w:lineRule="atLeast"/>
                    <w:ind w:left="0" w:right="0"/>
                    <w:jc w:val="both"/>
                    <w:rPr>
                      <w:rFonts w:hint="default" w:ascii="宋体" w:hAnsi="宋体" w:eastAsia="宋体" w:cs="宋体"/>
                      <w:color w:val="auto"/>
                      <w:kern w:val="0"/>
                      <w:sz w:val="21"/>
                      <w:szCs w:val="21"/>
                      <w:lang w:val="en-US" w:eastAsia="zh-CN" w:bidi="ar"/>
                    </w:rPr>
                  </w:pPr>
                  <w:r>
                    <w:rPr>
                      <w:rFonts w:hint="default" w:ascii="宋体" w:hAnsi="宋体" w:eastAsia="宋体" w:cs="宋体"/>
                      <w:b/>
                      <w:bCs/>
                      <w:color w:val="auto"/>
                      <w:kern w:val="0"/>
                      <w:sz w:val="21"/>
                      <w:szCs w:val="21"/>
                      <w:lang w:val="en-US" w:eastAsia="zh-CN" w:bidi="ar"/>
                    </w:rPr>
                    <w:t>第三十七条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产生工业固体废物的单位委托他人运输、利用、处置工业固体废物的，应当对受托方的主体资格和技术能力进行核实，依法签订书面合同，在合同中约定污染防治要求</w:t>
                  </w:r>
                  <w:r>
                    <w:rPr>
                      <w:rFonts w:hint="eastAsia" w:ascii="宋体" w:hAnsi="宋体" w:eastAsia="宋体" w:cs="宋体"/>
                      <w:color w:val="auto"/>
                      <w:kern w:val="0"/>
                      <w:sz w:val="21"/>
                      <w:szCs w:val="21"/>
                      <w:lang w:val="en-US" w:eastAsia="zh-CN" w:bidi="ar"/>
                    </w:rPr>
                    <w:t>。</w:t>
                  </w:r>
                </w:p>
              </w:tc>
              <w:tc>
                <w:tcPr>
                  <w:tcW w:w="2979" w:type="dxa"/>
                  <w:noWrap w:val="0"/>
                  <w:vAlign w:val="center"/>
                </w:tcPr>
                <w:p w14:paraId="0BE02332">
                  <w:pPr>
                    <w:jc w:val="both"/>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strike w:val="0"/>
                      <w:dstrike w:val="0"/>
                      <w:color w:val="auto"/>
                      <w:sz w:val="21"/>
                      <w:szCs w:val="21"/>
                      <w:highlight w:val="none"/>
                      <w:vertAlign w:val="baseline"/>
                      <w:lang w:val="en-US" w:eastAsia="zh-CN"/>
                    </w:rPr>
                    <w:t>项目</w:t>
                  </w:r>
                  <w:r>
                    <w:rPr>
                      <w:rFonts w:hint="default" w:ascii="Times New Roman" w:hAnsi="Times New Roman" w:eastAsia="宋体" w:cs="Times New Roman"/>
                      <w:strike w:val="0"/>
                      <w:dstrike w:val="0"/>
                      <w:color w:val="auto"/>
                      <w:sz w:val="21"/>
                      <w:szCs w:val="21"/>
                      <w:highlight w:val="none"/>
                      <w:vertAlign w:val="baseline"/>
                      <w:lang w:val="en-US" w:eastAsia="zh-CN"/>
                    </w:rPr>
                    <w:t>各</w:t>
                  </w:r>
                  <w:r>
                    <w:rPr>
                      <w:rFonts w:hint="eastAsia" w:cs="Times New Roman"/>
                      <w:strike w:val="0"/>
                      <w:dstrike w:val="0"/>
                      <w:color w:val="auto"/>
                      <w:sz w:val="21"/>
                      <w:szCs w:val="21"/>
                      <w:highlight w:val="none"/>
                      <w:vertAlign w:val="baseline"/>
                      <w:lang w:val="en-US" w:eastAsia="zh-CN"/>
                    </w:rPr>
                    <w:t>循环水</w:t>
                  </w:r>
                  <w:r>
                    <w:rPr>
                      <w:rFonts w:hint="default" w:ascii="Times New Roman" w:hAnsi="Times New Roman" w:eastAsia="宋体" w:cs="Times New Roman"/>
                      <w:strike w:val="0"/>
                      <w:dstrike w:val="0"/>
                      <w:color w:val="auto"/>
                      <w:sz w:val="21"/>
                      <w:szCs w:val="21"/>
                      <w:highlight w:val="none"/>
                      <w:vertAlign w:val="baseline"/>
                      <w:lang w:val="en-US" w:eastAsia="zh-CN"/>
                    </w:rPr>
                    <w:t>池沉渣</w:t>
                  </w:r>
                  <w:r>
                    <w:rPr>
                      <w:rFonts w:hint="default" w:ascii="Times New Roman" w:hAnsi="Times New Roman" w:eastAsia="宋体" w:cs="Times New Roman"/>
                      <w:color w:val="auto"/>
                      <w:spacing w:val="-1"/>
                      <w:sz w:val="21"/>
                      <w:szCs w:val="21"/>
                      <w:highlight w:val="none"/>
                    </w:rPr>
                    <w:t>经脱水干化后</w:t>
                  </w:r>
                  <w:r>
                    <w:rPr>
                      <w:rFonts w:hint="default" w:ascii="Times New Roman" w:hAnsi="Times New Roman" w:eastAsia="宋体" w:cs="Times New Roman"/>
                      <w:color w:val="auto"/>
                      <w:spacing w:val="-1"/>
                      <w:sz w:val="21"/>
                      <w:szCs w:val="21"/>
                      <w:highlight w:val="none"/>
                      <w:lang w:val="en-US" w:eastAsia="zh-CN"/>
                    </w:rPr>
                    <w:t>收</w:t>
                  </w:r>
                  <w:r>
                    <w:rPr>
                      <w:rFonts w:hint="default" w:ascii="Times New Roman" w:hAnsi="Times New Roman" w:eastAsia="宋体" w:cs="Times New Roman"/>
                      <w:color w:val="auto"/>
                      <w:spacing w:val="-1"/>
                      <w:sz w:val="21"/>
                      <w:szCs w:val="21"/>
                      <w:highlight w:val="none"/>
                    </w:rPr>
                    <w:t>集后</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r>
                    <w:rPr>
                      <w:rFonts w:hint="eastAsia" w:ascii="Times New Roman" w:hAnsi="Times New Roman" w:eastAsia="宋体" w:cs="Times New Roman"/>
                      <w:color w:val="auto"/>
                      <w:spacing w:val="-1"/>
                      <w:sz w:val="21"/>
                      <w:szCs w:val="21"/>
                      <w:highlight w:val="none"/>
                      <w:lang w:val="en-US" w:eastAsia="zh-CN"/>
                    </w:rPr>
                    <w:t>，根据要求，建设单位应</w:t>
                  </w:r>
                  <w:r>
                    <w:rPr>
                      <w:rFonts w:hint="default" w:ascii="宋体" w:hAnsi="宋体" w:eastAsia="宋体" w:cs="宋体"/>
                      <w:color w:val="auto"/>
                      <w:kern w:val="0"/>
                      <w:sz w:val="21"/>
                      <w:szCs w:val="21"/>
                      <w:lang w:val="en-US" w:eastAsia="zh-CN" w:bidi="ar"/>
                    </w:rPr>
                    <w:t>依法</w:t>
                  </w:r>
                  <w:r>
                    <w:rPr>
                      <w:rFonts w:hint="eastAsia" w:ascii="宋体" w:hAnsi="宋体" w:eastAsia="宋体" w:cs="宋体"/>
                      <w:color w:val="auto"/>
                      <w:kern w:val="0"/>
                      <w:sz w:val="21"/>
                      <w:szCs w:val="21"/>
                      <w:lang w:val="en-US" w:eastAsia="zh-CN" w:bidi="ar"/>
                    </w:rPr>
                    <w:t>核实其</w:t>
                  </w:r>
                  <w:r>
                    <w:rPr>
                      <w:rFonts w:hint="default" w:ascii="宋体" w:hAnsi="宋体" w:eastAsia="宋体" w:cs="宋体"/>
                      <w:color w:val="auto"/>
                      <w:kern w:val="0"/>
                      <w:sz w:val="21"/>
                      <w:szCs w:val="21"/>
                      <w:lang w:val="en-US" w:eastAsia="zh-CN" w:bidi="ar"/>
                    </w:rPr>
                    <w:t>主体资格和技术能力</w:t>
                  </w:r>
                  <w:r>
                    <w:rPr>
                      <w:rFonts w:hint="eastAsia" w:ascii="宋体" w:hAnsi="宋体" w:eastAsia="宋体" w:cs="宋体"/>
                      <w:color w:val="auto"/>
                      <w:kern w:val="0"/>
                      <w:sz w:val="21"/>
                      <w:szCs w:val="21"/>
                      <w:lang w:val="en-US" w:eastAsia="zh-CN" w:bidi="ar"/>
                    </w:rPr>
                    <w:t>，并与</w:t>
                  </w:r>
                  <w:r>
                    <w:rPr>
                      <w:rFonts w:hint="default" w:ascii="Times New Roman" w:hAnsi="Times New Roman" w:eastAsia="宋体" w:cs="Times New Roman"/>
                      <w:color w:val="auto"/>
                      <w:spacing w:val="-1"/>
                      <w:sz w:val="21"/>
                      <w:szCs w:val="21"/>
                      <w:highlight w:val="none"/>
                      <w:lang w:val="en-US" w:eastAsia="zh-CN"/>
                    </w:rPr>
                    <w:t>水泥厂</w:t>
                  </w:r>
                  <w:r>
                    <w:rPr>
                      <w:rFonts w:hint="default" w:ascii="宋体" w:hAnsi="宋体" w:eastAsia="宋体" w:cs="宋体"/>
                      <w:color w:val="auto"/>
                      <w:kern w:val="0"/>
                      <w:sz w:val="21"/>
                      <w:szCs w:val="21"/>
                      <w:lang w:val="en-US" w:eastAsia="zh-CN" w:bidi="ar"/>
                    </w:rPr>
                    <w:t>签订书面合同，在合同中约定污染防治要求</w:t>
                  </w:r>
                  <w:r>
                    <w:rPr>
                      <w:rFonts w:hint="eastAsia" w:ascii="宋体" w:hAnsi="宋体" w:eastAsia="宋体" w:cs="宋体"/>
                      <w:color w:val="auto"/>
                      <w:kern w:val="0"/>
                      <w:sz w:val="21"/>
                      <w:szCs w:val="21"/>
                      <w:lang w:val="en-US" w:eastAsia="zh-CN" w:bidi="ar"/>
                    </w:rPr>
                    <w:t>。</w:t>
                  </w:r>
                </w:p>
              </w:tc>
              <w:tc>
                <w:tcPr>
                  <w:tcW w:w="724" w:type="dxa"/>
                  <w:noWrap w:val="0"/>
                  <w:vAlign w:val="center"/>
                </w:tcPr>
                <w:p w14:paraId="7D645569">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AF6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shd w:val="clear" w:color="auto" w:fill="auto"/>
                  <w:noWrap w:val="0"/>
                  <w:vAlign w:val="center"/>
                </w:tcPr>
                <w:p w14:paraId="3EF5AADA">
                  <w:pPr>
                    <w:pStyle w:val="26"/>
                    <w:keepNext w:val="0"/>
                    <w:keepLines w:val="0"/>
                    <w:widowControl/>
                    <w:suppressLineNumbers w:val="0"/>
                    <w:wordWrap w:val="0"/>
                    <w:spacing w:after="0" w:afterAutospacing="0" w:line="18" w:lineRule="atLeast"/>
                    <w:ind w:left="0" w:right="0"/>
                    <w:jc w:val="both"/>
                    <w:rPr>
                      <w:rFonts w:hint="default" w:ascii="宋体" w:hAnsi="宋体" w:eastAsia="宋体" w:cs="宋体"/>
                      <w:color w:val="auto"/>
                      <w:kern w:val="0"/>
                      <w:sz w:val="21"/>
                      <w:szCs w:val="21"/>
                      <w:lang w:val="en-US" w:eastAsia="zh-CN" w:bidi="ar"/>
                    </w:rPr>
                  </w:pPr>
                  <w:r>
                    <w:rPr>
                      <w:rFonts w:hint="default" w:ascii="宋体" w:hAnsi="宋体" w:eastAsia="宋体" w:cs="宋体"/>
                      <w:b/>
                      <w:bCs/>
                      <w:color w:val="auto"/>
                      <w:kern w:val="0"/>
                      <w:sz w:val="21"/>
                      <w:szCs w:val="21"/>
                      <w:lang w:val="en-US" w:eastAsia="zh-CN" w:bidi="ar"/>
                    </w:rPr>
                    <w:t>第三十九条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产生工业固体废物的单位应当取得排污许可证。排污许可的具体办法和实施步骤由国务院规定。</w:t>
                  </w:r>
                </w:p>
                <w:p w14:paraId="5AD39A60">
                  <w:pPr>
                    <w:pageBreakBefore w:val="0"/>
                    <w:widowControl w:val="0"/>
                    <w:wordWrap/>
                    <w:topLinePunct w:val="0"/>
                    <w:bidi w:val="0"/>
                    <w:jc w:val="both"/>
                    <w:rPr>
                      <w:rFonts w:hint="default"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tc>
              <w:tc>
                <w:tcPr>
                  <w:tcW w:w="2979" w:type="dxa"/>
                  <w:shd w:val="clear" w:color="auto" w:fill="auto"/>
                  <w:noWrap w:val="0"/>
                  <w:vAlign w:val="center"/>
                </w:tcPr>
                <w:p w14:paraId="0CA324DD">
                  <w:pPr>
                    <w:jc w:val="both"/>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项目建成后应依法办理</w:t>
                  </w:r>
                  <w:r>
                    <w:rPr>
                      <w:rFonts w:hint="default" w:ascii="宋体" w:hAnsi="宋体" w:eastAsia="宋体" w:cs="宋体"/>
                      <w:color w:val="auto"/>
                      <w:kern w:val="0"/>
                      <w:sz w:val="21"/>
                      <w:szCs w:val="21"/>
                      <w:lang w:val="en-US" w:eastAsia="zh-CN" w:bidi="ar"/>
                    </w:rPr>
                    <w:t>排污许可证</w:t>
                  </w:r>
                  <w:r>
                    <w:rPr>
                      <w:rFonts w:hint="eastAsia" w:ascii="宋体" w:hAnsi="宋体" w:eastAsia="宋体" w:cs="宋体"/>
                      <w:color w:val="auto"/>
                      <w:kern w:val="0"/>
                      <w:sz w:val="21"/>
                      <w:szCs w:val="21"/>
                      <w:lang w:val="en-US" w:eastAsia="zh-CN" w:bidi="ar"/>
                    </w:rPr>
                    <w:t>；并</w:t>
                  </w:r>
                  <w:r>
                    <w:rPr>
                      <w:rFonts w:hint="default" w:ascii="宋体" w:hAnsi="宋体" w:eastAsia="宋体" w:cs="宋体"/>
                      <w:color w:val="auto"/>
                      <w:kern w:val="0"/>
                      <w:sz w:val="21"/>
                      <w:szCs w:val="21"/>
                      <w:lang w:val="en-US" w:eastAsia="zh-CN" w:bidi="ar"/>
                    </w:rPr>
                    <w:t>向所在地生态环境主管部门提供工业</w:t>
                  </w:r>
                  <w:r>
                    <w:rPr>
                      <w:rFonts w:hint="eastAsia" w:ascii="宋体" w:hAnsi="宋体" w:eastAsia="宋体" w:cs="宋体"/>
                      <w:color w:val="auto"/>
                      <w:kern w:val="0"/>
                      <w:sz w:val="21"/>
                      <w:szCs w:val="21"/>
                      <w:lang w:val="en-US" w:eastAsia="zh-CN" w:bidi="ar"/>
                    </w:rPr>
                    <w:t>固体废物的种类、产生量、流向、贮存、利用、处置等</w:t>
                  </w:r>
                  <w:r>
                    <w:rPr>
                      <w:rFonts w:hint="default" w:ascii="宋体" w:hAnsi="宋体" w:eastAsia="宋体" w:cs="宋体"/>
                      <w:color w:val="auto"/>
                      <w:kern w:val="0"/>
                      <w:sz w:val="21"/>
                      <w:szCs w:val="21"/>
                      <w:lang w:val="en-US" w:eastAsia="zh-CN" w:bidi="ar"/>
                    </w:rPr>
                    <w:t>有关资料，以及减少工业固体废物产生、促进综合利用的具体措施</w:t>
                  </w:r>
                  <w:r>
                    <w:rPr>
                      <w:rFonts w:hint="eastAsia" w:ascii="宋体" w:hAnsi="宋体" w:eastAsia="宋体" w:cs="宋体"/>
                      <w:color w:val="auto"/>
                      <w:kern w:val="0"/>
                      <w:sz w:val="21"/>
                      <w:szCs w:val="21"/>
                      <w:lang w:val="en-US" w:eastAsia="zh-CN" w:bidi="ar"/>
                    </w:rPr>
                    <w:t>，</w:t>
                  </w:r>
                  <w:r>
                    <w:rPr>
                      <w:rFonts w:hint="default" w:ascii="宋体" w:hAnsi="宋体" w:eastAsia="宋体" w:cs="宋体"/>
                      <w:color w:val="auto"/>
                      <w:kern w:val="0"/>
                      <w:sz w:val="21"/>
                      <w:szCs w:val="21"/>
                      <w:lang w:val="en-US" w:eastAsia="zh-CN" w:bidi="ar"/>
                    </w:rPr>
                    <w:t>并执行排污许可管理制度的相关规定</w:t>
                  </w:r>
                  <w:r>
                    <w:rPr>
                      <w:rFonts w:hint="eastAsia" w:ascii="宋体" w:hAnsi="宋体" w:eastAsia="宋体" w:cs="宋体"/>
                      <w:color w:val="auto"/>
                      <w:kern w:val="0"/>
                      <w:sz w:val="21"/>
                      <w:szCs w:val="21"/>
                      <w:lang w:val="en-US" w:eastAsia="zh-CN" w:bidi="ar"/>
                    </w:rPr>
                    <w:t>。</w:t>
                  </w:r>
                </w:p>
              </w:tc>
              <w:tc>
                <w:tcPr>
                  <w:tcW w:w="724" w:type="dxa"/>
                  <w:shd w:val="clear" w:color="auto" w:fill="auto"/>
                  <w:noWrap w:val="0"/>
                  <w:vAlign w:val="center"/>
                </w:tcPr>
                <w:p w14:paraId="7A5B9E22">
                  <w:pPr>
                    <w:jc w:val="both"/>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6FE5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shd w:val="clear" w:color="auto" w:fill="auto"/>
                  <w:noWrap w:val="0"/>
                  <w:vAlign w:val="center"/>
                </w:tcPr>
                <w:p w14:paraId="25ECFC01">
                  <w:pPr>
                    <w:jc w:val="both"/>
                    <w:rPr>
                      <w:rFonts w:hint="default" w:ascii="宋体" w:hAnsi="宋体" w:eastAsia="宋体" w:cs="宋体"/>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第四十条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tc>
              <w:tc>
                <w:tcPr>
                  <w:tcW w:w="2979" w:type="dxa"/>
                  <w:shd w:val="clear" w:color="auto" w:fill="auto"/>
                  <w:noWrap w:val="0"/>
                  <w:vAlign w:val="center"/>
                </w:tcPr>
                <w:p w14:paraId="6EF32067">
                  <w:pPr>
                    <w:jc w:val="both"/>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本项目将生产工序产生的</w:t>
                  </w:r>
                  <w:r>
                    <w:rPr>
                      <w:rFonts w:hint="eastAsia" w:ascii="宋体" w:hAnsi="宋体" w:eastAsia="宋体" w:cs="宋体"/>
                      <w:color w:val="auto"/>
                      <w:kern w:val="0"/>
                      <w:sz w:val="21"/>
                      <w:szCs w:val="21"/>
                      <w:lang w:val="en-US" w:eastAsia="zh-CN" w:bidi="ar"/>
                    </w:rPr>
                    <w:t>废边角料、不合格产品</w:t>
                  </w:r>
                  <w:r>
                    <w:rPr>
                      <w:rFonts w:hint="eastAsia" w:ascii="宋体" w:hAnsi="宋体" w:cs="宋体"/>
                      <w:color w:val="auto"/>
                      <w:kern w:val="0"/>
                      <w:sz w:val="21"/>
                      <w:szCs w:val="21"/>
                      <w:lang w:val="en-US" w:eastAsia="zh-CN" w:bidi="ar"/>
                    </w:rPr>
                    <w:t>等经收集后</w:t>
                  </w:r>
                  <w:r>
                    <w:rPr>
                      <w:rFonts w:hint="eastAsia" w:ascii="宋体" w:hAnsi="宋体" w:eastAsia="宋体" w:cs="宋体"/>
                      <w:color w:val="auto"/>
                      <w:kern w:val="0"/>
                      <w:sz w:val="21"/>
                      <w:szCs w:val="21"/>
                      <w:lang w:val="en-US" w:eastAsia="zh-CN" w:bidi="ar"/>
                    </w:rPr>
                    <w:t>返回原生产线使用，项目建成后设置</w:t>
                  </w:r>
                  <w:r>
                    <w:rPr>
                      <w:rFonts w:hint="default" w:ascii="Times New Roman" w:hAnsi="Times New Roman" w:eastAsia="宋体" w:cs="Times New Roman"/>
                      <w:color w:val="auto"/>
                      <w:spacing w:val="3"/>
                      <w:sz w:val="21"/>
                      <w:szCs w:val="21"/>
                      <w:highlight w:val="none"/>
                      <w:lang w:val="en-US" w:eastAsia="zh-CN"/>
                    </w:rPr>
                    <w:t>一般固废暂存间</w:t>
                  </w:r>
                  <w:r>
                    <w:rPr>
                      <w:rFonts w:hint="eastAsia" w:ascii="Times New Roman" w:hAnsi="Times New Roman" w:eastAsia="宋体" w:cs="Times New Roman"/>
                      <w:color w:val="auto"/>
                      <w:spacing w:val="3"/>
                      <w:sz w:val="21"/>
                      <w:szCs w:val="21"/>
                      <w:highlight w:val="none"/>
                      <w:lang w:val="en-US" w:eastAsia="zh-CN"/>
                    </w:rPr>
                    <w:t>及</w:t>
                  </w:r>
                  <w:r>
                    <w:rPr>
                      <w:rFonts w:hint="eastAsia" w:cs="Times New Roman"/>
                      <w:color w:val="auto"/>
                      <w:spacing w:val="3"/>
                      <w:sz w:val="21"/>
                      <w:szCs w:val="21"/>
                      <w:highlight w:val="none"/>
                      <w:lang w:val="en-US" w:eastAsia="zh-CN"/>
                    </w:rPr>
                    <w:t>危险废物贮存库</w:t>
                  </w: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暂存间</w:t>
                  </w:r>
                  <w:r>
                    <w:rPr>
                      <w:rFonts w:hint="eastAsia" w:ascii="Times New Roman" w:hAnsi="Times New Roman" w:eastAsia="宋体" w:cs="Times New Roman"/>
                      <w:color w:val="auto"/>
                      <w:spacing w:val="3"/>
                      <w:sz w:val="21"/>
                      <w:szCs w:val="21"/>
                      <w:highlight w:val="none"/>
                      <w:lang w:val="en-US" w:eastAsia="zh-CN"/>
                    </w:rPr>
                    <w:t>内</w:t>
                  </w:r>
                  <w:r>
                    <w:rPr>
                      <w:rFonts w:hint="default" w:ascii="宋体" w:hAnsi="宋体" w:eastAsia="宋体" w:cs="宋体"/>
                      <w:color w:val="auto"/>
                      <w:kern w:val="0"/>
                      <w:sz w:val="21"/>
                      <w:szCs w:val="21"/>
                      <w:lang w:val="en-US" w:eastAsia="zh-CN" w:bidi="ar"/>
                    </w:rPr>
                    <w:t>分类存放</w:t>
                  </w: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一般固废暂存间</w:t>
                  </w:r>
                  <w:r>
                    <w:rPr>
                      <w:rFonts w:hint="eastAsia" w:ascii="Times New Roman" w:hAnsi="Times New Roman" w:eastAsia="宋体" w:cs="Times New Roman"/>
                      <w:color w:val="auto"/>
                      <w:spacing w:val="3"/>
                      <w:sz w:val="21"/>
                      <w:szCs w:val="21"/>
                      <w:highlight w:val="none"/>
                      <w:lang w:val="en-US" w:eastAsia="zh-CN"/>
                    </w:rPr>
                    <w:t>建设</w:t>
                  </w:r>
                  <w:r>
                    <w:rPr>
                      <w:rFonts w:hint="default" w:ascii="Times New Roman" w:hAnsi="Times New Roman" w:eastAsia="宋体" w:cs="Times New Roman"/>
                      <w:b w:val="0"/>
                      <w:bCs w:val="0"/>
                      <w:color w:val="auto"/>
                      <w:sz w:val="21"/>
                      <w:szCs w:val="21"/>
                      <w:highlight w:val="none"/>
                      <w:lang w:val="en-US" w:eastAsia="zh-CN"/>
                    </w:rPr>
                    <w:t>要求参照《一般工业固体废物贮存和填埋污染控制标准》（GB18599-2020）</w:t>
                  </w: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color w:val="auto"/>
                      <w:spacing w:val="3"/>
                      <w:sz w:val="21"/>
                      <w:szCs w:val="21"/>
                      <w:highlight w:val="none"/>
                      <w:lang w:val="en-US" w:eastAsia="zh-CN"/>
                    </w:rPr>
                    <w:t>危险废物贮存库</w:t>
                  </w:r>
                  <w:r>
                    <w:rPr>
                      <w:rFonts w:hint="default" w:ascii="Times New Roman" w:hAnsi="Times New Roman" w:eastAsia="宋体" w:cs="Times New Roman"/>
                      <w:color w:val="auto"/>
                      <w:spacing w:val="7"/>
                      <w:sz w:val="21"/>
                      <w:szCs w:val="21"/>
                      <w:highlight w:val="none"/>
                    </w:rPr>
                    <w:t>参照《危险废物贮存污染控制标准》（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7"/>
                      <w:sz w:val="21"/>
                      <w:szCs w:val="21"/>
                      <w:highlight w:val="none"/>
                    </w:rPr>
                    <w:t>185</w:t>
                  </w:r>
                  <w:r>
                    <w:rPr>
                      <w:rFonts w:hint="default" w:ascii="Times New Roman" w:hAnsi="Times New Roman" w:eastAsia="宋体" w:cs="Times New Roman"/>
                      <w:color w:val="auto"/>
                      <w:spacing w:val="6"/>
                      <w:sz w:val="21"/>
                      <w:szCs w:val="21"/>
                      <w:highlight w:val="none"/>
                    </w:rPr>
                    <w:t>97-2023）的要求</w:t>
                  </w:r>
                  <w:r>
                    <w:rPr>
                      <w:rFonts w:hint="eastAsia" w:ascii="Times New Roman" w:hAnsi="Times New Roman" w:eastAsia="宋体" w:cs="Times New Roman"/>
                      <w:b w:val="0"/>
                      <w:bCs w:val="0"/>
                      <w:color w:val="auto"/>
                      <w:sz w:val="21"/>
                      <w:szCs w:val="21"/>
                      <w:highlight w:val="none"/>
                      <w:lang w:val="en-US" w:eastAsia="zh-CN"/>
                    </w:rPr>
                    <w:t>。</w:t>
                  </w:r>
                </w:p>
              </w:tc>
              <w:tc>
                <w:tcPr>
                  <w:tcW w:w="724" w:type="dxa"/>
                  <w:shd w:val="clear" w:color="auto" w:fill="auto"/>
                  <w:noWrap w:val="0"/>
                  <w:vAlign w:val="center"/>
                </w:tcPr>
                <w:p w14:paraId="0E488F6B">
                  <w:pPr>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041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9" w:type="dxa"/>
                  <w:noWrap w:val="0"/>
                  <w:vAlign w:val="center"/>
                </w:tcPr>
                <w:p w14:paraId="2E0E2C1E">
                  <w:pPr>
                    <w:jc w:val="both"/>
                    <w:rPr>
                      <w:rFonts w:hint="default" w:ascii="宋体" w:hAnsi="宋体" w:eastAsia="宋体" w:cs="宋体"/>
                      <w:color w:val="auto"/>
                      <w:kern w:val="0"/>
                      <w:sz w:val="21"/>
                      <w:szCs w:val="21"/>
                      <w:lang w:val="en-US" w:eastAsia="zh-CN" w:bidi="ar"/>
                    </w:rPr>
                  </w:pPr>
                  <w:r>
                    <w:rPr>
                      <w:rFonts w:hint="default" w:ascii="宋体" w:hAnsi="宋体" w:eastAsia="宋体" w:cs="宋体"/>
                      <w:b/>
                      <w:bCs/>
                      <w:color w:val="auto"/>
                      <w:kern w:val="0"/>
                      <w:sz w:val="21"/>
                      <w:szCs w:val="21"/>
                      <w:lang w:val="en-US" w:eastAsia="zh-CN" w:bidi="ar"/>
                    </w:rPr>
                    <w:t>第四十九条</w:t>
                  </w:r>
                  <w:r>
                    <w:rPr>
                      <w:rFonts w:hint="eastAsia" w:ascii="宋体" w:hAnsi="宋体" w:eastAsia="宋体" w:cs="宋体"/>
                      <w:color w:val="auto"/>
                      <w:kern w:val="0"/>
                      <w:sz w:val="21"/>
                      <w:szCs w:val="21"/>
                      <w:lang w:val="en-US" w:eastAsia="zh-CN" w:bidi="ar"/>
                    </w:rPr>
                    <w:t xml:space="preserve"> </w:t>
                  </w:r>
                  <w:r>
                    <w:rPr>
                      <w:rFonts w:hint="default" w:ascii="宋体" w:hAnsi="宋体" w:eastAsia="宋体" w:cs="宋体"/>
                      <w:color w:val="auto"/>
                      <w:kern w:val="0"/>
                      <w:sz w:val="21"/>
                      <w:szCs w:val="21"/>
                      <w:lang w:val="en-US" w:eastAsia="zh-CN" w:bidi="ar"/>
                    </w:rPr>
                    <w:t>产生生活垃圾的单位、家庭和个人应当依法履行生活垃圾源头减量和分类投放义务，承担生活垃圾产生者责任。</w:t>
                  </w:r>
                </w:p>
                <w:p w14:paraId="3827B9FB">
                  <w:pPr>
                    <w:jc w:val="both"/>
                    <w:rPr>
                      <w:rFonts w:hint="default" w:ascii="宋体" w:hAnsi="宋体" w:eastAsia="宋体" w:cs="宋体"/>
                      <w:color w:val="auto"/>
                      <w:kern w:val="0"/>
                      <w:sz w:val="21"/>
                      <w:szCs w:val="21"/>
                      <w:lang w:val="en-US" w:eastAsia="zh-CN" w:bidi="ar"/>
                    </w:rPr>
                  </w:pPr>
                  <w:r>
                    <w:rPr>
                      <w:rFonts w:hint="default" w:ascii="宋体" w:hAnsi="宋体" w:eastAsia="宋体" w:cs="宋体"/>
                      <w:color w:val="auto"/>
                      <w:kern w:val="0"/>
                      <w:sz w:val="21"/>
                      <w:szCs w:val="21"/>
                      <w:lang w:val="en-US" w:eastAsia="zh-CN" w:bidi="ar"/>
                    </w:rPr>
                    <w:t>任何单位和个人都应当依法在指定的地点分类投放生活垃圾。禁止随意倾倒、抛撒、堆放或者焚烧生活垃圾。</w:t>
                  </w:r>
                </w:p>
              </w:tc>
              <w:tc>
                <w:tcPr>
                  <w:tcW w:w="2979" w:type="dxa"/>
                  <w:shd w:val="clear" w:color="auto" w:fill="auto"/>
                  <w:noWrap w:val="0"/>
                  <w:vAlign w:val="center"/>
                </w:tcPr>
                <w:p w14:paraId="5BE7B093">
                  <w:pPr>
                    <w:keepNext w:val="0"/>
                    <w:keepLines w:val="0"/>
                    <w:widowControl/>
                    <w:suppressLineNumbers w:val="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项目区内规划设置带盖垃圾桶收集垃圾，委托环卫部门定期清运处置。</w:t>
                  </w:r>
                </w:p>
                <w:p w14:paraId="5610B30F">
                  <w:pPr>
                    <w:keepNext w:val="0"/>
                    <w:keepLines w:val="0"/>
                    <w:widowControl/>
                    <w:suppressLineNumbers w:val="0"/>
                    <w:jc w:val="both"/>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项目运营后</w:t>
                  </w:r>
                  <w:r>
                    <w:rPr>
                      <w:rFonts w:hint="default" w:ascii="宋体" w:hAnsi="宋体" w:eastAsia="宋体" w:cs="宋体"/>
                      <w:color w:val="auto"/>
                      <w:kern w:val="0"/>
                      <w:sz w:val="21"/>
                      <w:szCs w:val="21"/>
                      <w:lang w:val="en-US" w:eastAsia="zh-CN" w:bidi="ar"/>
                    </w:rPr>
                    <w:t>禁止随意倾倒、抛撒、堆放或者焚烧生活垃圾。</w:t>
                  </w:r>
                </w:p>
              </w:tc>
              <w:tc>
                <w:tcPr>
                  <w:tcW w:w="724" w:type="dxa"/>
                  <w:shd w:val="clear" w:color="auto" w:fill="auto"/>
                  <w:noWrap w:val="0"/>
                  <w:vAlign w:val="center"/>
                </w:tcPr>
                <w:p w14:paraId="41B148CF">
                  <w:pPr>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bl>
          <w:p w14:paraId="1BBD9D62">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18"/>
                <w:lang w:val="en-US" w:eastAsia="zh-CN"/>
              </w:rPr>
            </w:pPr>
            <w:r>
              <w:rPr>
                <w:rFonts w:hint="default" w:ascii="Times New Roman" w:hAnsi="Times New Roman" w:eastAsia="宋体" w:cs="Times New Roman"/>
                <w:color w:val="auto"/>
                <w:sz w:val="24"/>
                <w:szCs w:val="24"/>
                <w:highlight w:val="none"/>
                <w:lang w:val="en-US" w:eastAsia="zh-CN"/>
              </w:rPr>
              <w:t>综上所述，项目的建设符合《中华人民共和国固体废物污染环境防治法》的相关要求。</w:t>
            </w:r>
          </w:p>
          <w:p w14:paraId="3FD4CA80">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lang w:val="en-US" w:eastAsia="zh-CN" w:bidi="ar-SA"/>
              </w:rPr>
              <w:t>1</w:t>
            </w:r>
            <w:r>
              <w:rPr>
                <w:rFonts w:hint="eastAsia" w:ascii="Times New Roman" w:hAnsi="Times New Roman" w:eastAsia="宋体" w:cs="Times New Roman"/>
                <w:b/>
                <w:bCs/>
                <w:color w:val="auto"/>
                <w:kern w:val="0"/>
                <w:sz w:val="24"/>
                <w:szCs w:val="24"/>
                <w:lang w:val="en-US" w:eastAsia="zh-CN" w:bidi="ar-SA"/>
              </w:rPr>
              <w:t>8</w:t>
            </w:r>
            <w:r>
              <w:rPr>
                <w:rFonts w:hint="default" w:ascii="Times New Roman" w:hAnsi="Times New Roman" w:eastAsia="宋体" w:cs="Times New Roman"/>
                <w:b/>
                <w:bCs/>
                <w:color w:val="auto"/>
                <w:kern w:val="0"/>
                <w:sz w:val="24"/>
                <w:szCs w:val="24"/>
                <w:lang w:val="en-US" w:eastAsia="zh-CN" w:bidi="ar-SA"/>
              </w:rPr>
              <w:t>.</w:t>
            </w:r>
            <w:r>
              <w:rPr>
                <w:rFonts w:hint="default" w:ascii="Times New Roman" w:hAnsi="Times New Roman" w:eastAsia="宋体" w:cs="Times New Roman"/>
                <w:b/>
                <w:bCs/>
                <w:color w:val="auto"/>
                <w:kern w:val="0"/>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SA"/>
              </w:rPr>
              <w:t>《云南省固体废物污染环境防治条例》</w:t>
            </w:r>
            <w:r>
              <w:rPr>
                <w:rFonts w:hint="default" w:ascii="Times New Roman" w:hAnsi="Times New Roman" w:eastAsia="宋体" w:cs="Times New Roman"/>
                <w:b/>
                <w:bCs/>
                <w:color w:val="auto"/>
                <w:kern w:val="0"/>
                <w:sz w:val="24"/>
                <w:szCs w:val="24"/>
                <w:highlight w:val="none"/>
                <w:lang w:val="en-US" w:eastAsia="zh-CN"/>
              </w:rPr>
              <w:t>相符性分析</w:t>
            </w:r>
          </w:p>
          <w:p w14:paraId="54D8E6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kern w:val="44"/>
                <w:sz w:val="24"/>
              </w:rPr>
            </w:pPr>
            <w:r>
              <w:rPr>
                <w:rFonts w:hint="eastAsia" w:ascii="Times New Roman" w:hAnsi="Times New Roman" w:cs="Times New Roman"/>
                <w:caps w:val="0"/>
                <w:smallCaps w:val="0"/>
                <w:color w:val="auto"/>
                <w:sz w:val="24"/>
                <w:highlight w:val="none"/>
                <w:lang w:val="en-US" w:eastAsia="zh-CN"/>
              </w:rPr>
              <w:t>《云南省固体废物污染环境防治条例》于2022年11月30日云南省第十三届人民代表大会常务委员会第三十五次会议通过</w:t>
            </w:r>
            <w:r>
              <w:rPr>
                <w:rFonts w:hint="default" w:ascii="Times New Roman" w:hAnsi="Times New Roman" w:cs="Times New Roman"/>
                <w:caps w:val="0"/>
                <w:smallCaps w:val="0"/>
                <w:color w:val="auto"/>
                <w:sz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与其相关符合性分析详见下表。</w:t>
            </w:r>
          </w:p>
          <w:p w14:paraId="4F009906">
            <w:pPr>
              <w:keepNext w:val="0"/>
              <w:keepLines w:val="0"/>
              <w:pageBreakBefore w:val="0"/>
              <w:widowControl w:val="0"/>
              <w:kinsoku/>
              <w:wordWrap/>
              <w:overflowPunct/>
              <w:topLinePunct w:val="0"/>
              <w:autoSpaceDE/>
              <w:autoSpaceDN/>
              <w:bidi w:val="0"/>
              <w:adjustRightInd w:val="0"/>
              <w:snapToGrid/>
              <w:spacing w:line="240" w:lineRule="auto"/>
              <w:ind w:firstLine="0" w:firstLineChars="0"/>
              <w:contextualSpacing/>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highlight w:val="none"/>
              </w:rPr>
              <w:t>表</w:t>
            </w:r>
            <w:r>
              <w:rPr>
                <w:rFonts w:hint="eastAsia" w:ascii="Times New Roman" w:hAnsi="Times New Roman" w:eastAsia="宋体" w:cs="Times New Roman"/>
                <w:b/>
                <w:bCs/>
                <w:caps w:val="0"/>
                <w:smallCaps w:val="0"/>
                <w:color w:val="auto"/>
                <w:sz w:val="21"/>
                <w:szCs w:val="21"/>
                <w:highlight w:val="none"/>
                <w:lang w:val="en-US" w:eastAsia="zh-CN"/>
              </w:rPr>
              <w:t>1-2</w:t>
            </w:r>
            <w:r>
              <w:rPr>
                <w:rFonts w:hint="eastAsia" w:cs="Times New Roman"/>
                <w:b/>
                <w:bCs/>
                <w:caps w:val="0"/>
                <w:smallCaps w:val="0"/>
                <w:color w:val="auto"/>
                <w:sz w:val="21"/>
                <w:szCs w:val="21"/>
                <w:highlight w:val="none"/>
                <w:lang w:val="en-US" w:eastAsia="zh-CN"/>
              </w:rPr>
              <w:t>0</w:t>
            </w:r>
            <w:r>
              <w:rPr>
                <w:rFonts w:hint="default" w:ascii="Times New Roman" w:hAnsi="Times New Roman" w:eastAsia="宋体" w:cs="Times New Roman"/>
                <w:b/>
                <w:bCs/>
                <w:caps w:val="0"/>
                <w:smallCaps w:val="0"/>
                <w:color w:val="auto"/>
                <w:sz w:val="21"/>
                <w:szCs w:val="21"/>
                <w:highlight w:val="none"/>
              </w:rPr>
              <w:t xml:space="preserve"> </w:t>
            </w:r>
            <w:r>
              <w:rPr>
                <w:rFonts w:hint="default" w:ascii="Times New Roman" w:hAnsi="Times New Roman" w:eastAsia="宋体" w:cs="Times New Roman"/>
                <w:b/>
                <w:bCs/>
                <w:caps w:val="0"/>
                <w:smallCaps w:val="0"/>
                <w:color w:val="auto"/>
                <w:sz w:val="21"/>
                <w:szCs w:val="21"/>
                <w:lang w:val="en-US" w:eastAsia="zh-CN"/>
              </w:rPr>
              <w:t xml:space="preserve"> </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val="en-US" w:eastAsia="zh-CN"/>
              </w:rPr>
              <w:t>《云南省固体废物污染环境防治条例》</w:t>
            </w:r>
            <w:r>
              <w:rPr>
                <w:rFonts w:hint="default" w:ascii="Times New Roman" w:hAnsi="Times New Roman" w:eastAsia="宋体" w:cs="Times New Roman"/>
                <w:b/>
                <w:bCs/>
                <w:color w:val="auto"/>
                <w:sz w:val="21"/>
                <w:szCs w:val="21"/>
              </w:rPr>
              <w:t>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7"/>
              <w:gridCol w:w="2691"/>
              <w:gridCol w:w="724"/>
            </w:tblGrid>
            <w:tr w14:paraId="6487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7624412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相关</w:t>
                  </w:r>
                  <w:r>
                    <w:rPr>
                      <w:rFonts w:hint="default" w:ascii="Times New Roman" w:hAnsi="Times New Roman" w:eastAsia="宋体" w:cs="Times New Roman"/>
                      <w:b/>
                      <w:bCs/>
                      <w:color w:val="auto"/>
                      <w:sz w:val="21"/>
                      <w:szCs w:val="21"/>
                    </w:rPr>
                    <w:t>内容</w:t>
                  </w:r>
                </w:p>
              </w:tc>
              <w:tc>
                <w:tcPr>
                  <w:tcW w:w="2691" w:type="dxa"/>
                  <w:noWrap w:val="0"/>
                  <w:vAlign w:val="center"/>
                </w:tcPr>
                <w:p w14:paraId="5871367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highlight w:val="none"/>
                    </w:rPr>
                    <w:t>本</w:t>
                  </w:r>
                  <w:r>
                    <w:rPr>
                      <w:rFonts w:hint="eastAsia"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情况</w:t>
                  </w:r>
                </w:p>
              </w:tc>
              <w:tc>
                <w:tcPr>
                  <w:tcW w:w="724" w:type="dxa"/>
                  <w:noWrap w:val="0"/>
                  <w:vAlign w:val="center"/>
                </w:tcPr>
                <w:p w14:paraId="4ADC9D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4CB6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27F50D28">
                  <w:pPr>
                    <w:pageBreakBefore w:val="0"/>
                    <w:widowControl w:val="0"/>
                    <w:wordWrap/>
                    <w:topLinePunct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第三条</w:t>
                  </w:r>
                  <w:r>
                    <w:rPr>
                      <w:rFonts w:hint="default" w:ascii="Times New Roman" w:hAnsi="Times New Roman" w:eastAsia="宋体" w:cs="Times New Roman"/>
                      <w:color w:val="auto"/>
                      <w:sz w:val="21"/>
                      <w:szCs w:val="21"/>
                      <w:highlight w:val="none"/>
                      <w:lang w:val="en-US" w:eastAsia="zh-CN"/>
                    </w:rPr>
                    <w:t xml:space="preserve"> 固体废物污染环境防治坚持减量化、资源化、无害化和污染担责、分级分类管理的原则。任何单位和个人都应当采取措施，减少固体废物的产生量，促进固体废物的综合利用，降低固体废物的危害性。</w:t>
                  </w:r>
                </w:p>
              </w:tc>
              <w:tc>
                <w:tcPr>
                  <w:tcW w:w="2691" w:type="dxa"/>
                  <w:noWrap w:val="0"/>
                  <w:vAlign w:val="center"/>
                </w:tcPr>
                <w:p w14:paraId="29FF6E7A">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项目产生的废包装材料定期出售给物资回收商回收处置，</w:t>
                  </w:r>
                  <w:r>
                    <w:rPr>
                      <w:rFonts w:hint="eastAsia" w:ascii="宋体" w:hAnsi="宋体" w:cs="宋体"/>
                      <w:color w:val="auto"/>
                      <w:kern w:val="0"/>
                      <w:sz w:val="21"/>
                      <w:szCs w:val="21"/>
                      <w:lang w:val="en-US" w:eastAsia="zh-CN" w:bidi="ar"/>
                    </w:rPr>
                    <w:t>生产工序产生的</w:t>
                  </w:r>
                  <w:r>
                    <w:rPr>
                      <w:rFonts w:hint="eastAsia" w:ascii="宋体" w:hAnsi="宋体" w:eastAsia="宋体" w:cs="宋体"/>
                      <w:color w:val="auto"/>
                      <w:kern w:val="0"/>
                      <w:sz w:val="21"/>
                      <w:szCs w:val="21"/>
                      <w:lang w:val="en-US" w:eastAsia="zh-CN" w:bidi="ar"/>
                    </w:rPr>
                    <w:t>废边角料、不合格产品</w:t>
                  </w:r>
                  <w:r>
                    <w:rPr>
                      <w:rFonts w:hint="eastAsia" w:ascii="宋体" w:hAnsi="宋体" w:cs="宋体"/>
                      <w:color w:val="auto"/>
                      <w:kern w:val="0"/>
                      <w:sz w:val="21"/>
                      <w:szCs w:val="21"/>
                      <w:lang w:val="en-US" w:eastAsia="zh-CN" w:bidi="ar"/>
                    </w:rPr>
                    <w:t>等经收集后</w:t>
                  </w:r>
                  <w:r>
                    <w:rPr>
                      <w:rFonts w:hint="eastAsia" w:ascii="宋体" w:hAnsi="宋体" w:eastAsia="宋体" w:cs="宋体"/>
                      <w:color w:val="auto"/>
                      <w:kern w:val="0"/>
                      <w:sz w:val="21"/>
                      <w:szCs w:val="21"/>
                      <w:lang w:val="en-US" w:eastAsia="zh-CN" w:bidi="ar"/>
                    </w:rPr>
                    <w:t>返回</w:t>
                  </w:r>
                  <w:r>
                    <w:rPr>
                      <w:rFonts w:hint="eastAsia" w:ascii="宋体" w:hAnsi="宋体" w:cs="宋体"/>
                      <w:color w:val="auto"/>
                      <w:kern w:val="0"/>
                      <w:sz w:val="21"/>
                      <w:szCs w:val="21"/>
                      <w:lang w:val="en-US" w:eastAsia="zh-CN" w:bidi="ar"/>
                    </w:rPr>
                    <w:t>原</w:t>
                  </w:r>
                  <w:r>
                    <w:rPr>
                      <w:rFonts w:hint="eastAsia" w:ascii="宋体" w:hAnsi="宋体" w:eastAsia="宋体" w:cs="宋体"/>
                      <w:color w:val="auto"/>
                      <w:kern w:val="0"/>
                      <w:sz w:val="21"/>
                      <w:szCs w:val="21"/>
                      <w:lang w:val="en-US" w:eastAsia="zh-CN" w:bidi="ar"/>
                    </w:rPr>
                    <w:t>生产线</w:t>
                  </w:r>
                  <w:r>
                    <w:rPr>
                      <w:rFonts w:hint="eastAsia" w:ascii="宋体" w:hAnsi="宋体" w:cs="宋体"/>
                      <w:color w:val="auto"/>
                      <w:kern w:val="0"/>
                      <w:sz w:val="21"/>
                      <w:szCs w:val="21"/>
                      <w:lang w:val="en-US" w:eastAsia="zh-CN" w:bidi="ar"/>
                    </w:rPr>
                    <w:t>使用，</w:t>
                  </w:r>
                  <w:r>
                    <w:rPr>
                      <w:rFonts w:hint="default" w:ascii="Times New Roman" w:hAnsi="Times New Roman" w:eastAsia="宋体" w:cs="Times New Roman"/>
                      <w:strike w:val="0"/>
                      <w:dstrike w:val="0"/>
                      <w:color w:val="auto"/>
                      <w:sz w:val="21"/>
                      <w:szCs w:val="21"/>
                      <w:highlight w:val="none"/>
                      <w:vertAlign w:val="baseline"/>
                      <w:lang w:val="en-US" w:eastAsia="zh-CN"/>
                    </w:rPr>
                    <w:t>各</w:t>
                  </w:r>
                  <w:r>
                    <w:rPr>
                      <w:rFonts w:hint="eastAsia" w:cs="Times New Roman"/>
                      <w:strike w:val="0"/>
                      <w:dstrike w:val="0"/>
                      <w:color w:val="auto"/>
                      <w:sz w:val="21"/>
                      <w:szCs w:val="21"/>
                      <w:highlight w:val="none"/>
                      <w:vertAlign w:val="baseline"/>
                      <w:lang w:val="en-US" w:eastAsia="zh-CN"/>
                    </w:rPr>
                    <w:t>循环水</w:t>
                  </w:r>
                  <w:r>
                    <w:rPr>
                      <w:rFonts w:hint="default" w:ascii="Times New Roman" w:hAnsi="Times New Roman" w:eastAsia="宋体" w:cs="Times New Roman"/>
                      <w:strike w:val="0"/>
                      <w:dstrike w:val="0"/>
                      <w:color w:val="auto"/>
                      <w:sz w:val="21"/>
                      <w:szCs w:val="21"/>
                      <w:highlight w:val="none"/>
                      <w:vertAlign w:val="baseline"/>
                      <w:lang w:val="en-US" w:eastAsia="zh-CN"/>
                    </w:rPr>
                    <w:t>池沉渣</w:t>
                  </w:r>
                  <w:r>
                    <w:rPr>
                      <w:rFonts w:hint="default" w:ascii="Times New Roman" w:hAnsi="Times New Roman" w:eastAsia="宋体" w:cs="Times New Roman"/>
                      <w:color w:val="auto"/>
                      <w:spacing w:val="-1"/>
                      <w:sz w:val="21"/>
                      <w:szCs w:val="21"/>
                      <w:highlight w:val="none"/>
                    </w:rPr>
                    <w:t>经脱水干化后</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r>
                    <w:rPr>
                      <w:rFonts w:hint="eastAsia" w:ascii="宋体" w:hAnsi="宋体" w:eastAsia="宋体" w:cs="宋体"/>
                      <w:color w:val="auto"/>
                      <w:kern w:val="0"/>
                      <w:sz w:val="21"/>
                      <w:szCs w:val="21"/>
                      <w:lang w:val="en-US" w:eastAsia="zh-CN" w:bidi="ar"/>
                    </w:rPr>
                    <w:t>。废活性炭、</w:t>
                  </w:r>
                  <w:r>
                    <w:rPr>
                      <w:rFonts w:hint="default" w:ascii="Times New Roman" w:hAnsi="Times New Roman" w:cs="Times New Roman"/>
                      <w:color w:val="auto"/>
                      <w:sz w:val="21"/>
                      <w:szCs w:val="21"/>
                      <w:vertAlign w:val="baseline"/>
                      <w:lang w:val="en-US" w:eastAsia="zh-CN"/>
                    </w:rPr>
                    <w:t>废</w:t>
                  </w:r>
                  <w:r>
                    <w:rPr>
                      <w:rFonts w:hint="eastAsia" w:ascii="Times New Roman" w:hAnsi="Times New Roman" w:cs="Times New Roman"/>
                      <w:color w:val="auto"/>
                      <w:sz w:val="21"/>
                      <w:szCs w:val="21"/>
                      <w:vertAlign w:val="baseline"/>
                      <w:lang w:val="en-US" w:eastAsia="zh-CN"/>
                    </w:rPr>
                    <w:t>润滑油</w:t>
                  </w:r>
                  <w:r>
                    <w:rPr>
                      <w:rFonts w:hint="eastAsia" w:ascii="宋体" w:hAnsi="宋体" w:eastAsia="宋体" w:cs="宋体"/>
                      <w:color w:val="auto"/>
                      <w:kern w:val="0"/>
                      <w:sz w:val="21"/>
                      <w:szCs w:val="21"/>
                      <w:lang w:val="en-US" w:eastAsia="zh-CN" w:bidi="ar"/>
                    </w:rPr>
                    <w:t>等分类暂存于危废暂存间内，委托有资质的单位清运处置。生活垃圾、化粪池污泥委托环卫部门定期清理；隔油池油污委托有资质的单位处置。固废均得到有效处置。</w:t>
                  </w:r>
                </w:p>
              </w:tc>
              <w:tc>
                <w:tcPr>
                  <w:tcW w:w="724" w:type="dxa"/>
                  <w:noWrap w:val="0"/>
                  <w:vAlign w:val="center"/>
                </w:tcPr>
                <w:p w14:paraId="5C5FA490">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060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1E5C237B">
                  <w:pPr>
                    <w:pageBreakBefore w:val="0"/>
                    <w:widowControl w:val="0"/>
                    <w:wordWrap/>
                    <w:topLinePunct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 xml:space="preserve">第十二条 </w:t>
                  </w:r>
                  <w:r>
                    <w:rPr>
                      <w:rFonts w:hint="default" w:ascii="Times New Roman" w:hAnsi="Times New Roman" w:eastAsia="宋体" w:cs="Times New Roman"/>
                      <w:color w:val="auto"/>
                      <w:sz w:val="21"/>
                      <w:szCs w:val="21"/>
                      <w:highlight w:val="none"/>
                      <w:lang w:val="en-US" w:eastAsia="zh-CN"/>
                    </w:rPr>
                    <w:t>产生、收集、贮存、运输、利用、处置固体废物的单位和其他生产经营者，应当加强对相关设施、设备和场所的管理和维护，保证其正常运行和使用；依法及时向社会公开固体废物的种类、产生量、流向、贮存、利用、处置等固体废物污染环境防治信息，主动接受社会监督。</w:t>
                  </w:r>
                </w:p>
                <w:p w14:paraId="5B12D8EA">
                  <w:pPr>
                    <w:pageBreakBefore w:val="0"/>
                    <w:widowControl w:val="0"/>
                    <w:wordWrap/>
                    <w:topLinePunct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利用、处置固体废物的单位，应当依法向社会公众开放设施、场所，提高公众环境保护意识和参与程度。</w:t>
                  </w:r>
                </w:p>
              </w:tc>
              <w:tc>
                <w:tcPr>
                  <w:tcW w:w="2691" w:type="dxa"/>
                  <w:noWrap w:val="0"/>
                  <w:vAlign w:val="center"/>
                </w:tcPr>
                <w:p w14:paraId="24315A26">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本项目运营后定期向社会公开固体废物的种类、产生量、流向、贮存、利用、处置等固体废物污染环境防治信息，主动接受社会监督。</w:t>
                  </w:r>
                </w:p>
              </w:tc>
              <w:tc>
                <w:tcPr>
                  <w:tcW w:w="724" w:type="dxa"/>
                  <w:noWrap w:val="0"/>
                  <w:vAlign w:val="center"/>
                </w:tcPr>
                <w:p w14:paraId="6C91D663">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4E0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64AC86F6">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第十三条</w:t>
                  </w:r>
                  <w:r>
                    <w:rPr>
                      <w:rFonts w:hint="default" w:ascii="Times New Roman" w:hAnsi="Times New Roman" w:eastAsia="宋体" w:cs="Times New Roman"/>
                      <w:color w:val="auto"/>
                      <w:kern w:val="0"/>
                      <w:sz w:val="21"/>
                      <w:szCs w:val="21"/>
                      <w:lang w:val="en-US" w:eastAsia="zh-CN" w:bidi="ar"/>
                    </w:rPr>
                    <w:t xml:space="preserve"> 建设产生、贮存、利用、处置固体废物的项目，应当依法进行环境影响评价，并遵守国家有关建设项目环境保护管理的规定。</w:t>
                  </w:r>
                </w:p>
              </w:tc>
              <w:tc>
                <w:tcPr>
                  <w:tcW w:w="2691" w:type="dxa"/>
                  <w:noWrap w:val="0"/>
                  <w:vAlign w:val="center"/>
                </w:tcPr>
                <w:p w14:paraId="5844554F">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按照《中华人民共和国环境保护法》、《中华人民共和国环境影响评价法》和《建设项目环境保护管理条例》的规定，</w:t>
                  </w:r>
                  <w:r>
                    <w:rPr>
                      <w:rFonts w:hint="eastAsia" w:ascii="Times New Roman" w:hAnsi="Times New Roman" w:eastAsia="宋体" w:cs="Times New Roman"/>
                      <w:b w:val="0"/>
                      <w:bCs/>
                      <w:color w:val="auto"/>
                      <w:sz w:val="21"/>
                      <w:szCs w:val="21"/>
                      <w:highlight w:val="none"/>
                      <w:lang w:val="en-US" w:eastAsia="zh-CN"/>
                    </w:rPr>
                    <w:t>本项目建成后</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、利用固体废物</w:t>
                  </w:r>
                  <w:r>
                    <w:rPr>
                      <w:rFonts w:hint="eastAsia" w:ascii="Times New Roman" w:hAnsi="Times New Roman" w:eastAsia="宋体" w:cs="Times New Roman"/>
                      <w:color w:val="auto"/>
                      <w:kern w:val="2"/>
                      <w:sz w:val="21"/>
                      <w:szCs w:val="21"/>
                      <w:highlight w:val="none"/>
                      <w:lang w:val="en-US" w:eastAsia="zh-CN" w:bidi="ar-SA"/>
                    </w:rPr>
                    <w:t>，目前正在</w:t>
                  </w:r>
                  <w:r>
                    <w:rPr>
                      <w:rFonts w:hint="default" w:ascii="Times New Roman" w:hAnsi="Times New Roman" w:eastAsia="宋体" w:cs="Times New Roman"/>
                      <w:color w:val="auto"/>
                      <w:kern w:val="2"/>
                      <w:sz w:val="21"/>
                      <w:szCs w:val="21"/>
                      <w:highlight w:val="none"/>
                      <w:lang w:val="en-US" w:eastAsia="zh-CN" w:bidi="ar-SA"/>
                    </w:rPr>
                    <w:t>依法进行环境影响评价</w:t>
                  </w:r>
                  <w:r>
                    <w:rPr>
                      <w:rFonts w:hint="eastAsia" w:ascii="Times New Roman" w:hAnsi="Times New Roman" w:eastAsia="宋体" w:cs="Times New Roman"/>
                      <w:color w:val="auto"/>
                      <w:kern w:val="2"/>
                      <w:sz w:val="21"/>
                      <w:szCs w:val="21"/>
                      <w:highlight w:val="none"/>
                      <w:lang w:val="en-US" w:eastAsia="zh-CN" w:bidi="ar-SA"/>
                    </w:rPr>
                    <w:t>。</w:t>
                  </w:r>
                </w:p>
              </w:tc>
              <w:tc>
                <w:tcPr>
                  <w:tcW w:w="724" w:type="dxa"/>
                  <w:noWrap w:val="0"/>
                  <w:vAlign w:val="center"/>
                </w:tcPr>
                <w:p w14:paraId="6764DD3E">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4C3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29DDB2EE">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 xml:space="preserve">第十四条 </w:t>
                  </w:r>
                  <w:r>
                    <w:rPr>
                      <w:rFonts w:hint="default" w:ascii="Times New Roman" w:hAnsi="Times New Roman" w:eastAsia="宋体" w:cs="Times New Roman"/>
                      <w:color w:val="auto"/>
                      <w:kern w:val="0"/>
                      <w:sz w:val="21"/>
                      <w:szCs w:val="21"/>
                      <w:lang w:val="en-US" w:eastAsia="zh-CN" w:bidi="ar"/>
                    </w:rPr>
                    <w:t>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w:t>
                  </w:r>
                </w:p>
                <w:p w14:paraId="470514AC">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在生态保护红线区域、永久基本农田集中区域和其他需要特别保护的区域内，禁止建设工业固体废物、危险废物集中贮存、利用、处置的设施、场所和生活垃圾填埋场。</w:t>
                  </w:r>
                </w:p>
              </w:tc>
              <w:tc>
                <w:tcPr>
                  <w:tcW w:w="2691" w:type="dxa"/>
                  <w:noWrap w:val="0"/>
                  <w:vAlign w:val="center"/>
                </w:tcPr>
                <w:p w14:paraId="5131F8DF">
                  <w:pPr>
                    <w:keepNext w:val="0"/>
                    <w:keepLines w:val="0"/>
                    <w:widowControl/>
                    <w:suppressLineNumbers w:val="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本项目施工期、运营期所有固体废物均得到妥善处置，项目建成后设置</w:t>
                  </w:r>
                  <w:r>
                    <w:rPr>
                      <w:rFonts w:hint="default" w:ascii="Times New Roman" w:hAnsi="Times New Roman" w:eastAsia="宋体" w:cs="Times New Roman"/>
                      <w:color w:val="auto"/>
                      <w:spacing w:val="3"/>
                      <w:sz w:val="21"/>
                      <w:szCs w:val="21"/>
                      <w:highlight w:val="none"/>
                      <w:lang w:val="en-US" w:eastAsia="zh-CN"/>
                    </w:rPr>
                    <w:t>一般固废暂存间</w:t>
                  </w:r>
                  <w:r>
                    <w:rPr>
                      <w:rFonts w:hint="eastAsia" w:ascii="Times New Roman" w:hAnsi="Times New Roman" w:eastAsia="宋体" w:cs="Times New Roman"/>
                      <w:color w:val="auto"/>
                      <w:spacing w:val="3"/>
                      <w:sz w:val="21"/>
                      <w:szCs w:val="21"/>
                      <w:highlight w:val="none"/>
                      <w:lang w:val="en-US" w:eastAsia="zh-CN"/>
                    </w:rPr>
                    <w:t>及</w:t>
                  </w:r>
                  <w:r>
                    <w:rPr>
                      <w:rFonts w:hint="eastAsia" w:cs="Times New Roman"/>
                      <w:color w:val="auto"/>
                      <w:spacing w:val="3"/>
                      <w:sz w:val="21"/>
                      <w:szCs w:val="21"/>
                      <w:highlight w:val="none"/>
                      <w:lang w:val="en-US" w:eastAsia="zh-CN"/>
                    </w:rPr>
                    <w:t>危险废物贮存库</w:t>
                  </w:r>
                  <w:r>
                    <w:rPr>
                      <w:rFonts w:hint="eastAsia" w:ascii="Times New Roman" w:hAnsi="Times New Roman" w:eastAsia="宋体" w:cs="Times New Roman"/>
                      <w:color w:val="auto"/>
                      <w:spacing w:val="3"/>
                      <w:sz w:val="21"/>
                      <w:szCs w:val="21"/>
                      <w:highlight w:val="none"/>
                      <w:lang w:val="en-US" w:eastAsia="zh-CN"/>
                    </w:rPr>
                    <w:t>用于暂存</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、利用</w:t>
                  </w:r>
                  <w:r>
                    <w:rPr>
                      <w:rFonts w:hint="eastAsia" w:ascii="Times New Roman" w:hAnsi="Times New Roman" w:eastAsia="宋体" w:cs="Times New Roman"/>
                      <w:color w:val="auto"/>
                      <w:kern w:val="2"/>
                      <w:sz w:val="21"/>
                      <w:szCs w:val="21"/>
                      <w:highlight w:val="none"/>
                      <w:lang w:val="en-US" w:eastAsia="zh-CN" w:bidi="ar-SA"/>
                    </w:rPr>
                    <w:t>的</w:t>
                  </w:r>
                  <w:r>
                    <w:rPr>
                      <w:rFonts w:hint="default" w:ascii="Times New Roman" w:hAnsi="Times New Roman" w:eastAsia="宋体" w:cs="Times New Roman"/>
                      <w:color w:val="auto"/>
                      <w:kern w:val="2"/>
                      <w:sz w:val="21"/>
                      <w:szCs w:val="21"/>
                      <w:highlight w:val="none"/>
                      <w:lang w:val="en-US" w:eastAsia="zh-CN" w:bidi="ar-SA"/>
                    </w:rPr>
                    <w:t>固体废物</w:t>
                  </w:r>
                  <w:r>
                    <w:rPr>
                      <w:rFonts w:hint="eastAsia" w:ascii="宋体" w:hAnsi="宋体" w:eastAsia="宋体" w:cs="宋体"/>
                      <w:color w:val="auto"/>
                      <w:kern w:val="0"/>
                      <w:sz w:val="21"/>
                      <w:szCs w:val="21"/>
                      <w:lang w:val="en-US" w:eastAsia="zh-CN" w:bidi="ar"/>
                    </w:rPr>
                    <w:t>，并</w:t>
                  </w:r>
                  <w:r>
                    <w:rPr>
                      <w:rFonts w:hint="default" w:ascii="Times New Roman" w:hAnsi="Times New Roman" w:eastAsia="宋体" w:cs="Times New Roman"/>
                      <w:color w:val="auto"/>
                      <w:kern w:val="2"/>
                      <w:sz w:val="21"/>
                      <w:szCs w:val="21"/>
                      <w:highlight w:val="none"/>
                      <w:lang w:val="en-US" w:eastAsia="zh-CN" w:bidi="ar-SA"/>
                    </w:rPr>
                    <w:t>采取防扬散、防流失、防渗漏或者其他防止污染环境的措施</w:t>
                  </w:r>
                  <w:r>
                    <w:rPr>
                      <w:rFonts w:hint="eastAsia" w:ascii="宋体" w:hAnsi="宋体" w:eastAsia="宋体" w:cs="宋体"/>
                      <w:color w:val="auto"/>
                      <w:kern w:val="0"/>
                      <w:sz w:val="21"/>
                      <w:szCs w:val="21"/>
                      <w:lang w:val="en-US" w:eastAsia="zh-CN" w:bidi="ar"/>
                    </w:rPr>
                    <w:t>；无向江河、湖泊、运河、渠道、水库及其最高水位线以下的滩地和岸坡以及法律法规规定的其他地点倾倒、堆放、贮存固体废物的行为。</w:t>
                  </w:r>
                </w:p>
                <w:p w14:paraId="7C8B3C1B">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本项目不涉及生态保护红线区域、永久基本农田集中区域和其他需要特别保护的区域。</w:t>
                  </w:r>
                </w:p>
              </w:tc>
              <w:tc>
                <w:tcPr>
                  <w:tcW w:w="724" w:type="dxa"/>
                  <w:noWrap w:val="0"/>
                  <w:vAlign w:val="center"/>
                </w:tcPr>
                <w:p w14:paraId="084508B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D43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7FA01E90">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第二十四条</w:t>
                  </w:r>
                  <w:r>
                    <w:rPr>
                      <w:rFonts w:hint="default" w:ascii="Times New Roman" w:hAnsi="Times New Roman" w:eastAsia="宋体" w:cs="Times New Roman"/>
                      <w:color w:val="auto"/>
                      <w:kern w:val="0"/>
                      <w:sz w:val="21"/>
                      <w:szCs w:val="21"/>
                      <w:lang w:val="en-US" w:eastAsia="zh-CN" w:bidi="ar"/>
                    </w:rPr>
                    <w:t xml:space="preserve"> 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p w14:paraId="7139F17D">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鼓励产生工业固体废物的单位在固体废物产生场所、贮存场所及计量设备等关键点位设置视频监控，提高台账记录信息的准确性。</w:t>
                  </w:r>
                </w:p>
                <w:p w14:paraId="61EE2141">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禁止向生活垃圾收集设施中投放工业固体废物。</w:t>
                  </w:r>
                </w:p>
              </w:tc>
              <w:tc>
                <w:tcPr>
                  <w:tcW w:w="2691" w:type="dxa"/>
                  <w:noWrap w:val="0"/>
                  <w:vAlign w:val="center"/>
                </w:tcPr>
                <w:p w14:paraId="7864E52D">
                  <w:pPr>
                    <w:keepNext w:val="0"/>
                    <w:keepLines w:val="0"/>
                    <w:widowControl/>
                    <w:suppressLineNumbers w:val="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本项目运营过程中，严格按照国家有关规定建立工业固体废物管理台账，如实记录产生工业固体废物的种类、时间、数量、流向、贮存、利用、处置等信息，管理台账保存</w:t>
                  </w: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年以上。</w:t>
                  </w:r>
                </w:p>
                <w:p w14:paraId="4DCC5684">
                  <w:pPr>
                    <w:keepNext w:val="0"/>
                    <w:keepLines w:val="0"/>
                    <w:widowControl/>
                    <w:suppressLineNumbers w:val="0"/>
                    <w:jc w:val="both"/>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运营期间加强管理，</w:t>
                  </w:r>
                  <w:r>
                    <w:rPr>
                      <w:rFonts w:hint="default" w:ascii="Times New Roman" w:hAnsi="Times New Roman" w:eastAsia="宋体" w:cs="Times New Roman"/>
                      <w:color w:val="auto"/>
                      <w:kern w:val="0"/>
                      <w:sz w:val="21"/>
                      <w:szCs w:val="21"/>
                      <w:lang w:val="en-US" w:eastAsia="zh-CN" w:bidi="ar"/>
                    </w:rPr>
                    <w:t>禁止向生活垃圾收集设施中投放工业固体废物</w:t>
                  </w:r>
                  <w:r>
                    <w:rPr>
                      <w:rFonts w:hint="eastAsia" w:ascii="Times New Roman" w:hAnsi="Times New Roman" w:eastAsia="宋体" w:cs="Times New Roman"/>
                      <w:color w:val="auto"/>
                      <w:kern w:val="0"/>
                      <w:sz w:val="21"/>
                      <w:szCs w:val="21"/>
                      <w:lang w:val="en-US" w:eastAsia="zh-CN" w:bidi="ar"/>
                    </w:rPr>
                    <w:t>。</w:t>
                  </w:r>
                </w:p>
              </w:tc>
              <w:tc>
                <w:tcPr>
                  <w:tcW w:w="724" w:type="dxa"/>
                  <w:noWrap w:val="0"/>
                  <w:vAlign w:val="center"/>
                </w:tcPr>
                <w:p w14:paraId="2FF0A4D5">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74B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07" w:type="dxa"/>
                  <w:noWrap w:val="0"/>
                  <w:vAlign w:val="center"/>
                </w:tcPr>
                <w:p w14:paraId="1BE87B2D">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第三十八条</w:t>
                  </w:r>
                  <w:r>
                    <w:rPr>
                      <w:rFonts w:hint="default" w:ascii="Times New Roman" w:hAnsi="Times New Roman" w:eastAsia="宋体" w:cs="Times New Roman"/>
                      <w:color w:val="auto"/>
                      <w:kern w:val="0"/>
                      <w:sz w:val="21"/>
                      <w:szCs w:val="21"/>
                      <w:lang w:val="en-US" w:eastAsia="zh-CN" w:bidi="ar"/>
                    </w:rPr>
                    <w:t xml:space="preserve"> 产生生活垃圾的单位、家庭和个人应当依法履行生活垃圾源头减量和分类投放义务，承担生活垃圾产生者责任。</w:t>
                  </w:r>
                </w:p>
                <w:p w14:paraId="3ED3A288">
                  <w:pPr>
                    <w:keepNext w:val="0"/>
                    <w:keepLines w:val="0"/>
                    <w:widowControl/>
                    <w:suppressLineNumbers w:val="0"/>
                    <w:jc w:val="both"/>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任何单位和个人都应当依法在指定的地点分类投放生活垃圾。</w:t>
                  </w:r>
                </w:p>
                <w:p w14:paraId="6D0CB84E">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禁止随意倾倒、抛撒、堆放或者焚烧生活垃圾。 </w:t>
                  </w:r>
                </w:p>
              </w:tc>
              <w:tc>
                <w:tcPr>
                  <w:tcW w:w="2691" w:type="dxa"/>
                  <w:noWrap w:val="0"/>
                  <w:vAlign w:val="center"/>
                </w:tcPr>
                <w:p w14:paraId="5D95E31D">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项目区内规划设置带盖垃圾桶收集垃圾，委托环卫部门</w:t>
                  </w:r>
                  <w:r>
                    <w:rPr>
                      <w:rFonts w:hint="eastAsia" w:ascii="宋体" w:hAnsi="宋体" w:cs="宋体"/>
                      <w:color w:val="auto"/>
                      <w:kern w:val="0"/>
                      <w:sz w:val="21"/>
                      <w:szCs w:val="21"/>
                      <w:lang w:val="en-US" w:eastAsia="zh-CN" w:bidi="ar"/>
                    </w:rPr>
                    <w:t>定期清运</w:t>
                  </w:r>
                  <w:r>
                    <w:rPr>
                      <w:rFonts w:hint="eastAsia" w:ascii="宋体" w:hAnsi="宋体" w:eastAsia="宋体" w:cs="宋体"/>
                      <w:color w:val="auto"/>
                      <w:kern w:val="0"/>
                      <w:sz w:val="21"/>
                      <w:szCs w:val="21"/>
                      <w:lang w:val="en-US" w:eastAsia="zh-CN" w:bidi="ar"/>
                    </w:rPr>
                    <w:t>处置。项目运营后</w:t>
                  </w:r>
                  <w:r>
                    <w:rPr>
                      <w:rFonts w:hint="default" w:ascii="宋体" w:hAnsi="宋体" w:eastAsia="宋体" w:cs="宋体"/>
                      <w:color w:val="auto"/>
                      <w:kern w:val="0"/>
                      <w:sz w:val="21"/>
                      <w:szCs w:val="21"/>
                      <w:lang w:val="en-US" w:eastAsia="zh-CN" w:bidi="ar"/>
                    </w:rPr>
                    <w:t>禁止随意倾倒、抛撒、堆放或者焚烧生活垃圾。</w:t>
                  </w:r>
                </w:p>
              </w:tc>
              <w:tc>
                <w:tcPr>
                  <w:tcW w:w="724" w:type="dxa"/>
                  <w:noWrap w:val="0"/>
                  <w:vAlign w:val="center"/>
                </w:tcPr>
                <w:p w14:paraId="51D1FF7D">
                  <w:pPr>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E2213A7">
            <w:pPr>
              <w:pStyle w:val="16"/>
              <w:keepNext w:val="0"/>
              <w:keepLines w:val="0"/>
              <w:pageBreakBefore w:val="0"/>
              <w:widowControl w:val="0"/>
              <w:kinsoku/>
              <w:wordWrap/>
              <w:overflowPunct/>
              <w:topLinePunct/>
              <w:autoSpaceDE w:val="0"/>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 w:val="0"/>
                <w:bCs w:val="0"/>
                <w:caps w:val="0"/>
                <w:smallCaps w:val="0"/>
                <w:color w:val="auto"/>
                <w:sz w:val="24"/>
              </w:rPr>
              <w:t>上表可知，本项目建设</w:t>
            </w:r>
            <w:r>
              <w:rPr>
                <w:rFonts w:hint="default" w:ascii="Times New Roman" w:hAnsi="Times New Roman" w:eastAsia="宋体" w:cs="Times New Roman"/>
                <w:b w:val="0"/>
                <w:bCs w:val="0"/>
                <w:caps w:val="0"/>
                <w:smallCaps w:val="0"/>
                <w:color w:val="auto"/>
                <w:sz w:val="24"/>
                <w:lang w:val="en-US" w:eastAsia="zh-CN"/>
              </w:rPr>
              <w:t>符合</w:t>
            </w:r>
            <w:r>
              <w:rPr>
                <w:rFonts w:hint="eastAsia" w:ascii="Times New Roman" w:hAnsi="Times New Roman" w:cs="Times New Roman"/>
                <w:caps w:val="0"/>
                <w:smallCaps w:val="0"/>
                <w:color w:val="auto"/>
                <w:sz w:val="24"/>
                <w:highlight w:val="none"/>
                <w:lang w:val="en-US" w:eastAsia="zh-CN"/>
              </w:rPr>
              <w:t>《云南省固体废物污染环境防治条例》</w:t>
            </w:r>
            <w:r>
              <w:rPr>
                <w:rFonts w:hint="default" w:ascii="Times New Roman" w:hAnsi="Times New Roman" w:eastAsia="宋体" w:cs="Times New Roman"/>
                <w:b w:val="0"/>
                <w:bCs w:val="0"/>
                <w:caps w:val="0"/>
                <w:smallCaps w:val="0"/>
                <w:color w:val="auto"/>
                <w:sz w:val="24"/>
                <w:lang w:val="en-US" w:eastAsia="zh-CN"/>
              </w:rPr>
              <w:t>中相关规定，符合建设</w:t>
            </w:r>
            <w:r>
              <w:rPr>
                <w:rFonts w:hint="default" w:ascii="Times New Roman" w:hAnsi="Times New Roman" w:eastAsia="宋体" w:cs="Times New Roman"/>
                <w:b w:val="0"/>
                <w:bCs w:val="0"/>
                <w:caps w:val="0"/>
                <w:smallCaps w:val="0"/>
                <w:color w:val="auto"/>
                <w:sz w:val="24"/>
              </w:rPr>
              <w:t>要求。</w:t>
            </w:r>
          </w:p>
          <w:p w14:paraId="7FA58080">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cs="Times New Roman"/>
                <w:b/>
                <w:bCs/>
                <w:color w:val="auto"/>
                <w:kern w:val="0"/>
                <w:sz w:val="24"/>
                <w:szCs w:val="24"/>
                <w:highlight w:val="none"/>
                <w:lang w:val="en-US" w:eastAsia="zh-CN" w:bidi="ar-SA"/>
              </w:rPr>
            </w:pPr>
            <w:r>
              <w:rPr>
                <w:rFonts w:hint="default" w:cs="Times New Roman"/>
                <w:b/>
                <w:bCs/>
                <w:color w:val="auto"/>
                <w:kern w:val="0"/>
                <w:sz w:val="24"/>
                <w:szCs w:val="24"/>
                <w:highlight w:val="none"/>
                <w:lang w:val="en-US" w:eastAsia="zh-CN" w:bidi="ar-SA"/>
              </w:rPr>
              <w:t>1</w:t>
            </w:r>
            <w:r>
              <w:rPr>
                <w:rFonts w:hint="eastAsia" w:cs="Times New Roman"/>
                <w:b/>
                <w:bCs/>
                <w:color w:val="auto"/>
                <w:kern w:val="0"/>
                <w:sz w:val="24"/>
                <w:szCs w:val="24"/>
                <w:highlight w:val="none"/>
                <w:lang w:val="en-US" w:eastAsia="zh-CN" w:bidi="ar-SA"/>
              </w:rPr>
              <w:t>9</w:t>
            </w:r>
            <w:r>
              <w:rPr>
                <w:rFonts w:hint="default" w:cs="Times New Roman"/>
                <w:b/>
                <w:bCs/>
                <w:color w:val="auto"/>
                <w:kern w:val="0"/>
                <w:sz w:val="24"/>
                <w:szCs w:val="24"/>
                <w:highlight w:val="none"/>
                <w:lang w:val="en-US" w:eastAsia="zh-CN" w:bidi="ar-SA"/>
              </w:rPr>
              <w:t>.与《</w:t>
            </w:r>
            <w:r>
              <w:rPr>
                <w:rFonts w:hint="eastAsia" w:cs="Times New Roman"/>
                <w:b/>
                <w:bCs/>
                <w:color w:val="auto"/>
                <w:kern w:val="0"/>
                <w:sz w:val="24"/>
                <w:szCs w:val="24"/>
                <w:highlight w:val="none"/>
                <w:lang w:val="en-US" w:eastAsia="zh-CN" w:bidi="ar-SA"/>
              </w:rPr>
              <w:t>危险化学品安全管理条例</w:t>
            </w:r>
            <w:r>
              <w:rPr>
                <w:rFonts w:hint="default" w:cs="Times New Roman"/>
                <w:b/>
                <w:bCs/>
                <w:color w:val="auto"/>
                <w:kern w:val="0"/>
                <w:sz w:val="24"/>
                <w:szCs w:val="24"/>
                <w:highlight w:val="none"/>
                <w:lang w:val="en-US" w:eastAsia="zh-CN" w:bidi="ar-SA"/>
              </w:rPr>
              <w:t>》相符性分析</w:t>
            </w:r>
          </w:p>
          <w:p w14:paraId="10CC06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kern w:val="44"/>
                <w:sz w:val="24"/>
              </w:rPr>
            </w:pPr>
            <w:r>
              <w:rPr>
                <w:rFonts w:hint="default" w:ascii="Times New Roman" w:hAnsi="Times New Roman" w:cs="Times New Roman"/>
                <w:caps w:val="0"/>
                <w:smallCaps w:val="0"/>
                <w:color w:val="auto"/>
                <w:sz w:val="24"/>
                <w:highlight w:val="none"/>
                <w:lang w:val="en-US" w:eastAsia="zh-CN"/>
              </w:rPr>
              <w:t>项目与</w:t>
            </w:r>
            <w:r>
              <w:rPr>
                <w:rFonts w:hint="eastAsia" w:ascii="Times New Roman" w:hAnsi="Times New Roman" w:cs="Times New Roman"/>
                <w:caps w:val="0"/>
                <w:smallCaps w:val="0"/>
                <w:color w:val="auto"/>
                <w:sz w:val="24"/>
                <w:highlight w:val="none"/>
                <w:lang w:val="en-US" w:eastAsia="zh-CN"/>
              </w:rPr>
              <w:t>《危险化学品安全管理条例》</w:t>
            </w:r>
            <w:r>
              <w:rPr>
                <w:rFonts w:hint="default" w:ascii="Times New Roman" w:hAnsi="Times New Roman" w:cs="Times New Roman"/>
                <w:caps w:val="0"/>
                <w:smallCaps w:val="0"/>
                <w:color w:val="auto"/>
                <w:sz w:val="24"/>
                <w:highlight w:val="none"/>
                <w:lang w:val="en-US" w:eastAsia="zh-CN"/>
              </w:rPr>
              <w:t>符合性</w:t>
            </w:r>
            <w:r>
              <w:rPr>
                <w:rFonts w:hint="default" w:ascii="Times New Roman" w:hAnsi="Times New Roman" w:eastAsia="宋体" w:cs="Times New Roman"/>
                <w:b w:val="0"/>
                <w:bCs w:val="0"/>
                <w:color w:val="auto"/>
                <w:sz w:val="24"/>
                <w:szCs w:val="24"/>
                <w:highlight w:val="none"/>
                <w:lang w:val="en-US" w:eastAsia="zh-CN"/>
              </w:rPr>
              <w:t>分析详见下表。</w:t>
            </w:r>
          </w:p>
          <w:p w14:paraId="27E4AF78">
            <w:pPr>
              <w:keepNext w:val="0"/>
              <w:keepLines w:val="0"/>
              <w:pageBreakBefore w:val="0"/>
              <w:widowControl w:val="0"/>
              <w:kinsoku/>
              <w:wordWrap/>
              <w:overflowPunct/>
              <w:topLinePunct w:val="0"/>
              <w:autoSpaceDE/>
              <w:autoSpaceDN/>
              <w:bidi w:val="0"/>
              <w:adjustRightInd w:val="0"/>
              <w:snapToGrid/>
              <w:spacing w:line="240" w:lineRule="auto"/>
              <w:ind w:firstLine="0" w:firstLineChars="0"/>
              <w:contextualSpacing/>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highlight w:val="none"/>
              </w:rPr>
              <w:t>表</w:t>
            </w:r>
            <w:r>
              <w:rPr>
                <w:rFonts w:hint="eastAsia" w:ascii="Times New Roman" w:hAnsi="Times New Roman" w:eastAsia="宋体" w:cs="Times New Roman"/>
                <w:b/>
                <w:bCs/>
                <w:caps w:val="0"/>
                <w:smallCaps w:val="0"/>
                <w:color w:val="auto"/>
                <w:sz w:val="21"/>
                <w:szCs w:val="21"/>
                <w:highlight w:val="none"/>
                <w:lang w:val="en-US" w:eastAsia="zh-CN"/>
              </w:rPr>
              <w:t>1-2</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val="en-US" w:eastAsia="zh-CN"/>
              </w:rPr>
              <w:t>《危险化学品安全管理条例》</w:t>
            </w:r>
            <w:r>
              <w:rPr>
                <w:rFonts w:hint="default" w:ascii="Times New Roman" w:hAnsi="Times New Roman" w:eastAsia="宋体" w:cs="Times New Roman"/>
                <w:b/>
                <w:bCs/>
                <w:color w:val="auto"/>
                <w:sz w:val="21"/>
                <w:szCs w:val="21"/>
                <w:lang w:val="en-US" w:eastAsia="zh-CN"/>
              </w:rPr>
              <w:t>相</w:t>
            </w:r>
            <w:r>
              <w:rPr>
                <w:rFonts w:hint="default" w:ascii="Times New Roman" w:hAnsi="Times New Roman" w:eastAsia="宋体" w:cs="Times New Roman"/>
                <w:b/>
                <w:bCs/>
                <w:color w:val="auto"/>
                <w:sz w:val="21"/>
                <w:szCs w:val="21"/>
              </w:rPr>
              <w:t>符性分析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2482"/>
              <w:gridCol w:w="724"/>
            </w:tblGrid>
            <w:tr w14:paraId="4AF3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3083D05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相关</w:t>
                  </w:r>
                  <w:r>
                    <w:rPr>
                      <w:rFonts w:hint="default" w:ascii="Times New Roman" w:hAnsi="Times New Roman" w:eastAsia="宋体" w:cs="Times New Roman"/>
                      <w:b/>
                      <w:bCs/>
                      <w:color w:val="auto"/>
                      <w:sz w:val="21"/>
                      <w:szCs w:val="21"/>
                    </w:rPr>
                    <w:t>内容</w:t>
                  </w:r>
                </w:p>
              </w:tc>
              <w:tc>
                <w:tcPr>
                  <w:tcW w:w="2482" w:type="dxa"/>
                  <w:noWrap w:val="0"/>
                  <w:vAlign w:val="center"/>
                </w:tcPr>
                <w:p w14:paraId="7FE84C6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highlight w:val="none"/>
                    </w:rPr>
                    <w:t>本</w:t>
                  </w:r>
                  <w:r>
                    <w:rPr>
                      <w:rFonts w:hint="eastAsia"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color w:val="auto"/>
                      <w:sz w:val="21"/>
                      <w:szCs w:val="21"/>
                      <w:highlight w:val="none"/>
                    </w:rPr>
                    <w:t>情况</w:t>
                  </w:r>
                </w:p>
              </w:tc>
              <w:tc>
                <w:tcPr>
                  <w:tcW w:w="724" w:type="dxa"/>
                  <w:noWrap w:val="0"/>
                  <w:vAlign w:val="center"/>
                </w:tcPr>
                <w:p w14:paraId="3E774E3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153B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2AB462E1">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sz w:val="21"/>
                      <w:szCs w:val="21"/>
                      <w:highlight w:val="none"/>
                      <w:lang w:val="en-US" w:eastAsia="zh-CN"/>
                    </w:rPr>
                    <w:t>第</w:t>
                  </w:r>
                  <w:r>
                    <w:rPr>
                      <w:rFonts w:hint="eastAsia" w:cs="Times New Roman"/>
                      <w:b/>
                      <w:bCs/>
                      <w:color w:val="auto"/>
                      <w:sz w:val="21"/>
                      <w:szCs w:val="21"/>
                      <w:highlight w:val="none"/>
                      <w:lang w:val="en-US" w:eastAsia="zh-CN"/>
                    </w:rPr>
                    <w:t>五</w:t>
                  </w:r>
                  <w:r>
                    <w:rPr>
                      <w:rFonts w:hint="default" w:ascii="Times New Roman" w:hAnsi="Times New Roman" w:eastAsia="宋体" w:cs="Times New Roman"/>
                      <w:b/>
                      <w:bCs/>
                      <w:color w:val="auto"/>
                      <w:sz w:val="21"/>
                      <w:szCs w:val="21"/>
                      <w:highlight w:val="none"/>
                      <w:lang w:val="en-US" w:eastAsia="zh-CN"/>
                    </w:rPr>
                    <w:t>条</w:t>
                  </w: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kern w:val="0"/>
                      <w:sz w:val="21"/>
                      <w:szCs w:val="21"/>
                      <w:lang w:val="en-US" w:eastAsia="zh-CN" w:bidi="ar"/>
                    </w:rPr>
                    <w:t>任何单位和个人不得生产、经营、使用国家禁止生产、经营、使用的危险化学品。</w:t>
                  </w:r>
                </w:p>
                <w:p w14:paraId="042F6385">
                  <w:pPr>
                    <w:keepNext w:val="0"/>
                    <w:keepLines w:val="0"/>
                    <w:widowControl/>
                    <w:suppressLineNumbers w:val="0"/>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lang w:val="en-US" w:eastAsia="zh-CN" w:bidi="ar"/>
                    </w:rPr>
                    <w:t>国家对危险化学品的使用有限制性规定的，任何单位和个人不得违反限制性规定使用危险化学品。</w:t>
                  </w:r>
                </w:p>
              </w:tc>
              <w:tc>
                <w:tcPr>
                  <w:tcW w:w="2482" w:type="dxa"/>
                  <w:noWrap w:val="0"/>
                  <w:vAlign w:val="center"/>
                </w:tcPr>
                <w:p w14:paraId="7E1C2206">
                  <w:pPr>
                    <w:keepNext w:val="0"/>
                    <w:keepLines w:val="0"/>
                    <w:widowControl/>
                    <w:suppressLineNumbers w:val="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使用片碱配置1</w:t>
                  </w:r>
                  <w:r>
                    <w:rPr>
                      <w:rFonts w:hint="default" w:ascii="Times New Roman" w:hAnsi="Times New Roman" w:eastAsia="宋体" w:cs="Times New Roman"/>
                      <w:color w:val="auto"/>
                      <w:sz w:val="21"/>
                      <w:szCs w:val="21"/>
                      <w:lang w:val="en-US" w:eastAsia="zh-CN"/>
                    </w:rPr>
                    <w:t>%NaOH溶液</w:t>
                  </w:r>
                  <w:r>
                    <w:rPr>
                      <w:rFonts w:hint="eastAsia" w:ascii="Times New Roman" w:hAnsi="Times New Roman" w:eastAsia="宋体" w:cs="Times New Roman"/>
                      <w:color w:val="auto"/>
                      <w:sz w:val="21"/>
                      <w:szCs w:val="21"/>
                      <w:lang w:val="en-US" w:eastAsia="zh-CN"/>
                    </w:rPr>
                    <w:t>作为烫钻</w:t>
                  </w:r>
                  <w:r>
                    <w:rPr>
                      <w:rFonts w:hint="eastAsia" w:cs="Times New Roman"/>
                      <w:color w:val="auto"/>
                      <w:sz w:val="21"/>
                      <w:szCs w:val="21"/>
                      <w:lang w:val="en-US" w:eastAsia="zh-CN"/>
                    </w:rPr>
                    <w:t>珠胚</w:t>
                  </w:r>
                  <w:r>
                    <w:rPr>
                      <w:rFonts w:hint="eastAsia" w:ascii="Times New Roman" w:hAnsi="Times New Roman" w:eastAsia="宋体" w:cs="Times New Roman"/>
                      <w:color w:val="auto"/>
                      <w:sz w:val="21"/>
                      <w:szCs w:val="21"/>
                      <w:lang w:val="en-US" w:eastAsia="zh-CN"/>
                    </w:rPr>
                    <w:t>碱洗的试剂</w:t>
                  </w:r>
                  <w:r>
                    <w:rPr>
                      <w:rFonts w:hint="eastAsia" w:cs="Times New Roman"/>
                      <w:color w:val="auto"/>
                      <w:sz w:val="21"/>
                      <w:szCs w:val="21"/>
                      <w:lang w:val="en-US" w:eastAsia="zh-CN"/>
                    </w:rPr>
                    <w:t>，在项目生产过程中</w:t>
                  </w:r>
                  <w:r>
                    <w:rPr>
                      <w:rFonts w:hint="eastAsia" w:ascii="Times New Roman" w:hAnsi="Times New Roman" w:eastAsia="宋体" w:cs="Times New Roman"/>
                      <w:color w:val="auto"/>
                      <w:kern w:val="0"/>
                      <w:sz w:val="21"/>
                      <w:szCs w:val="21"/>
                      <w:lang w:val="en-US" w:eastAsia="zh-CN" w:bidi="ar"/>
                    </w:rPr>
                    <w:t>国家对危险化学品的使用规定</w:t>
                  </w:r>
                  <w:r>
                    <w:rPr>
                      <w:rFonts w:hint="eastAsia" w:cs="Times New Roman"/>
                      <w:color w:val="auto"/>
                      <w:kern w:val="0"/>
                      <w:sz w:val="21"/>
                      <w:szCs w:val="21"/>
                      <w:lang w:val="en-US" w:eastAsia="zh-CN" w:bidi="ar"/>
                    </w:rPr>
                    <w:t>执行，</w:t>
                  </w:r>
                  <w:r>
                    <w:rPr>
                      <w:rFonts w:hint="eastAsia" w:ascii="Times New Roman" w:hAnsi="Times New Roman" w:eastAsia="宋体" w:cs="Times New Roman"/>
                      <w:color w:val="auto"/>
                      <w:kern w:val="0"/>
                      <w:sz w:val="21"/>
                      <w:szCs w:val="21"/>
                      <w:lang w:val="en-US" w:eastAsia="zh-CN" w:bidi="ar"/>
                    </w:rPr>
                    <w:t>不违反限制性规定使用</w:t>
                  </w:r>
                  <w:r>
                    <w:rPr>
                      <w:rFonts w:hint="eastAsia" w:cs="Times New Roman"/>
                      <w:color w:val="auto"/>
                      <w:kern w:val="0"/>
                      <w:sz w:val="21"/>
                      <w:szCs w:val="21"/>
                      <w:lang w:val="en-US" w:eastAsia="zh-CN" w:bidi="ar"/>
                    </w:rPr>
                    <w:t>要求。</w:t>
                  </w:r>
                </w:p>
              </w:tc>
              <w:tc>
                <w:tcPr>
                  <w:tcW w:w="724" w:type="dxa"/>
                  <w:noWrap w:val="0"/>
                  <w:vAlign w:val="center"/>
                </w:tcPr>
                <w:p w14:paraId="3EF144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369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06F0C30E">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第十三条</w:t>
                  </w:r>
                  <w:r>
                    <w:rPr>
                      <w:rFonts w:hint="eastAsia" w:ascii="Times New Roman" w:hAnsi="Times New Roman" w:eastAsia="宋体" w:cs="Times New Roman"/>
                      <w:color w:val="auto"/>
                      <w:kern w:val="0"/>
                      <w:sz w:val="21"/>
                      <w:szCs w:val="21"/>
                      <w:lang w:val="en-US" w:eastAsia="zh-CN" w:bidi="ar"/>
                    </w:rPr>
                    <w:t xml:space="preserve"> 生产、储存危险化学品的单位，应当对其铺设的危险化学品管道设置明显标志，并对危险化学品管道定期检查、检测。</w:t>
                  </w:r>
                </w:p>
              </w:tc>
              <w:tc>
                <w:tcPr>
                  <w:tcW w:w="2482" w:type="dxa"/>
                  <w:noWrap w:val="0"/>
                  <w:vAlign w:val="center"/>
                </w:tcPr>
                <w:p w14:paraId="66E6B194">
                  <w:pPr>
                    <w:keepNext w:val="0"/>
                    <w:keepLines w:val="0"/>
                    <w:widowControl/>
                    <w:suppressLineNumbers w:val="0"/>
                    <w:jc w:val="both"/>
                    <w:rPr>
                      <w:rFonts w:hint="default" w:ascii="Times New Roman" w:hAnsi="Times New Roman" w:eastAsia="宋体" w:cs="Times New Roman"/>
                      <w:b/>
                      <w:bCs/>
                      <w:color w:val="auto"/>
                      <w:sz w:val="21"/>
                      <w:szCs w:val="21"/>
                      <w:lang w:val="en-US"/>
                    </w:rPr>
                  </w:pP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使用片碱（块状）配置1</w:t>
                  </w:r>
                  <w:r>
                    <w:rPr>
                      <w:rFonts w:hint="default" w:ascii="Times New Roman" w:hAnsi="Times New Roman" w:eastAsia="宋体" w:cs="Times New Roman"/>
                      <w:color w:val="auto"/>
                      <w:sz w:val="21"/>
                      <w:szCs w:val="21"/>
                      <w:lang w:val="en-US" w:eastAsia="zh-CN"/>
                    </w:rPr>
                    <w:t>%NaOH溶液</w:t>
                  </w:r>
                  <w:r>
                    <w:rPr>
                      <w:rFonts w:hint="eastAsia" w:ascii="Times New Roman" w:hAnsi="Times New Roman" w:eastAsia="宋体" w:cs="Times New Roman"/>
                      <w:color w:val="auto"/>
                      <w:sz w:val="21"/>
                      <w:szCs w:val="21"/>
                      <w:lang w:val="en-US" w:eastAsia="zh-CN"/>
                    </w:rPr>
                    <w:t>作为烫钻</w:t>
                  </w:r>
                  <w:r>
                    <w:rPr>
                      <w:rFonts w:hint="eastAsia" w:cs="Times New Roman"/>
                      <w:color w:val="auto"/>
                      <w:sz w:val="21"/>
                      <w:szCs w:val="21"/>
                      <w:lang w:val="en-US" w:eastAsia="zh-CN"/>
                    </w:rPr>
                    <w:t>珠胚</w:t>
                  </w:r>
                  <w:r>
                    <w:rPr>
                      <w:rFonts w:hint="eastAsia" w:ascii="Times New Roman" w:hAnsi="Times New Roman" w:eastAsia="宋体" w:cs="Times New Roman"/>
                      <w:color w:val="auto"/>
                      <w:sz w:val="21"/>
                      <w:szCs w:val="21"/>
                      <w:lang w:val="en-US" w:eastAsia="zh-CN"/>
                    </w:rPr>
                    <w:t>碱洗的试剂</w:t>
                  </w:r>
                  <w:r>
                    <w:rPr>
                      <w:rFonts w:hint="eastAsia" w:cs="Times New Roman"/>
                      <w:color w:val="auto"/>
                      <w:sz w:val="21"/>
                      <w:szCs w:val="21"/>
                      <w:lang w:val="en-US" w:eastAsia="zh-CN"/>
                    </w:rPr>
                    <w:t>，日常将片碱储存在碱库，碱库</w:t>
                  </w:r>
                  <w:r>
                    <w:rPr>
                      <w:rFonts w:hint="eastAsia" w:ascii="Times New Roman" w:hAnsi="Times New Roman" w:eastAsia="宋体" w:cs="Times New Roman"/>
                      <w:color w:val="auto"/>
                      <w:kern w:val="0"/>
                      <w:sz w:val="21"/>
                      <w:szCs w:val="21"/>
                      <w:lang w:val="en-US" w:eastAsia="zh-CN" w:bidi="ar"/>
                    </w:rPr>
                    <w:t>设置明显标志，由专业人员定期检查、记录。</w:t>
                  </w:r>
                </w:p>
              </w:tc>
              <w:tc>
                <w:tcPr>
                  <w:tcW w:w="724" w:type="dxa"/>
                  <w:noWrap w:val="0"/>
                  <w:vAlign w:val="center"/>
                </w:tcPr>
                <w:p w14:paraId="05F50A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361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7C911A04">
                  <w:pPr>
                    <w:keepNext w:val="0"/>
                    <w:keepLines w:val="0"/>
                    <w:widowControl/>
                    <w:suppressLineNumbers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第二十条</w:t>
                  </w:r>
                  <w:r>
                    <w:rPr>
                      <w:rFonts w:hint="eastAsia" w:ascii="Times New Roman" w:hAnsi="Times New Roman" w:eastAsia="宋体" w:cs="Times New Roman"/>
                      <w:color w:val="auto"/>
                      <w:kern w:val="0"/>
                      <w:sz w:val="21"/>
                      <w:szCs w:val="21"/>
                      <w:lang w:val="en-US" w:eastAsia="zh-CN" w:bidi="ar"/>
                    </w:rPr>
                    <w:t xml:space="preserve"> 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14:paraId="0E397EAB">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生产、储存危险化学品的单位，应当在其作业场所和安全设施、设备上设置明显的安全警示标志。</w:t>
                  </w:r>
                </w:p>
              </w:tc>
              <w:tc>
                <w:tcPr>
                  <w:tcW w:w="2482" w:type="dxa"/>
                  <w:noWrap w:val="0"/>
                  <w:vAlign w:val="center"/>
                </w:tcPr>
                <w:p w14:paraId="1AF99523">
                  <w:pPr>
                    <w:keepNext w:val="0"/>
                    <w:keepLines w:val="0"/>
                    <w:widowControl/>
                    <w:suppressLineNumbers w:val="0"/>
                    <w:jc w:val="both"/>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使用片碱（块状）配置1</w:t>
                  </w:r>
                  <w:r>
                    <w:rPr>
                      <w:rFonts w:hint="default" w:ascii="Times New Roman" w:hAnsi="Times New Roman" w:eastAsia="宋体" w:cs="Times New Roman"/>
                      <w:color w:val="auto"/>
                      <w:sz w:val="21"/>
                      <w:szCs w:val="21"/>
                      <w:lang w:val="en-US" w:eastAsia="zh-CN"/>
                    </w:rPr>
                    <w:t>%NaOH溶液</w:t>
                  </w:r>
                  <w:r>
                    <w:rPr>
                      <w:rFonts w:hint="eastAsia" w:ascii="Times New Roman" w:hAnsi="Times New Roman" w:eastAsia="宋体" w:cs="Times New Roman"/>
                      <w:color w:val="auto"/>
                      <w:sz w:val="21"/>
                      <w:szCs w:val="21"/>
                      <w:lang w:val="en-US" w:eastAsia="zh-CN"/>
                    </w:rPr>
                    <w:t>作为烫钻</w:t>
                  </w:r>
                  <w:r>
                    <w:rPr>
                      <w:rFonts w:hint="eastAsia" w:cs="Times New Roman"/>
                      <w:color w:val="auto"/>
                      <w:sz w:val="21"/>
                      <w:szCs w:val="21"/>
                      <w:lang w:val="en-US" w:eastAsia="zh-CN"/>
                    </w:rPr>
                    <w:t>珠胚</w:t>
                  </w:r>
                  <w:r>
                    <w:rPr>
                      <w:rFonts w:hint="eastAsia" w:ascii="Times New Roman" w:hAnsi="Times New Roman" w:eastAsia="宋体" w:cs="Times New Roman"/>
                      <w:color w:val="auto"/>
                      <w:sz w:val="21"/>
                      <w:szCs w:val="21"/>
                      <w:lang w:val="en-US" w:eastAsia="zh-CN"/>
                    </w:rPr>
                    <w:t>碱洗的试剂</w:t>
                  </w:r>
                  <w:r>
                    <w:rPr>
                      <w:rFonts w:hint="eastAsia" w:cs="Times New Roman"/>
                      <w:color w:val="auto"/>
                      <w:sz w:val="21"/>
                      <w:szCs w:val="21"/>
                      <w:lang w:val="en-US" w:eastAsia="zh-CN"/>
                    </w:rPr>
                    <w:t>，设置专门的碱库用于储存片碱、</w:t>
                  </w:r>
                  <w:r>
                    <w:rPr>
                      <w:rFonts w:hint="default" w:ascii="Times New Roman" w:hAnsi="Times New Roman" w:eastAsia="宋体" w:cs="Times New Roman"/>
                      <w:color w:val="auto"/>
                      <w:spacing w:val="2"/>
                      <w:sz w:val="21"/>
                      <w:szCs w:val="21"/>
                      <w:highlight w:val="none"/>
                    </w:rPr>
                    <w:t>袋装储存</w:t>
                  </w:r>
                  <w:r>
                    <w:rPr>
                      <w:rFonts w:hint="eastAsia" w:cs="Times New Roman"/>
                      <w:color w:val="auto"/>
                      <w:sz w:val="21"/>
                      <w:szCs w:val="21"/>
                      <w:lang w:val="en-US" w:eastAsia="zh-CN"/>
                    </w:rPr>
                    <w:t>，按相关要求设置</w:t>
                  </w:r>
                  <w:r>
                    <w:rPr>
                      <w:rFonts w:hint="eastAsia" w:ascii="Times New Roman" w:hAnsi="Times New Roman" w:eastAsia="宋体" w:cs="Times New Roman"/>
                      <w:color w:val="auto"/>
                      <w:kern w:val="0"/>
                      <w:sz w:val="21"/>
                      <w:szCs w:val="21"/>
                      <w:lang w:val="en-US" w:eastAsia="zh-CN" w:bidi="ar"/>
                    </w:rPr>
                    <w:t>安全设施</w:t>
                  </w:r>
                  <w:r>
                    <w:rPr>
                      <w:rFonts w:hint="eastAsia" w:cs="Times New Roman"/>
                      <w:color w:val="auto"/>
                      <w:sz w:val="21"/>
                      <w:szCs w:val="21"/>
                      <w:lang w:val="en-US" w:eastAsia="zh-CN"/>
                    </w:rPr>
                    <w:t>，并要求在</w:t>
                  </w:r>
                  <w:r>
                    <w:rPr>
                      <w:rFonts w:hint="eastAsia" w:ascii="Times New Roman" w:hAnsi="Times New Roman" w:eastAsia="宋体" w:cs="Times New Roman"/>
                      <w:color w:val="auto"/>
                      <w:kern w:val="0"/>
                      <w:sz w:val="21"/>
                      <w:szCs w:val="21"/>
                      <w:lang w:val="en-US" w:eastAsia="zh-CN" w:bidi="ar"/>
                    </w:rPr>
                    <w:t>安全设施、设备上设置明显的安全警示标志。本次要求碱库</w:t>
                  </w:r>
                  <w:r>
                    <w:rPr>
                      <w:rFonts w:hint="default" w:ascii="Times New Roman" w:hAnsi="Times New Roman" w:eastAsia="宋体" w:cs="Times New Roman"/>
                      <w:color w:val="auto"/>
                      <w:spacing w:val="2"/>
                      <w:sz w:val="21"/>
                      <w:szCs w:val="21"/>
                      <w:highlight w:val="none"/>
                    </w:rPr>
                    <w:t>地面和墙裙采用玻璃钢防腐层（三布五涂</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2"/>
                      <w:sz w:val="21"/>
                      <w:szCs w:val="21"/>
                      <w:highlight w:val="none"/>
                    </w:rPr>
                    <w:t>2.0</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pacing w:val="2"/>
                      <w:sz w:val="21"/>
                      <w:szCs w:val="21"/>
                      <w:highlight w:val="none"/>
                    </w:rPr>
                    <w:t>厚非固化橡胶沥青防渗材料，C30钢筋混凝</w:t>
                  </w:r>
                  <w:r>
                    <w:rPr>
                      <w:rFonts w:hint="default" w:ascii="Times New Roman" w:hAnsi="Times New Roman" w:eastAsia="宋体" w:cs="Times New Roman"/>
                      <w:color w:val="auto"/>
                      <w:spacing w:val="1"/>
                      <w:sz w:val="21"/>
                      <w:szCs w:val="21"/>
                      <w:highlight w:val="none"/>
                    </w:rPr>
                    <w:t>土底层。</w:t>
                  </w:r>
                </w:p>
              </w:tc>
              <w:tc>
                <w:tcPr>
                  <w:tcW w:w="724" w:type="dxa"/>
                  <w:shd w:val="clear" w:color="auto" w:fill="auto"/>
                  <w:noWrap w:val="0"/>
                  <w:vAlign w:val="center"/>
                </w:tcPr>
                <w:p w14:paraId="1C91B53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2283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24502E75">
                  <w:pPr>
                    <w:keepNext w:val="0"/>
                    <w:keepLines w:val="0"/>
                    <w:widowControl/>
                    <w:suppressLineNumbers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第二十四条</w:t>
                  </w:r>
                  <w:r>
                    <w:rPr>
                      <w:rFonts w:hint="eastAsia" w:ascii="Times New Roman" w:hAnsi="Times New Roman" w:eastAsia="宋体" w:cs="Times New Roman"/>
                      <w:color w:val="auto"/>
                      <w:kern w:val="0"/>
                      <w:sz w:val="21"/>
                      <w:szCs w:val="21"/>
                      <w:lang w:val="en-US" w:eastAsia="zh-CN" w:bidi="ar"/>
                    </w:rPr>
                    <w:t xml:space="preserve"> 危险化学品应当储存在专用仓库、专用场地或者专用储存室（以下统称专用仓库）内，并由专人负责管理；剧毒化学品以及储存数量构成重大危险源的其他危险化学品，应当在专用仓库内单独存放，并实行双人收发、双人保管制度。</w:t>
                  </w:r>
                </w:p>
                <w:p w14:paraId="234523FF">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危险化学品的储存方式、方法以及储存数量应当符合国家标准或者国家有关规定。</w:t>
                  </w:r>
                </w:p>
              </w:tc>
              <w:tc>
                <w:tcPr>
                  <w:tcW w:w="2482" w:type="dxa"/>
                  <w:noWrap w:val="0"/>
                  <w:vAlign w:val="center"/>
                </w:tcPr>
                <w:p w14:paraId="3B9908CB">
                  <w:pPr>
                    <w:keepNext w:val="0"/>
                    <w:keepLines w:val="0"/>
                    <w:widowControl/>
                    <w:suppressLineNumbers w:val="0"/>
                    <w:jc w:val="both"/>
                    <w:rPr>
                      <w:rFonts w:hint="eastAsia"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本项目于7#厂房设置专门的碱库储存片碱</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pacing w:val="-2"/>
                      <w:sz w:val="21"/>
                      <w:szCs w:val="21"/>
                      <w:highlight w:val="none"/>
                    </w:rPr>
                    <w:t>占地面积</w:t>
                  </w:r>
                  <w:r>
                    <w:rPr>
                      <w:rFonts w:hint="default" w:ascii="Times New Roman" w:hAnsi="Times New Roman" w:eastAsia="宋体" w:cs="Times New Roman"/>
                      <w:color w:val="auto"/>
                      <w:spacing w:val="-2"/>
                      <w:sz w:val="21"/>
                      <w:szCs w:val="21"/>
                      <w:highlight w:val="none"/>
                      <w:lang w:val="en-US" w:eastAsia="zh-CN"/>
                    </w:rPr>
                    <w:t>约3</w:t>
                  </w:r>
                  <w:r>
                    <w:rPr>
                      <w:rFonts w:hint="default" w:ascii="Times New Roman" w:hAnsi="Times New Roman" w:eastAsia="宋体" w:cs="Times New Roman"/>
                      <w:color w:val="auto"/>
                      <w:spacing w:val="-2"/>
                      <w:sz w:val="21"/>
                      <w:szCs w:val="21"/>
                      <w:highlight w:val="none"/>
                    </w:rPr>
                    <w:t>0m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rPr>
                    <w:t>，</w:t>
                  </w:r>
                  <w:r>
                    <w:rPr>
                      <w:rFonts w:hint="eastAsia" w:ascii="Times New Roman" w:hAnsi="Times New Roman" w:eastAsia="宋体" w:cs="Times New Roman"/>
                      <w:color w:val="auto"/>
                      <w:kern w:val="0"/>
                      <w:sz w:val="21"/>
                      <w:szCs w:val="21"/>
                      <w:lang w:val="en-US" w:eastAsia="zh-CN" w:bidi="ar"/>
                    </w:rPr>
                    <w:t>项目建成后安排专人负责管理；根据风险分析，本项目储存数量未构成重大危险源。</w:t>
                  </w:r>
                </w:p>
                <w:p w14:paraId="0D4EC0FF">
                  <w:pPr>
                    <w:keepNext w:val="0"/>
                    <w:keepLines w:val="0"/>
                    <w:widowControl/>
                    <w:suppressLineNumbers w:val="0"/>
                    <w:jc w:val="both"/>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bidi="ar"/>
                    </w:rPr>
                    <w:t>项目建成后片碱的储存方式、方法以及储存数量均按国家标准或者国家有关规定执行。</w:t>
                  </w:r>
                </w:p>
              </w:tc>
              <w:tc>
                <w:tcPr>
                  <w:tcW w:w="724" w:type="dxa"/>
                  <w:shd w:val="clear" w:color="auto" w:fill="auto"/>
                  <w:noWrap w:val="0"/>
                  <w:vAlign w:val="center"/>
                </w:tcPr>
                <w:p w14:paraId="24426B8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7467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6B7EE72D">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第二十五条</w:t>
                  </w:r>
                  <w:r>
                    <w:rPr>
                      <w:rFonts w:hint="eastAsia" w:ascii="Times New Roman" w:hAnsi="Times New Roman" w:eastAsia="宋体" w:cs="Times New Roman"/>
                      <w:color w:val="auto"/>
                      <w:kern w:val="0"/>
                      <w:sz w:val="21"/>
                      <w:szCs w:val="21"/>
                      <w:lang w:val="en-US" w:eastAsia="zh-CN" w:bidi="ar"/>
                    </w:rPr>
                    <w:t xml:space="preserve"> 储存危险化学品的单位应当建立危险化学品出入库核查、登记制度。</w:t>
                  </w:r>
                </w:p>
              </w:tc>
              <w:tc>
                <w:tcPr>
                  <w:tcW w:w="2482" w:type="dxa"/>
                  <w:noWrap w:val="0"/>
                  <w:vAlign w:val="center"/>
                </w:tcPr>
                <w:p w14:paraId="47BB519F">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项目建成后安排专人负责管理，建立危险化学品出入库核查、登记制度。</w:t>
                  </w:r>
                </w:p>
              </w:tc>
              <w:tc>
                <w:tcPr>
                  <w:tcW w:w="724" w:type="dxa"/>
                  <w:shd w:val="clear" w:color="auto" w:fill="auto"/>
                  <w:noWrap w:val="0"/>
                  <w:vAlign w:val="center"/>
                </w:tcPr>
                <w:p w14:paraId="2E20C34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64D2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5297328A">
                  <w:pPr>
                    <w:keepNext w:val="0"/>
                    <w:keepLines w:val="0"/>
                    <w:widowControl/>
                    <w:suppressLineNumbers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第二十六条</w:t>
                  </w:r>
                  <w:r>
                    <w:rPr>
                      <w:rFonts w:hint="eastAsia" w:ascii="Times New Roman" w:hAnsi="Times New Roman" w:eastAsia="宋体" w:cs="Times New Roman"/>
                      <w:color w:val="auto"/>
                      <w:kern w:val="0"/>
                      <w:sz w:val="21"/>
                      <w:szCs w:val="21"/>
                      <w:lang w:val="en-US" w:eastAsia="zh-CN" w:bidi="ar"/>
                    </w:rPr>
                    <w:t xml:space="preserve"> 危险化学品专用仓库应当符合国家标准、行业标准的要求，并设置明显的标志。储存剧毒化学品、易制爆危险化学品的专用仓库，应当按照国家有关规定设置相应的技术防范设施。</w:t>
                  </w:r>
                </w:p>
                <w:p w14:paraId="7B553C8B">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储存危险化学品的单位应当对其危险化学品专用仓库的安全设施、设备定期进行检测、检验。</w:t>
                  </w:r>
                </w:p>
              </w:tc>
              <w:tc>
                <w:tcPr>
                  <w:tcW w:w="2482" w:type="dxa"/>
                  <w:noWrap w:val="0"/>
                  <w:vAlign w:val="center"/>
                </w:tcPr>
                <w:p w14:paraId="33B1EBCA">
                  <w:pPr>
                    <w:keepNext w:val="0"/>
                    <w:keepLines w:val="0"/>
                    <w:widowControl/>
                    <w:suppressLineNumbers w:val="0"/>
                    <w:jc w:val="both"/>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本项目于7#厂房设置专门的碱库储存片碱</w:t>
                  </w:r>
                  <w:r>
                    <w:rPr>
                      <w:rFonts w:hint="eastAsia" w:ascii="Times New Roman" w:hAnsi="Times New Roman" w:eastAsia="宋体" w:cs="Times New Roman"/>
                      <w:color w:val="auto"/>
                      <w:sz w:val="21"/>
                      <w:szCs w:val="21"/>
                      <w:lang w:val="en-US" w:eastAsia="zh-CN"/>
                    </w:rPr>
                    <w:t>，碱库按</w:t>
                  </w:r>
                  <w:r>
                    <w:rPr>
                      <w:rFonts w:hint="eastAsia" w:ascii="Times New Roman" w:hAnsi="Times New Roman" w:eastAsia="宋体" w:cs="Times New Roman"/>
                      <w:color w:val="auto"/>
                      <w:kern w:val="0"/>
                      <w:sz w:val="21"/>
                      <w:szCs w:val="21"/>
                      <w:lang w:val="en-US" w:eastAsia="zh-CN" w:bidi="ar"/>
                    </w:rPr>
                    <w:t>国家标准、行业标准的要求</w:t>
                  </w:r>
                  <w:r>
                    <w:rPr>
                      <w:rFonts w:hint="eastAsia" w:ascii="Times New Roman" w:hAnsi="Times New Roman" w:eastAsia="宋体" w:cs="Times New Roman"/>
                      <w:color w:val="auto"/>
                      <w:sz w:val="21"/>
                      <w:szCs w:val="21"/>
                      <w:lang w:val="en-US" w:eastAsia="zh-CN"/>
                    </w:rPr>
                    <w:t>建设，并</w:t>
                  </w:r>
                  <w:r>
                    <w:rPr>
                      <w:rFonts w:hint="eastAsia" w:ascii="Times New Roman" w:hAnsi="Times New Roman" w:eastAsia="宋体" w:cs="Times New Roman"/>
                      <w:color w:val="auto"/>
                      <w:kern w:val="0"/>
                      <w:sz w:val="21"/>
                      <w:szCs w:val="21"/>
                      <w:lang w:val="en-US" w:eastAsia="zh-CN" w:bidi="ar"/>
                    </w:rPr>
                    <w:t>设置明显的标志；项目建成后安排专人负责管理，并对其安全设施、设备定期进行检测、检验。</w:t>
                  </w:r>
                </w:p>
              </w:tc>
              <w:tc>
                <w:tcPr>
                  <w:tcW w:w="724" w:type="dxa"/>
                  <w:shd w:val="clear" w:color="auto" w:fill="auto"/>
                  <w:noWrap w:val="0"/>
                  <w:vAlign w:val="center"/>
                </w:tcPr>
                <w:p w14:paraId="2AED1E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709D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6742BCDA">
                  <w:pPr>
                    <w:keepNext w:val="0"/>
                    <w:keepLines w:val="0"/>
                    <w:widowControl/>
                    <w:suppressLineNumbers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第二十八条</w:t>
                  </w:r>
                  <w:r>
                    <w:rPr>
                      <w:rFonts w:hint="eastAsia" w:ascii="Times New Roman" w:hAnsi="Times New Roman" w:eastAsia="宋体" w:cs="Times New Roman"/>
                      <w:color w:val="auto"/>
                      <w:kern w:val="0"/>
                      <w:sz w:val="21"/>
                      <w:szCs w:val="21"/>
                      <w:lang w:val="en-US" w:eastAsia="zh-CN" w:bidi="ar"/>
                    </w:rPr>
                    <w:t xml:space="preserve"> 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学品的安全使用。</w:t>
                  </w:r>
                </w:p>
              </w:tc>
              <w:tc>
                <w:tcPr>
                  <w:tcW w:w="2482" w:type="dxa"/>
                  <w:noWrap w:val="0"/>
                  <w:vAlign w:val="center"/>
                </w:tcPr>
                <w:p w14:paraId="03CAF3E2">
                  <w:pPr>
                    <w:keepNext w:val="0"/>
                    <w:keepLines w:val="0"/>
                    <w:widowControl/>
                    <w:suppressLineNumbers w:val="0"/>
                    <w:jc w:val="both"/>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lang w:val="en-US" w:eastAsia="zh-CN" w:bidi="ar"/>
                    </w:rPr>
                    <w:t>项目建成后按相关法律、行政法规的规定和国家标准、行业标准的要求使用危险化学品（片碱），并根据其种类、危险特性以及使用量和使用方式，建立、健全使用危险化学品的安全管理规章制度和安全操作规程，保证危险化学品的安全使用。</w:t>
                  </w:r>
                </w:p>
              </w:tc>
              <w:tc>
                <w:tcPr>
                  <w:tcW w:w="724" w:type="dxa"/>
                  <w:shd w:val="clear" w:color="auto" w:fill="auto"/>
                  <w:noWrap w:val="0"/>
                  <w:vAlign w:val="center"/>
                </w:tcPr>
                <w:p w14:paraId="74E54DB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3E36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6" w:type="dxa"/>
                  <w:noWrap w:val="0"/>
                  <w:vAlign w:val="center"/>
                </w:tcPr>
                <w:p w14:paraId="372388DC">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第六十六条</w:t>
                  </w:r>
                  <w:r>
                    <w:rPr>
                      <w:rFonts w:hint="eastAsia" w:ascii="Times New Roman" w:hAnsi="Times New Roman" w:eastAsia="宋体" w:cs="Times New Roman"/>
                      <w:color w:val="auto"/>
                      <w:kern w:val="0"/>
                      <w:sz w:val="21"/>
                      <w:szCs w:val="21"/>
                      <w:lang w:val="en-US" w:eastAsia="zh-CN" w:bidi="ar"/>
                    </w:rPr>
                    <w:t xml:space="preserve"> 国家实行危险化学品登记制度，为危险化学品安全管理以及危险化学品事故预防和应急救援提供技术、信息支持。</w:t>
                  </w:r>
                </w:p>
              </w:tc>
              <w:tc>
                <w:tcPr>
                  <w:tcW w:w="2482" w:type="dxa"/>
                  <w:noWrap w:val="0"/>
                  <w:vAlign w:val="center"/>
                </w:tcPr>
                <w:p w14:paraId="6B342D6F">
                  <w:pPr>
                    <w:keepNext w:val="0"/>
                    <w:keepLines w:val="0"/>
                    <w:widowControl/>
                    <w:suppressLineNumbers w:val="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项目建成后安排专人负责管理，制定并执行危险化学品登记制度。</w:t>
                  </w:r>
                </w:p>
              </w:tc>
              <w:tc>
                <w:tcPr>
                  <w:tcW w:w="724" w:type="dxa"/>
                  <w:shd w:val="clear" w:color="auto" w:fill="auto"/>
                  <w:noWrap w:val="0"/>
                  <w:vAlign w:val="center"/>
                </w:tcPr>
                <w:p w14:paraId="04A5DA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bl>
          <w:p w14:paraId="3A4A1B19">
            <w:pPr>
              <w:keepNext w:val="0"/>
              <w:keepLines w:val="0"/>
              <w:pageBreakBefore w:val="0"/>
              <w:widowControl w:val="0"/>
              <w:kinsoku/>
              <w:wordWrap/>
              <w:overflowPunct/>
              <w:topLinePunct/>
              <w:autoSpaceDE w:val="0"/>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18"/>
                <w:lang w:val="en-US" w:eastAsia="zh-CN"/>
              </w:rPr>
            </w:pPr>
            <w:r>
              <w:rPr>
                <w:rFonts w:hint="default" w:ascii="Times New Roman" w:hAnsi="Times New Roman" w:eastAsia="宋体" w:cs="Times New Roman"/>
                <w:color w:val="auto"/>
                <w:sz w:val="24"/>
                <w:szCs w:val="24"/>
                <w:highlight w:val="none"/>
                <w:lang w:val="en-US" w:eastAsia="zh-CN"/>
              </w:rPr>
              <w:t>综上所述，项目的建设符合《</w:t>
            </w:r>
            <w:r>
              <w:rPr>
                <w:rFonts w:hint="eastAsia" w:ascii="Times New Roman" w:hAnsi="Times New Roman" w:cs="Times New Roman"/>
                <w:caps w:val="0"/>
                <w:smallCaps w:val="0"/>
                <w:color w:val="auto"/>
                <w:sz w:val="24"/>
                <w:highlight w:val="none"/>
                <w:lang w:val="en-US" w:eastAsia="zh-CN"/>
              </w:rPr>
              <w:t>危险化学品安全管理条例</w:t>
            </w:r>
            <w:r>
              <w:rPr>
                <w:rFonts w:hint="default" w:ascii="Times New Roman" w:hAnsi="Times New Roman" w:eastAsia="宋体" w:cs="Times New Roman"/>
                <w:color w:val="auto"/>
                <w:sz w:val="24"/>
                <w:szCs w:val="24"/>
                <w:highlight w:val="none"/>
                <w:lang w:val="en-US" w:eastAsia="zh-CN"/>
              </w:rPr>
              <w:t>》的相关要求。</w:t>
            </w:r>
          </w:p>
          <w:p w14:paraId="7C1E5A49">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20.</w:t>
            </w:r>
            <w:r>
              <w:rPr>
                <w:rFonts w:hint="default" w:ascii="Times New Roman" w:hAnsi="Times New Roman" w:eastAsia="宋体" w:cs="Times New Roman"/>
                <w:b/>
                <w:bCs/>
                <w:color w:val="auto"/>
                <w:kern w:val="0"/>
                <w:sz w:val="24"/>
                <w:szCs w:val="24"/>
                <w:highlight w:val="none"/>
                <w:lang w:val="en-US" w:eastAsia="zh-CN" w:bidi="ar-SA"/>
              </w:rPr>
              <w:t>选址合理性分析</w:t>
            </w:r>
          </w:p>
          <w:p w14:paraId="1403553D">
            <w:pPr>
              <w:pStyle w:val="16"/>
              <w:keepNext w:val="0"/>
              <w:keepLines w:val="0"/>
              <w:pageBreakBefore w:val="0"/>
              <w:widowControl w:val="0"/>
              <w:kinsoku/>
              <w:wordWrap/>
              <w:overflowPunct/>
              <w:topLinePunct/>
              <w:autoSpaceDE w:val="0"/>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位于</w:t>
            </w:r>
            <w:r>
              <w:rPr>
                <w:rFonts w:hint="default" w:ascii="Times New Roman" w:hAnsi="Times New Roman" w:eastAsia="宋体" w:cs="Times New Roman"/>
                <w:color w:val="auto"/>
                <w:sz w:val="24"/>
                <w:szCs w:val="24"/>
                <w:highlight w:val="none"/>
              </w:rPr>
              <w:t>易门</w:t>
            </w:r>
            <w:r>
              <w:rPr>
                <w:rFonts w:hint="default" w:ascii="Times New Roman" w:hAnsi="Times New Roman" w:eastAsia="宋体" w:cs="Times New Roman"/>
                <w:color w:val="auto"/>
                <w:sz w:val="24"/>
                <w:szCs w:val="24"/>
                <w:highlight w:val="none"/>
                <w:lang w:eastAsia="zh-CN"/>
              </w:rPr>
              <w:t>产业</w:t>
            </w:r>
            <w:r>
              <w:rPr>
                <w:rFonts w:hint="default" w:ascii="Times New Roman" w:hAnsi="Times New Roman" w:eastAsia="宋体" w:cs="Times New Roman"/>
                <w:color w:val="auto"/>
                <w:sz w:val="24"/>
                <w:szCs w:val="24"/>
                <w:highlight w:val="none"/>
              </w:rPr>
              <w:t>园区麦子田片区，项目用地性质为二类工业用地，</w:t>
            </w:r>
            <w:r>
              <w:rPr>
                <w:rFonts w:hint="default" w:ascii="Times New Roman" w:hAnsi="Times New Roman" w:eastAsia="宋体" w:cs="Times New Roman"/>
                <w:color w:val="auto"/>
                <w:sz w:val="24"/>
                <w:szCs w:val="24"/>
                <w:highlight w:val="none"/>
                <w:lang w:eastAsia="zh-CN"/>
              </w:rPr>
              <w:t>项目建设</w:t>
            </w:r>
            <w:r>
              <w:rPr>
                <w:rFonts w:hint="default" w:ascii="Times New Roman" w:hAnsi="Times New Roman" w:eastAsia="宋体" w:cs="Times New Roman"/>
                <w:color w:val="auto"/>
                <w:sz w:val="24"/>
                <w:szCs w:val="24"/>
                <w:highlight w:val="none"/>
              </w:rPr>
              <w:t>符合易门</w:t>
            </w:r>
            <w:r>
              <w:rPr>
                <w:rFonts w:hint="default" w:ascii="Times New Roman" w:hAnsi="Times New Roman" w:eastAsia="宋体" w:cs="Times New Roman"/>
                <w:color w:val="auto"/>
                <w:sz w:val="24"/>
                <w:szCs w:val="24"/>
                <w:highlight w:val="none"/>
                <w:lang w:eastAsia="zh-CN"/>
              </w:rPr>
              <w:t>产业</w:t>
            </w:r>
            <w:r>
              <w:rPr>
                <w:rFonts w:hint="default" w:ascii="Times New Roman" w:hAnsi="Times New Roman" w:eastAsia="宋体" w:cs="Times New Roman"/>
                <w:color w:val="auto"/>
                <w:sz w:val="24"/>
                <w:szCs w:val="24"/>
                <w:highlight w:val="none"/>
              </w:rPr>
              <w:t>园区总体规划，</w:t>
            </w:r>
            <w:r>
              <w:rPr>
                <w:rFonts w:hint="default" w:ascii="Times New Roman" w:hAnsi="Times New Roman" w:eastAsia="宋体" w:cs="Times New Roman"/>
                <w:color w:val="auto"/>
                <w:sz w:val="24"/>
                <w:szCs w:val="24"/>
                <w:highlight w:val="none"/>
                <w:lang w:eastAsia="zh-CN"/>
              </w:rPr>
              <w:t>项目建设区</w:t>
            </w:r>
            <w:r>
              <w:rPr>
                <w:rFonts w:hint="default" w:ascii="Times New Roman" w:hAnsi="Times New Roman" w:eastAsia="宋体" w:cs="Times New Roman"/>
                <w:color w:val="auto"/>
                <w:sz w:val="24"/>
                <w:szCs w:val="24"/>
                <w:highlight w:val="none"/>
              </w:rPr>
              <w:t>不涉及自然保护区、风景名胜区和水源保护区，不涉及林地征占，无文物保护单位。</w:t>
            </w:r>
          </w:p>
          <w:p w14:paraId="477B5E82">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firstLine="480" w:firstLineChars="200"/>
              <w:jc w:val="both"/>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项目已取得</w:t>
            </w:r>
            <w:r>
              <w:rPr>
                <w:rFonts w:hint="default" w:ascii="Times New Roman" w:hAnsi="Times New Roman" w:eastAsia="宋体" w:cs="Times New Roman"/>
                <w:strike w:val="0"/>
                <w:dstrike w:val="0"/>
                <w:color w:val="auto"/>
                <w:sz w:val="24"/>
                <w:szCs w:val="24"/>
                <w:highlight w:val="none"/>
                <w:lang w:val="en-US" w:eastAsia="zh-CN"/>
              </w:rPr>
              <w:t>云南易门产业园区管理委员会</w:t>
            </w:r>
            <w:r>
              <w:rPr>
                <w:rFonts w:hint="default" w:ascii="Times New Roman" w:hAnsi="Times New Roman" w:eastAsia="宋体" w:cs="Times New Roman"/>
                <w:color w:val="auto"/>
                <w:sz w:val="24"/>
                <w:szCs w:val="24"/>
                <w:highlight w:val="none"/>
                <w:lang w:val="en-US" w:eastAsia="zh-CN"/>
              </w:rPr>
              <w:t>入园情况</w:t>
            </w:r>
            <w:r>
              <w:rPr>
                <w:rFonts w:hint="eastAsia" w:cs="Times New Roman"/>
                <w:color w:val="auto"/>
                <w:sz w:val="24"/>
                <w:szCs w:val="24"/>
                <w:highlight w:val="none"/>
                <w:lang w:val="en-US" w:eastAsia="zh-CN"/>
              </w:rPr>
              <w:t>证明</w:t>
            </w:r>
            <w:r>
              <w:rPr>
                <w:rFonts w:hint="default" w:ascii="Times New Roman" w:hAnsi="Times New Roman" w:eastAsia="宋体" w:cs="Times New Roman"/>
                <w:color w:val="auto"/>
                <w:sz w:val="24"/>
                <w:szCs w:val="24"/>
                <w:highlight w:val="none"/>
                <w:lang w:val="en-US" w:eastAsia="zh-CN"/>
              </w:rPr>
              <w:t>（详见附件4）</w:t>
            </w:r>
            <w:r>
              <w:rPr>
                <w:rFonts w:hint="eastAsia"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val="en-US" w:eastAsia="zh-CN"/>
              </w:rPr>
              <w:t>麦子田片区的产业定位及发展方向</w:t>
            </w:r>
            <w:r>
              <w:rPr>
                <w:rFonts w:hint="eastAsia" w:ascii="Times New Roman" w:hAnsi="Times New Roman" w:eastAsia="宋体" w:cs="Times New Roman"/>
                <w:color w:val="auto"/>
                <w:sz w:val="24"/>
                <w:szCs w:val="24"/>
                <w:highlight w:val="none"/>
                <w:lang w:val="en-US" w:eastAsia="zh-CN"/>
              </w:rPr>
              <w:t>，同意项目入园</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并</w:t>
            </w:r>
            <w:r>
              <w:rPr>
                <w:rFonts w:hint="default" w:ascii="Times New Roman" w:hAnsi="Times New Roman" w:eastAsia="宋体" w:cs="Times New Roman"/>
                <w:strike w:val="0"/>
                <w:dstrike w:val="0"/>
                <w:color w:val="auto"/>
                <w:sz w:val="24"/>
                <w:szCs w:val="24"/>
                <w:highlight w:val="none"/>
                <w:lang w:val="en-US" w:eastAsia="zh-CN"/>
              </w:rPr>
              <w:t>于2025年11月5日取得云南易门产业园区管理委员会关于项目的《投资协议》（详见附件5），同意建设单位入驻园区；已取得的项目投资备案证</w:t>
            </w:r>
            <w:r>
              <w:rPr>
                <w:rFonts w:hint="default" w:ascii="Times New Roman" w:hAnsi="Times New Roman" w:eastAsia="宋体" w:cs="Times New Roman"/>
                <w:color w:val="auto"/>
                <w:sz w:val="24"/>
                <w:szCs w:val="24"/>
                <w:highlight w:val="none"/>
                <w:lang w:val="en-US" w:eastAsia="zh-CN"/>
              </w:rPr>
              <w:t>（详见附件2）</w:t>
            </w:r>
            <w:r>
              <w:rPr>
                <w:rFonts w:hint="default" w:ascii="Times New Roman" w:hAnsi="Times New Roman" w:eastAsia="宋体" w:cs="Times New Roman"/>
                <w:strike w:val="0"/>
                <w:dstrike w:val="0"/>
                <w:color w:val="auto"/>
                <w:sz w:val="24"/>
                <w:szCs w:val="24"/>
                <w:highlight w:val="none"/>
                <w:lang w:val="en-US" w:eastAsia="zh-CN"/>
              </w:rPr>
              <w:t>、项目国有建设用地使用权出让合同</w:t>
            </w:r>
            <w:r>
              <w:rPr>
                <w:rFonts w:hint="default" w:ascii="Times New Roman" w:hAnsi="Times New Roman" w:eastAsia="宋体" w:cs="Times New Roman"/>
                <w:color w:val="auto"/>
                <w:sz w:val="24"/>
                <w:szCs w:val="24"/>
                <w:highlight w:val="none"/>
                <w:lang w:val="en-US" w:eastAsia="zh-CN"/>
              </w:rPr>
              <w:t>（详见附件7）</w:t>
            </w:r>
            <w:r>
              <w:rPr>
                <w:rFonts w:hint="default" w:ascii="Times New Roman" w:hAnsi="Times New Roman" w:eastAsia="宋体" w:cs="Times New Roman"/>
                <w:strike w:val="0"/>
                <w:dstrike w:val="0"/>
                <w:color w:val="auto"/>
                <w:sz w:val="24"/>
                <w:szCs w:val="24"/>
                <w:highlight w:val="none"/>
                <w:lang w:val="en-US" w:eastAsia="zh-CN"/>
              </w:rPr>
              <w:t>。</w:t>
            </w:r>
          </w:p>
          <w:p w14:paraId="54621CD9">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strike w:val="0"/>
                <w:dstrike w:val="0"/>
                <w:color w:val="auto"/>
                <w:kern w:val="2"/>
                <w:sz w:val="24"/>
                <w:szCs w:val="24"/>
                <w:lang w:val="en-US" w:eastAsia="zh-CN" w:bidi="ar-SA"/>
              </w:rPr>
              <w:t>由于园区基础设施的建设，所选场地在供电、供水、交通等基础条件十分便利。项目投产后，在采取相应</w:t>
            </w:r>
            <w:r>
              <w:rPr>
                <w:rFonts w:hint="default" w:ascii="Times New Roman" w:hAnsi="Times New Roman" w:eastAsia="宋体" w:cs="Times New Roman"/>
                <w:color w:val="auto"/>
                <w:sz w:val="24"/>
                <w:highlight w:val="none"/>
              </w:rPr>
              <w:t>有效</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strike w:val="0"/>
                <w:dstrike w:val="0"/>
                <w:color w:val="auto"/>
                <w:kern w:val="2"/>
                <w:sz w:val="24"/>
                <w:szCs w:val="24"/>
                <w:lang w:val="en-US" w:eastAsia="zh-CN" w:bidi="ar-SA"/>
              </w:rPr>
              <w:t>环保措施下</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产生的</w:t>
            </w:r>
            <w:r>
              <w:rPr>
                <w:rFonts w:hint="default" w:ascii="Times New Roman" w:hAnsi="Times New Roman" w:eastAsia="宋体" w:cs="Times New Roman"/>
                <w:color w:val="auto"/>
                <w:sz w:val="24"/>
                <w:highlight w:val="none"/>
              </w:rPr>
              <w:t>废水、废气</w:t>
            </w:r>
            <w:r>
              <w:rPr>
                <w:rFonts w:hint="default" w:ascii="Times New Roman" w:hAnsi="Times New Roman" w:eastAsia="宋体" w:cs="Times New Roman"/>
                <w:color w:val="auto"/>
                <w:sz w:val="24"/>
                <w:highlight w:val="none"/>
                <w:lang w:eastAsia="zh-CN"/>
              </w:rPr>
              <w:t>、噪声</w:t>
            </w:r>
            <w:r>
              <w:rPr>
                <w:rFonts w:hint="default" w:ascii="Times New Roman" w:hAnsi="Times New Roman" w:eastAsia="宋体" w:cs="Times New Roman"/>
                <w:color w:val="auto"/>
                <w:sz w:val="24"/>
                <w:highlight w:val="none"/>
              </w:rPr>
              <w:t>等</w:t>
            </w:r>
            <w:r>
              <w:rPr>
                <w:rFonts w:hint="default" w:ascii="Times New Roman" w:hAnsi="Times New Roman" w:eastAsia="宋体" w:cs="Times New Roman"/>
                <w:color w:val="auto"/>
                <w:sz w:val="24"/>
                <w:highlight w:val="none"/>
                <w:lang w:val="en-US" w:eastAsia="zh-CN"/>
              </w:rPr>
              <w:t>均能达标排放</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产生的固体废弃物</w:t>
            </w:r>
            <w:r>
              <w:rPr>
                <w:rFonts w:hint="default" w:ascii="Times New Roman" w:hAnsi="Times New Roman" w:eastAsia="宋体" w:cs="Times New Roman"/>
                <w:color w:val="auto"/>
                <w:sz w:val="24"/>
                <w:highlight w:val="none"/>
              </w:rPr>
              <w:t>得到较充分的综合利用，使各项排放指标达到国家排放标准，对周围环境影响不大，项目的实施具有良好的环境效益和社会效益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选址可行。</w:t>
            </w:r>
          </w:p>
          <w:p w14:paraId="5C5A8EB6">
            <w:pPr>
              <w:pStyle w:val="27"/>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both"/>
              <w:textAlignment w:val="auto"/>
              <w:rPr>
                <w:rFonts w:hint="default" w:ascii="Times New Roman" w:hAnsi="Times New Roman" w:eastAsia="宋体" w:cs="Times New Roman"/>
                <w:strike w:val="0"/>
                <w:dstrike w:val="0"/>
                <w:color w:val="auto"/>
                <w:kern w:val="2"/>
                <w:sz w:val="24"/>
                <w:szCs w:val="24"/>
                <w:lang w:val="en-US" w:eastAsia="zh-CN" w:bidi="ar-SA"/>
              </w:rPr>
            </w:pPr>
            <w:r>
              <w:rPr>
                <w:rFonts w:hint="default" w:ascii="Times New Roman" w:hAnsi="Times New Roman" w:eastAsia="宋体" w:cs="Times New Roman"/>
                <w:strike w:val="0"/>
                <w:dstrike w:val="0"/>
                <w:color w:val="auto"/>
                <w:kern w:val="2"/>
                <w:sz w:val="24"/>
                <w:szCs w:val="24"/>
                <w:lang w:val="en-US" w:eastAsia="zh-CN" w:bidi="ar-SA"/>
              </w:rPr>
              <w:t>综上，项目建设场地条件、交通运输、环境保护和水、电、通信等条件好，无重大的环境制约因素，项目选址合理。</w:t>
            </w:r>
          </w:p>
          <w:p w14:paraId="34F84D91">
            <w:pPr>
              <w:keepNext w:val="0"/>
              <w:keepLines w:val="0"/>
              <w:pageBreakBefore w:val="0"/>
              <w:widowControl w:val="0"/>
              <w:numPr>
                <w:ilvl w:val="0"/>
                <w:numId w:val="0"/>
              </w:numPr>
              <w:kinsoku/>
              <w:wordWrap/>
              <w:overflowPunct/>
              <w:topLinePunct/>
              <w:autoSpaceDE w:val="0"/>
              <w:autoSpaceDN w:val="0"/>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bidi="ar-SA"/>
              </w:rPr>
              <w:t>21</w:t>
            </w:r>
            <w:r>
              <w:rPr>
                <w:rFonts w:hint="default" w:ascii="Times New Roman" w:hAnsi="Times New Roman" w:eastAsia="宋体" w:cs="Times New Roman"/>
                <w:b/>
                <w:bCs/>
                <w:color w:val="auto"/>
                <w:kern w:val="0"/>
                <w:sz w:val="24"/>
                <w:szCs w:val="24"/>
                <w:highlight w:val="none"/>
                <w:lang w:val="en-US" w:eastAsia="zh-CN" w:bidi="ar-SA"/>
              </w:rPr>
              <w:t>.</w:t>
            </w:r>
            <w:r>
              <w:rPr>
                <w:rFonts w:hint="default" w:ascii="Times New Roman" w:hAnsi="Times New Roman" w:eastAsia="宋体" w:cs="Times New Roman"/>
                <w:b/>
                <w:bCs/>
                <w:color w:val="auto"/>
                <w:kern w:val="0"/>
                <w:sz w:val="24"/>
                <w:szCs w:val="24"/>
                <w:highlight w:val="none"/>
                <w:lang w:val="en-US" w:eastAsia="zh-CN"/>
              </w:rPr>
              <w:t>周边环境相容性分析</w:t>
            </w:r>
          </w:p>
          <w:p w14:paraId="3EA1AE4B">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strike w:val="0"/>
                <w:dstrike w:val="0"/>
                <w:color w:val="auto"/>
                <w:sz w:val="24"/>
                <w:szCs w:val="24"/>
                <w:lang w:val="en-US" w:eastAsia="zh-CN"/>
              </w:rPr>
              <w:t>根据现场调查，本项目</w:t>
            </w:r>
            <w:r>
              <w:rPr>
                <w:rFonts w:hint="default" w:ascii="Times New Roman" w:hAnsi="Times New Roman" w:eastAsia="宋体" w:cs="Times New Roman"/>
                <w:b w:val="0"/>
                <w:bCs/>
                <w:strike w:val="0"/>
                <w:dstrike w:val="0"/>
                <w:color w:val="auto"/>
                <w:sz w:val="24"/>
                <w:highlight w:val="none"/>
                <w:lang w:val="en-US" w:eastAsia="zh-CN"/>
              </w:rPr>
              <w:t>位于</w:t>
            </w:r>
            <w:r>
              <w:rPr>
                <w:rFonts w:hint="default" w:ascii="Times New Roman" w:hAnsi="Times New Roman" w:eastAsia="宋体" w:cs="Times New Roman"/>
                <w:color w:val="auto"/>
                <w:sz w:val="24"/>
                <w:szCs w:val="24"/>
                <w:highlight w:val="none"/>
              </w:rPr>
              <w:t>易门</w:t>
            </w:r>
            <w:r>
              <w:rPr>
                <w:rFonts w:hint="default" w:ascii="Times New Roman" w:hAnsi="Times New Roman" w:eastAsia="宋体" w:cs="Times New Roman"/>
                <w:color w:val="auto"/>
                <w:sz w:val="24"/>
                <w:szCs w:val="24"/>
                <w:highlight w:val="none"/>
                <w:lang w:eastAsia="zh-CN"/>
              </w:rPr>
              <w:t>产业</w:t>
            </w:r>
            <w:r>
              <w:rPr>
                <w:rFonts w:hint="default" w:ascii="Times New Roman" w:hAnsi="Times New Roman" w:eastAsia="宋体" w:cs="Times New Roman"/>
                <w:color w:val="auto"/>
                <w:sz w:val="24"/>
                <w:szCs w:val="24"/>
                <w:highlight w:val="none"/>
              </w:rPr>
              <w:t>园区麦子田片区</w:t>
            </w:r>
            <w:r>
              <w:rPr>
                <w:rFonts w:hint="default" w:ascii="Times New Roman" w:hAnsi="Times New Roman" w:eastAsia="宋体" w:cs="Times New Roman"/>
                <w:b w:val="0"/>
                <w:bCs/>
                <w:strike w:val="0"/>
                <w:dstrike w:val="0"/>
                <w:color w:val="auto"/>
                <w:sz w:val="24"/>
                <w:highlight w:val="none"/>
                <w:lang w:val="en-US" w:eastAsia="zh-CN"/>
              </w:rPr>
              <w:t>，北侧及西侧</w:t>
            </w:r>
            <w:r>
              <w:rPr>
                <w:rFonts w:hint="default" w:ascii="Times New Roman" w:hAnsi="Times New Roman" w:eastAsia="宋体" w:cs="Times New Roman"/>
                <w:strike w:val="0"/>
                <w:dstrike w:val="0"/>
                <w:color w:val="auto"/>
                <w:sz w:val="24"/>
                <w:szCs w:val="24"/>
                <w:lang w:val="en-US" w:eastAsia="zh-CN"/>
              </w:rPr>
              <w:t>主要为工业企业和园区道路，</w:t>
            </w:r>
            <w:r>
              <w:rPr>
                <w:rFonts w:hint="default" w:ascii="Times New Roman" w:hAnsi="Times New Roman" w:eastAsia="宋体" w:cs="Times New Roman"/>
                <w:color w:val="auto"/>
                <w:sz w:val="24"/>
                <w:highlight w:val="none"/>
                <w:lang w:val="en-US" w:eastAsia="zh-CN"/>
              </w:rPr>
              <w:t>南侧为园区空地，东侧为林地</w:t>
            </w:r>
            <w:r>
              <w:rPr>
                <w:rFonts w:hint="eastAsia" w:cs="Times New Roman"/>
                <w:color w:val="auto"/>
                <w:sz w:val="24"/>
                <w:highlight w:val="none"/>
                <w:lang w:eastAsia="zh-CN"/>
              </w:rPr>
              <w:t>，</w:t>
            </w:r>
            <w:r>
              <w:rPr>
                <w:rFonts w:hint="default" w:ascii="Times New Roman" w:hAnsi="Times New Roman" w:eastAsia="宋体" w:cs="Times New Roman"/>
                <w:strike w:val="0"/>
                <w:dstrike w:val="0"/>
                <w:color w:val="auto"/>
                <w:kern w:val="2"/>
                <w:sz w:val="24"/>
                <w:szCs w:val="24"/>
                <w:lang w:val="en-US" w:eastAsia="zh-CN" w:bidi="ar-SA"/>
              </w:rPr>
              <w:t>用地所在地交通便利。项目周边各企业污染源调查见下表</w:t>
            </w:r>
            <w:r>
              <w:rPr>
                <w:rFonts w:hint="default" w:ascii="Times New Roman" w:hAnsi="Times New Roman" w:eastAsia="宋体" w:cs="Times New Roman"/>
                <w:color w:val="auto"/>
                <w:lang w:eastAsia="zh-CN"/>
              </w:rPr>
              <w:t>。</w:t>
            </w:r>
          </w:p>
          <w:p w14:paraId="61492F46">
            <w:pPr>
              <w:jc w:val="center"/>
              <w:rPr>
                <w:rFonts w:hint="default" w:ascii="Times New Roman" w:hAnsi="Times New Roman" w:eastAsia="宋体" w:cs="Times New Roman"/>
                <w:b/>
                <w:strike w:val="0"/>
                <w:dstrike w:val="0"/>
                <w:color w:val="auto"/>
                <w:sz w:val="21"/>
                <w:szCs w:val="21"/>
              </w:rPr>
            </w:pPr>
            <w:r>
              <w:rPr>
                <w:rFonts w:hint="default" w:ascii="Times New Roman" w:hAnsi="Times New Roman" w:eastAsia="宋体" w:cs="Times New Roman"/>
                <w:b/>
                <w:strike w:val="0"/>
                <w:dstrike w:val="0"/>
                <w:color w:val="auto"/>
                <w:sz w:val="21"/>
                <w:szCs w:val="21"/>
              </w:rPr>
              <w:t>表</w:t>
            </w:r>
            <w:r>
              <w:rPr>
                <w:rFonts w:hint="default" w:ascii="Times New Roman" w:hAnsi="Times New Roman" w:eastAsia="宋体" w:cs="Times New Roman"/>
                <w:b/>
                <w:strike w:val="0"/>
                <w:dstrike w:val="0"/>
                <w:color w:val="auto"/>
                <w:sz w:val="21"/>
                <w:szCs w:val="21"/>
                <w:lang w:val="en-US" w:eastAsia="zh-CN"/>
              </w:rPr>
              <w:t>1-</w:t>
            </w:r>
            <w:r>
              <w:rPr>
                <w:rFonts w:hint="eastAsia" w:cs="Times New Roman"/>
                <w:b/>
                <w:strike w:val="0"/>
                <w:dstrike w:val="0"/>
                <w:color w:val="auto"/>
                <w:sz w:val="21"/>
                <w:szCs w:val="21"/>
                <w:lang w:val="en-US" w:eastAsia="zh-CN"/>
              </w:rPr>
              <w:t xml:space="preserve">22  </w:t>
            </w:r>
            <w:r>
              <w:rPr>
                <w:rFonts w:hint="default" w:ascii="Times New Roman" w:hAnsi="Times New Roman" w:eastAsia="宋体" w:cs="Times New Roman"/>
                <w:b/>
                <w:bCs/>
                <w:strike w:val="0"/>
                <w:dstrike w:val="0"/>
                <w:color w:val="auto"/>
                <w:kern w:val="0"/>
                <w:sz w:val="21"/>
                <w:szCs w:val="21"/>
                <w:lang w:val="en-US" w:eastAsia="zh-CN"/>
              </w:rPr>
              <w:t>项目周边企业分布一览表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290"/>
              <w:gridCol w:w="855"/>
              <w:gridCol w:w="645"/>
              <w:gridCol w:w="975"/>
              <w:gridCol w:w="2380"/>
            </w:tblGrid>
            <w:tr w14:paraId="080B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35F69FC0">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val="en-US" w:eastAsia="zh-CN"/>
                    </w:rPr>
                  </w:pPr>
                  <w:r>
                    <w:rPr>
                      <w:rFonts w:hint="default" w:ascii="Times New Roman" w:hAnsi="Times New Roman" w:eastAsia="宋体" w:cs="Times New Roman"/>
                      <w:b/>
                      <w:bCs/>
                      <w:strike w:val="0"/>
                      <w:dstrike w:val="0"/>
                      <w:color w:val="auto"/>
                      <w:kern w:val="0"/>
                      <w:sz w:val="21"/>
                      <w:szCs w:val="21"/>
                      <w:vertAlign w:val="baseline"/>
                      <w:lang w:val="en-US" w:eastAsia="zh-CN"/>
                    </w:rPr>
                    <w:t>序号</w:t>
                  </w:r>
                </w:p>
              </w:tc>
              <w:tc>
                <w:tcPr>
                  <w:tcW w:w="1290" w:type="dxa"/>
                  <w:noWrap w:val="0"/>
                  <w:vAlign w:val="center"/>
                </w:tcPr>
                <w:p w14:paraId="7EC9EF7A">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val="en-US" w:eastAsia="zh-CN"/>
                    </w:rPr>
                  </w:pPr>
                  <w:r>
                    <w:rPr>
                      <w:rFonts w:hint="default" w:ascii="Times New Roman" w:hAnsi="Times New Roman" w:eastAsia="宋体" w:cs="Times New Roman"/>
                      <w:b/>
                      <w:bCs/>
                      <w:strike w:val="0"/>
                      <w:dstrike w:val="0"/>
                      <w:color w:val="auto"/>
                      <w:kern w:val="0"/>
                      <w:sz w:val="21"/>
                      <w:szCs w:val="21"/>
                      <w:vertAlign w:val="baseline"/>
                      <w:lang w:val="en-US" w:eastAsia="zh-CN"/>
                    </w:rPr>
                    <w:t>企业名称</w:t>
                  </w:r>
                </w:p>
              </w:tc>
              <w:tc>
                <w:tcPr>
                  <w:tcW w:w="855" w:type="dxa"/>
                  <w:noWrap w:val="0"/>
                  <w:vAlign w:val="center"/>
                </w:tcPr>
                <w:p w14:paraId="038E3111">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val="en-US" w:eastAsia="zh-CN"/>
                    </w:rPr>
                  </w:pPr>
                  <w:r>
                    <w:rPr>
                      <w:rFonts w:hint="default" w:ascii="Times New Roman" w:hAnsi="Times New Roman" w:eastAsia="宋体" w:cs="Times New Roman"/>
                      <w:b/>
                      <w:bCs/>
                      <w:strike w:val="0"/>
                      <w:dstrike w:val="0"/>
                      <w:color w:val="auto"/>
                      <w:kern w:val="0"/>
                      <w:sz w:val="21"/>
                      <w:szCs w:val="21"/>
                      <w:vertAlign w:val="baseline"/>
                      <w:lang w:eastAsia="zh-CN"/>
                    </w:rPr>
                    <w:t>与项目位置关系</w:t>
                  </w:r>
                </w:p>
              </w:tc>
              <w:tc>
                <w:tcPr>
                  <w:tcW w:w="645" w:type="dxa"/>
                  <w:noWrap w:val="0"/>
                  <w:vAlign w:val="center"/>
                </w:tcPr>
                <w:p w14:paraId="14BC1378">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eastAsia="zh-CN"/>
                    </w:rPr>
                  </w:pPr>
                  <w:r>
                    <w:rPr>
                      <w:rFonts w:hint="default" w:ascii="Times New Roman" w:hAnsi="Times New Roman" w:eastAsia="宋体" w:cs="Times New Roman"/>
                      <w:b/>
                      <w:bCs/>
                      <w:strike w:val="0"/>
                      <w:dstrike w:val="0"/>
                      <w:color w:val="auto"/>
                      <w:kern w:val="0"/>
                      <w:sz w:val="21"/>
                      <w:szCs w:val="21"/>
                      <w:vertAlign w:val="baseline"/>
                      <w:lang w:eastAsia="zh-CN"/>
                    </w:rPr>
                    <w:t>距离</w:t>
                  </w:r>
                  <w:r>
                    <w:rPr>
                      <w:rFonts w:hint="default" w:ascii="Times New Roman" w:hAnsi="Times New Roman" w:eastAsia="宋体" w:cs="Times New Roman"/>
                      <w:b/>
                      <w:bCs/>
                      <w:strike w:val="0"/>
                      <w:dstrike w:val="0"/>
                      <w:color w:val="auto"/>
                      <w:kern w:val="0"/>
                      <w:sz w:val="21"/>
                      <w:szCs w:val="21"/>
                      <w:vertAlign w:val="baseline"/>
                      <w:lang w:val="en-US" w:eastAsia="zh-CN"/>
                    </w:rPr>
                    <w:t>/</w:t>
                  </w:r>
                  <w:r>
                    <w:rPr>
                      <w:rFonts w:hint="default" w:ascii="Times New Roman" w:hAnsi="Times New Roman" w:eastAsia="宋体" w:cs="Times New Roman"/>
                      <w:b/>
                      <w:bCs/>
                      <w:strike w:val="0"/>
                      <w:dstrike w:val="0"/>
                      <w:color w:val="auto"/>
                      <w:kern w:val="0"/>
                      <w:sz w:val="21"/>
                      <w:szCs w:val="21"/>
                      <w:vertAlign w:val="baseline"/>
                      <w:lang w:eastAsia="zh-CN"/>
                    </w:rPr>
                    <w:t>m</w:t>
                  </w:r>
                </w:p>
              </w:tc>
              <w:tc>
                <w:tcPr>
                  <w:tcW w:w="975" w:type="dxa"/>
                  <w:noWrap w:val="0"/>
                  <w:vAlign w:val="center"/>
                </w:tcPr>
                <w:p w14:paraId="537B3727">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eastAsia="zh-CN"/>
                    </w:rPr>
                  </w:pPr>
                  <w:r>
                    <w:rPr>
                      <w:rFonts w:hint="default" w:ascii="Times New Roman" w:hAnsi="Times New Roman" w:eastAsia="宋体" w:cs="Times New Roman"/>
                      <w:b/>
                      <w:bCs/>
                      <w:strike w:val="0"/>
                      <w:dstrike w:val="0"/>
                      <w:color w:val="auto"/>
                      <w:kern w:val="0"/>
                      <w:sz w:val="21"/>
                      <w:szCs w:val="21"/>
                      <w:vertAlign w:val="baseline"/>
                      <w:lang w:val="en-US" w:eastAsia="zh-CN"/>
                    </w:rPr>
                    <w:t>行业类别</w:t>
                  </w:r>
                </w:p>
              </w:tc>
              <w:tc>
                <w:tcPr>
                  <w:tcW w:w="2380" w:type="dxa"/>
                  <w:noWrap w:val="0"/>
                  <w:vAlign w:val="center"/>
                </w:tcPr>
                <w:p w14:paraId="29875975">
                  <w:pPr>
                    <w:autoSpaceDE w:val="0"/>
                    <w:autoSpaceDN w:val="0"/>
                    <w:adjustRightInd w:val="0"/>
                    <w:snapToGrid w:val="0"/>
                    <w:jc w:val="center"/>
                    <w:rPr>
                      <w:rFonts w:hint="default" w:ascii="Times New Roman" w:hAnsi="Times New Roman" w:eastAsia="宋体" w:cs="Times New Roman"/>
                      <w:b/>
                      <w:bCs/>
                      <w:strike w:val="0"/>
                      <w:dstrike w:val="0"/>
                      <w:color w:val="auto"/>
                      <w:kern w:val="0"/>
                      <w:sz w:val="21"/>
                      <w:szCs w:val="21"/>
                      <w:vertAlign w:val="baseline"/>
                      <w:lang w:eastAsia="zh-CN"/>
                    </w:rPr>
                  </w:pPr>
                  <w:r>
                    <w:rPr>
                      <w:rFonts w:hint="default" w:ascii="Times New Roman" w:hAnsi="Times New Roman" w:eastAsia="宋体" w:cs="Times New Roman"/>
                      <w:b/>
                      <w:bCs/>
                      <w:strike w:val="0"/>
                      <w:dstrike w:val="0"/>
                      <w:color w:val="auto"/>
                      <w:kern w:val="0"/>
                      <w:sz w:val="21"/>
                      <w:szCs w:val="21"/>
                      <w:vertAlign w:val="baseline"/>
                      <w:lang w:eastAsia="zh-CN"/>
                    </w:rPr>
                    <w:t>主要污染物</w:t>
                  </w:r>
                </w:p>
              </w:tc>
            </w:tr>
            <w:tr w14:paraId="3662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35B75D75">
                  <w:pPr>
                    <w:autoSpaceDE w:val="0"/>
                    <w:autoSpaceDN w:val="0"/>
                    <w:adjustRightInd w:val="0"/>
                    <w:snapToGrid w:val="0"/>
                    <w:jc w:val="center"/>
                    <w:rPr>
                      <w:rFonts w:hint="default" w:ascii="Times New Roman" w:hAnsi="Times New Roman" w:eastAsia="宋体" w:cs="Times New Roman"/>
                      <w:strike w:val="0"/>
                      <w:dstrike w:val="0"/>
                      <w:color w:val="auto"/>
                      <w:kern w:val="0"/>
                      <w:sz w:val="21"/>
                      <w:szCs w:val="21"/>
                      <w:vertAlign w:val="baseline"/>
                      <w:lang w:val="en-US" w:eastAsia="zh-CN" w:bidi="ar-SA"/>
                    </w:rPr>
                  </w:pPr>
                  <w:r>
                    <w:rPr>
                      <w:rFonts w:hint="default" w:ascii="Times New Roman" w:hAnsi="Times New Roman" w:eastAsia="宋体" w:cs="Times New Roman"/>
                      <w:strike w:val="0"/>
                      <w:dstrike w:val="0"/>
                      <w:color w:val="auto"/>
                      <w:kern w:val="0"/>
                      <w:sz w:val="21"/>
                      <w:szCs w:val="21"/>
                      <w:vertAlign w:val="baseline"/>
                      <w:lang w:val="en-US" w:eastAsia="zh-CN"/>
                    </w:rPr>
                    <w:t>1</w:t>
                  </w:r>
                </w:p>
              </w:tc>
              <w:tc>
                <w:tcPr>
                  <w:tcW w:w="1290" w:type="dxa"/>
                  <w:noWrap w:val="0"/>
                  <w:vAlign w:val="center"/>
                </w:tcPr>
                <w:p w14:paraId="38D0097A">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云南鑫易金属结构有限公司</w:t>
                  </w:r>
                </w:p>
              </w:tc>
              <w:tc>
                <w:tcPr>
                  <w:tcW w:w="855" w:type="dxa"/>
                  <w:noWrap w:val="0"/>
                  <w:vAlign w:val="center"/>
                </w:tcPr>
                <w:p w14:paraId="5B7296B9">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rPr>
                  </w:pPr>
                  <w:r>
                    <w:rPr>
                      <w:rFonts w:hint="default" w:ascii="Times New Roman" w:hAnsi="Times New Roman" w:eastAsia="宋体" w:cs="Times New Roman"/>
                      <w:b w:val="0"/>
                      <w:bCs w:val="0"/>
                      <w:strike w:val="0"/>
                      <w:dstrike w:val="0"/>
                      <w:color w:val="auto"/>
                      <w:kern w:val="0"/>
                      <w:sz w:val="21"/>
                      <w:szCs w:val="21"/>
                      <w:highlight w:val="none"/>
                      <w:lang w:val="en-US" w:eastAsia="zh-CN"/>
                    </w:rPr>
                    <w:t>北</w:t>
                  </w:r>
                  <w:r>
                    <w:rPr>
                      <w:rFonts w:hint="default" w:ascii="Times New Roman" w:hAnsi="Times New Roman" w:eastAsia="宋体" w:cs="Times New Roman"/>
                      <w:b w:val="0"/>
                      <w:bCs w:val="0"/>
                      <w:strike w:val="0"/>
                      <w:dstrike w:val="0"/>
                      <w:color w:val="auto"/>
                      <w:kern w:val="0"/>
                      <w:sz w:val="21"/>
                      <w:szCs w:val="21"/>
                      <w:highlight w:val="none"/>
                      <w:lang w:eastAsia="zh-CN"/>
                    </w:rPr>
                    <w:t>侧</w:t>
                  </w:r>
                </w:p>
              </w:tc>
              <w:tc>
                <w:tcPr>
                  <w:tcW w:w="645" w:type="dxa"/>
                  <w:noWrap w:val="0"/>
                  <w:vAlign w:val="center"/>
                </w:tcPr>
                <w:p w14:paraId="76883265">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rPr>
                  </w:pPr>
                  <w:r>
                    <w:rPr>
                      <w:rFonts w:hint="default" w:ascii="Times New Roman" w:hAnsi="Times New Roman" w:eastAsia="宋体" w:cs="Times New Roman"/>
                      <w:b w:val="0"/>
                      <w:bCs w:val="0"/>
                      <w:strike w:val="0"/>
                      <w:dstrike w:val="0"/>
                      <w:color w:val="auto"/>
                      <w:kern w:val="0"/>
                      <w:sz w:val="21"/>
                      <w:szCs w:val="21"/>
                      <w:highlight w:val="none"/>
                      <w:lang w:val="en-US" w:eastAsia="zh-CN"/>
                    </w:rPr>
                    <w:t>30</w:t>
                  </w:r>
                </w:p>
              </w:tc>
              <w:tc>
                <w:tcPr>
                  <w:tcW w:w="975" w:type="dxa"/>
                  <w:noWrap w:val="0"/>
                  <w:vAlign w:val="center"/>
                </w:tcPr>
                <w:p w14:paraId="06B062F3">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eastAsia="zh-CN"/>
                    </w:rPr>
                  </w:pPr>
                  <w:r>
                    <w:rPr>
                      <w:rFonts w:hint="default" w:ascii="Times New Roman" w:hAnsi="Times New Roman" w:eastAsia="宋体" w:cs="Times New Roman"/>
                      <w:color w:val="auto"/>
                      <w:sz w:val="21"/>
                      <w:szCs w:val="21"/>
                      <w:highlight w:val="none"/>
                    </w:rPr>
                    <w:t>金属材料制造</w:t>
                  </w:r>
                </w:p>
              </w:tc>
              <w:tc>
                <w:tcPr>
                  <w:tcW w:w="2380" w:type="dxa"/>
                  <w:noWrap w:val="0"/>
                  <w:vAlign w:val="center"/>
                </w:tcPr>
                <w:p w14:paraId="5F608CB5">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eastAsia="zh-CN"/>
                    </w:rPr>
                  </w:pPr>
                  <w:r>
                    <w:rPr>
                      <w:rFonts w:hint="default" w:ascii="Times New Roman" w:hAnsi="Times New Roman" w:eastAsia="宋体" w:cs="Times New Roman"/>
                      <w:caps w:val="0"/>
                      <w:smallCaps w:val="0"/>
                      <w:color w:val="auto"/>
                      <w:sz w:val="21"/>
                      <w:szCs w:val="21"/>
                      <w:highlight w:val="none"/>
                      <w:lang w:val="en-US" w:eastAsia="zh-CN"/>
                    </w:rPr>
                    <w:t>颗粒物、非甲烷总烃、食堂油烟、</w:t>
                  </w:r>
                  <w:r>
                    <w:rPr>
                      <w:rFonts w:hint="default" w:ascii="Times New Roman" w:hAnsi="Times New Roman" w:eastAsia="宋体" w:cs="Times New Roman"/>
                      <w:color w:val="auto"/>
                      <w:sz w:val="21"/>
                      <w:szCs w:val="21"/>
                      <w:lang w:val="en-US" w:eastAsia="zh-CN"/>
                    </w:rPr>
                    <w:t>生活污水、噪声、生产及生活固废</w:t>
                  </w:r>
                </w:p>
              </w:tc>
            </w:tr>
            <w:tr w14:paraId="6F7A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611B3D62">
                  <w:pPr>
                    <w:autoSpaceDE w:val="0"/>
                    <w:autoSpaceDN w:val="0"/>
                    <w:adjustRightInd w:val="0"/>
                    <w:snapToGrid w:val="0"/>
                    <w:jc w:val="center"/>
                    <w:rPr>
                      <w:rFonts w:hint="default" w:ascii="Times New Roman" w:hAnsi="Times New Roman" w:eastAsia="宋体" w:cs="Times New Roman"/>
                      <w:strike w:val="0"/>
                      <w:dstrike w:val="0"/>
                      <w:color w:val="auto"/>
                      <w:kern w:val="0"/>
                      <w:sz w:val="21"/>
                      <w:szCs w:val="21"/>
                      <w:vertAlign w:val="baseline"/>
                      <w:lang w:val="en-US" w:eastAsia="zh-CN" w:bidi="ar-SA"/>
                    </w:rPr>
                  </w:pPr>
                  <w:r>
                    <w:rPr>
                      <w:rFonts w:hint="default" w:ascii="Times New Roman" w:hAnsi="Times New Roman" w:eastAsia="宋体" w:cs="Times New Roman"/>
                      <w:strike w:val="0"/>
                      <w:dstrike w:val="0"/>
                      <w:color w:val="auto"/>
                      <w:kern w:val="0"/>
                      <w:sz w:val="21"/>
                      <w:szCs w:val="21"/>
                      <w:vertAlign w:val="baseline"/>
                      <w:lang w:val="en-US" w:eastAsia="zh-CN"/>
                    </w:rPr>
                    <w:t>2</w:t>
                  </w:r>
                </w:p>
              </w:tc>
              <w:tc>
                <w:tcPr>
                  <w:tcW w:w="1290" w:type="dxa"/>
                  <w:noWrap w:val="0"/>
                  <w:vAlign w:val="center"/>
                </w:tcPr>
                <w:p w14:paraId="3DF9DA3D">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易门广川电信电缆有限公司</w:t>
                  </w:r>
                </w:p>
              </w:tc>
              <w:tc>
                <w:tcPr>
                  <w:tcW w:w="855" w:type="dxa"/>
                  <w:noWrap w:val="0"/>
                  <w:vAlign w:val="center"/>
                </w:tcPr>
                <w:p w14:paraId="272FFCAD">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rPr>
                    <w:t>西</w:t>
                  </w:r>
                  <w:r>
                    <w:rPr>
                      <w:rFonts w:hint="default" w:ascii="Times New Roman" w:hAnsi="Times New Roman" w:eastAsia="宋体" w:cs="Times New Roman"/>
                      <w:b w:val="0"/>
                      <w:bCs w:val="0"/>
                      <w:strike w:val="0"/>
                      <w:dstrike w:val="0"/>
                      <w:color w:val="auto"/>
                      <w:kern w:val="0"/>
                      <w:sz w:val="21"/>
                      <w:szCs w:val="21"/>
                      <w:lang w:eastAsia="zh-CN"/>
                    </w:rPr>
                    <w:t>侧</w:t>
                  </w:r>
                </w:p>
              </w:tc>
              <w:tc>
                <w:tcPr>
                  <w:tcW w:w="645" w:type="dxa"/>
                  <w:noWrap w:val="0"/>
                  <w:vAlign w:val="center"/>
                </w:tcPr>
                <w:p w14:paraId="13F1BF75">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bidi="ar-SA"/>
                    </w:rPr>
                    <w:t>20</w:t>
                  </w:r>
                </w:p>
              </w:tc>
              <w:tc>
                <w:tcPr>
                  <w:tcW w:w="975" w:type="dxa"/>
                  <w:shd w:val="clear" w:color="auto" w:fill="auto"/>
                  <w:noWrap w:val="0"/>
                  <w:vAlign w:val="center"/>
                </w:tcPr>
                <w:p w14:paraId="509FE415">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塑料制品生产</w:t>
                  </w:r>
                </w:p>
              </w:tc>
              <w:tc>
                <w:tcPr>
                  <w:tcW w:w="2380" w:type="dxa"/>
                  <w:shd w:val="clear" w:color="auto" w:fill="auto"/>
                  <w:noWrap w:val="0"/>
                  <w:vAlign w:val="center"/>
                </w:tcPr>
                <w:p w14:paraId="60AF9CF3">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bidi="ar-SA"/>
                    </w:rPr>
                  </w:pPr>
                  <w:r>
                    <w:rPr>
                      <w:rFonts w:hint="default" w:ascii="Times New Roman" w:hAnsi="Times New Roman" w:eastAsia="宋体" w:cs="Times New Roman"/>
                      <w:b w:val="0"/>
                      <w:bCs w:val="0"/>
                      <w:strike w:val="0"/>
                      <w:dstrike w:val="0"/>
                      <w:color w:val="auto"/>
                      <w:kern w:val="0"/>
                      <w:sz w:val="21"/>
                      <w:szCs w:val="21"/>
                      <w:lang w:eastAsia="zh-CN"/>
                    </w:rPr>
                    <w:t>挥发性有机物、</w:t>
                  </w:r>
                  <w:r>
                    <w:rPr>
                      <w:rFonts w:hint="default" w:ascii="Times New Roman" w:hAnsi="Times New Roman" w:eastAsia="宋体" w:cs="Times New Roman"/>
                      <w:b w:val="0"/>
                      <w:bCs w:val="0"/>
                      <w:strike w:val="0"/>
                      <w:dstrike w:val="0"/>
                      <w:color w:val="auto"/>
                      <w:kern w:val="0"/>
                      <w:sz w:val="21"/>
                      <w:szCs w:val="21"/>
                      <w:lang w:val="en-US" w:eastAsia="zh-CN"/>
                    </w:rPr>
                    <w:t>颗粒物、</w:t>
                  </w:r>
                  <w:r>
                    <w:rPr>
                      <w:rFonts w:hint="default" w:ascii="Times New Roman" w:hAnsi="Times New Roman" w:eastAsia="宋体" w:cs="Times New Roman"/>
                      <w:color w:val="auto"/>
                      <w:sz w:val="21"/>
                      <w:szCs w:val="21"/>
                      <w:highlight w:val="none"/>
                      <w:lang w:val="en-US" w:eastAsia="zh-CN"/>
                    </w:rPr>
                    <w:t>食堂油烟、生活污水、噪声、生产及生活固废</w:t>
                  </w:r>
                </w:p>
              </w:tc>
            </w:tr>
            <w:tr w14:paraId="000C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710E7CBB">
                  <w:pPr>
                    <w:autoSpaceDE w:val="0"/>
                    <w:autoSpaceDN w:val="0"/>
                    <w:adjustRightInd w:val="0"/>
                    <w:snapToGrid w:val="0"/>
                    <w:jc w:val="center"/>
                    <w:rPr>
                      <w:rFonts w:hint="default" w:ascii="Times New Roman" w:hAnsi="Times New Roman" w:eastAsia="宋体" w:cs="Times New Roman"/>
                      <w:strike w:val="0"/>
                      <w:dstrike w:val="0"/>
                      <w:color w:val="auto"/>
                      <w:kern w:val="0"/>
                      <w:sz w:val="21"/>
                      <w:szCs w:val="21"/>
                      <w:vertAlign w:val="baseline"/>
                      <w:lang w:val="en-US" w:eastAsia="zh-CN" w:bidi="ar-SA"/>
                    </w:rPr>
                  </w:pPr>
                  <w:r>
                    <w:rPr>
                      <w:rFonts w:hint="default" w:ascii="Times New Roman" w:hAnsi="Times New Roman" w:eastAsia="宋体" w:cs="Times New Roman"/>
                      <w:strike w:val="0"/>
                      <w:dstrike w:val="0"/>
                      <w:color w:val="auto"/>
                      <w:kern w:val="0"/>
                      <w:sz w:val="21"/>
                      <w:szCs w:val="21"/>
                      <w:vertAlign w:val="baseline"/>
                      <w:lang w:val="en-US" w:eastAsia="zh-CN"/>
                    </w:rPr>
                    <w:t>3</w:t>
                  </w:r>
                </w:p>
              </w:tc>
              <w:tc>
                <w:tcPr>
                  <w:tcW w:w="1290" w:type="dxa"/>
                  <w:noWrap w:val="0"/>
                  <w:vAlign w:val="center"/>
                </w:tcPr>
                <w:p w14:paraId="71E77EDF">
                  <w:pPr>
                    <w:autoSpaceDE w:val="0"/>
                    <w:autoSpaceDN w:val="0"/>
                    <w:adjustRightInd w:val="0"/>
                    <w:snapToGrid w:val="0"/>
                    <w:jc w:val="center"/>
                    <w:rPr>
                      <w:rFonts w:hint="default" w:ascii="Times New Roman" w:hAnsi="Times New Roman" w:eastAsia="宋体" w:cs="Times New Roman"/>
                      <w:strike w:val="0"/>
                      <w:dstrike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云南宏禹彩印包装有限公司</w:t>
                  </w:r>
                </w:p>
              </w:tc>
              <w:tc>
                <w:tcPr>
                  <w:tcW w:w="855" w:type="dxa"/>
                  <w:noWrap w:val="0"/>
                  <w:vAlign w:val="center"/>
                </w:tcPr>
                <w:p w14:paraId="50D984D2">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rPr>
                    <w:t>西</w:t>
                  </w:r>
                  <w:r>
                    <w:rPr>
                      <w:rFonts w:hint="default" w:ascii="Times New Roman" w:hAnsi="Times New Roman" w:eastAsia="宋体" w:cs="Times New Roman"/>
                      <w:b w:val="0"/>
                      <w:bCs w:val="0"/>
                      <w:strike w:val="0"/>
                      <w:dstrike w:val="0"/>
                      <w:color w:val="auto"/>
                      <w:kern w:val="0"/>
                      <w:sz w:val="21"/>
                      <w:szCs w:val="21"/>
                      <w:lang w:eastAsia="zh-CN"/>
                    </w:rPr>
                    <w:t>侧</w:t>
                  </w:r>
                </w:p>
              </w:tc>
              <w:tc>
                <w:tcPr>
                  <w:tcW w:w="645" w:type="dxa"/>
                  <w:noWrap w:val="0"/>
                  <w:vAlign w:val="center"/>
                </w:tcPr>
                <w:p w14:paraId="7C07F48F">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bidi="ar-SA"/>
                    </w:rPr>
                    <w:t>30</w:t>
                  </w:r>
                </w:p>
              </w:tc>
              <w:tc>
                <w:tcPr>
                  <w:tcW w:w="975" w:type="dxa"/>
                  <w:shd w:val="clear" w:color="auto" w:fill="auto"/>
                  <w:noWrap w:val="0"/>
                  <w:vAlign w:val="center"/>
                </w:tcPr>
                <w:p w14:paraId="48788FB2">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印刷和记录媒介复制业</w:t>
                  </w:r>
                </w:p>
              </w:tc>
              <w:tc>
                <w:tcPr>
                  <w:tcW w:w="2380" w:type="dxa"/>
                  <w:shd w:val="clear" w:color="auto" w:fill="auto"/>
                  <w:noWrap w:val="0"/>
                  <w:vAlign w:val="center"/>
                </w:tcPr>
                <w:p w14:paraId="0691EFEB">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val="en-US" w:eastAsia="zh-CN" w:bidi="ar-SA"/>
                    </w:rPr>
                  </w:pPr>
                  <w:r>
                    <w:rPr>
                      <w:rFonts w:hint="default" w:ascii="Times New Roman" w:hAnsi="Times New Roman" w:eastAsia="宋体" w:cs="Times New Roman"/>
                      <w:b w:val="0"/>
                      <w:bCs w:val="0"/>
                      <w:strike w:val="0"/>
                      <w:dstrike w:val="0"/>
                      <w:color w:val="auto"/>
                      <w:kern w:val="0"/>
                      <w:sz w:val="21"/>
                      <w:szCs w:val="21"/>
                      <w:lang w:eastAsia="zh-CN"/>
                    </w:rPr>
                    <w:t>挥发性有机物、</w:t>
                  </w:r>
                  <w:r>
                    <w:rPr>
                      <w:rFonts w:hint="default" w:ascii="Times New Roman" w:hAnsi="Times New Roman" w:eastAsia="宋体" w:cs="Times New Roman"/>
                      <w:b w:val="0"/>
                      <w:bCs w:val="0"/>
                      <w:strike w:val="0"/>
                      <w:dstrike w:val="0"/>
                      <w:color w:val="auto"/>
                      <w:kern w:val="0"/>
                      <w:sz w:val="21"/>
                      <w:szCs w:val="21"/>
                      <w:lang w:val="en-US" w:eastAsia="zh-CN"/>
                    </w:rPr>
                    <w:t>颗粒物</w:t>
                  </w:r>
                  <w:r>
                    <w:rPr>
                      <w:rFonts w:hint="default" w:ascii="Times New Roman" w:hAnsi="Times New Roman" w:eastAsia="宋体" w:cs="Times New Roman"/>
                      <w:color w:val="auto"/>
                      <w:sz w:val="21"/>
                      <w:szCs w:val="21"/>
                      <w:highlight w:val="none"/>
                      <w:lang w:val="en-US" w:eastAsia="zh-CN"/>
                    </w:rPr>
                    <w:t>、食堂油烟、生活污水、噪声、生产及生活固废</w:t>
                  </w:r>
                </w:p>
              </w:tc>
            </w:tr>
            <w:tr w14:paraId="0A94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6FEB5B79">
                  <w:pPr>
                    <w:autoSpaceDE w:val="0"/>
                    <w:autoSpaceDN w:val="0"/>
                    <w:adjustRightInd w:val="0"/>
                    <w:snapToGrid w:val="0"/>
                    <w:jc w:val="center"/>
                    <w:rPr>
                      <w:rFonts w:hint="default" w:ascii="Times New Roman" w:hAnsi="Times New Roman" w:eastAsia="宋体" w:cs="Times New Roman"/>
                      <w:strike w:val="0"/>
                      <w:dstrike w:val="0"/>
                      <w:color w:val="auto"/>
                      <w:kern w:val="0"/>
                      <w:sz w:val="21"/>
                      <w:szCs w:val="21"/>
                      <w:vertAlign w:val="baseline"/>
                      <w:lang w:val="en-US" w:eastAsia="zh-CN"/>
                    </w:rPr>
                  </w:pPr>
                  <w:r>
                    <w:rPr>
                      <w:rFonts w:hint="default" w:ascii="Times New Roman" w:hAnsi="Times New Roman" w:eastAsia="宋体" w:cs="Times New Roman"/>
                      <w:strike w:val="0"/>
                      <w:dstrike w:val="0"/>
                      <w:color w:val="auto"/>
                      <w:kern w:val="0"/>
                      <w:sz w:val="21"/>
                      <w:szCs w:val="21"/>
                      <w:vertAlign w:val="baseline"/>
                      <w:lang w:val="en-US" w:eastAsia="zh-CN"/>
                    </w:rPr>
                    <w:t>4</w:t>
                  </w:r>
                </w:p>
              </w:tc>
              <w:tc>
                <w:tcPr>
                  <w:tcW w:w="1290" w:type="dxa"/>
                  <w:noWrap w:val="0"/>
                  <w:vAlign w:val="center"/>
                </w:tcPr>
                <w:p w14:paraId="1F94965B">
                  <w:pPr>
                    <w:autoSpaceDE w:val="0"/>
                    <w:autoSpaceDN w:val="0"/>
                    <w:adjustRightInd w:val="0"/>
                    <w:snapToGrid w:val="0"/>
                    <w:jc w:val="center"/>
                    <w:rPr>
                      <w:rFonts w:hint="default" w:ascii="Times New Roman" w:hAnsi="Times New Roman" w:eastAsia="宋体" w:cs="Times New Roman"/>
                      <w:strike w:val="0"/>
                      <w:dstrike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易门海川管业有限公司</w:t>
                  </w:r>
                </w:p>
              </w:tc>
              <w:tc>
                <w:tcPr>
                  <w:tcW w:w="855" w:type="dxa"/>
                  <w:noWrap w:val="0"/>
                  <w:vAlign w:val="center"/>
                </w:tcPr>
                <w:p w14:paraId="4DB30EC1">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eastAsia="zh-CN"/>
                    </w:rPr>
                  </w:pPr>
                  <w:r>
                    <w:rPr>
                      <w:rFonts w:hint="default" w:ascii="Times New Roman" w:hAnsi="Times New Roman" w:eastAsia="宋体" w:cs="Times New Roman"/>
                      <w:b w:val="0"/>
                      <w:bCs w:val="0"/>
                      <w:strike w:val="0"/>
                      <w:dstrike w:val="0"/>
                      <w:color w:val="auto"/>
                      <w:kern w:val="0"/>
                      <w:sz w:val="21"/>
                      <w:szCs w:val="21"/>
                      <w:lang w:val="en-US" w:eastAsia="zh-CN"/>
                    </w:rPr>
                    <w:t>西</w:t>
                  </w:r>
                  <w:r>
                    <w:rPr>
                      <w:rFonts w:hint="default" w:ascii="Times New Roman" w:hAnsi="Times New Roman" w:eastAsia="宋体" w:cs="Times New Roman"/>
                      <w:b w:val="0"/>
                      <w:bCs w:val="0"/>
                      <w:strike w:val="0"/>
                      <w:dstrike w:val="0"/>
                      <w:color w:val="auto"/>
                      <w:kern w:val="0"/>
                      <w:sz w:val="21"/>
                      <w:szCs w:val="21"/>
                      <w:lang w:eastAsia="zh-CN"/>
                    </w:rPr>
                    <w:t>侧</w:t>
                  </w:r>
                </w:p>
              </w:tc>
              <w:tc>
                <w:tcPr>
                  <w:tcW w:w="645" w:type="dxa"/>
                  <w:noWrap w:val="0"/>
                  <w:vAlign w:val="center"/>
                </w:tcPr>
                <w:p w14:paraId="0947F75E">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bidi="ar-SA"/>
                    </w:rPr>
                    <w:t>30</w:t>
                  </w:r>
                </w:p>
              </w:tc>
              <w:tc>
                <w:tcPr>
                  <w:tcW w:w="975" w:type="dxa"/>
                  <w:shd w:val="clear" w:color="auto" w:fill="auto"/>
                  <w:noWrap w:val="0"/>
                  <w:vAlign w:val="center"/>
                </w:tcPr>
                <w:p w14:paraId="7833216F">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塑料制品生产</w:t>
                  </w:r>
                </w:p>
              </w:tc>
              <w:tc>
                <w:tcPr>
                  <w:tcW w:w="2380" w:type="dxa"/>
                  <w:shd w:val="clear" w:color="auto" w:fill="auto"/>
                  <w:noWrap w:val="0"/>
                  <w:vAlign w:val="center"/>
                </w:tcPr>
                <w:p w14:paraId="66782451">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eastAsia="zh-CN"/>
                    </w:rPr>
                    <w:t>挥发性有机物、</w:t>
                  </w:r>
                  <w:r>
                    <w:rPr>
                      <w:rFonts w:hint="default" w:ascii="Times New Roman" w:hAnsi="Times New Roman" w:eastAsia="宋体" w:cs="Times New Roman"/>
                      <w:b w:val="0"/>
                      <w:bCs w:val="0"/>
                      <w:strike w:val="0"/>
                      <w:dstrike w:val="0"/>
                      <w:color w:val="auto"/>
                      <w:kern w:val="0"/>
                      <w:sz w:val="21"/>
                      <w:szCs w:val="21"/>
                      <w:lang w:val="en-US" w:eastAsia="zh-CN"/>
                    </w:rPr>
                    <w:t>颗粒物</w:t>
                  </w:r>
                  <w:r>
                    <w:rPr>
                      <w:rFonts w:hint="default" w:ascii="Times New Roman" w:hAnsi="Times New Roman" w:eastAsia="宋体" w:cs="Times New Roman"/>
                      <w:color w:val="auto"/>
                      <w:sz w:val="21"/>
                      <w:szCs w:val="21"/>
                      <w:highlight w:val="none"/>
                      <w:lang w:val="en-US" w:eastAsia="zh-CN"/>
                    </w:rPr>
                    <w:t>、食堂油烟、生活污水、噪声、生产及生活固废</w:t>
                  </w:r>
                </w:p>
              </w:tc>
            </w:tr>
            <w:tr w14:paraId="447A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361034D3">
                  <w:pPr>
                    <w:autoSpaceDE w:val="0"/>
                    <w:autoSpaceDN w:val="0"/>
                    <w:adjustRightInd w:val="0"/>
                    <w:snapToGrid w:val="0"/>
                    <w:jc w:val="center"/>
                    <w:rPr>
                      <w:rFonts w:hint="default" w:ascii="Times New Roman" w:hAnsi="Times New Roman" w:eastAsia="宋体" w:cs="Times New Roman"/>
                      <w:strike w:val="0"/>
                      <w:dstrike w:val="0"/>
                      <w:color w:val="auto"/>
                      <w:kern w:val="0"/>
                      <w:sz w:val="21"/>
                      <w:szCs w:val="21"/>
                      <w:vertAlign w:val="baseline"/>
                      <w:lang w:val="en-US" w:eastAsia="zh-CN"/>
                    </w:rPr>
                  </w:pPr>
                  <w:r>
                    <w:rPr>
                      <w:rFonts w:hint="default" w:ascii="Times New Roman" w:hAnsi="Times New Roman" w:eastAsia="宋体" w:cs="Times New Roman"/>
                      <w:strike w:val="0"/>
                      <w:dstrike w:val="0"/>
                      <w:color w:val="auto"/>
                      <w:kern w:val="0"/>
                      <w:sz w:val="21"/>
                      <w:szCs w:val="21"/>
                      <w:vertAlign w:val="baseline"/>
                      <w:lang w:val="en-US" w:eastAsia="zh-CN"/>
                    </w:rPr>
                    <w:t>5</w:t>
                  </w:r>
                </w:p>
              </w:tc>
              <w:tc>
                <w:tcPr>
                  <w:tcW w:w="1290" w:type="dxa"/>
                  <w:noWrap w:val="0"/>
                  <w:vAlign w:val="center"/>
                </w:tcPr>
                <w:p w14:paraId="034FB205">
                  <w:pPr>
                    <w:autoSpaceDE w:val="0"/>
                    <w:autoSpaceDN w:val="0"/>
                    <w:adjustRightInd w:val="0"/>
                    <w:snapToGrid w:val="0"/>
                    <w:jc w:val="center"/>
                    <w:rPr>
                      <w:rFonts w:hint="default" w:ascii="Times New Roman" w:hAnsi="Times New Roman" w:eastAsia="宋体" w:cs="Times New Roman"/>
                      <w:strike w:val="0"/>
                      <w:dstrike w:val="0"/>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云南诺士达新材料有限公司</w:t>
                  </w:r>
                </w:p>
              </w:tc>
              <w:tc>
                <w:tcPr>
                  <w:tcW w:w="855" w:type="dxa"/>
                  <w:noWrap w:val="0"/>
                  <w:vAlign w:val="center"/>
                </w:tcPr>
                <w:p w14:paraId="61383495">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eastAsia="zh-CN"/>
                    </w:rPr>
                  </w:pPr>
                  <w:r>
                    <w:rPr>
                      <w:rFonts w:hint="default" w:ascii="Times New Roman" w:hAnsi="Times New Roman" w:eastAsia="宋体" w:cs="Times New Roman"/>
                      <w:b w:val="0"/>
                      <w:bCs w:val="0"/>
                      <w:strike w:val="0"/>
                      <w:dstrike w:val="0"/>
                      <w:color w:val="auto"/>
                      <w:kern w:val="0"/>
                      <w:sz w:val="21"/>
                      <w:szCs w:val="21"/>
                      <w:lang w:val="en-US" w:eastAsia="zh-CN"/>
                    </w:rPr>
                    <w:t>西</w:t>
                  </w:r>
                  <w:r>
                    <w:rPr>
                      <w:rFonts w:hint="default" w:ascii="Times New Roman" w:hAnsi="Times New Roman" w:eastAsia="宋体" w:cs="Times New Roman"/>
                      <w:b w:val="0"/>
                      <w:bCs w:val="0"/>
                      <w:strike w:val="0"/>
                      <w:dstrike w:val="0"/>
                      <w:color w:val="auto"/>
                      <w:kern w:val="0"/>
                      <w:sz w:val="21"/>
                      <w:szCs w:val="21"/>
                      <w:lang w:eastAsia="zh-CN"/>
                    </w:rPr>
                    <w:t>侧</w:t>
                  </w:r>
                </w:p>
              </w:tc>
              <w:tc>
                <w:tcPr>
                  <w:tcW w:w="645" w:type="dxa"/>
                  <w:noWrap w:val="0"/>
                  <w:vAlign w:val="center"/>
                </w:tcPr>
                <w:p w14:paraId="0D5FA0A3">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bidi="ar-SA"/>
                    </w:rPr>
                  </w:pPr>
                  <w:r>
                    <w:rPr>
                      <w:rFonts w:hint="default" w:ascii="Times New Roman" w:hAnsi="Times New Roman" w:eastAsia="宋体" w:cs="Times New Roman"/>
                      <w:b w:val="0"/>
                      <w:bCs w:val="0"/>
                      <w:strike w:val="0"/>
                      <w:dstrike w:val="0"/>
                      <w:color w:val="auto"/>
                      <w:kern w:val="0"/>
                      <w:sz w:val="21"/>
                      <w:szCs w:val="21"/>
                      <w:lang w:val="en-US" w:eastAsia="zh-CN" w:bidi="ar-SA"/>
                    </w:rPr>
                    <w:t>30</w:t>
                  </w:r>
                </w:p>
              </w:tc>
              <w:tc>
                <w:tcPr>
                  <w:tcW w:w="975" w:type="dxa"/>
                  <w:noWrap w:val="0"/>
                  <w:vAlign w:val="center"/>
                </w:tcPr>
                <w:p w14:paraId="6BA4857D">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铝型材生产</w:t>
                  </w:r>
                </w:p>
              </w:tc>
              <w:tc>
                <w:tcPr>
                  <w:tcW w:w="2380" w:type="dxa"/>
                  <w:noWrap w:val="0"/>
                  <w:vAlign w:val="center"/>
                </w:tcPr>
                <w:p w14:paraId="2FC6A2A2">
                  <w:pPr>
                    <w:autoSpaceDE w:val="0"/>
                    <w:autoSpaceDN w:val="0"/>
                    <w:adjustRightInd w:val="0"/>
                    <w:snapToGrid w:val="0"/>
                    <w:jc w:val="center"/>
                    <w:rPr>
                      <w:rFonts w:hint="default" w:ascii="Times New Roman" w:hAnsi="Times New Roman" w:eastAsia="宋体" w:cs="Times New Roman"/>
                      <w:b w:val="0"/>
                      <w:bCs w:val="0"/>
                      <w:strike w:val="0"/>
                      <w:dstrike w:val="0"/>
                      <w:color w:val="auto"/>
                      <w:kern w:val="0"/>
                      <w:sz w:val="21"/>
                      <w:szCs w:val="21"/>
                      <w:lang w:val="en-US" w:eastAsia="zh-CN"/>
                    </w:rPr>
                  </w:pPr>
                  <w:r>
                    <w:rPr>
                      <w:rFonts w:hint="default" w:ascii="Times New Roman" w:hAnsi="Times New Roman" w:eastAsia="宋体" w:cs="Times New Roman"/>
                      <w:b w:val="0"/>
                      <w:bCs w:val="0"/>
                      <w:strike w:val="0"/>
                      <w:dstrike w:val="0"/>
                      <w:color w:val="auto"/>
                      <w:kern w:val="0"/>
                      <w:sz w:val="21"/>
                      <w:szCs w:val="21"/>
                      <w:lang w:eastAsia="zh-CN"/>
                    </w:rPr>
                    <w:t>挥发性有机物、</w:t>
                  </w:r>
                  <w:r>
                    <w:rPr>
                      <w:rFonts w:hint="default" w:ascii="Times New Roman" w:hAnsi="Times New Roman" w:eastAsia="宋体" w:cs="Times New Roman"/>
                      <w:b w:val="0"/>
                      <w:bCs w:val="0"/>
                      <w:strike w:val="0"/>
                      <w:dstrike w:val="0"/>
                      <w:color w:val="auto"/>
                      <w:kern w:val="0"/>
                      <w:sz w:val="21"/>
                      <w:szCs w:val="21"/>
                      <w:lang w:val="en-US" w:eastAsia="zh-CN"/>
                    </w:rPr>
                    <w:t>颗粒物</w:t>
                  </w:r>
                  <w:r>
                    <w:rPr>
                      <w:rFonts w:hint="default" w:ascii="Times New Roman" w:hAnsi="Times New Roman" w:eastAsia="宋体" w:cs="Times New Roman"/>
                      <w:color w:val="auto"/>
                      <w:sz w:val="21"/>
                      <w:szCs w:val="21"/>
                      <w:highlight w:val="none"/>
                      <w:lang w:val="en-US" w:eastAsia="zh-CN"/>
                    </w:rPr>
                    <w:t>、食堂油烟、生活污水、噪声、生产及生活固废</w:t>
                  </w:r>
                </w:p>
              </w:tc>
            </w:tr>
            <w:tr w14:paraId="4CE4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2C8FE2E5">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290" w:type="dxa"/>
                  <w:noWrap w:val="0"/>
                  <w:vAlign w:val="center"/>
                </w:tcPr>
                <w:p w14:paraId="486E9092">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云南正维塑业有限公司</w:t>
                  </w:r>
                </w:p>
              </w:tc>
              <w:tc>
                <w:tcPr>
                  <w:tcW w:w="855" w:type="dxa"/>
                  <w:noWrap w:val="0"/>
                  <w:vAlign w:val="center"/>
                </w:tcPr>
                <w:p w14:paraId="10790672">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645" w:type="dxa"/>
                  <w:noWrap w:val="0"/>
                  <w:vAlign w:val="center"/>
                </w:tcPr>
                <w:p w14:paraId="7B51A3A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145</w:t>
                  </w:r>
                </w:p>
              </w:tc>
              <w:tc>
                <w:tcPr>
                  <w:tcW w:w="975" w:type="dxa"/>
                  <w:noWrap w:val="0"/>
                  <w:vAlign w:val="center"/>
                </w:tcPr>
                <w:p w14:paraId="74B0BBA0">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塑料制品生产</w:t>
                  </w:r>
                </w:p>
              </w:tc>
              <w:tc>
                <w:tcPr>
                  <w:tcW w:w="2380" w:type="dxa"/>
                  <w:noWrap w:val="0"/>
                  <w:vAlign w:val="center"/>
                </w:tcPr>
                <w:p w14:paraId="04FBF397">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挥发性有机物、颗粒物、食堂油烟、生活污水、噪声、生产及生活固废</w:t>
                  </w:r>
                </w:p>
              </w:tc>
            </w:tr>
            <w:tr w14:paraId="1EF3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noWrap w:val="0"/>
                  <w:vAlign w:val="center"/>
                </w:tcPr>
                <w:p w14:paraId="7E61FA92">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290" w:type="dxa"/>
                  <w:noWrap w:val="0"/>
                  <w:vAlign w:val="center"/>
                </w:tcPr>
                <w:p w14:paraId="5FA0AB6C">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云南雄塑科技发展有限公司</w:t>
                  </w:r>
                </w:p>
              </w:tc>
              <w:tc>
                <w:tcPr>
                  <w:tcW w:w="855" w:type="dxa"/>
                  <w:noWrap w:val="0"/>
                  <w:vAlign w:val="center"/>
                </w:tcPr>
                <w:p w14:paraId="0CDFF59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645" w:type="dxa"/>
                  <w:noWrap w:val="0"/>
                  <w:vAlign w:val="center"/>
                </w:tcPr>
                <w:p w14:paraId="2CBF7120">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w:t>
                  </w:r>
                </w:p>
              </w:tc>
              <w:tc>
                <w:tcPr>
                  <w:tcW w:w="975" w:type="dxa"/>
                  <w:noWrap w:val="0"/>
                  <w:vAlign w:val="center"/>
                </w:tcPr>
                <w:p w14:paraId="5ADBE031">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塑料制品生产</w:t>
                  </w:r>
                </w:p>
              </w:tc>
              <w:tc>
                <w:tcPr>
                  <w:tcW w:w="2380" w:type="dxa"/>
                  <w:noWrap w:val="0"/>
                  <w:vAlign w:val="center"/>
                </w:tcPr>
                <w:p w14:paraId="7705CEB6">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挥发性有机物、颗粒物、食堂油烟、生活污水、噪声、生产及生活固废</w:t>
                  </w:r>
                </w:p>
              </w:tc>
            </w:tr>
            <w:tr w14:paraId="4162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04BF594F">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1290" w:type="dxa"/>
                  <w:shd w:val="clear" w:color="auto" w:fill="auto"/>
                  <w:noWrap w:val="0"/>
                  <w:vAlign w:val="center"/>
                </w:tcPr>
                <w:p w14:paraId="266C08D5">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云南杭桐科技有限公司</w:t>
                  </w:r>
                </w:p>
              </w:tc>
              <w:tc>
                <w:tcPr>
                  <w:tcW w:w="855" w:type="dxa"/>
                  <w:shd w:val="clear" w:color="auto" w:fill="auto"/>
                  <w:noWrap w:val="0"/>
                  <w:vAlign w:val="center"/>
                </w:tcPr>
                <w:p w14:paraId="33EB02C2">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645" w:type="dxa"/>
                  <w:shd w:val="clear" w:color="auto" w:fill="auto"/>
                  <w:noWrap w:val="0"/>
                  <w:vAlign w:val="center"/>
                </w:tcPr>
                <w:p w14:paraId="3B168811">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350</w:t>
                  </w:r>
                </w:p>
              </w:tc>
              <w:tc>
                <w:tcPr>
                  <w:tcW w:w="975" w:type="dxa"/>
                  <w:shd w:val="clear" w:color="auto" w:fill="auto"/>
                  <w:noWrap w:val="0"/>
                  <w:vAlign w:val="center"/>
                </w:tcPr>
                <w:p w14:paraId="602A24FD">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塑料管材</w:t>
                  </w:r>
                </w:p>
              </w:tc>
              <w:tc>
                <w:tcPr>
                  <w:tcW w:w="2380" w:type="dxa"/>
                  <w:shd w:val="clear" w:color="auto" w:fill="auto"/>
                  <w:noWrap w:val="0"/>
                  <w:vAlign w:val="center"/>
                </w:tcPr>
                <w:p w14:paraId="6BEABA70">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非甲烷总烃、颗粒物、氯乙烯、氯化氢、食堂油烟、生活污水、噪声、生产及生活固废</w:t>
                  </w:r>
                </w:p>
              </w:tc>
            </w:tr>
            <w:tr w14:paraId="0DAB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69BA16DB">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290" w:type="dxa"/>
                  <w:shd w:val="clear" w:color="auto" w:fill="auto"/>
                  <w:noWrap w:val="0"/>
                  <w:vAlign w:val="center"/>
                </w:tcPr>
                <w:p w14:paraId="7E9A0902">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w:t>
                  </w:r>
                  <w:r>
                    <w:rPr>
                      <w:rFonts w:hint="default" w:ascii="Times New Roman" w:hAnsi="Times New Roman" w:eastAsia="宋体" w:cs="Times New Roman"/>
                      <w:color w:val="auto"/>
                      <w:kern w:val="2"/>
                      <w:sz w:val="21"/>
                      <w:szCs w:val="21"/>
                      <w:highlight w:val="none"/>
                      <w:lang w:val="en-US" w:eastAsia="zh-CN" w:bidi="ar-SA"/>
                    </w:rPr>
                    <w:t>腾塑科技</w:t>
                  </w:r>
                  <w:r>
                    <w:rPr>
                      <w:rFonts w:hint="default" w:ascii="Times New Roman" w:hAnsi="Times New Roman" w:eastAsia="宋体" w:cs="Times New Roman"/>
                      <w:color w:val="auto"/>
                      <w:sz w:val="21"/>
                      <w:szCs w:val="21"/>
                      <w:highlight w:val="none"/>
                      <w:lang w:val="en-US" w:eastAsia="zh-CN"/>
                    </w:rPr>
                    <w:t>有限公司</w:t>
                  </w:r>
                </w:p>
              </w:tc>
              <w:tc>
                <w:tcPr>
                  <w:tcW w:w="855" w:type="dxa"/>
                  <w:shd w:val="clear" w:color="auto" w:fill="auto"/>
                  <w:noWrap w:val="0"/>
                  <w:vAlign w:val="center"/>
                </w:tcPr>
                <w:p w14:paraId="1AD5A0A4">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645" w:type="dxa"/>
                  <w:shd w:val="clear" w:color="auto" w:fill="auto"/>
                  <w:noWrap w:val="0"/>
                  <w:vAlign w:val="center"/>
                </w:tcPr>
                <w:p w14:paraId="2E1B0C37">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w:t>
                  </w:r>
                </w:p>
              </w:tc>
              <w:tc>
                <w:tcPr>
                  <w:tcW w:w="975" w:type="dxa"/>
                  <w:shd w:val="clear" w:color="auto" w:fill="auto"/>
                  <w:noWrap w:val="0"/>
                  <w:vAlign w:val="center"/>
                </w:tcPr>
                <w:p w14:paraId="748861D8">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塑料制品</w:t>
                  </w:r>
                </w:p>
              </w:tc>
              <w:tc>
                <w:tcPr>
                  <w:tcW w:w="2380" w:type="dxa"/>
                  <w:shd w:val="clear" w:color="auto" w:fill="auto"/>
                  <w:noWrap w:val="0"/>
                  <w:vAlign w:val="center"/>
                </w:tcPr>
                <w:p w14:paraId="58BB7CD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颗粒物、非甲烷总烃、食堂油烟、</w:t>
                  </w:r>
                  <w:r>
                    <w:rPr>
                      <w:rFonts w:hint="default" w:ascii="Times New Roman" w:hAnsi="Times New Roman" w:eastAsia="宋体" w:cs="Times New Roman"/>
                      <w:color w:val="auto"/>
                      <w:sz w:val="21"/>
                      <w:szCs w:val="21"/>
                      <w:lang w:val="en-US" w:eastAsia="zh-CN"/>
                    </w:rPr>
                    <w:t>生活污水、噪声、生产及生活固废</w:t>
                  </w:r>
                </w:p>
              </w:tc>
            </w:tr>
            <w:tr w14:paraId="4363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1A579E5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290" w:type="dxa"/>
                  <w:shd w:val="clear" w:color="auto" w:fill="auto"/>
                  <w:noWrap w:val="0"/>
                  <w:vAlign w:val="center"/>
                </w:tcPr>
                <w:p w14:paraId="752FFA17">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云南泽泉管业有限公司</w:t>
                  </w:r>
                </w:p>
              </w:tc>
              <w:tc>
                <w:tcPr>
                  <w:tcW w:w="855" w:type="dxa"/>
                  <w:shd w:val="clear" w:color="auto" w:fill="auto"/>
                  <w:noWrap w:val="0"/>
                  <w:vAlign w:val="center"/>
                </w:tcPr>
                <w:p w14:paraId="2E1610F0">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645" w:type="dxa"/>
                  <w:shd w:val="clear" w:color="auto" w:fill="auto"/>
                  <w:noWrap w:val="0"/>
                  <w:vAlign w:val="center"/>
                </w:tcPr>
                <w:p w14:paraId="4766B140">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520</w:t>
                  </w:r>
                </w:p>
              </w:tc>
              <w:tc>
                <w:tcPr>
                  <w:tcW w:w="975" w:type="dxa"/>
                  <w:shd w:val="clear" w:color="auto" w:fill="auto"/>
                  <w:noWrap w:val="0"/>
                  <w:vAlign w:val="center"/>
                </w:tcPr>
                <w:p w14:paraId="461FC96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预制混凝土构件生产</w:t>
                  </w:r>
                </w:p>
              </w:tc>
              <w:tc>
                <w:tcPr>
                  <w:tcW w:w="2380" w:type="dxa"/>
                  <w:shd w:val="clear" w:color="auto" w:fill="auto"/>
                  <w:noWrap w:val="0"/>
                  <w:vAlign w:val="center"/>
                </w:tcPr>
                <w:p w14:paraId="6483FED8">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、NOx、挥发性有机物、食堂油烟、生活污水、噪声、生产及生活固废</w:t>
                  </w:r>
                </w:p>
              </w:tc>
            </w:tr>
            <w:tr w14:paraId="79EB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4F3FD5E6">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290" w:type="dxa"/>
                  <w:noWrap w:val="0"/>
                  <w:vAlign w:val="center"/>
                </w:tcPr>
                <w:p w14:paraId="5A483BE8">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玉溪成友塑业有限公司</w:t>
                  </w:r>
                </w:p>
              </w:tc>
              <w:tc>
                <w:tcPr>
                  <w:tcW w:w="855" w:type="dxa"/>
                  <w:noWrap w:val="0"/>
                  <w:vAlign w:val="center"/>
                </w:tcPr>
                <w:p w14:paraId="54A8A06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645" w:type="dxa"/>
                  <w:noWrap w:val="0"/>
                  <w:vAlign w:val="center"/>
                </w:tcPr>
                <w:p w14:paraId="5DDBE0D9">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580</w:t>
                  </w:r>
                </w:p>
              </w:tc>
              <w:tc>
                <w:tcPr>
                  <w:tcW w:w="975" w:type="dxa"/>
                  <w:shd w:val="clear" w:color="auto" w:fill="auto"/>
                  <w:noWrap w:val="0"/>
                  <w:vAlign w:val="center"/>
                </w:tcPr>
                <w:p w14:paraId="0C207FB4">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塑料管材</w:t>
                  </w:r>
                </w:p>
              </w:tc>
              <w:tc>
                <w:tcPr>
                  <w:tcW w:w="2380" w:type="dxa"/>
                  <w:shd w:val="clear" w:color="auto" w:fill="auto"/>
                  <w:noWrap w:val="0"/>
                  <w:vAlign w:val="center"/>
                </w:tcPr>
                <w:p w14:paraId="25ED338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非甲烷总烃、颗粒物、氯乙烯、氯化氢、食堂油烟、生活污水、噪声、生产及生活固废</w:t>
                  </w:r>
                </w:p>
              </w:tc>
            </w:tr>
            <w:tr w14:paraId="0E85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432F3A77">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290" w:type="dxa"/>
                  <w:shd w:val="clear" w:color="auto" w:fill="auto"/>
                  <w:noWrap w:val="0"/>
                  <w:vAlign w:val="center"/>
                </w:tcPr>
                <w:p w14:paraId="130B942A">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云南昆油钢管制造有限公司</w:t>
                  </w:r>
                </w:p>
              </w:tc>
              <w:tc>
                <w:tcPr>
                  <w:tcW w:w="855" w:type="dxa"/>
                  <w:shd w:val="clear" w:color="auto" w:fill="auto"/>
                  <w:noWrap w:val="0"/>
                  <w:vAlign w:val="center"/>
                </w:tcPr>
                <w:p w14:paraId="5283336B">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645" w:type="dxa"/>
                  <w:shd w:val="clear" w:color="auto" w:fill="auto"/>
                  <w:noWrap w:val="0"/>
                  <w:vAlign w:val="center"/>
                </w:tcPr>
                <w:p w14:paraId="40F565E0">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810</w:t>
                  </w:r>
                </w:p>
              </w:tc>
              <w:tc>
                <w:tcPr>
                  <w:tcW w:w="975" w:type="dxa"/>
                  <w:shd w:val="clear" w:color="auto" w:fill="auto"/>
                  <w:noWrap w:val="0"/>
                  <w:vAlign w:val="center"/>
                </w:tcPr>
                <w:p w14:paraId="20236CB8">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金属材料制造</w:t>
                  </w:r>
                </w:p>
              </w:tc>
              <w:tc>
                <w:tcPr>
                  <w:tcW w:w="2380" w:type="dxa"/>
                  <w:shd w:val="clear" w:color="auto" w:fill="auto"/>
                  <w:noWrap w:val="0"/>
                  <w:vAlign w:val="center"/>
                </w:tcPr>
                <w:p w14:paraId="054DF12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颗粒物、非甲烷总烃、食堂油烟、</w:t>
                  </w:r>
                  <w:r>
                    <w:rPr>
                      <w:rFonts w:hint="default" w:ascii="Times New Roman" w:hAnsi="Times New Roman" w:eastAsia="宋体" w:cs="Times New Roman"/>
                      <w:color w:val="auto"/>
                      <w:sz w:val="21"/>
                      <w:szCs w:val="21"/>
                      <w:lang w:val="en-US" w:eastAsia="zh-CN"/>
                    </w:rPr>
                    <w:t>生活污水、噪声、生产及生活固废</w:t>
                  </w:r>
                </w:p>
              </w:tc>
            </w:tr>
            <w:tr w14:paraId="2FC0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0684FC31">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290" w:type="dxa"/>
                  <w:noWrap w:val="0"/>
                  <w:vAlign w:val="center"/>
                </w:tcPr>
                <w:p w14:paraId="3C70F1D4">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易门基元科技有限公司</w:t>
                  </w:r>
                </w:p>
              </w:tc>
              <w:tc>
                <w:tcPr>
                  <w:tcW w:w="855" w:type="dxa"/>
                  <w:noWrap w:val="0"/>
                  <w:vAlign w:val="center"/>
                </w:tcPr>
                <w:p w14:paraId="7DD82FA1">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西北侧</w:t>
                  </w:r>
                </w:p>
              </w:tc>
              <w:tc>
                <w:tcPr>
                  <w:tcW w:w="645" w:type="dxa"/>
                  <w:noWrap w:val="0"/>
                  <w:vAlign w:val="center"/>
                </w:tcPr>
                <w:p w14:paraId="5EFEB84D">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w:t>
                  </w:r>
                </w:p>
              </w:tc>
              <w:tc>
                <w:tcPr>
                  <w:tcW w:w="975" w:type="dxa"/>
                  <w:noWrap w:val="0"/>
                  <w:vAlign w:val="center"/>
                </w:tcPr>
                <w:p w14:paraId="21016225">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矿山机械</w:t>
                  </w:r>
                </w:p>
              </w:tc>
              <w:tc>
                <w:tcPr>
                  <w:tcW w:w="2380" w:type="dxa"/>
                  <w:noWrap w:val="0"/>
                  <w:vAlign w:val="center"/>
                </w:tcPr>
                <w:p w14:paraId="7E83CB6F">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r w14:paraId="19AC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13B9C4E6">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290" w:type="dxa"/>
                  <w:noWrap w:val="0"/>
                  <w:vAlign w:val="center"/>
                </w:tcPr>
                <w:p w14:paraId="613AEB15">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云南柔极塑料有限公司</w:t>
                  </w:r>
                </w:p>
              </w:tc>
              <w:tc>
                <w:tcPr>
                  <w:tcW w:w="855" w:type="dxa"/>
                  <w:noWrap w:val="0"/>
                  <w:vAlign w:val="center"/>
                </w:tcPr>
                <w:p w14:paraId="6769A5C5">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西北侧</w:t>
                  </w:r>
                </w:p>
              </w:tc>
              <w:tc>
                <w:tcPr>
                  <w:tcW w:w="645" w:type="dxa"/>
                  <w:noWrap w:val="0"/>
                  <w:vAlign w:val="center"/>
                </w:tcPr>
                <w:p w14:paraId="42881616">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w:t>
                  </w:r>
                </w:p>
              </w:tc>
              <w:tc>
                <w:tcPr>
                  <w:tcW w:w="975" w:type="dxa"/>
                  <w:shd w:val="clear" w:color="auto" w:fill="auto"/>
                  <w:noWrap w:val="0"/>
                  <w:vAlign w:val="center"/>
                </w:tcPr>
                <w:p w14:paraId="4DBC3F42">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塑料制品</w:t>
                  </w:r>
                </w:p>
              </w:tc>
              <w:tc>
                <w:tcPr>
                  <w:tcW w:w="2380" w:type="dxa"/>
                  <w:shd w:val="clear" w:color="auto" w:fill="auto"/>
                  <w:noWrap w:val="0"/>
                  <w:vAlign w:val="center"/>
                </w:tcPr>
                <w:p w14:paraId="4BB5AADD">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r w14:paraId="37B1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2B572639">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290" w:type="dxa"/>
                  <w:noWrap w:val="0"/>
                  <w:vAlign w:val="center"/>
                </w:tcPr>
                <w:p w14:paraId="1AC2D5B2">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云南圣古建材有限公司</w:t>
                  </w:r>
                </w:p>
              </w:tc>
              <w:tc>
                <w:tcPr>
                  <w:tcW w:w="855" w:type="dxa"/>
                  <w:shd w:val="clear" w:color="auto" w:fill="auto"/>
                  <w:noWrap w:val="0"/>
                  <w:vAlign w:val="center"/>
                </w:tcPr>
                <w:p w14:paraId="052FF1DB">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西北侧</w:t>
                  </w:r>
                </w:p>
              </w:tc>
              <w:tc>
                <w:tcPr>
                  <w:tcW w:w="645" w:type="dxa"/>
                  <w:noWrap w:val="0"/>
                  <w:vAlign w:val="center"/>
                </w:tcPr>
                <w:p w14:paraId="05B5DA0E">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w:t>
                  </w:r>
                </w:p>
              </w:tc>
              <w:tc>
                <w:tcPr>
                  <w:tcW w:w="975" w:type="dxa"/>
                  <w:shd w:val="clear" w:color="auto" w:fill="auto"/>
                  <w:noWrap w:val="0"/>
                  <w:vAlign w:val="center"/>
                </w:tcPr>
                <w:p w14:paraId="4ECA419A">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土工材料、塑料制品</w:t>
                  </w:r>
                </w:p>
              </w:tc>
              <w:tc>
                <w:tcPr>
                  <w:tcW w:w="2380" w:type="dxa"/>
                  <w:shd w:val="clear" w:color="auto" w:fill="auto"/>
                  <w:noWrap w:val="0"/>
                  <w:vAlign w:val="center"/>
                </w:tcPr>
                <w:p w14:paraId="5707DFA1">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r w14:paraId="6B1E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noWrap w:val="0"/>
                  <w:vAlign w:val="center"/>
                </w:tcPr>
                <w:p w14:paraId="68802821">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290" w:type="dxa"/>
                  <w:shd w:val="clear" w:color="auto" w:fill="auto"/>
                  <w:noWrap w:val="0"/>
                  <w:vAlign w:val="center"/>
                </w:tcPr>
                <w:p w14:paraId="3761C3C6">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云南乐工农业科技有限公司</w:t>
                  </w:r>
                </w:p>
              </w:tc>
              <w:tc>
                <w:tcPr>
                  <w:tcW w:w="855" w:type="dxa"/>
                  <w:shd w:val="clear" w:color="auto" w:fill="auto"/>
                  <w:noWrap w:val="0"/>
                  <w:vAlign w:val="center"/>
                </w:tcPr>
                <w:p w14:paraId="3358B0BC">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西北侧</w:t>
                  </w:r>
                </w:p>
              </w:tc>
              <w:tc>
                <w:tcPr>
                  <w:tcW w:w="645" w:type="dxa"/>
                  <w:shd w:val="clear" w:color="auto" w:fill="auto"/>
                  <w:noWrap w:val="0"/>
                  <w:vAlign w:val="center"/>
                </w:tcPr>
                <w:p w14:paraId="7E79E865">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270</w:t>
                  </w:r>
                </w:p>
              </w:tc>
              <w:tc>
                <w:tcPr>
                  <w:tcW w:w="975" w:type="dxa"/>
                  <w:shd w:val="clear" w:color="auto" w:fill="auto"/>
                  <w:noWrap w:val="0"/>
                  <w:vAlign w:val="center"/>
                </w:tcPr>
                <w:p w14:paraId="0448C104">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塑料管材</w:t>
                  </w:r>
                </w:p>
              </w:tc>
              <w:tc>
                <w:tcPr>
                  <w:tcW w:w="2380" w:type="dxa"/>
                  <w:shd w:val="clear" w:color="auto" w:fill="auto"/>
                  <w:noWrap w:val="0"/>
                  <w:vAlign w:val="center"/>
                </w:tcPr>
                <w:p w14:paraId="48EA63C6">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r w14:paraId="6BE6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vAlign w:val="center"/>
                </w:tcPr>
                <w:p w14:paraId="53FC4436">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290" w:type="dxa"/>
                  <w:shd w:val="clear" w:color="auto" w:fill="auto"/>
                  <w:vAlign w:val="center"/>
                </w:tcPr>
                <w:p w14:paraId="22CEBF9D">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云南域海新材料有限公司</w:t>
                  </w:r>
                </w:p>
              </w:tc>
              <w:tc>
                <w:tcPr>
                  <w:tcW w:w="855" w:type="dxa"/>
                  <w:shd w:val="clear" w:color="auto" w:fill="auto"/>
                  <w:vAlign w:val="center"/>
                </w:tcPr>
                <w:p w14:paraId="0D26CA4A">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西北侧</w:t>
                  </w:r>
                </w:p>
              </w:tc>
              <w:tc>
                <w:tcPr>
                  <w:tcW w:w="645" w:type="dxa"/>
                  <w:shd w:val="clear" w:color="auto" w:fill="auto"/>
                  <w:vAlign w:val="center"/>
                </w:tcPr>
                <w:p w14:paraId="44690708">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350</w:t>
                  </w:r>
                </w:p>
              </w:tc>
              <w:tc>
                <w:tcPr>
                  <w:tcW w:w="975" w:type="dxa"/>
                  <w:shd w:val="clear" w:color="auto" w:fill="auto"/>
                  <w:vAlign w:val="center"/>
                </w:tcPr>
                <w:p w14:paraId="50A9963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塑料管材</w:t>
                  </w:r>
                </w:p>
              </w:tc>
              <w:tc>
                <w:tcPr>
                  <w:tcW w:w="2380" w:type="dxa"/>
                  <w:shd w:val="clear" w:color="auto" w:fill="auto"/>
                  <w:vAlign w:val="center"/>
                </w:tcPr>
                <w:p w14:paraId="4111865F">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r w14:paraId="3D69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dxa"/>
                  <w:shd w:val="clear" w:color="auto" w:fill="auto"/>
                  <w:vAlign w:val="center"/>
                </w:tcPr>
                <w:p w14:paraId="448F65E4">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290" w:type="dxa"/>
                  <w:shd w:val="clear" w:color="auto" w:fill="auto"/>
                  <w:vAlign w:val="center"/>
                </w:tcPr>
                <w:p w14:paraId="1D155DA2">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云南昀沣节水科技有限公司</w:t>
                  </w:r>
                </w:p>
              </w:tc>
              <w:tc>
                <w:tcPr>
                  <w:tcW w:w="855" w:type="dxa"/>
                  <w:shd w:val="clear" w:color="auto" w:fill="auto"/>
                  <w:vAlign w:val="center"/>
                </w:tcPr>
                <w:p w14:paraId="24D29123">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西北侧</w:t>
                  </w:r>
                </w:p>
              </w:tc>
              <w:tc>
                <w:tcPr>
                  <w:tcW w:w="645" w:type="dxa"/>
                  <w:shd w:val="clear" w:color="auto" w:fill="auto"/>
                  <w:vAlign w:val="center"/>
                </w:tcPr>
                <w:p w14:paraId="485C3E6C">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w:t>
                  </w:r>
                </w:p>
              </w:tc>
              <w:tc>
                <w:tcPr>
                  <w:tcW w:w="975" w:type="dxa"/>
                  <w:shd w:val="clear" w:color="auto" w:fill="auto"/>
                  <w:vAlign w:val="center"/>
                </w:tcPr>
                <w:p w14:paraId="7F9E9938">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塑料管材</w:t>
                  </w:r>
                </w:p>
              </w:tc>
              <w:tc>
                <w:tcPr>
                  <w:tcW w:w="2380" w:type="dxa"/>
                  <w:shd w:val="clear" w:color="auto" w:fill="auto"/>
                  <w:vAlign w:val="center"/>
                </w:tcPr>
                <w:p w14:paraId="48EE2F1E">
                  <w:pPr>
                    <w:autoSpaceDE w:val="0"/>
                    <w:autoSpaceDN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非甲烷总烃、颗粒物、食堂油烟、生活污水、噪声、生产及生活固废</w:t>
                  </w:r>
                </w:p>
              </w:tc>
            </w:tr>
          </w:tbl>
          <w:p w14:paraId="7239D102">
            <w:pPr>
              <w:pStyle w:val="27"/>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both"/>
              <w:textAlignment w:val="auto"/>
              <w:rPr>
                <w:rFonts w:hint="default" w:ascii="Times New Roman" w:hAnsi="Times New Roman" w:eastAsia="宋体" w:cs="Times New Roman"/>
                <w:strike w:val="0"/>
                <w:dstrike w:val="0"/>
                <w:color w:val="auto"/>
                <w:kern w:val="2"/>
                <w:sz w:val="24"/>
                <w:szCs w:val="24"/>
                <w:lang w:val="en-US" w:eastAsia="zh-CN" w:bidi="ar-SA"/>
              </w:rPr>
            </w:pPr>
            <w:r>
              <w:rPr>
                <w:rFonts w:hint="default" w:ascii="Times New Roman" w:hAnsi="Times New Roman" w:eastAsia="宋体" w:cs="Times New Roman"/>
                <w:strike w:val="0"/>
                <w:dstrike w:val="0"/>
                <w:color w:val="auto"/>
                <w:kern w:val="2"/>
                <w:sz w:val="24"/>
                <w:szCs w:val="24"/>
                <w:lang w:val="en-US" w:eastAsia="zh-CN" w:bidi="ar-SA"/>
              </w:rPr>
              <w:t>从对项目周边情况调查可知，</w:t>
            </w:r>
            <w:r>
              <w:rPr>
                <w:rFonts w:hint="default" w:ascii="Times New Roman" w:hAnsi="Times New Roman" w:eastAsia="宋体" w:cs="Times New Roman"/>
                <w:bCs/>
                <w:color w:val="auto"/>
                <w:sz w:val="24"/>
                <w:szCs w:val="24"/>
                <w:highlight w:val="none"/>
                <w:u w:val="none"/>
                <w:lang w:val="en-US" w:eastAsia="zh-CN"/>
              </w:rPr>
              <w:t>项目厂界外500m范围内居民点（最近居民点为东北侧650m的杨保庄）</w:t>
            </w:r>
            <w:r>
              <w:rPr>
                <w:rFonts w:hint="eastAsia" w:cs="Times New Roman"/>
                <w:bCs/>
                <w:color w:val="auto"/>
                <w:sz w:val="24"/>
                <w:szCs w:val="24"/>
                <w:highlight w:val="none"/>
                <w:u w:val="none"/>
                <w:lang w:val="en-US" w:eastAsia="zh-CN"/>
              </w:rPr>
              <w:t>，</w:t>
            </w:r>
            <w:r>
              <w:rPr>
                <w:rFonts w:hint="default" w:ascii="Times New Roman" w:hAnsi="Times New Roman" w:eastAsia="宋体" w:cs="Times New Roman"/>
                <w:bCs/>
                <w:color w:val="auto"/>
                <w:sz w:val="24"/>
                <w:szCs w:val="24"/>
                <w:highlight w:val="none"/>
                <w:u w:val="none"/>
                <w:lang w:val="en-US" w:eastAsia="zh-CN"/>
              </w:rPr>
              <w:t>50m范围内无声环境敏感点；</w:t>
            </w:r>
            <w:r>
              <w:rPr>
                <w:rFonts w:hint="default" w:ascii="Times New Roman" w:hAnsi="Times New Roman" w:eastAsia="宋体" w:cs="Times New Roman"/>
                <w:strike w:val="0"/>
                <w:dstrike w:val="0"/>
                <w:color w:val="auto"/>
                <w:kern w:val="2"/>
                <w:sz w:val="24"/>
                <w:szCs w:val="24"/>
                <w:lang w:val="en-US" w:eastAsia="zh-CN" w:bidi="ar-SA"/>
              </w:rPr>
              <w:t>周围</w:t>
            </w:r>
            <w:r>
              <w:rPr>
                <w:rFonts w:hint="eastAsia" w:cs="Times New Roman"/>
                <w:strike w:val="0"/>
                <w:dstrike w:val="0"/>
                <w:color w:val="auto"/>
                <w:kern w:val="2"/>
                <w:sz w:val="24"/>
                <w:szCs w:val="24"/>
                <w:lang w:val="en-US" w:eastAsia="zh-CN" w:bidi="ar-SA"/>
              </w:rPr>
              <w:t>分布的</w:t>
            </w:r>
            <w:r>
              <w:rPr>
                <w:rFonts w:hint="default" w:ascii="Times New Roman" w:hAnsi="Times New Roman" w:eastAsia="宋体" w:cs="Times New Roman"/>
                <w:strike w:val="0"/>
                <w:dstrike w:val="0"/>
                <w:color w:val="auto"/>
                <w:kern w:val="2"/>
                <w:sz w:val="24"/>
                <w:szCs w:val="24"/>
                <w:lang w:val="en-US" w:eastAsia="zh-CN" w:bidi="ar-SA"/>
              </w:rPr>
              <w:t>企业主要</w:t>
            </w:r>
            <w:r>
              <w:rPr>
                <w:rFonts w:hint="default" w:ascii="Times New Roman" w:hAnsi="Times New Roman" w:eastAsia="宋体" w:cs="Times New Roman"/>
                <w:color w:val="auto"/>
                <w:sz w:val="24"/>
                <w:highlight w:val="none"/>
                <w:lang w:val="en-US" w:eastAsia="zh-CN"/>
              </w:rPr>
              <w:t>进行塑料制品生产、印刷和记录媒介复制业、塑料制品生产及铝型材生产等，</w:t>
            </w:r>
            <w:r>
              <w:rPr>
                <w:rFonts w:hint="default" w:ascii="Times New Roman" w:hAnsi="Times New Roman" w:eastAsia="宋体" w:cs="Times New Roman"/>
                <w:strike w:val="0"/>
                <w:dstrike w:val="0"/>
                <w:color w:val="auto"/>
                <w:kern w:val="2"/>
                <w:sz w:val="24"/>
                <w:szCs w:val="24"/>
                <w:lang w:val="en-US" w:eastAsia="zh-CN" w:bidi="ar-SA"/>
              </w:rPr>
              <w:t>对本项目无制约性因素；本项目的主要污染物是废气（</w:t>
            </w:r>
            <w:r>
              <w:rPr>
                <w:rFonts w:hint="default" w:ascii="Times New Roman" w:hAnsi="Times New Roman" w:eastAsia="宋体" w:cs="Times New Roman"/>
                <w:strike w:val="0"/>
                <w:dstrike w:val="0"/>
                <w:color w:val="auto"/>
                <w:sz w:val="24"/>
                <w:szCs w:val="24"/>
                <w:lang w:eastAsia="zh-CN"/>
              </w:rPr>
              <w:t>挥发性有机物、颗粒</w:t>
            </w:r>
            <w:r>
              <w:rPr>
                <w:rFonts w:hint="default" w:ascii="Times New Roman" w:hAnsi="Times New Roman" w:eastAsia="宋体" w:cs="Times New Roman"/>
                <w:strike w:val="0"/>
                <w:dstrike w:val="0"/>
                <w:color w:val="auto"/>
                <w:sz w:val="24"/>
                <w:szCs w:val="24"/>
                <w:lang w:val="en-US" w:eastAsia="zh-CN"/>
              </w:rPr>
              <w:t>物、</w:t>
            </w:r>
            <w:r>
              <w:rPr>
                <w:rFonts w:hint="default" w:ascii="Times New Roman" w:hAnsi="Times New Roman" w:eastAsia="宋体" w:cs="Times New Roman"/>
                <w:b w:val="0"/>
                <w:bCs w:val="0"/>
                <w:strike w:val="0"/>
                <w:dstrike w:val="0"/>
                <w:color w:val="auto"/>
                <w:kern w:val="0"/>
                <w:sz w:val="24"/>
                <w:szCs w:val="24"/>
                <w:lang w:val="en-US" w:eastAsia="zh-CN"/>
              </w:rPr>
              <w:t>氯化氢</w:t>
            </w:r>
            <w:r>
              <w:rPr>
                <w:rFonts w:hint="default" w:ascii="Times New Roman" w:hAnsi="Times New Roman" w:eastAsia="宋体" w:cs="Times New Roman"/>
                <w:strike w:val="0"/>
                <w:dstrike w:val="0"/>
                <w:color w:val="auto"/>
                <w:sz w:val="24"/>
                <w:szCs w:val="24"/>
                <w:lang w:val="en-US" w:eastAsia="zh-CN"/>
              </w:rPr>
              <w:t>等</w:t>
            </w:r>
            <w:r>
              <w:rPr>
                <w:rFonts w:hint="default" w:ascii="Times New Roman" w:hAnsi="Times New Roman" w:eastAsia="宋体" w:cs="Times New Roman"/>
                <w:strike w:val="0"/>
                <w:dstrike w:val="0"/>
                <w:color w:val="auto"/>
                <w:kern w:val="2"/>
                <w:sz w:val="24"/>
                <w:szCs w:val="24"/>
                <w:lang w:val="en-US" w:eastAsia="zh-CN" w:bidi="ar-SA"/>
              </w:rPr>
              <w:t>）、生产废水、生活污水、固废及噪声，经过相应的措施处理后，可以做到达标排放，</w:t>
            </w:r>
            <w:r>
              <w:rPr>
                <w:rFonts w:hint="default" w:ascii="Times New Roman" w:hAnsi="Times New Roman" w:eastAsia="宋体" w:cs="Times New Roman"/>
                <w:strike w:val="0"/>
                <w:dstrike w:val="0"/>
                <w:color w:val="auto"/>
                <w:sz w:val="24"/>
                <w:szCs w:val="24"/>
                <w:highlight w:val="none"/>
                <w:lang w:val="en-US" w:eastAsia="zh-CN"/>
              </w:rPr>
              <w:t>本项目所在区域主导风向为南风，周边加工企业大多位于本项目侧风向</w:t>
            </w:r>
            <w:r>
              <w:rPr>
                <w:rFonts w:hint="default" w:ascii="Times New Roman" w:hAnsi="Times New Roman" w:eastAsia="宋体" w:cs="Times New Roman"/>
                <w:strike w:val="0"/>
                <w:dstrike w:val="0"/>
                <w:color w:val="auto"/>
                <w:kern w:val="2"/>
                <w:sz w:val="24"/>
                <w:szCs w:val="24"/>
                <w:lang w:val="en-US" w:eastAsia="zh-CN" w:bidi="ar-SA"/>
              </w:rPr>
              <w:t>，对周围企业影响</w:t>
            </w:r>
            <w:r>
              <w:rPr>
                <w:rFonts w:hint="default" w:ascii="Times New Roman" w:hAnsi="Times New Roman" w:eastAsia="宋体" w:cs="Times New Roman"/>
                <w:strike w:val="0"/>
                <w:dstrike w:val="0"/>
                <w:color w:val="auto"/>
                <w:sz w:val="24"/>
                <w:szCs w:val="24"/>
                <w:lang w:val="en-US" w:eastAsia="zh-CN"/>
              </w:rPr>
              <w:t>较小</w:t>
            </w:r>
            <w:r>
              <w:rPr>
                <w:rFonts w:hint="default" w:ascii="Times New Roman" w:hAnsi="Times New Roman" w:eastAsia="宋体" w:cs="Times New Roman"/>
                <w:strike w:val="0"/>
                <w:dstrike w:val="0"/>
                <w:color w:val="auto"/>
                <w:kern w:val="2"/>
                <w:sz w:val="24"/>
                <w:szCs w:val="24"/>
                <w:lang w:val="en-US" w:eastAsia="zh-CN" w:bidi="ar-SA"/>
              </w:rPr>
              <w:t>。</w:t>
            </w:r>
          </w:p>
          <w:p w14:paraId="4D47532F">
            <w:pPr>
              <w:pStyle w:val="27"/>
              <w:keepNext w:val="0"/>
              <w:keepLines w:val="0"/>
              <w:pageBreakBefore w:val="0"/>
              <w:widowControl/>
              <w:kinsoku/>
              <w:wordWrap/>
              <w:overflowPunct/>
              <w:topLinePunct w:val="0"/>
              <w:autoSpaceDE/>
              <w:autoSpaceDN/>
              <w:bidi w:val="0"/>
              <w:adjustRightInd/>
              <w:snapToGrid w:val="0"/>
              <w:spacing w:before="0" w:after="0" w:line="360" w:lineRule="auto"/>
              <w:ind w:left="0" w:leftChars="0" w:right="0" w:rightChars="0" w:firstLine="480" w:firstLineChars="200"/>
              <w:jc w:val="both"/>
              <w:textAlignment w:val="auto"/>
              <w:rPr>
                <w:rFonts w:hint="default" w:ascii="Times New Roman" w:hAnsi="Times New Roman" w:eastAsia="宋体" w:cs="Times New Roman"/>
                <w:strike w:val="0"/>
                <w:dstrike w:val="0"/>
                <w:color w:val="auto"/>
                <w:kern w:val="2"/>
                <w:sz w:val="24"/>
                <w:szCs w:val="24"/>
                <w:lang w:val="en-US" w:eastAsia="zh-CN" w:bidi="ar-SA"/>
              </w:rPr>
            </w:pPr>
            <w:r>
              <w:rPr>
                <w:rFonts w:hint="default" w:ascii="Times New Roman" w:hAnsi="Times New Roman" w:eastAsia="宋体" w:cs="Times New Roman"/>
                <w:strike w:val="0"/>
                <w:dstrike w:val="0"/>
                <w:color w:val="auto"/>
                <w:kern w:val="2"/>
                <w:sz w:val="24"/>
                <w:szCs w:val="24"/>
                <w:lang w:val="en-US" w:eastAsia="zh-CN" w:bidi="ar-SA"/>
              </w:rPr>
              <w:t>综上所述，项目与周边环境相容。</w:t>
            </w:r>
          </w:p>
          <w:p w14:paraId="3A347452">
            <w:pPr>
              <w:rPr>
                <w:rFonts w:hint="default" w:ascii="Times New Roman" w:hAnsi="Times New Roman" w:eastAsia="宋体" w:cs="Times New Roman"/>
                <w:strike w:val="0"/>
                <w:dstrike w:val="0"/>
                <w:color w:val="auto"/>
                <w:kern w:val="2"/>
                <w:sz w:val="24"/>
                <w:szCs w:val="24"/>
                <w:lang w:val="en-US" w:eastAsia="zh-CN" w:bidi="ar-SA"/>
              </w:rPr>
            </w:pPr>
          </w:p>
          <w:p w14:paraId="144B3C2C">
            <w:pPr>
              <w:pStyle w:val="2"/>
              <w:rPr>
                <w:rFonts w:hint="default" w:ascii="Times New Roman" w:hAnsi="Times New Roman" w:eastAsia="宋体" w:cs="Times New Roman"/>
                <w:strike w:val="0"/>
                <w:dstrike w:val="0"/>
                <w:color w:val="auto"/>
                <w:kern w:val="2"/>
                <w:sz w:val="24"/>
                <w:szCs w:val="24"/>
                <w:lang w:val="en-US" w:eastAsia="zh-CN" w:bidi="ar-SA"/>
              </w:rPr>
            </w:pPr>
          </w:p>
          <w:p w14:paraId="081F0750">
            <w:pPr>
              <w:pStyle w:val="3"/>
              <w:rPr>
                <w:rFonts w:hint="default"/>
                <w:color w:val="auto"/>
                <w:lang w:val="en-US" w:eastAsia="zh-CN"/>
              </w:rPr>
            </w:pPr>
          </w:p>
          <w:p w14:paraId="78019E1D">
            <w:pPr>
              <w:jc w:val="both"/>
              <w:rPr>
                <w:rFonts w:hint="default" w:ascii="Times New Roman" w:hAnsi="Times New Roman" w:eastAsia="宋体" w:cs="Times New Roman"/>
                <w:color w:val="auto"/>
                <w:lang w:val="en-US" w:eastAsia="zh-CN"/>
              </w:rPr>
            </w:pPr>
          </w:p>
        </w:tc>
      </w:tr>
    </w:tbl>
    <w:p w14:paraId="7C317193">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b/>
          <w:bCs/>
          <w:snapToGrid w:val="0"/>
          <w:color w:val="auto"/>
          <w:sz w:val="30"/>
          <w:szCs w:val="30"/>
          <w:highlight w:val="none"/>
        </w:rPr>
        <w:sectPr>
          <w:headerReference r:id="rId8" w:type="default"/>
          <w:footerReference r:id="rId9" w:type="default"/>
          <w:pgSz w:w="11906" w:h="16838"/>
          <w:pgMar w:top="1440" w:right="1080" w:bottom="1440" w:left="1080" w:header="851" w:footer="1134" w:gutter="0"/>
          <w:pgBorders>
            <w:top w:val="none" w:sz="0" w:space="0"/>
            <w:left w:val="none" w:sz="0" w:space="0"/>
            <w:bottom w:val="none" w:sz="0" w:space="0"/>
            <w:right w:val="none" w:sz="0" w:space="0"/>
          </w:pgBorders>
          <w:pgNumType w:fmt="decimal"/>
          <w:cols w:space="720" w:num="1"/>
          <w:docGrid w:linePitch="312" w:charSpace="0"/>
        </w:sectPr>
      </w:pPr>
      <w:bookmarkStart w:id="4" w:name="_Toc9579"/>
    </w:p>
    <w:p w14:paraId="0A693D33">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二、建设项目工程分析</w:t>
      </w:r>
      <w:bookmarkEnd w:id="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ABA5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1" w:hRule="atLeast"/>
          <w:jc w:val="center"/>
        </w:trPr>
        <w:tc>
          <w:tcPr>
            <w:tcW w:w="823" w:type="dxa"/>
            <w:vAlign w:val="center"/>
          </w:tcPr>
          <w:p w14:paraId="6ABDF3C3">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8161" w:type="dxa"/>
            <w:vAlign w:val="top"/>
          </w:tcPr>
          <w:p w14:paraId="2F898158">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1、</w:t>
            </w:r>
            <w:r>
              <w:rPr>
                <w:rFonts w:hint="default" w:ascii="Times New Roman" w:hAnsi="Times New Roman" w:eastAsia="宋体" w:cs="Times New Roman"/>
                <w:b/>
                <w:bCs w:val="0"/>
                <w:color w:val="auto"/>
                <w:sz w:val="24"/>
                <w:szCs w:val="24"/>
                <w:highlight w:val="none"/>
                <w:lang w:val="en-US" w:eastAsia="zh-CN"/>
              </w:rPr>
              <w:t>项目由来</w:t>
            </w:r>
          </w:p>
          <w:p w14:paraId="19C56E26">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1"/>
                <w:sz w:val="24"/>
                <w:szCs w:val="24"/>
                <w:highlight w:val="none"/>
                <w:lang w:val="zh-CN" w:bidi="zh-CN"/>
              </w:rPr>
            </w:pPr>
            <w:r>
              <w:rPr>
                <w:rFonts w:hint="default" w:ascii="Times New Roman" w:hAnsi="Times New Roman" w:eastAsia="宋体" w:cs="Times New Roman"/>
                <w:color w:val="auto"/>
                <w:kern w:val="1"/>
                <w:sz w:val="24"/>
                <w:szCs w:val="24"/>
                <w:highlight w:val="none"/>
                <w:lang w:val="zh-CN" w:bidi="zh-CN"/>
              </w:rPr>
              <w:t>水晶钻石作为高端饰品的核心材料，其市场发展与全球时尚产业的繁荣密切相关。近年来，随着全球经济的持续增长和消费者对美好生活追求的不断提升，高端饰品市场规模稳步扩大，水晶钻石市场需求也随之水涨船高。</w:t>
            </w:r>
          </w:p>
          <w:p w14:paraId="37F5D76F">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kern w:val="1"/>
                <w:sz w:val="24"/>
                <w:szCs w:val="24"/>
                <w:highlight w:val="none"/>
                <w:lang w:val="en-US" w:eastAsia="zh-CN" w:bidi="zh-CN"/>
              </w:rPr>
            </w:pPr>
            <w:r>
              <w:rPr>
                <w:rFonts w:hint="default" w:ascii="Times New Roman" w:hAnsi="Times New Roman" w:eastAsia="宋体" w:cs="Times New Roman"/>
                <w:color w:val="auto"/>
                <w:kern w:val="1"/>
                <w:sz w:val="24"/>
                <w:szCs w:val="24"/>
                <w:highlight w:val="none"/>
                <w:lang w:val="en-US" w:eastAsia="zh-CN" w:bidi="zh-CN"/>
              </w:rPr>
              <w:t>浙江今辰饰品有限公司创立于2020年9月，注册资本528万美元，由外资实际投资，资金实力雄厚，为企业发展奠定坚实基础。公司坐落于有“中国水晶之都”美誉的浙江省金华市浦江县，地理位置得天独厚，交通便捷，占地面积约15亩，建筑面积超3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kern w:val="1"/>
                <w:sz w:val="24"/>
                <w:szCs w:val="24"/>
                <w:highlight w:val="none"/>
                <w:lang w:val="en-US" w:eastAsia="zh-CN" w:bidi="zh-CN"/>
              </w:rPr>
              <w:t>，硬件设施完善，公司已取得多项知识产权成果及国际商标，研发团队规模可观，具有较强的国际市场竞争力。公司作为专业生产水晶钻石新材料的优质企业，公司汇聚行业精英，各部门人员专业能力强，致力于成为国际水晶钻石新材料行业的领航者，秉持打造世界品牌的目标不断奋进。</w:t>
            </w:r>
            <w:r>
              <w:rPr>
                <w:rFonts w:hint="default" w:ascii="Times New Roman" w:hAnsi="Times New Roman" w:eastAsia="宋体" w:cs="Times New Roman"/>
                <w:color w:val="auto"/>
                <w:kern w:val="1"/>
                <w:sz w:val="24"/>
                <w:szCs w:val="24"/>
                <w:highlight w:val="none"/>
                <w:lang w:val="en-US" w:bidi="zh-CN"/>
              </w:rPr>
              <w:t>在此背景下，</w:t>
            </w:r>
            <w:r>
              <w:rPr>
                <w:rFonts w:hint="default" w:ascii="Times New Roman" w:hAnsi="Times New Roman" w:eastAsia="宋体" w:cs="Times New Roman"/>
                <w:color w:val="auto"/>
                <w:kern w:val="1"/>
                <w:sz w:val="24"/>
                <w:szCs w:val="24"/>
                <w:highlight w:val="none"/>
                <w:lang w:val="en-US" w:eastAsia="zh-CN" w:bidi="zh-CN"/>
              </w:rPr>
              <w:t>浙江今辰饰品有限公司拟于云南易门投资建厂。</w:t>
            </w:r>
          </w:p>
          <w:p w14:paraId="26218A19">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bCs/>
                <w:strike w:val="0"/>
                <w:dstrike w:val="0"/>
                <w:color w:val="auto"/>
                <w:spacing w:val="0"/>
                <w:kern w:val="0"/>
                <w:sz w:val="24"/>
                <w:szCs w:val="24"/>
                <w:highlight w:val="none"/>
                <w:lang w:val="en-US" w:eastAsia="zh-CN"/>
              </w:rPr>
            </w:pPr>
            <w:r>
              <w:rPr>
                <w:rFonts w:hint="default" w:ascii="Times New Roman" w:hAnsi="Times New Roman" w:eastAsia="宋体" w:cs="Times New Roman"/>
                <w:color w:val="auto"/>
                <w:kern w:val="1"/>
                <w:sz w:val="24"/>
                <w:szCs w:val="24"/>
                <w:highlight w:val="none"/>
                <w:lang w:val="en-US" w:eastAsia="zh-CN" w:bidi="zh-CN"/>
              </w:rPr>
              <w:t>云南元易新材料有限公司是浙江今辰饰品有限公司于2025年11月5日成立的全资子公司，法人代表郑定强，</w:t>
            </w:r>
            <w:r>
              <w:rPr>
                <w:rFonts w:hint="default" w:ascii="Times New Roman" w:hAnsi="Times New Roman" w:eastAsia="宋体" w:cs="Times New Roman"/>
                <w:color w:val="auto"/>
                <w:kern w:val="1"/>
                <w:sz w:val="24"/>
                <w:szCs w:val="24"/>
                <w:highlight w:val="none"/>
                <w:lang w:val="en-US" w:bidi="zh-CN"/>
              </w:rPr>
              <w:t>主要从事</w:t>
            </w:r>
            <w:r>
              <w:rPr>
                <w:rFonts w:hint="default" w:ascii="Times New Roman" w:hAnsi="Times New Roman" w:eastAsia="宋体" w:cs="Times New Roman"/>
                <w:color w:val="auto"/>
                <w:kern w:val="0"/>
                <w:sz w:val="24"/>
                <w:szCs w:val="24"/>
                <w:highlight w:val="none"/>
                <w:lang w:val="en-US" w:eastAsia="zh-CN" w:bidi="ar"/>
              </w:rPr>
              <w:t>工艺美术品及礼仪用品制造、工艺美术品批发等，</w:t>
            </w:r>
            <w:r>
              <w:rPr>
                <w:rFonts w:hint="default" w:ascii="Times New Roman" w:hAnsi="Times New Roman" w:eastAsia="宋体" w:cs="Times New Roman"/>
                <w:color w:val="auto"/>
                <w:kern w:val="1"/>
                <w:sz w:val="24"/>
                <w:szCs w:val="24"/>
                <w:highlight w:val="none"/>
                <w:lang w:val="zh-CN" w:bidi="zh-CN"/>
              </w:rPr>
              <w:t>选址位于</w:t>
            </w:r>
            <w:r>
              <w:rPr>
                <w:rFonts w:hint="default" w:ascii="Times New Roman" w:hAnsi="Times New Roman" w:eastAsia="宋体" w:cs="Times New Roman"/>
                <w:color w:val="auto"/>
                <w:kern w:val="1"/>
                <w:sz w:val="24"/>
                <w:szCs w:val="24"/>
                <w:highlight w:val="none"/>
                <w:lang w:val="en-US" w:bidi="zh-CN"/>
              </w:rPr>
              <w:t>云南</w:t>
            </w:r>
            <w:r>
              <w:rPr>
                <w:rFonts w:hint="default" w:ascii="Times New Roman" w:hAnsi="Times New Roman" w:eastAsia="宋体" w:cs="Times New Roman"/>
                <w:color w:val="auto"/>
                <w:kern w:val="1"/>
                <w:sz w:val="24"/>
                <w:szCs w:val="24"/>
                <w:highlight w:val="none"/>
                <w:lang w:val="zh-CN" w:bidi="zh-CN"/>
              </w:rPr>
              <w:t>易门</w:t>
            </w:r>
            <w:r>
              <w:rPr>
                <w:rFonts w:hint="default" w:ascii="Times New Roman" w:hAnsi="Times New Roman" w:eastAsia="宋体" w:cs="Times New Roman"/>
                <w:color w:val="auto"/>
                <w:kern w:val="1"/>
                <w:sz w:val="24"/>
                <w:szCs w:val="24"/>
                <w:highlight w:val="none"/>
                <w:lang w:val="en-US" w:bidi="zh-CN"/>
              </w:rPr>
              <w:t>产业</w:t>
            </w:r>
            <w:r>
              <w:rPr>
                <w:rFonts w:hint="default" w:ascii="Times New Roman" w:hAnsi="Times New Roman" w:eastAsia="宋体" w:cs="Times New Roman"/>
                <w:color w:val="auto"/>
                <w:kern w:val="1"/>
                <w:sz w:val="24"/>
                <w:szCs w:val="24"/>
                <w:highlight w:val="none"/>
                <w:lang w:val="zh-CN" w:bidi="zh-CN"/>
              </w:rPr>
              <w:t>园区麦子田片区，</w:t>
            </w:r>
            <w:r>
              <w:rPr>
                <w:rFonts w:hint="default" w:ascii="Times New Roman" w:hAnsi="Times New Roman" w:eastAsia="宋体" w:cs="Times New Roman"/>
                <w:color w:val="auto"/>
                <w:kern w:val="1"/>
                <w:sz w:val="24"/>
                <w:szCs w:val="24"/>
                <w:highlight w:val="none"/>
                <w:lang w:val="en-US" w:bidi="zh-CN"/>
              </w:rPr>
              <w:t>拟投资</w:t>
            </w:r>
            <w:r>
              <w:rPr>
                <w:rFonts w:hint="default" w:ascii="Times New Roman" w:hAnsi="Times New Roman" w:eastAsia="宋体" w:cs="Times New Roman"/>
                <w:color w:val="auto"/>
                <w:kern w:val="1"/>
                <w:sz w:val="24"/>
                <w:szCs w:val="24"/>
                <w:highlight w:val="none"/>
                <w:lang w:val="zh-CN" w:bidi="zh-CN"/>
              </w:rPr>
              <w:t>新建“</w:t>
            </w:r>
            <w:r>
              <w:rPr>
                <w:rFonts w:hint="default" w:ascii="Times New Roman" w:hAnsi="Times New Roman" w:eastAsia="宋体" w:cs="Times New Roman"/>
                <w:color w:val="auto"/>
                <w:kern w:val="1"/>
                <w:sz w:val="24"/>
                <w:szCs w:val="24"/>
                <w:highlight w:val="none"/>
                <w:lang w:val="zh-CN" w:eastAsia="zh-CN" w:bidi="zh-CN"/>
              </w:rPr>
              <w:t>年产6000吨高品质水晶钻石新材料研发生产制造项目</w:t>
            </w:r>
            <w:r>
              <w:rPr>
                <w:rFonts w:hint="default" w:ascii="Times New Roman" w:hAnsi="Times New Roman" w:eastAsia="宋体" w:cs="Times New Roman"/>
                <w:color w:val="auto"/>
                <w:kern w:val="1"/>
                <w:sz w:val="24"/>
                <w:szCs w:val="24"/>
                <w:highlight w:val="none"/>
                <w:lang w:val="zh-CN" w:bidi="zh-CN"/>
              </w:rPr>
              <w:t>”。</w:t>
            </w:r>
            <w:r>
              <w:rPr>
                <w:rFonts w:hint="eastAsia" w:cs="Times New Roman"/>
                <w:color w:val="auto"/>
                <w:kern w:val="1"/>
                <w:sz w:val="24"/>
                <w:szCs w:val="24"/>
                <w:highlight w:val="none"/>
                <w:lang w:val="zh-CN" w:bidi="zh-CN"/>
              </w:rPr>
              <w:t>项目于2025年</w:t>
            </w:r>
            <w:r>
              <w:rPr>
                <w:rFonts w:hint="default" w:ascii="Times New Roman" w:hAnsi="Times New Roman" w:eastAsia="宋体" w:cs="Times New Roman"/>
                <w:color w:val="auto"/>
                <w:sz w:val="24"/>
                <w:szCs w:val="24"/>
                <w:highlight w:val="none"/>
                <w:lang w:val="en-US" w:eastAsia="zh-CN"/>
              </w:rPr>
              <w:t>11月24日取得易门县发展和改革委员会关于项目云南省固定资产投资项目备案证（项目代码：2511-530425-04-01-346934）。</w:t>
            </w:r>
            <w:r>
              <w:rPr>
                <w:rFonts w:hint="default" w:ascii="Times New Roman" w:hAnsi="Times New Roman" w:eastAsia="宋体" w:cs="Times New Roman"/>
                <w:color w:val="auto"/>
                <w:kern w:val="1"/>
                <w:sz w:val="24"/>
                <w:szCs w:val="24"/>
                <w:highlight w:val="none"/>
                <w:lang w:val="en-US" w:eastAsia="zh-CN" w:bidi="ar-SA"/>
              </w:rPr>
              <w:t>由于项目后期规划设计调整变更，建设内容及</w:t>
            </w:r>
            <w:r>
              <w:rPr>
                <w:rFonts w:hint="eastAsia" w:cs="Times New Roman"/>
                <w:color w:val="auto"/>
                <w:kern w:val="1"/>
                <w:sz w:val="24"/>
                <w:szCs w:val="24"/>
                <w:highlight w:val="none"/>
                <w:lang w:val="en-US" w:eastAsia="zh-CN" w:bidi="ar-SA"/>
              </w:rPr>
              <w:t>规模</w:t>
            </w:r>
            <w:r>
              <w:rPr>
                <w:rFonts w:hint="default" w:ascii="Times New Roman" w:hAnsi="Times New Roman" w:eastAsia="宋体" w:cs="Times New Roman"/>
                <w:color w:val="auto"/>
                <w:kern w:val="1"/>
                <w:sz w:val="24"/>
                <w:szCs w:val="24"/>
                <w:highlight w:val="none"/>
                <w:lang w:val="en-US" w:eastAsia="zh-CN" w:bidi="ar-SA"/>
              </w:rPr>
              <w:t>与实际规</w:t>
            </w:r>
            <w:r>
              <w:rPr>
                <w:rFonts w:hint="default" w:ascii="Times New Roman" w:hAnsi="Times New Roman" w:eastAsia="宋体" w:cs="Times New Roman"/>
                <w:strike w:val="0"/>
                <w:dstrike w:val="0"/>
                <w:color w:val="auto"/>
                <w:sz w:val="24"/>
                <w:highlight w:val="none"/>
                <w:lang w:val="en-US" w:eastAsia="zh-CN"/>
              </w:rPr>
              <w:t>划</w:t>
            </w:r>
            <w:r>
              <w:rPr>
                <w:rFonts w:hint="default" w:ascii="Times New Roman" w:hAnsi="Times New Roman" w:eastAsia="宋体" w:cs="Times New Roman"/>
                <w:strike w:val="0"/>
                <w:dstrike w:val="0"/>
                <w:color w:val="auto"/>
                <w:sz w:val="24"/>
                <w:highlight w:val="none"/>
              </w:rPr>
              <w:t>建设内容相比存在</w:t>
            </w:r>
            <w:r>
              <w:rPr>
                <w:rFonts w:hint="default" w:ascii="Times New Roman" w:hAnsi="Times New Roman" w:eastAsia="宋体" w:cs="Times New Roman"/>
                <w:strike w:val="0"/>
                <w:dstrike w:val="0"/>
                <w:color w:val="auto"/>
                <w:sz w:val="24"/>
                <w:highlight w:val="none"/>
                <w:lang w:val="en-US" w:eastAsia="zh-CN"/>
              </w:rPr>
              <w:t>一定差异</w:t>
            </w:r>
            <w:r>
              <w:rPr>
                <w:rFonts w:hint="default" w:ascii="Times New Roman" w:hAnsi="Times New Roman" w:eastAsia="宋体" w:cs="Times New Roman"/>
                <w:strike w:val="0"/>
                <w:dstrike w:val="0"/>
                <w:color w:val="auto"/>
                <w:sz w:val="24"/>
                <w:highlight w:val="none"/>
                <w:lang w:eastAsia="zh-CN"/>
              </w:rPr>
              <w:t>，</w:t>
            </w:r>
            <w:r>
              <w:rPr>
                <w:rFonts w:hint="eastAsia" w:cs="Times New Roman"/>
                <w:strike w:val="0"/>
                <w:dstrike w:val="0"/>
                <w:color w:val="auto"/>
                <w:sz w:val="24"/>
                <w:highlight w:val="none"/>
                <w:lang w:val="en-US" w:eastAsia="zh-CN"/>
              </w:rPr>
              <w:t>故于2026年5月15日将</w:t>
            </w:r>
            <w:r>
              <w:rPr>
                <w:rFonts w:hint="default" w:ascii="Times New Roman" w:hAnsi="Times New Roman" w:eastAsia="宋体" w:cs="Times New Roman"/>
                <w:color w:val="auto"/>
                <w:sz w:val="24"/>
                <w:highlight w:val="none"/>
              </w:rPr>
              <w:t>特</w:t>
            </w:r>
            <w:r>
              <w:rPr>
                <w:rFonts w:hint="default" w:ascii="Times New Roman" w:hAnsi="Times New Roman" w:eastAsia="宋体" w:cs="Times New Roman"/>
                <w:color w:val="auto"/>
                <w:sz w:val="24"/>
                <w:highlight w:val="none"/>
                <w:lang w:val="en-US" w:eastAsia="zh-CN"/>
              </w:rPr>
              <w:t>将</w:t>
            </w:r>
            <w:r>
              <w:rPr>
                <w:rFonts w:hint="default" w:ascii="Times New Roman" w:hAnsi="Times New Roman" w:eastAsia="宋体" w:cs="Times New Roman"/>
                <w:color w:val="auto"/>
                <w:sz w:val="24"/>
                <w:highlight w:val="none"/>
              </w:rPr>
              <w:t>信息进行</w:t>
            </w:r>
            <w:r>
              <w:rPr>
                <w:rFonts w:hint="default" w:ascii="Times New Roman" w:hAnsi="Times New Roman" w:eastAsia="宋体" w:cs="Times New Roman"/>
                <w:color w:val="auto"/>
                <w:sz w:val="24"/>
                <w:highlight w:val="none"/>
                <w:lang w:val="en-US" w:eastAsia="zh-CN"/>
              </w:rPr>
              <w:t>变更</w:t>
            </w:r>
            <w:r>
              <w:rPr>
                <w:rFonts w:hint="eastAsia" w:ascii="Times New Roman" w:hAnsi="Times New Roman" w:eastAsia="宋体" w:cs="Times New Roman"/>
                <w:color w:val="auto"/>
                <w:sz w:val="24"/>
                <w:highlight w:val="none"/>
                <w:lang w:val="en-US" w:eastAsia="zh-CN"/>
              </w:rPr>
              <w:t>登记</w:t>
            </w:r>
            <w:r>
              <w:rPr>
                <w:rFonts w:hint="eastAsia" w:cs="Times New Roman"/>
                <w:color w:val="auto"/>
                <w:sz w:val="24"/>
                <w:highlight w:val="none"/>
                <w:lang w:val="en-US" w:eastAsia="zh-CN"/>
              </w:rPr>
              <w:t>（详见附件2）</w:t>
            </w:r>
            <w:r>
              <w:rPr>
                <w:rFonts w:hint="default" w:ascii="Times New Roman" w:hAnsi="Times New Roman" w:eastAsia="宋体" w:cs="Times New Roman"/>
                <w:color w:val="auto"/>
                <w:kern w:val="1"/>
                <w:sz w:val="24"/>
                <w:szCs w:val="24"/>
                <w:highlight w:val="none"/>
                <w:lang w:val="en-US" w:eastAsia="zh-CN" w:bidi="ar-SA"/>
              </w:rPr>
              <w:t>，</w:t>
            </w:r>
            <w:r>
              <w:rPr>
                <w:rFonts w:hint="default" w:ascii="Times New Roman" w:hAnsi="Times New Roman" w:eastAsia="宋体" w:cs="Times New Roman"/>
                <w:strike w:val="0"/>
                <w:dstrike w:val="0"/>
                <w:color w:val="auto"/>
                <w:sz w:val="24"/>
                <w:highlight w:val="none"/>
                <w:lang w:val="en-US" w:eastAsia="zh-CN"/>
              </w:rPr>
              <w:t>根据对照分析项目设备、产品规模等均不变，故不存在重大调整；因此本次项目</w:t>
            </w:r>
            <w:r>
              <w:rPr>
                <w:rFonts w:hint="default" w:ascii="Times New Roman" w:hAnsi="Times New Roman" w:eastAsia="宋体" w:cs="Times New Roman"/>
                <w:strike w:val="0"/>
                <w:dstrike w:val="0"/>
                <w:color w:val="auto"/>
                <w:sz w:val="24"/>
                <w:szCs w:val="22"/>
                <w:highlight w:val="none"/>
                <w:lang w:val="en-US" w:eastAsia="zh-CN"/>
              </w:rPr>
              <w:t>按照建设单位的规划设计方案进行评价；</w:t>
            </w:r>
            <w:r>
              <w:rPr>
                <w:rFonts w:hint="default" w:ascii="Times New Roman" w:hAnsi="Times New Roman" w:eastAsia="宋体" w:cs="Times New Roman"/>
                <w:b/>
                <w:bCs/>
                <w:strike w:val="0"/>
                <w:dstrike w:val="0"/>
                <w:color w:val="auto"/>
                <w:spacing w:val="0"/>
                <w:kern w:val="0"/>
                <w:sz w:val="24"/>
                <w:szCs w:val="24"/>
                <w:highlight w:val="none"/>
                <w:lang w:val="en-US" w:eastAsia="zh-CN"/>
              </w:rPr>
              <w:t>本次评价以项目最终设计方案内容为准。</w:t>
            </w:r>
          </w:p>
          <w:p w14:paraId="2C199B9A">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strike w:val="0"/>
                <w:dstrike w:val="0"/>
                <w:color w:val="auto"/>
                <w:spacing w:val="0"/>
                <w:kern w:val="0"/>
                <w:sz w:val="24"/>
                <w:szCs w:val="24"/>
                <w:highlight w:val="none"/>
                <w:lang w:val="en-US" w:eastAsia="zh-CN"/>
              </w:rPr>
            </w:pPr>
            <w:r>
              <w:rPr>
                <w:rFonts w:hint="eastAsia" w:cs="Times New Roman"/>
                <w:b/>
                <w:bCs/>
                <w:strike w:val="0"/>
                <w:dstrike w:val="0"/>
                <w:color w:val="auto"/>
                <w:spacing w:val="0"/>
                <w:kern w:val="0"/>
                <w:sz w:val="24"/>
                <w:szCs w:val="24"/>
                <w:highlight w:val="none"/>
                <w:lang w:val="en-US" w:eastAsia="zh-CN"/>
              </w:rPr>
              <w:t>另外，项</w:t>
            </w:r>
            <w:r>
              <w:rPr>
                <w:rFonts w:hint="eastAsia" w:ascii="Times New Roman" w:hAnsi="Times New Roman" w:eastAsia="宋体" w:cs="Times New Roman"/>
                <w:b/>
                <w:bCs/>
                <w:strike w:val="0"/>
                <w:dstrike w:val="0"/>
                <w:color w:val="auto"/>
                <w:spacing w:val="0"/>
                <w:kern w:val="0"/>
                <w:sz w:val="24"/>
                <w:szCs w:val="24"/>
                <w:highlight w:val="none"/>
                <w:lang w:val="en-US" w:eastAsia="zh-CN"/>
              </w:rPr>
              <w:t>目</w:t>
            </w:r>
            <w:r>
              <w:rPr>
                <w:rFonts w:hint="eastAsia" w:cs="Times New Roman"/>
                <w:b/>
                <w:bCs/>
                <w:strike w:val="0"/>
                <w:dstrike w:val="0"/>
                <w:color w:val="auto"/>
                <w:spacing w:val="0"/>
                <w:kern w:val="0"/>
                <w:sz w:val="24"/>
                <w:szCs w:val="24"/>
                <w:highlight w:val="none"/>
                <w:lang w:val="en-US" w:eastAsia="zh-CN"/>
              </w:rPr>
              <w:t>配套</w:t>
            </w:r>
            <w:r>
              <w:rPr>
                <w:rFonts w:hint="default" w:ascii="Times New Roman" w:hAnsi="Times New Roman" w:eastAsia="宋体" w:cs="Times New Roman"/>
                <w:b/>
                <w:bCs/>
                <w:strike w:val="0"/>
                <w:dstrike w:val="0"/>
                <w:color w:val="auto"/>
                <w:spacing w:val="0"/>
                <w:kern w:val="0"/>
                <w:sz w:val="24"/>
                <w:szCs w:val="24"/>
                <w:highlight w:val="none"/>
                <w:lang w:val="en-US" w:eastAsia="zh-CN"/>
              </w:rPr>
              <w:t>110KV变电站</w:t>
            </w:r>
            <w:r>
              <w:rPr>
                <w:rFonts w:hint="eastAsia" w:cs="Times New Roman"/>
                <w:b/>
                <w:bCs/>
                <w:strike w:val="0"/>
                <w:dstrike w:val="0"/>
                <w:color w:val="auto"/>
                <w:spacing w:val="0"/>
                <w:kern w:val="0"/>
                <w:sz w:val="24"/>
                <w:szCs w:val="24"/>
                <w:highlight w:val="none"/>
                <w:lang w:val="en-US" w:eastAsia="zh-CN"/>
              </w:rPr>
              <w:t>进行单独设计，故不包含在本次环境影响评价范围内，待后续另行编制环境影响评价。</w:t>
            </w:r>
          </w:p>
          <w:p w14:paraId="17C12C04">
            <w:pPr>
              <w:pStyle w:val="5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本项目最终产品为玻璃水晶钻石（主要为烫钻</w:t>
            </w:r>
            <w:r>
              <w:rPr>
                <w:rFonts w:hint="eastAsia" w:ascii="Times New Roman" w:hAnsi="Times New Roman" w:eastAsia="宋体" w:cs="Times New Roman"/>
                <w:color w:val="auto"/>
                <w:lang w:val="en-US" w:eastAsia="zh-CN"/>
              </w:rPr>
              <w:t>，中间产品为</w:t>
            </w:r>
            <w:r>
              <w:rPr>
                <w:rFonts w:hint="eastAsia" w:hAnsi="Times New Roman" w:cs="Times New Roman"/>
                <w:color w:val="auto"/>
                <w:lang w:val="en-US" w:eastAsia="zh-CN"/>
              </w:rPr>
              <w:t>珠胚</w:t>
            </w:r>
            <w:r>
              <w:rPr>
                <w:rFonts w:hint="eastAsia" w:ascii="Times New Roman" w:hAnsi="Times New Roman" w:eastAsia="宋体" w:cs="Times New Roman"/>
                <w:color w:val="auto"/>
                <w:lang w:val="en-US" w:eastAsia="zh-CN"/>
              </w:rPr>
              <w:t>及</w:t>
            </w:r>
            <w:r>
              <w:rPr>
                <w:rFonts w:hint="default" w:ascii="Times New Roman" w:hAnsi="Times New Roman" w:eastAsia="宋体" w:cs="Times New Roman"/>
                <w:color w:val="auto"/>
                <w:lang w:val="en-US" w:eastAsia="zh-CN"/>
              </w:rPr>
              <w:t>吸塑片），</w:t>
            </w:r>
            <w:r>
              <w:rPr>
                <w:rFonts w:hint="default" w:ascii="Times New Roman" w:hAnsi="Times New Roman" w:eastAsia="宋体" w:cs="Times New Roman"/>
                <w:b w:val="0"/>
                <w:bCs w:val="0"/>
                <w:color w:val="auto"/>
                <w:kern w:val="2"/>
                <w:sz w:val="24"/>
                <w:szCs w:val="24"/>
                <w:highlight w:val="none"/>
                <w:lang w:val="en-US" w:eastAsia="zh-CN" w:bidi="ar-SA"/>
              </w:rPr>
              <w:t>属于非金属矿物制品业，</w:t>
            </w:r>
            <w:r>
              <w:rPr>
                <w:rFonts w:hint="default" w:ascii="Times New Roman" w:hAnsi="Times New Roman" w:eastAsia="宋体" w:cs="Times New Roman"/>
                <w:color w:val="auto"/>
                <w:lang w:val="en-US" w:eastAsia="zh-CN"/>
              </w:rPr>
              <w:t>烫钻</w:t>
            </w:r>
            <w:r>
              <w:rPr>
                <w:rFonts w:hint="eastAsia" w:ascii="Times New Roman" w:hAnsi="Times New Roman" w:eastAsia="宋体" w:cs="Times New Roman"/>
                <w:color w:val="auto"/>
                <w:lang w:val="en-US" w:eastAsia="zh-CN"/>
              </w:rPr>
              <w:t>生产</w:t>
            </w:r>
            <w:r>
              <w:rPr>
                <w:rFonts w:hint="default" w:ascii="Times New Roman" w:hAnsi="Times New Roman" w:eastAsia="宋体" w:cs="Times New Roman"/>
                <w:b w:val="0"/>
                <w:bCs w:val="0"/>
                <w:color w:val="auto"/>
                <w:kern w:val="2"/>
                <w:sz w:val="24"/>
                <w:szCs w:val="24"/>
                <w:highlight w:val="none"/>
                <w:lang w:val="en-US" w:eastAsia="zh-CN" w:bidi="ar-SA"/>
              </w:rPr>
              <w:t>不涉及电镀</w:t>
            </w:r>
            <w:r>
              <w:rPr>
                <w:rFonts w:hint="eastAsia" w:hAnsi="Times New Roman" w:cs="Times New Roman"/>
                <w:b w:val="0"/>
                <w:bCs w:val="0"/>
                <w:color w:val="auto"/>
                <w:kern w:val="2"/>
                <w:sz w:val="24"/>
                <w:szCs w:val="24"/>
                <w:highlight w:val="none"/>
                <w:lang w:val="en-US" w:eastAsia="zh-CN" w:bidi="ar-SA"/>
              </w:rPr>
              <w:t>等重污染</w:t>
            </w:r>
            <w:r>
              <w:rPr>
                <w:rFonts w:hint="default" w:ascii="Times New Roman" w:hAnsi="Times New Roman" w:eastAsia="宋体" w:cs="Times New Roman"/>
                <w:b w:val="0"/>
                <w:bCs w:val="0"/>
                <w:color w:val="auto"/>
                <w:kern w:val="2"/>
                <w:sz w:val="24"/>
                <w:szCs w:val="24"/>
                <w:highlight w:val="none"/>
                <w:lang w:val="en-US" w:eastAsia="zh-CN" w:bidi="ar-SA"/>
              </w:rPr>
              <w:t>工艺，</w:t>
            </w:r>
            <w:r>
              <w:rPr>
                <w:rFonts w:hint="default" w:ascii="Times New Roman" w:hAnsi="Times New Roman" w:eastAsia="宋体" w:cs="Times New Roman"/>
                <w:color w:val="auto"/>
                <w:lang w:val="en-US" w:eastAsia="zh-CN"/>
              </w:rPr>
              <w:t>对照《建设项目环境影响评价分类管理名录》（2021年版），项目属于“二十七、非金属矿物制品业 30-石墨及其他非金属矿物制品制造 305”中“</w:t>
            </w:r>
            <w:r>
              <w:rPr>
                <w:rFonts w:hint="default" w:ascii="Times New Roman" w:hAnsi="Times New Roman" w:eastAsia="宋体" w:cs="Times New Roman"/>
                <w:color w:val="auto"/>
                <w:kern w:val="0"/>
                <w:sz w:val="24"/>
                <w:szCs w:val="24"/>
                <w:highlight w:val="none"/>
                <w:lang w:val="en-US" w:eastAsia="zh-CN" w:bidi="ar"/>
              </w:rPr>
              <w:t>玻璃制品制造</w:t>
            </w:r>
            <w:r>
              <w:rPr>
                <w:rFonts w:hint="default" w:ascii="Times New Roman" w:hAnsi="Times New Roman" w:eastAsia="宋体" w:cs="Times New Roman"/>
                <w:color w:val="auto"/>
                <w:lang w:val="en-US" w:eastAsia="zh-CN"/>
              </w:rPr>
              <w:t>”，需编制环境影响报告表；根据“二十一、文教、工美、体育和娱乐用品制造业 24-工艺美术及礼仪用品制造 243”中的“年用溶剂型涂料（含稀释剂）10吨及以下的”类别，需编制环境影响报告表；根据</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二十六</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橡胶和塑料制品业29</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中的“塑料制品业292”</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项目</w:t>
            </w:r>
            <w:r>
              <w:rPr>
                <w:rFonts w:hint="eastAsia" w:cs="Times New Roman"/>
                <w:color w:val="auto"/>
                <w:kern w:val="2"/>
                <w:sz w:val="24"/>
                <w:szCs w:val="24"/>
                <w:highlight w:val="none"/>
                <w:lang w:val="zh-CN" w:eastAsia="zh-CN" w:bidi="ar-SA"/>
              </w:rPr>
              <w:t>全部使用新料，不使用再生塑料</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zh-CN" w:eastAsia="zh-CN" w:bidi="ar-SA"/>
              </w:rPr>
              <w:t>应当编制环境影响报告表</w:t>
            </w:r>
            <w:r>
              <w:rPr>
                <w:rFonts w:hint="default" w:ascii="Times New Roman" w:hAnsi="Times New Roman" w:eastAsia="宋体" w:cs="Times New Roman"/>
                <w:color w:val="auto"/>
                <w:lang w:val="en-US" w:eastAsia="zh-CN"/>
              </w:rPr>
              <w:t>；因此，最终确定本项目编制环境影响报告表。</w:t>
            </w:r>
          </w:p>
          <w:p w14:paraId="256A4DA1">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受</w:t>
            </w:r>
            <w:r>
              <w:rPr>
                <w:rFonts w:hint="default" w:ascii="Times New Roman" w:hAnsi="Times New Roman" w:eastAsia="宋体" w:cs="Times New Roman"/>
                <w:color w:val="auto"/>
                <w:sz w:val="24"/>
                <w:szCs w:val="24"/>
                <w:highlight w:val="none"/>
                <w:lang w:val="en-US" w:eastAsia="zh-CN"/>
              </w:rPr>
              <w:t>云南元易新材料有限公司</w:t>
            </w:r>
            <w:r>
              <w:rPr>
                <w:rFonts w:hint="default" w:ascii="Times New Roman" w:hAnsi="Times New Roman" w:eastAsia="宋体" w:cs="Times New Roman"/>
                <w:b w:val="0"/>
                <w:bCs w:val="0"/>
                <w:color w:val="auto"/>
                <w:kern w:val="2"/>
                <w:sz w:val="24"/>
                <w:szCs w:val="24"/>
                <w:highlight w:val="none"/>
                <w:lang w:val="en-US" w:eastAsia="zh-CN" w:bidi="ar-SA"/>
              </w:rPr>
              <w:t>委托，我单位承担了该建设项目环境影响报告表的编制工作。接受委托后，我公司及时开展了现场踏勘、资料收集等工作，在工程分析的基础上，对本项目可能造成的环境影响进行分析评价，按照相关技术导则的要求，编制完成了《</w:t>
            </w:r>
            <w:r>
              <w:rPr>
                <w:rFonts w:hint="default" w:ascii="Times New Roman" w:hAnsi="Times New Roman" w:eastAsia="宋体" w:cs="Times New Roman"/>
                <w:color w:val="auto"/>
                <w:sz w:val="24"/>
                <w:szCs w:val="24"/>
                <w:highlight w:val="none"/>
                <w:lang w:val="en-US" w:eastAsia="zh-CN"/>
              </w:rPr>
              <w:t>年产6000吨高品质水晶钻石新材料研发生产制造项目</w:t>
            </w:r>
            <w:r>
              <w:rPr>
                <w:rFonts w:hint="default" w:ascii="Times New Roman" w:hAnsi="Times New Roman" w:eastAsia="宋体" w:cs="Times New Roman"/>
                <w:b w:val="0"/>
                <w:bCs w:val="0"/>
                <w:color w:val="auto"/>
                <w:kern w:val="2"/>
                <w:sz w:val="24"/>
                <w:szCs w:val="24"/>
                <w:highlight w:val="none"/>
                <w:lang w:val="en-US" w:eastAsia="zh-CN" w:bidi="ar-SA"/>
              </w:rPr>
              <w:t>环境影响报告表》，供建设单位上报审批。</w:t>
            </w:r>
          </w:p>
          <w:p w14:paraId="0EFB9128">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sz w:val="24"/>
                <w:szCs w:val="24"/>
                <w:highlight w:val="none"/>
                <w:lang w:val="en-US" w:eastAsia="zh-CN"/>
              </w:rPr>
              <w:t>项目概况</w:t>
            </w:r>
          </w:p>
          <w:p w14:paraId="0461F10F">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sz w:val="24"/>
                <w:szCs w:val="24"/>
                <w:highlight w:val="none"/>
                <w:lang w:val="en-US" w:eastAsia="zh-CN"/>
              </w:rPr>
              <w:t>年产6000吨高品质水晶钻石新材料研发生产制造项目</w:t>
            </w:r>
            <w:r>
              <w:rPr>
                <w:rFonts w:hint="default" w:ascii="Times New Roman" w:hAnsi="Times New Roman" w:eastAsia="宋体" w:cs="Times New Roman"/>
                <w:color w:val="auto"/>
                <w:sz w:val="24"/>
                <w:szCs w:val="24"/>
                <w:highlight w:val="none"/>
              </w:rPr>
              <w:t>；</w:t>
            </w:r>
          </w:p>
          <w:p w14:paraId="76E86903">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val="en-US" w:eastAsia="zh-CN"/>
              </w:rPr>
              <w:t>云南元易新材料有限公司</w:t>
            </w:r>
            <w:r>
              <w:rPr>
                <w:rFonts w:hint="default" w:ascii="Times New Roman" w:hAnsi="Times New Roman" w:eastAsia="宋体" w:cs="Times New Roman"/>
                <w:color w:val="auto"/>
                <w:sz w:val="24"/>
                <w:szCs w:val="24"/>
                <w:highlight w:val="none"/>
              </w:rPr>
              <w:t>；</w:t>
            </w:r>
          </w:p>
          <w:p w14:paraId="00ECE3C1">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建设性质：新建；</w:t>
            </w:r>
          </w:p>
          <w:p w14:paraId="44FCE36C">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auto"/>
                <w:sz w:val="24"/>
                <w:szCs w:val="24"/>
                <w:highlight w:val="none"/>
                <w:lang w:val="en-US" w:eastAsia="zh-CN"/>
              </w:rPr>
              <w:t>：云南易门产业园区麦子田片区；</w:t>
            </w:r>
          </w:p>
          <w:p w14:paraId="57BAFD75">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主要建设内容及规模：项目</w:t>
            </w:r>
            <w:r>
              <w:rPr>
                <w:rFonts w:hint="default" w:ascii="Times New Roman" w:hAnsi="Times New Roman" w:eastAsia="宋体" w:cs="Times New Roman"/>
                <w:color w:val="auto"/>
                <w:sz w:val="24"/>
                <w:szCs w:val="24"/>
                <w:highlight w:val="none"/>
              </w:rPr>
              <w:t>占地面积</w:t>
            </w:r>
            <w:r>
              <w:rPr>
                <w:rFonts w:hint="eastAsia"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69683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104.53亩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总建筑面积</w:t>
            </w:r>
            <w:r>
              <w:rPr>
                <w:rFonts w:hint="default" w:ascii="Times New Roman" w:hAnsi="Times New Roman" w:eastAsia="宋体" w:cs="Times New Roman"/>
                <w:color w:val="auto"/>
                <w:spacing w:val="3"/>
                <w:sz w:val="24"/>
                <w:szCs w:val="24"/>
                <w:highlight w:val="none"/>
                <w:lang w:val="en-US" w:eastAsia="zh-CN"/>
              </w:rPr>
              <w:t>43</w:t>
            </w:r>
            <w:r>
              <w:rPr>
                <w:rFonts w:hint="eastAsia" w:cs="Times New Roman"/>
                <w:color w:val="auto"/>
                <w:spacing w:val="3"/>
                <w:sz w:val="24"/>
                <w:szCs w:val="24"/>
                <w:highlight w:val="none"/>
                <w:lang w:val="en-US" w:eastAsia="zh-CN"/>
              </w:rPr>
              <w:t>308.79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项目变更后投资备案证上</w:t>
            </w:r>
            <w:r>
              <w:rPr>
                <w:rFonts w:hint="eastAsia" w:ascii="Times New Roman" w:hAnsi="Times New Roman" w:eastAsia="宋体" w:cs="Times New Roman"/>
                <w:color w:val="auto"/>
                <w:sz w:val="24"/>
                <w:szCs w:val="24"/>
                <w:highlight w:val="none"/>
                <w:lang w:val="en-US" w:eastAsia="zh-CN"/>
              </w:rPr>
              <w:t>总建筑面积50000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cs="Times New Roman"/>
                <w:color w:val="auto"/>
                <w:sz w:val="24"/>
                <w:szCs w:val="24"/>
                <w:highlight w:val="none"/>
                <w:lang w:val="en-US" w:eastAsia="zh-CN"/>
              </w:rPr>
              <w:t>，根据项目最终设计方案，实际规划</w:t>
            </w:r>
            <w:r>
              <w:rPr>
                <w:rFonts w:hint="default" w:ascii="Times New Roman" w:hAnsi="Times New Roman" w:eastAsia="宋体" w:cs="Times New Roman"/>
                <w:color w:val="auto"/>
                <w:sz w:val="24"/>
                <w:szCs w:val="24"/>
                <w:highlight w:val="none"/>
                <w:lang w:val="en-US" w:eastAsia="zh-CN"/>
              </w:rPr>
              <w:t>总建筑面积</w:t>
            </w:r>
            <w:r>
              <w:rPr>
                <w:rFonts w:hint="default" w:ascii="Times New Roman" w:hAnsi="Times New Roman" w:eastAsia="宋体" w:cs="Times New Roman"/>
                <w:color w:val="auto"/>
                <w:spacing w:val="3"/>
                <w:sz w:val="24"/>
                <w:szCs w:val="24"/>
                <w:highlight w:val="none"/>
                <w:lang w:val="en-US" w:eastAsia="zh-CN"/>
              </w:rPr>
              <w:t>43</w:t>
            </w:r>
            <w:r>
              <w:rPr>
                <w:rFonts w:hint="eastAsia" w:cs="Times New Roman"/>
                <w:color w:val="auto"/>
                <w:spacing w:val="3"/>
                <w:sz w:val="24"/>
                <w:szCs w:val="24"/>
                <w:highlight w:val="none"/>
                <w:lang w:val="en-US" w:eastAsia="zh-CN"/>
              </w:rPr>
              <w:t>308.79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包括生产厂房、仓库、行政楼、宿舍食堂综合楼等，同时建设供配电系统、污水处理站、门卫室及消防给排水等配套设施。</w:t>
            </w:r>
            <w:r>
              <w:rPr>
                <w:rFonts w:hint="default" w:ascii="Times New Roman" w:hAnsi="Times New Roman" w:eastAsia="宋体" w:cs="Times New Roman"/>
                <w:color w:val="auto"/>
                <w:sz w:val="24"/>
                <w:szCs w:val="24"/>
                <w:highlight w:val="none"/>
                <w:lang w:val="en-US" w:eastAsia="zh-CN"/>
              </w:rPr>
              <w:t>项目建成后年产6000吨高品质水晶钻石</w:t>
            </w:r>
            <w:r>
              <w:rPr>
                <w:rFonts w:hint="eastAsia"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highlight w:val="none"/>
                <w:lang w:val="en-US" w:eastAsia="zh-CN"/>
              </w:rPr>
              <w:t>烫钻</w:t>
            </w:r>
            <w:r>
              <w:rPr>
                <w:rFonts w:hint="eastAsia" w:ascii="Times New Roman" w:hAnsi="Times New Roman" w:eastAsia="宋体" w:cs="Times New Roman"/>
                <w:color w:val="auto"/>
                <w:sz w:val="24"/>
                <w:szCs w:val="24"/>
                <w:highlight w:val="none"/>
                <w:lang w:val="en-US" w:eastAsia="zh-CN"/>
              </w:rPr>
              <w:t>生产线、珠胚生产线、</w:t>
            </w:r>
            <w:r>
              <w:rPr>
                <w:rFonts w:hint="default" w:ascii="Times New Roman" w:hAnsi="Times New Roman" w:eastAsia="宋体" w:cs="Times New Roman"/>
                <w:color w:val="auto"/>
                <w:sz w:val="24"/>
                <w:szCs w:val="24"/>
                <w:highlight w:val="none"/>
                <w:lang w:val="en-US" w:eastAsia="zh-CN"/>
              </w:rPr>
              <w:t>吸塑片</w:t>
            </w:r>
            <w:r>
              <w:rPr>
                <w:rFonts w:hint="eastAsia"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val="en-US" w:eastAsia="zh-CN"/>
              </w:rPr>
              <w:t>抛轮抛盘</w:t>
            </w:r>
            <w:r>
              <w:rPr>
                <w:rFonts w:hint="eastAsia" w:ascii="Times New Roman" w:hAnsi="Times New Roman" w:eastAsia="宋体" w:cs="Times New Roman"/>
                <w:color w:val="auto"/>
                <w:sz w:val="24"/>
                <w:szCs w:val="24"/>
                <w:highlight w:val="none"/>
                <w:lang w:val="en-US" w:eastAsia="zh-CN"/>
              </w:rPr>
              <w:t>修复生产线，</w:t>
            </w:r>
            <w:r>
              <w:rPr>
                <w:rFonts w:hint="default" w:ascii="Times New Roman" w:hAnsi="Times New Roman" w:eastAsia="宋体" w:cs="Times New Roman"/>
                <w:color w:val="auto"/>
                <w:sz w:val="24"/>
                <w:szCs w:val="24"/>
                <w:highlight w:val="none"/>
                <w:lang w:val="en-US" w:eastAsia="zh-CN"/>
              </w:rPr>
              <w:t>烫钻</w:t>
            </w:r>
            <w:r>
              <w:rPr>
                <w:rFonts w:hint="eastAsia" w:ascii="Times New Roman" w:hAnsi="Times New Roman" w:eastAsia="宋体" w:cs="Times New Roman"/>
                <w:color w:val="auto"/>
                <w:sz w:val="24"/>
                <w:szCs w:val="24"/>
                <w:highlight w:val="none"/>
                <w:lang w:val="en-US" w:eastAsia="zh-CN"/>
              </w:rPr>
              <w:t>生产设备主要包括</w:t>
            </w:r>
            <w:r>
              <w:rPr>
                <w:rFonts w:hint="default" w:ascii="Times New Roman" w:hAnsi="Times New Roman" w:eastAsia="宋体" w:cs="Times New Roman"/>
                <w:color w:val="auto"/>
                <w:sz w:val="24"/>
                <w:szCs w:val="24"/>
                <w:highlight w:val="none"/>
                <w:lang w:val="en-US" w:eastAsia="zh-CN"/>
              </w:rPr>
              <w:t>全自动磨抛机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全自动洗钻机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空压机</w:t>
            </w:r>
            <w:r>
              <w:rPr>
                <w:rFonts w:hint="eastAsia" w:ascii="Times New Roman" w:hAnsi="Times New Roman" w:eastAsia="宋体" w:cs="Times New Roman"/>
                <w:color w:val="auto"/>
                <w:sz w:val="24"/>
                <w:szCs w:val="24"/>
                <w:highlight w:val="none"/>
                <w:lang w:val="en-US" w:eastAsia="zh-CN"/>
              </w:rPr>
              <w:t>、大圆磨A/B组、</w:t>
            </w:r>
            <w:r>
              <w:rPr>
                <w:rFonts w:hint="default" w:ascii="Times New Roman" w:hAnsi="Times New Roman" w:eastAsia="宋体" w:cs="Times New Roman"/>
                <w:color w:val="auto"/>
                <w:sz w:val="24"/>
                <w:szCs w:val="24"/>
                <w:highlight w:val="none"/>
                <w:lang w:val="en-US" w:eastAsia="zh-CN"/>
              </w:rPr>
              <w:t>自动吸塑机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自动卸钻机</w:t>
            </w:r>
            <w:r>
              <w:rPr>
                <w:rFonts w:hint="eastAsia" w:ascii="Times New Roman" w:hAnsi="Times New Roman" w:eastAsia="宋体" w:cs="Times New Roman"/>
                <w:color w:val="auto"/>
                <w:sz w:val="24"/>
                <w:szCs w:val="24"/>
                <w:highlight w:val="none"/>
                <w:lang w:val="en-US" w:eastAsia="zh-CN"/>
              </w:rPr>
              <w:t>等，珠胚生产设备主要包括</w:t>
            </w:r>
            <w:r>
              <w:rPr>
                <w:rFonts w:hint="default" w:ascii="Times New Roman" w:hAnsi="Times New Roman" w:eastAsia="宋体" w:cs="Times New Roman"/>
                <w:color w:val="auto"/>
                <w:sz w:val="24"/>
                <w:szCs w:val="24"/>
                <w:highlight w:val="none"/>
                <w:lang w:val="en-US" w:eastAsia="zh-CN"/>
              </w:rPr>
              <w:t>拌料机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电熔炉</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除角机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分筛机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清洗机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滚抛机</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吸塑片</w:t>
            </w:r>
            <w:r>
              <w:rPr>
                <w:rFonts w:hint="eastAsia" w:ascii="Times New Roman" w:hAnsi="Times New Roman" w:eastAsia="宋体" w:cs="Times New Roman"/>
                <w:color w:val="auto"/>
                <w:sz w:val="24"/>
                <w:szCs w:val="24"/>
                <w:highlight w:val="none"/>
                <w:lang w:val="en-US" w:eastAsia="zh-CN"/>
              </w:rPr>
              <w:t>生产设备主要包括</w:t>
            </w:r>
            <w:r>
              <w:rPr>
                <w:rFonts w:hint="default" w:ascii="Times New Roman" w:hAnsi="Times New Roman" w:eastAsia="宋体" w:cs="Times New Roman"/>
                <w:color w:val="auto"/>
                <w:sz w:val="24"/>
                <w:szCs w:val="24"/>
                <w:highlight w:val="none"/>
                <w:lang w:val="en-US" w:eastAsia="zh-CN"/>
              </w:rPr>
              <w:t>混料机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挤出机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空压</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切片机</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抛轮抛盘</w:t>
            </w:r>
            <w:r>
              <w:rPr>
                <w:rFonts w:hint="eastAsia" w:ascii="Times New Roman" w:hAnsi="Times New Roman" w:eastAsia="宋体" w:cs="Times New Roman"/>
                <w:color w:val="auto"/>
                <w:sz w:val="24"/>
                <w:szCs w:val="24"/>
                <w:highlight w:val="none"/>
                <w:lang w:val="en-US" w:eastAsia="zh-CN"/>
              </w:rPr>
              <w:t>修复生产设备主要包括</w:t>
            </w:r>
            <w:r>
              <w:rPr>
                <w:rFonts w:hint="default" w:ascii="Times New Roman" w:hAnsi="Times New Roman" w:eastAsia="宋体" w:cs="Times New Roman"/>
                <w:color w:val="auto"/>
                <w:sz w:val="24"/>
                <w:szCs w:val="24"/>
                <w:highlight w:val="none"/>
                <w:lang w:val="en-US" w:eastAsia="zh-CN"/>
              </w:rPr>
              <w:t>拌料机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抛轮生产机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车床</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磨床</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破碎机</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w:t>
            </w:r>
          </w:p>
          <w:p w14:paraId="169F5D88">
            <w:pPr>
              <w:keepNext w:val="0"/>
              <w:keepLines w:val="0"/>
              <w:pageBreakBefore w:val="0"/>
              <w:widowControl/>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投资：</w:t>
            </w:r>
            <w:r>
              <w:rPr>
                <w:rFonts w:hint="default" w:ascii="Times New Roman" w:hAnsi="Times New Roman" w:eastAsia="宋体" w:cs="Times New Roman"/>
                <w:color w:val="auto"/>
                <w:sz w:val="24"/>
                <w:szCs w:val="24"/>
                <w:highlight w:val="none"/>
                <w:lang w:val="en-US" w:eastAsia="zh-CN"/>
              </w:rPr>
              <w:t>50000</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p>
          <w:p w14:paraId="0A298D65">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3、</w:t>
            </w:r>
            <w:r>
              <w:rPr>
                <w:rFonts w:hint="default" w:ascii="Times New Roman" w:hAnsi="Times New Roman" w:eastAsia="宋体" w:cs="Times New Roman"/>
                <w:b/>
                <w:bCs w:val="0"/>
                <w:color w:val="auto"/>
                <w:sz w:val="24"/>
                <w:szCs w:val="24"/>
                <w:highlight w:val="none"/>
                <w:lang w:val="en-US" w:eastAsia="zh-CN"/>
              </w:rPr>
              <w:t>项目建设内容及组成</w:t>
            </w:r>
          </w:p>
          <w:p w14:paraId="7AEFDF2C">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项目主要由主体工程、辅助工程、公用工程及环保工程组成。项目组成详见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p>
          <w:p w14:paraId="439FBD41">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default" w:ascii="Times New Roman" w:hAnsi="Times New Roman" w:eastAsia="宋体" w:cs="Times New Roman"/>
                <w:b/>
                <w:color w:val="auto"/>
                <w:sz w:val="21"/>
                <w:szCs w:val="21"/>
                <w:highlight w:val="none"/>
                <w:lang w:val="en-US" w:eastAsia="zh-CN"/>
              </w:rPr>
              <w:t xml:space="preserve">2  </w:t>
            </w:r>
            <w:r>
              <w:rPr>
                <w:rFonts w:hint="default" w:ascii="Times New Roman" w:hAnsi="Times New Roman" w:eastAsia="宋体" w:cs="Times New Roman"/>
                <w:b/>
                <w:color w:val="auto"/>
                <w:sz w:val="21"/>
                <w:szCs w:val="21"/>
                <w:highlight w:val="none"/>
              </w:rPr>
              <w:t>本项目工程组成一览表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1120"/>
              <w:gridCol w:w="660"/>
              <w:gridCol w:w="690"/>
              <w:gridCol w:w="4312"/>
              <w:gridCol w:w="674"/>
            </w:tblGrid>
            <w:tr w14:paraId="3D7A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tcBorders>
                    <w:tl2br w:val="nil"/>
                    <w:tr2bl w:val="nil"/>
                  </w:tcBorders>
                  <w:vAlign w:val="center"/>
                </w:tcPr>
                <w:p w14:paraId="66EBB0D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工程</w:t>
                  </w:r>
                </w:p>
                <w:p w14:paraId="5397FF0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类别</w:t>
                  </w:r>
                </w:p>
              </w:tc>
              <w:tc>
                <w:tcPr>
                  <w:tcW w:w="1120" w:type="dxa"/>
                  <w:tcBorders>
                    <w:tl2br w:val="nil"/>
                    <w:tr2bl w:val="nil"/>
                  </w:tcBorders>
                  <w:vAlign w:val="center"/>
                </w:tcPr>
                <w:p w14:paraId="29C3F65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单项工程</w:t>
                  </w:r>
                </w:p>
              </w:tc>
              <w:tc>
                <w:tcPr>
                  <w:tcW w:w="5662" w:type="dxa"/>
                  <w:gridSpan w:val="3"/>
                  <w:tcBorders>
                    <w:tl2br w:val="nil"/>
                    <w:tr2bl w:val="nil"/>
                  </w:tcBorders>
                  <w:vAlign w:val="center"/>
                </w:tcPr>
                <w:p w14:paraId="6FD1EC7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工程内容</w:t>
                  </w:r>
                </w:p>
              </w:tc>
              <w:tc>
                <w:tcPr>
                  <w:tcW w:w="674" w:type="dxa"/>
                  <w:tcBorders>
                    <w:tl2br w:val="nil"/>
                    <w:tr2bl w:val="nil"/>
                  </w:tcBorders>
                  <w:vAlign w:val="center"/>
                </w:tcPr>
                <w:p w14:paraId="40FAD21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5"/>
                      <w:sz w:val="21"/>
                      <w:szCs w:val="21"/>
                      <w:highlight w:val="none"/>
                      <w:lang w:val="en-US" w:eastAsia="zh-CN"/>
                    </w:rPr>
                  </w:pPr>
                  <w:r>
                    <w:rPr>
                      <w:rFonts w:hint="default" w:ascii="Times New Roman" w:hAnsi="Times New Roman" w:eastAsia="宋体" w:cs="Times New Roman"/>
                      <w:b/>
                      <w:bCs/>
                      <w:color w:val="auto"/>
                      <w:spacing w:val="5"/>
                      <w:sz w:val="21"/>
                      <w:szCs w:val="21"/>
                      <w:highlight w:val="none"/>
                      <w:lang w:val="en-US" w:eastAsia="zh-CN"/>
                    </w:rPr>
                    <w:t>备注</w:t>
                  </w:r>
                </w:p>
              </w:tc>
            </w:tr>
            <w:tr w14:paraId="0402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restart"/>
                  <w:tcBorders>
                    <w:tl2br w:val="nil"/>
                    <w:tr2bl w:val="nil"/>
                  </w:tcBorders>
                  <w:vAlign w:val="center"/>
                </w:tcPr>
                <w:p w14:paraId="31D9156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eastAsia="zh-CN"/>
                    </w:rPr>
                    <w:t>主体</w:t>
                  </w:r>
                  <w:r>
                    <w:rPr>
                      <w:rFonts w:hint="default" w:ascii="Times New Roman" w:hAnsi="Times New Roman" w:eastAsia="宋体" w:cs="Times New Roman"/>
                      <w:color w:val="auto"/>
                      <w:spacing w:val="3"/>
                      <w:sz w:val="21"/>
                      <w:szCs w:val="21"/>
                      <w:highlight w:val="none"/>
                    </w:rPr>
                    <w:t>工程</w:t>
                  </w:r>
                </w:p>
              </w:tc>
              <w:tc>
                <w:tcPr>
                  <w:tcW w:w="1120" w:type="dxa"/>
                  <w:tcBorders>
                    <w:tl2br w:val="nil"/>
                    <w:tr2bl w:val="nil"/>
                  </w:tcBorders>
                  <w:vAlign w:val="center"/>
                </w:tcPr>
                <w:p w14:paraId="70D06C0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eastAsia="zh-CN"/>
                    </w:rPr>
                    <w:t>1</w:t>
                  </w:r>
                  <w:r>
                    <w:rPr>
                      <w:rFonts w:hint="default" w:ascii="Times New Roman" w:hAnsi="Times New Roman" w:eastAsia="宋体" w:cs="Times New Roman"/>
                      <w:color w:val="auto"/>
                      <w:spacing w:val="-2"/>
                      <w:sz w:val="21"/>
                      <w:szCs w:val="21"/>
                      <w:highlight w:val="none"/>
                      <w:lang w:val="en-US" w:eastAsia="zh-CN"/>
                    </w:rPr>
                    <w:t>#厂房</w:t>
                  </w:r>
                </w:p>
              </w:tc>
              <w:tc>
                <w:tcPr>
                  <w:tcW w:w="5662" w:type="dxa"/>
                  <w:gridSpan w:val="3"/>
                  <w:tcBorders>
                    <w:tl2br w:val="nil"/>
                    <w:tr2bl w:val="nil"/>
                  </w:tcBorders>
                  <w:vAlign w:val="center"/>
                </w:tcPr>
                <w:p w14:paraId="0ABFA7C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7"/>
                      <w:sz w:val="21"/>
                      <w:szCs w:val="21"/>
                      <w:highlight w:val="none"/>
                      <w:lang w:val="en-US" w:eastAsia="zh-CN"/>
                    </w:rPr>
                    <w:t>10800</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7"/>
                      <w:sz w:val="21"/>
                      <w:szCs w:val="21"/>
                      <w:highlight w:val="none"/>
                      <w:lang w:val="en-US" w:eastAsia="zh-CN"/>
                    </w:rPr>
                    <w:t>1</w:t>
                  </w:r>
                  <w:r>
                    <w:rPr>
                      <w:rFonts w:hint="eastAsia" w:ascii="Times New Roman" w:hAnsi="Times New Roman" w:eastAsia="宋体" w:cs="Times New Roman"/>
                      <w:color w:val="auto"/>
                      <w:spacing w:val="7"/>
                      <w:sz w:val="21"/>
                      <w:szCs w:val="21"/>
                      <w:highlight w:val="none"/>
                      <w:lang w:val="en-US" w:eastAsia="zh-CN"/>
                    </w:rPr>
                    <w:t>2</w:t>
                  </w:r>
                  <w:r>
                    <w:rPr>
                      <w:rFonts w:hint="default" w:ascii="Times New Roman" w:hAnsi="Times New Roman" w:eastAsia="宋体" w:cs="Times New Roman"/>
                      <w:color w:val="auto"/>
                      <w:spacing w:val="7"/>
                      <w:sz w:val="21"/>
                      <w:szCs w:val="21"/>
                      <w:highlight w:val="none"/>
                      <w:lang w:val="en-US" w:eastAsia="zh-CN"/>
                    </w:rPr>
                    <w:t>.98</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lang w:val="en-US" w:eastAsia="zh-CN"/>
                    </w:rPr>
                    <w:t>拟建设</w:t>
                  </w:r>
                  <w:r>
                    <w:rPr>
                      <w:rFonts w:hint="eastAsia" w:ascii="Times New Roman" w:hAnsi="Times New Roman" w:eastAsia="宋体" w:cs="Times New Roman"/>
                      <w:color w:val="auto"/>
                      <w:spacing w:val="7"/>
                      <w:sz w:val="21"/>
                      <w:szCs w:val="21"/>
                      <w:highlight w:val="none"/>
                      <w:lang w:val="en-US" w:eastAsia="zh-CN"/>
                    </w:rPr>
                    <w:t>珠胚</w:t>
                  </w:r>
                  <w:r>
                    <w:rPr>
                      <w:rFonts w:hint="default" w:ascii="Times New Roman" w:hAnsi="Times New Roman" w:eastAsia="宋体" w:cs="Times New Roman"/>
                      <w:color w:val="auto"/>
                      <w:spacing w:val="7"/>
                      <w:sz w:val="21"/>
                      <w:szCs w:val="21"/>
                      <w:highlight w:val="none"/>
                      <w:lang w:val="en-US" w:eastAsia="zh-CN"/>
                    </w:rPr>
                    <w:t>车间、胶片生产车间，</w:t>
                  </w:r>
                  <w:r>
                    <w:rPr>
                      <w:rFonts w:hint="eastAsia" w:ascii="Times New Roman" w:hAnsi="Times New Roman" w:eastAsia="宋体" w:cs="Times New Roman"/>
                      <w:color w:val="auto"/>
                      <w:spacing w:val="7"/>
                      <w:sz w:val="21"/>
                      <w:szCs w:val="21"/>
                      <w:highlight w:val="none"/>
                      <w:lang w:val="en-US" w:eastAsia="zh-CN"/>
                    </w:rPr>
                    <w:t>珠胚</w:t>
                  </w:r>
                  <w:r>
                    <w:rPr>
                      <w:rFonts w:hint="default" w:ascii="Times New Roman" w:hAnsi="Times New Roman" w:eastAsia="宋体" w:cs="Times New Roman"/>
                      <w:color w:val="auto"/>
                      <w:spacing w:val="7"/>
                      <w:sz w:val="21"/>
                      <w:szCs w:val="21"/>
                      <w:highlight w:val="none"/>
                      <w:lang w:val="en-US" w:eastAsia="zh-CN"/>
                    </w:rPr>
                    <w:t>车间</w:t>
                  </w:r>
                  <w:r>
                    <w:rPr>
                      <w:rFonts w:hint="default" w:ascii="Times New Roman" w:hAnsi="Times New Roman" w:eastAsia="宋体" w:cs="Times New Roman"/>
                      <w:color w:val="auto"/>
                      <w:spacing w:val="5"/>
                      <w:sz w:val="21"/>
                      <w:szCs w:val="21"/>
                      <w:highlight w:val="none"/>
                      <w:lang w:eastAsia="zh-CN"/>
                    </w:rPr>
                    <w:t>设置</w:t>
                  </w:r>
                  <w:r>
                    <w:rPr>
                      <w:rFonts w:hint="default" w:ascii="Times New Roman" w:hAnsi="Times New Roman" w:eastAsia="宋体" w:cs="Times New Roman"/>
                      <w:color w:val="auto"/>
                      <w:spacing w:val="5"/>
                      <w:sz w:val="21"/>
                      <w:szCs w:val="21"/>
                      <w:highlight w:val="none"/>
                      <w:lang w:val="en-US" w:eastAsia="zh-CN"/>
                    </w:rPr>
                    <w:t>配套</w:t>
                  </w:r>
                  <w:r>
                    <w:rPr>
                      <w:rFonts w:hint="eastAsia" w:ascii="Times New Roman" w:hAnsi="Times New Roman" w:eastAsia="宋体" w:cs="Times New Roman"/>
                      <w:color w:val="auto"/>
                      <w:spacing w:val="7"/>
                      <w:sz w:val="21"/>
                      <w:szCs w:val="21"/>
                      <w:highlight w:val="none"/>
                      <w:lang w:eastAsia="zh-CN"/>
                    </w:rPr>
                    <w:t>珠胚生产</w:t>
                  </w:r>
                  <w:r>
                    <w:rPr>
                      <w:rFonts w:hint="default" w:ascii="Times New Roman" w:hAnsi="Times New Roman" w:eastAsia="宋体" w:cs="Times New Roman"/>
                      <w:color w:val="auto"/>
                      <w:spacing w:val="7"/>
                      <w:sz w:val="21"/>
                      <w:szCs w:val="21"/>
                      <w:highlight w:val="none"/>
                    </w:rPr>
                    <w:t>线</w:t>
                  </w:r>
                  <w:r>
                    <w:rPr>
                      <w:rFonts w:hint="default" w:ascii="Times New Roman" w:hAnsi="Times New Roman" w:eastAsia="宋体" w:cs="Times New Roman"/>
                      <w:color w:val="auto"/>
                      <w:spacing w:val="7"/>
                      <w:sz w:val="21"/>
                      <w:szCs w:val="21"/>
                      <w:highlight w:val="none"/>
                      <w:lang w:val="en-US" w:eastAsia="zh-CN"/>
                    </w:rPr>
                    <w:t>6条，包括主要</w:t>
                  </w:r>
                  <w:r>
                    <w:rPr>
                      <w:rFonts w:hint="default" w:ascii="Times New Roman" w:hAnsi="Times New Roman" w:eastAsia="宋体" w:cs="Times New Roman"/>
                      <w:color w:val="auto"/>
                      <w:spacing w:val="5"/>
                      <w:sz w:val="21"/>
                      <w:szCs w:val="21"/>
                      <w:highlight w:val="none"/>
                      <w:lang w:val="en-US" w:eastAsia="zh-CN"/>
                    </w:rPr>
                    <w:t>熔炉原料仓（石英砂</w:t>
                  </w:r>
                  <w:r>
                    <w:rPr>
                      <w:rFonts w:hint="eastAsia" w:ascii="Times New Roman" w:hAnsi="Times New Roman" w:eastAsia="宋体" w:cs="Times New Roman"/>
                      <w:color w:val="auto"/>
                      <w:spacing w:val="5"/>
                      <w:sz w:val="21"/>
                      <w:szCs w:val="21"/>
                      <w:highlight w:val="none"/>
                      <w:lang w:val="en-US" w:eastAsia="zh-CN"/>
                    </w:rPr>
                    <w:t>仓库</w:t>
                  </w:r>
                  <w:r>
                    <w:rPr>
                      <w:rFonts w:hint="default" w:ascii="Times New Roman" w:hAnsi="Times New Roman" w:eastAsia="宋体" w:cs="Times New Roman"/>
                      <w:color w:val="auto"/>
                      <w:spacing w:val="5"/>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熔炉车间（电</w:t>
                  </w:r>
                  <w:r>
                    <w:rPr>
                      <w:rFonts w:hint="default" w:ascii="Times New Roman" w:hAnsi="Times New Roman" w:eastAsia="宋体" w:cs="Times New Roman"/>
                      <w:color w:val="auto"/>
                      <w:spacing w:val="5"/>
                      <w:sz w:val="21"/>
                      <w:szCs w:val="21"/>
                      <w:highlight w:val="none"/>
                      <w:lang w:val="en-US" w:eastAsia="zh-CN"/>
                    </w:rPr>
                    <w:t>熔炉6台</w:t>
                  </w:r>
                  <w:r>
                    <w:rPr>
                      <w:rFonts w:hint="default" w:ascii="Times New Roman" w:hAnsi="Times New Roman" w:eastAsia="宋体" w:cs="Times New Roman"/>
                      <w:color w:val="auto"/>
                      <w:spacing w:val="7"/>
                      <w:sz w:val="21"/>
                      <w:szCs w:val="21"/>
                      <w:highlight w:val="none"/>
                      <w:lang w:val="en-US" w:eastAsia="zh-CN"/>
                    </w:rPr>
                    <w:t>）</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lang w:val="en-US" w:eastAsia="zh-CN"/>
                    </w:rPr>
                    <w:t>辅料仓、</w:t>
                  </w:r>
                  <w:r>
                    <w:rPr>
                      <w:rFonts w:hint="eastAsia" w:ascii="Times New Roman" w:hAnsi="Times New Roman" w:eastAsia="宋体" w:cs="Times New Roman"/>
                      <w:color w:val="auto"/>
                      <w:spacing w:val="5"/>
                      <w:sz w:val="21"/>
                      <w:szCs w:val="21"/>
                      <w:highlight w:val="none"/>
                      <w:lang w:val="en-US" w:eastAsia="zh-CN"/>
                    </w:rPr>
                    <w:t>珠胚</w:t>
                  </w:r>
                  <w:r>
                    <w:rPr>
                      <w:rFonts w:hint="default" w:ascii="Times New Roman" w:hAnsi="Times New Roman" w:eastAsia="宋体" w:cs="Times New Roman"/>
                      <w:color w:val="auto"/>
                      <w:spacing w:val="5"/>
                      <w:sz w:val="21"/>
                      <w:szCs w:val="21"/>
                      <w:highlight w:val="none"/>
                      <w:lang w:val="en-US" w:eastAsia="zh-CN"/>
                    </w:rPr>
                    <w:t>仓等；</w:t>
                  </w:r>
                  <w:r>
                    <w:rPr>
                      <w:rFonts w:hint="default" w:ascii="Times New Roman" w:hAnsi="Times New Roman" w:eastAsia="宋体" w:cs="Times New Roman"/>
                      <w:color w:val="auto"/>
                      <w:spacing w:val="7"/>
                      <w:sz w:val="21"/>
                      <w:szCs w:val="21"/>
                      <w:highlight w:val="none"/>
                      <w:lang w:val="en-US" w:eastAsia="zh-CN"/>
                    </w:rPr>
                    <w:t>胶片生产车间配套设置</w:t>
                  </w:r>
                  <w:r>
                    <w:rPr>
                      <w:rFonts w:hint="default" w:ascii="Times New Roman" w:hAnsi="Times New Roman" w:eastAsia="宋体" w:cs="Times New Roman"/>
                      <w:color w:val="auto"/>
                      <w:spacing w:val="6"/>
                      <w:sz w:val="21"/>
                      <w:szCs w:val="21"/>
                      <w:highlight w:val="none"/>
                    </w:rPr>
                    <w:t>吸塑片</w:t>
                  </w:r>
                  <w:r>
                    <w:rPr>
                      <w:rFonts w:hint="default" w:ascii="Times New Roman" w:hAnsi="Times New Roman" w:eastAsia="宋体" w:cs="Times New Roman"/>
                      <w:color w:val="auto"/>
                      <w:spacing w:val="7"/>
                      <w:sz w:val="21"/>
                      <w:szCs w:val="21"/>
                      <w:highlight w:val="none"/>
                    </w:rPr>
                    <w:t>生产线</w:t>
                  </w:r>
                  <w:r>
                    <w:rPr>
                      <w:rFonts w:hint="default" w:ascii="Times New Roman" w:hAnsi="Times New Roman" w:eastAsia="宋体" w:cs="Times New Roman"/>
                      <w:color w:val="auto"/>
                      <w:spacing w:val="7"/>
                      <w:sz w:val="21"/>
                      <w:szCs w:val="21"/>
                      <w:highlight w:val="none"/>
                      <w:lang w:val="en-US" w:eastAsia="zh-CN"/>
                    </w:rPr>
                    <w:t>1条，</w:t>
                  </w:r>
                  <w:r>
                    <w:rPr>
                      <w:rFonts w:hint="default" w:ascii="Times New Roman" w:hAnsi="Times New Roman" w:eastAsia="宋体" w:cs="Times New Roman"/>
                      <w:color w:val="auto"/>
                      <w:spacing w:val="5"/>
                      <w:sz w:val="21"/>
                      <w:szCs w:val="21"/>
                      <w:highlight w:val="none"/>
                      <w:lang w:val="en-US" w:eastAsia="zh-CN"/>
                    </w:rPr>
                    <w:t>主要包括原料、辅料车间、PVC生产线、PVC胶片仓。</w:t>
                  </w:r>
                </w:p>
              </w:tc>
              <w:tc>
                <w:tcPr>
                  <w:tcW w:w="674" w:type="dxa"/>
                  <w:tcBorders>
                    <w:tl2br w:val="nil"/>
                    <w:tr2bl w:val="nil"/>
                  </w:tcBorders>
                  <w:vAlign w:val="center"/>
                </w:tcPr>
                <w:p w14:paraId="2A9D9F9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DF7E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AB0EF0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c>
                <w:tcPr>
                  <w:tcW w:w="1120" w:type="dxa"/>
                  <w:tcBorders>
                    <w:tl2br w:val="nil"/>
                    <w:tr2bl w:val="nil"/>
                  </w:tcBorders>
                  <w:vAlign w:val="center"/>
                </w:tcPr>
                <w:p w14:paraId="6A73731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2"/>
                      <w:sz w:val="21"/>
                      <w:szCs w:val="21"/>
                      <w:highlight w:val="none"/>
                      <w:lang w:val="en-US" w:eastAsia="zh-CN"/>
                    </w:rPr>
                    <w:t>2#厂房</w:t>
                  </w:r>
                </w:p>
              </w:tc>
              <w:tc>
                <w:tcPr>
                  <w:tcW w:w="5662" w:type="dxa"/>
                  <w:gridSpan w:val="3"/>
                  <w:tcBorders>
                    <w:tl2br w:val="nil"/>
                    <w:tr2bl w:val="nil"/>
                  </w:tcBorders>
                  <w:vAlign w:val="center"/>
                </w:tcPr>
                <w:p w14:paraId="1A3428A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7"/>
                      <w:sz w:val="21"/>
                      <w:szCs w:val="21"/>
                      <w:highlight w:val="none"/>
                      <w:lang w:val="en-US" w:eastAsia="zh-CN"/>
                    </w:rPr>
                    <w:t>4672.8</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7"/>
                      <w:sz w:val="21"/>
                      <w:szCs w:val="21"/>
                      <w:highlight w:val="none"/>
                      <w:lang w:val="en-US" w:eastAsia="zh-CN"/>
                    </w:rPr>
                    <w:t>9.</w:t>
                  </w:r>
                  <w:r>
                    <w:rPr>
                      <w:rFonts w:hint="eastAsia" w:ascii="Times New Roman" w:hAnsi="Times New Roman" w:eastAsia="宋体" w:cs="Times New Roman"/>
                      <w:color w:val="auto"/>
                      <w:spacing w:val="7"/>
                      <w:sz w:val="21"/>
                      <w:szCs w:val="21"/>
                      <w:highlight w:val="none"/>
                      <w:lang w:val="en-US" w:eastAsia="zh-CN"/>
                    </w:rPr>
                    <w:t>33</w:t>
                  </w:r>
                  <w:r>
                    <w:rPr>
                      <w:rFonts w:hint="default" w:ascii="Times New Roman" w:hAnsi="Times New Roman" w:eastAsia="宋体" w:cs="Times New Roman"/>
                      <w:color w:val="auto"/>
                      <w:spacing w:val="7"/>
                      <w:sz w:val="21"/>
                      <w:szCs w:val="21"/>
                      <w:highlight w:val="none"/>
                      <w:lang w:eastAsia="zh-CN"/>
                    </w:rPr>
                    <w:t>m；设</w:t>
                  </w:r>
                  <w:r>
                    <w:rPr>
                      <w:rFonts w:hint="default" w:ascii="Times New Roman" w:hAnsi="Times New Roman" w:eastAsia="宋体" w:cs="Times New Roman"/>
                      <w:color w:val="auto"/>
                      <w:spacing w:val="7"/>
                      <w:sz w:val="21"/>
                      <w:szCs w:val="21"/>
                      <w:highlight w:val="none"/>
                      <w:lang w:val="en-US" w:eastAsia="zh-CN"/>
                    </w:rPr>
                    <w:t>单尖车间（即磨抛车间），设全自动磨抛机50组，并</w:t>
                  </w:r>
                  <w:r>
                    <w:rPr>
                      <w:rFonts w:hint="default" w:ascii="Times New Roman" w:hAnsi="Times New Roman" w:eastAsia="宋体" w:cs="Times New Roman"/>
                      <w:color w:val="auto"/>
                      <w:spacing w:val="5"/>
                      <w:sz w:val="21"/>
                      <w:szCs w:val="21"/>
                      <w:highlight w:val="none"/>
                      <w:lang w:val="en-US" w:eastAsia="zh-CN"/>
                    </w:rPr>
                    <w:t>配置变压器、空压机等相应配套设施。</w:t>
                  </w:r>
                </w:p>
              </w:tc>
              <w:tc>
                <w:tcPr>
                  <w:tcW w:w="674" w:type="dxa"/>
                  <w:tcBorders>
                    <w:tl2br w:val="nil"/>
                    <w:tr2bl w:val="nil"/>
                  </w:tcBorders>
                  <w:vAlign w:val="center"/>
                </w:tcPr>
                <w:p w14:paraId="148B94F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5A69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2D06A80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68911F7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3#厂房</w:t>
                  </w:r>
                </w:p>
              </w:tc>
              <w:tc>
                <w:tcPr>
                  <w:tcW w:w="5662" w:type="dxa"/>
                  <w:gridSpan w:val="3"/>
                  <w:tcBorders>
                    <w:tl2br w:val="nil"/>
                    <w:tr2bl w:val="nil"/>
                  </w:tcBorders>
                  <w:vAlign w:val="center"/>
                </w:tcPr>
                <w:p w14:paraId="6C4F1A8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7"/>
                      <w:sz w:val="21"/>
                      <w:szCs w:val="21"/>
                      <w:highlight w:val="none"/>
                      <w:lang w:val="en-US" w:eastAsia="zh-CN"/>
                    </w:rPr>
                    <w:t>4672.8</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7"/>
                      <w:sz w:val="21"/>
                      <w:szCs w:val="21"/>
                      <w:highlight w:val="none"/>
                      <w:lang w:val="en-US" w:eastAsia="zh-CN"/>
                    </w:rPr>
                    <w:t>9.33</w:t>
                  </w:r>
                  <w:r>
                    <w:rPr>
                      <w:rFonts w:hint="default" w:ascii="Times New Roman" w:hAnsi="Times New Roman" w:eastAsia="宋体" w:cs="Times New Roman"/>
                      <w:color w:val="auto"/>
                      <w:spacing w:val="7"/>
                      <w:sz w:val="21"/>
                      <w:szCs w:val="21"/>
                      <w:highlight w:val="none"/>
                      <w:lang w:eastAsia="zh-CN"/>
                    </w:rPr>
                    <w:t>m；设</w:t>
                  </w:r>
                  <w:r>
                    <w:rPr>
                      <w:rFonts w:hint="default" w:ascii="Times New Roman" w:hAnsi="Times New Roman" w:eastAsia="宋体" w:cs="Times New Roman"/>
                      <w:color w:val="auto"/>
                      <w:spacing w:val="7"/>
                      <w:sz w:val="21"/>
                      <w:szCs w:val="21"/>
                      <w:highlight w:val="none"/>
                      <w:lang w:val="en-US" w:eastAsia="zh-CN"/>
                    </w:rPr>
                    <w:t>单尖车间（即磨抛车间），设全自动磨抛机50组，并</w:t>
                  </w:r>
                  <w:r>
                    <w:rPr>
                      <w:rFonts w:hint="default" w:ascii="Times New Roman" w:hAnsi="Times New Roman" w:eastAsia="宋体" w:cs="Times New Roman"/>
                      <w:color w:val="auto"/>
                      <w:spacing w:val="5"/>
                      <w:sz w:val="21"/>
                      <w:szCs w:val="21"/>
                      <w:highlight w:val="none"/>
                      <w:lang w:val="en-US" w:eastAsia="zh-CN"/>
                    </w:rPr>
                    <w:t>配置变压器、空压机等相应配套设施。</w:t>
                  </w:r>
                </w:p>
              </w:tc>
              <w:tc>
                <w:tcPr>
                  <w:tcW w:w="674" w:type="dxa"/>
                  <w:tcBorders>
                    <w:tl2br w:val="nil"/>
                    <w:tr2bl w:val="nil"/>
                  </w:tcBorders>
                  <w:vAlign w:val="center"/>
                </w:tcPr>
                <w:p w14:paraId="081E577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237CA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6272D64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vAlign w:val="center"/>
                </w:tcPr>
                <w:p w14:paraId="090A4D0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4#厂房</w:t>
                  </w:r>
                </w:p>
              </w:tc>
              <w:tc>
                <w:tcPr>
                  <w:tcW w:w="5662" w:type="dxa"/>
                  <w:gridSpan w:val="3"/>
                  <w:tcBorders>
                    <w:tl2br w:val="nil"/>
                    <w:tr2bl w:val="nil"/>
                  </w:tcBorders>
                  <w:vAlign w:val="center"/>
                </w:tcPr>
                <w:p w14:paraId="290118A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7"/>
                      <w:sz w:val="21"/>
                      <w:szCs w:val="21"/>
                      <w:highlight w:val="none"/>
                      <w:lang w:val="en-US" w:eastAsia="zh-CN"/>
                    </w:rPr>
                    <w:t>4672.8</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7"/>
                      <w:sz w:val="21"/>
                      <w:szCs w:val="21"/>
                      <w:highlight w:val="none"/>
                      <w:lang w:val="en-US" w:eastAsia="zh-CN"/>
                    </w:rPr>
                    <w:t>9.33</w:t>
                  </w:r>
                  <w:r>
                    <w:rPr>
                      <w:rFonts w:hint="default" w:ascii="Times New Roman" w:hAnsi="Times New Roman" w:eastAsia="宋体" w:cs="Times New Roman"/>
                      <w:color w:val="auto"/>
                      <w:spacing w:val="7"/>
                      <w:sz w:val="21"/>
                      <w:szCs w:val="21"/>
                      <w:highlight w:val="none"/>
                      <w:lang w:eastAsia="zh-CN"/>
                    </w:rPr>
                    <w:t>m；设</w:t>
                  </w:r>
                  <w:r>
                    <w:rPr>
                      <w:rFonts w:hint="default" w:ascii="Times New Roman" w:hAnsi="Times New Roman" w:eastAsia="宋体" w:cs="Times New Roman"/>
                      <w:color w:val="auto"/>
                      <w:spacing w:val="7"/>
                      <w:sz w:val="21"/>
                      <w:szCs w:val="21"/>
                      <w:highlight w:val="none"/>
                      <w:lang w:val="en-US" w:eastAsia="zh-CN"/>
                    </w:rPr>
                    <w:t>单尖车间（即磨抛车间），设全自动磨抛机50组，并配置</w:t>
                  </w:r>
                  <w:r>
                    <w:rPr>
                      <w:rFonts w:hint="default" w:ascii="Times New Roman" w:hAnsi="Times New Roman" w:eastAsia="宋体" w:cs="Times New Roman"/>
                      <w:color w:val="auto"/>
                      <w:spacing w:val="5"/>
                      <w:sz w:val="21"/>
                      <w:szCs w:val="21"/>
                      <w:highlight w:val="none"/>
                      <w:lang w:val="en-US" w:eastAsia="zh-CN"/>
                    </w:rPr>
                    <w:t>变压器、空压机等相应配套设施。</w:t>
                  </w:r>
                </w:p>
              </w:tc>
              <w:tc>
                <w:tcPr>
                  <w:tcW w:w="674" w:type="dxa"/>
                  <w:tcBorders>
                    <w:tl2br w:val="nil"/>
                    <w:tr2bl w:val="nil"/>
                  </w:tcBorders>
                  <w:vAlign w:val="center"/>
                </w:tcPr>
                <w:p w14:paraId="5885869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17AD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32674C2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vAlign w:val="center"/>
                </w:tcPr>
                <w:p w14:paraId="5157B11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5#厂房</w:t>
                  </w:r>
                </w:p>
              </w:tc>
              <w:tc>
                <w:tcPr>
                  <w:tcW w:w="5662" w:type="dxa"/>
                  <w:gridSpan w:val="3"/>
                  <w:tcBorders>
                    <w:tl2br w:val="nil"/>
                    <w:tr2bl w:val="nil"/>
                  </w:tcBorders>
                  <w:vAlign w:val="center"/>
                </w:tcPr>
                <w:p w14:paraId="6BE2F60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7"/>
                      <w:sz w:val="21"/>
                      <w:szCs w:val="21"/>
                      <w:highlight w:val="none"/>
                      <w:lang w:val="en-US" w:eastAsia="zh-CN"/>
                    </w:rPr>
                    <w:t>5460</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7"/>
                      <w:sz w:val="21"/>
                      <w:szCs w:val="21"/>
                      <w:highlight w:val="none"/>
                      <w:lang w:val="en-US" w:eastAsia="zh-CN"/>
                    </w:rPr>
                    <w:t>9.2</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lang w:val="en-US" w:eastAsia="zh-CN"/>
                    </w:rPr>
                    <w:t>主要设置单尖洗筛车间、单尖仓、全自动吸塑车间、检片下钻车间，并</w:t>
                  </w:r>
                  <w:r>
                    <w:rPr>
                      <w:rFonts w:hint="default" w:ascii="Times New Roman" w:hAnsi="Times New Roman" w:eastAsia="宋体" w:cs="Times New Roman"/>
                      <w:color w:val="auto"/>
                      <w:spacing w:val="5"/>
                      <w:sz w:val="21"/>
                      <w:szCs w:val="21"/>
                      <w:highlight w:val="none"/>
                      <w:lang w:val="en-US" w:eastAsia="zh-CN"/>
                    </w:rPr>
                    <w:t>配置变压器、空压机等相应配套设施。</w:t>
                  </w:r>
                </w:p>
              </w:tc>
              <w:tc>
                <w:tcPr>
                  <w:tcW w:w="674" w:type="dxa"/>
                  <w:tcBorders>
                    <w:tl2br w:val="nil"/>
                    <w:tr2bl w:val="nil"/>
                  </w:tcBorders>
                  <w:vAlign w:val="center"/>
                </w:tcPr>
                <w:p w14:paraId="6BDA9D4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FBCF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257A0B6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shd w:val="clear" w:color="auto" w:fill="auto"/>
                  <w:vAlign w:val="center"/>
                </w:tcPr>
                <w:p w14:paraId="29559192">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2"/>
                      <w:sz w:val="21"/>
                      <w:szCs w:val="21"/>
                      <w:highlight w:val="none"/>
                      <w:lang w:val="en-US" w:eastAsia="zh-CN"/>
                    </w:rPr>
                    <w:t>6#厂房</w:t>
                  </w:r>
                </w:p>
              </w:tc>
              <w:tc>
                <w:tcPr>
                  <w:tcW w:w="5662" w:type="dxa"/>
                  <w:gridSpan w:val="3"/>
                  <w:tcBorders>
                    <w:tl2br w:val="nil"/>
                    <w:tr2bl w:val="nil"/>
                  </w:tcBorders>
                  <w:shd w:val="clear" w:color="auto" w:fill="auto"/>
                  <w:vAlign w:val="center"/>
                </w:tcPr>
                <w:p w14:paraId="032C18F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5"/>
                      <w:sz w:val="21"/>
                      <w:szCs w:val="21"/>
                      <w:highlight w:val="none"/>
                      <w:lang w:val="en-US" w:eastAsia="zh-CN"/>
                    </w:rPr>
                    <w:t>5488</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5"/>
                      <w:sz w:val="21"/>
                      <w:szCs w:val="21"/>
                      <w:highlight w:val="none"/>
                      <w:lang w:val="en-US" w:eastAsia="zh-CN"/>
                    </w:rPr>
                    <w:t>9.15m</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5"/>
                      <w:sz w:val="21"/>
                      <w:szCs w:val="21"/>
                      <w:highlight w:val="none"/>
                      <w:lang w:eastAsia="zh-CN"/>
                    </w:rPr>
                    <w:t>设置</w:t>
                  </w:r>
                  <w:r>
                    <w:rPr>
                      <w:rFonts w:hint="default" w:ascii="Times New Roman" w:hAnsi="Times New Roman" w:eastAsia="宋体" w:cs="Times New Roman"/>
                      <w:color w:val="auto"/>
                      <w:spacing w:val="7"/>
                      <w:sz w:val="21"/>
                      <w:szCs w:val="21"/>
                      <w:highlight w:val="none"/>
                      <w:lang w:val="en-US" w:eastAsia="zh-CN"/>
                    </w:rPr>
                    <w:t>圆磨车间、</w:t>
                  </w:r>
                  <w:r>
                    <w:rPr>
                      <w:rFonts w:hint="default" w:ascii="Times New Roman" w:hAnsi="Times New Roman" w:eastAsia="宋体" w:cs="Times New Roman"/>
                      <w:color w:val="auto"/>
                      <w:spacing w:val="5"/>
                      <w:sz w:val="21"/>
                      <w:szCs w:val="21"/>
                      <w:highlight w:val="none"/>
                      <w:lang w:val="en-US" w:eastAsia="zh-CN"/>
                    </w:rPr>
                    <w:t>配件仓库，配件仓库内配备磨轮、抛轮、抛盘、配件、夹具等辅房，并在抛轮辅房内设置1条抛轮修复生产线。</w:t>
                  </w:r>
                </w:p>
              </w:tc>
              <w:tc>
                <w:tcPr>
                  <w:tcW w:w="674" w:type="dxa"/>
                  <w:tcBorders>
                    <w:tl2br w:val="nil"/>
                    <w:tr2bl w:val="nil"/>
                  </w:tcBorders>
                  <w:shd w:val="clear" w:color="auto" w:fill="auto"/>
                  <w:vAlign w:val="center"/>
                </w:tcPr>
                <w:p w14:paraId="36C05BC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2D5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6643DD0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shd w:val="clear" w:color="auto" w:fill="auto"/>
                  <w:vAlign w:val="center"/>
                </w:tcPr>
                <w:p w14:paraId="64CF9A9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7#厂房</w:t>
                  </w:r>
                </w:p>
              </w:tc>
              <w:tc>
                <w:tcPr>
                  <w:tcW w:w="5662" w:type="dxa"/>
                  <w:gridSpan w:val="3"/>
                  <w:tcBorders>
                    <w:tl2br w:val="nil"/>
                    <w:tr2bl w:val="nil"/>
                  </w:tcBorders>
                  <w:shd w:val="clear" w:color="auto" w:fill="auto"/>
                  <w:vAlign w:val="center"/>
                </w:tcPr>
                <w:p w14:paraId="264B476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设置长方形</w:t>
                  </w:r>
                  <w:r>
                    <w:rPr>
                      <w:rFonts w:hint="default" w:ascii="Times New Roman" w:hAnsi="Times New Roman" w:eastAsia="宋体" w:cs="Times New Roman"/>
                      <w:color w:val="auto"/>
                      <w:spacing w:val="7"/>
                      <w:sz w:val="21"/>
                      <w:szCs w:val="21"/>
                      <w:highlight w:val="none"/>
                      <w:lang w:eastAsia="zh-CN"/>
                    </w:rPr>
                    <w:t>丁类厂房，</w:t>
                  </w:r>
                  <w:r>
                    <w:rPr>
                      <w:rFonts w:hint="default" w:ascii="Times New Roman" w:hAnsi="Times New Roman" w:eastAsia="宋体" w:cs="Times New Roman"/>
                      <w:color w:val="auto"/>
                      <w:spacing w:val="7"/>
                      <w:sz w:val="21"/>
                      <w:szCs w:val="21"/>
                      <w:highlight w:val="none"/>
                      <w:lang w:val="en-US" w:eastAsia="zh-CN"/>
                    </w:rPr>
                    <w:t>为地上1</w:t>
                  </w:r>
                  <w:r>
                    <w:rPr>
                      <w:rFonts w:hint="default" w:ascii="Times New Roman" w:hAnsi="Times New Roman" w:eastAsia="宋体" w:cs="Times New Roman"/>
                      <w:color w:val="auto"/>
                      <w:spacing w:val="7"/>
                      <w:sz w:val="21"/>
                      <w:szCs w:val="21"/>
                      <w:highlight w:val="none"/>
                      <w:lang w:eastAsia="zh-CN"/>
                    </w:rPr>
                    <w:t>F钢结构封闭厂房，厂房</w:t>
                  </w:r>
                  <w:r>
                    <w:rPr>
                      <w:rFonts w:hint="default" w:ascii="Times New Roman" w:hAnsi="Times New Roman" w:eastAsia="宋体" w:cs="Times New Roman"/>
                      <w:color w:val="auto"/>
                      <w:spacing w:val="7"/>
                      <w:sz w:val="21"/>
                      <w:szCs w:val="21"/>
                      <w:highlight w:val="none"/>
                      <w:lang w:val="en-US" w:eastAsia="zh-CN"/>
                    </w:rPr>
                    <w:t>建筑</w:t>
                  </w:r>
                  <w:r>
                    <w:rPr>
                      <w:rFonts w:hint="default" w:ascii="Times New Roman" w:hAnsi="Times New Roman" w:eastAsia="宋体" w:cs="Times New Roman"/>
                      <w:color w:val="auto"/>
                      <w:spacing w:val="7"/>
                      <w:sz w:val="21"/>
                      <w:szCs w:val="21"/>
                      <w:highlight w:val="none"/>
                      <w:lang w:eastAsia="zh-CN"/>
                    </w:rPr>
                    <w:t>面积</w:t>
                  </w:r>
                  <w:r>
                    <w:rPr>
                      <w:rFonts w:hint="default" w:ascii="Times New Roman" w:hAnsi="Times New Roman" w:eastAsia="宋体" w:cs="Times New Roman"/>
                      <w:color w:val="auto"/>
                      <w:spacing w:val="5"/>
                      <w:sz w:val="21"/>
                      <w:szCs w:val="21"/>
                      <w:highlight w:val="none"/>
                      <w:lang w:val="en-US" w:eastAsia="zh-CN"/>
                    </w:rPr>
                    <w:t>836</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7"/>
                      <w:sz w:val="21"/>
                      <w:szCs w:val="21"/>
                      <w:highlight w:val="none"/>
                      <w:lang w:eastAsia="zh-CN"/>
                    </w:rPr>
                    <w:t>，层高</w:t>
                  </w:r>
                  <w:r>
                    <w:rPr>
                      <w:rFonts w:hint="default" w:ascii="Times New Roman" w:hAnsi="Times New Roman" w:eastAsia="宋体" w:cs="Times New Roman"/>
                      <w:color w:val="auto"/>
                      <w:spacing w:val="5"/>
                      <w:sz w:val="21"/>
                      <w:szCs w:val="21"/>
                      <w:highlight w:val="none"/>
                      <w:lang w:val="en-US" w:eastAsia="zh-CN"/>
                    </w:rPr>
                    <w:t>9.15m</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5"/>
                      <w:sz w:val="21"/>
                      <w:szCs w:val="21"/>
                      <w:highlight w:val="none"/>
                      <w:lang w:eastAsia="zh-CN"/>
                    </w:rPr>
                    <w:t>设置</w:t>
                  </w:r>
                  <w:r>
                    <w:rPr>
                      <w:rFonts w:hint="default" w:ascii="Times New Roman" w:hAnsi="Times New Roman" w:eastAsia="宋体" w:cs="Times New Roman"/>
                      <w:color w:val="auto"/>
                      <w:spacing w:val="5"/>
                      <w:sz w:val="21"/>
                      <w:szCs w:val="21"/>
                      <w:highlight w:val="none"/>
                      <w:lang w:val="en-US" w:eastAsia="zh-CN"/>
                    </w:rPr>
                    <w:t>精工车间</w:t>
                  </w:r>
                  <w:r>
                    <w:rPr>
                      <w:rFonts w:hint="eastAsia" w:ascii="Times New Roman" w:hAnsi="Times New Roman" w:eastAsia="宋体" w:cs="Times New Roman"/>
                      <w:color w:val="auto"/>
                      <w:spacing w:val="5"/>
                      <w:sz w:val="21"/>
                      <w:szCs w:val="21"/>
                      <w:highlight w:val="none"/>
                      <w:lang w:val="en-US" w:eastAsia="zh-CN"/>
                    </w:rPr>
                    <w:t>（主要进行较大设备维修、焊接等）</w:t>
                  </w:r>
                  <w:r>
                    <w:rPr>
                      <w:rFonts w:hint="default" w:ascii="Times New Roman" w:hAnsi="Times New Roman" w:eastAsia="宋体" w:cs="Times New Roman"/>
                      <w:color w:val="auto"/>
                      <w:spacing w:val="5"/>
                      <w:sz w:val="21"/>
                      <w:szCs w:val="21"/>
                      <w:highlight w:val="none"/>
                      <w:lang w:val="en-US" w:eastAsia="zh-CN"/>
                    </w:rPr>
                    <w:t>、后勤车间</w:t>
                  </w:r>
                  <w:r>
                    <w:rPr>
                      <w:rFonts w:hint="eastAsia" w:ascii="Times New Roman" w:hAnsi="Times New Roman" w:eastAsia="宋体" w:cs="Times New Roman"/>
                      <w:color w:val="auto"/>
                      <w:spacing w:val="5"/>
                      <w:sz w:val="21"/>
                      <w:szCs w:val="21"/>
                      <w:highlight w:val="none"/>
                      <w:lang w:val="en-US" w:eastAsia="zh-CN"/>
                    </w:rPr>
                    <w:t>（主要进行小设备、配件等维修）</w:t>
                  </w:r>
                  <w:r>
                    <w:rPr>
                      <w:rFonts w:hint="default" w:ascii="Times New Roman" w:hAnsi="Times New Roman" w:eastAsia="宋体" w:cs="Times New Roman"/>
                      <w:color w:val="auto"/>
                      <w:spacing w:val="5"/>
                      <w:sz w:val="21"/>
                      <w:szCs w:val="21"/>
                      <w:highlight w:val="none"/>
                      <w:lang w:val="en-US" w:eastAsia="zh-CN"/>
                    </w:rPr>
                    <w:t>、新材料检测等研发中心、</w:t>
                  </w:r>
                  <w:r>
                    <w:rPr>
                      <w:rFonts w:hint="default" w:ascii="Times New Roman" w:hAnsi="Times New Roman" w:eastAsia="宋体" w:cs="Times New Roman"/>
                      <w:color w:val="auto"/>
                      <w:sz w:val="21"/>
                      <w:szCs w:val="21"/>
                      <w:highlight w:val="none"/>
                      <w:lang w:val="en-US" w:eastAsia="zh-CN"/>
                    </w:rPr>
                    <w:t>去离子水制备间、</w:t>
                  </w:r>
                  <w:r>
                    <w:rPr>
                      <w:rFonts w:hint="default" w:ascii="Times New Roman" w:hAnsi="Times New Roman" w:eastAsia="宋体" w:cs="Times New Roman"/>
                      <w:color w:val="auto"/>
                      <w:spacing w:val="5"/>
                      <w:sz w:val="21"/>
                      <w:szCs w:val="21"/>
                      <w:highlight w:val="none"/>
                      <w:lang w:val="en-US" w:eastAsia="zh-CN"/>
                    </w:rPr>
                    <w:t>虫胶仓（即单尖辅料仓）、危废仓（即</w:t>
                  </w:r>
                  <w:r>
                    <w:rPr>
                      <w:rFonts w:hint="eastAsia" w:ascii="Times New Roman" w:hAnsi="Times New Roman" w:eastAsia="宋体" w:cs="Times New Roman"/>
                      <w:color w:val="auto"/>
                      <w:spacing w:val="5"/>
                      <w:sz w:val="21"/>
                      <w:szCs w:val="21"/>
                      <w:highlight w:val="none"/>
                      <w:lang w:val="en-US" w:eastAsia="zh-CN"/>
                    </w:rPr>
                    <w:t>危险废物贮存库</w:t>
                  </w:r>
                  <w:r>
                    <w:rPr>
                      <w:rFonts w:hint="default" w:ascii="Times New Roman" w:hAnsi="Times New Roman" w:eastAsia="宋体" w:cs="Times New Roman"/>
                      <w:color w:val="auto"/>
                      <w:spacing w:val="5"/>
                      <w:sz w:val="21"/>
                      <w:szCs w:val="21"/>
                      <w:highlight w:val="none"/>
                      <w:lang w:val="en-US" w:eastAsia="zh-CN"/>
                    </w:rPr>
                    <w:t>）、污水处理材料仓</w:t>
                  </w:r>
                  <w:r>
                    <w:rPr>
                      <w:rFonts w:hint="eastAsia" w:ascii="Times New Roman" w:hAnsi="Times New Roman" w:eastAsia="宋体" w:cs="Times New Roman"/>
                      <w:color w:val="auto"/>
                      <w:spacing w:val="5"/>
                      <w:sz w:val="21"/>
                      <w:szCs w:val="21"/>
                      <w:highlight w:val="none"/>
                      <w:lang w:val="en-US" w:eastAsia="zh-CN"/>
                    </w:rPr>
                    <w:t>（主要存放</w:t>
                  </w:r>
                  <w:r>
                    <w:rPr>
                      <w:rFonts w:hint="eastAsia" w:ascii="Times New Roman" w:hAnsi="Times New Roman" w:eastAsia="宋体" w:cs="Times New Roman"/>
                      <w:color w:val="auto"/>
                      <w:spacing w:val="-11"/>
                      <w:sz w:val="21"/>
                      <w:szCs w:val="21"/>
                      <w:highlight w:val="none"/>
                      <w:lang w:val="en-US" w:eastAsia="zh-CN"/>
                    </w:rPr>
                    <w:t>废水处理的絮凝剂等药剂</w:t>
                  </w:r>
                  <w:r>
                    <w:rPr>
                      <w:rFonts w:hint="eastAsia" w:ascii="Times New Roman" w:hAnsi="Times New Roman" w:eastAsia="宋体" w:cs="Times New Roman"/>
                      <w:color w:val="auto"/>
                      <w:spacing w:val="5"/>
                      <w:sz w:val="21"/>
                      <w:szCs w:val="21"/>
                      <w:highlight w:val="none"/>
                      <w:lang w:val="en-US" w:eastAsia="zh-CN"/>
                    </w:rPr>
                    <w:t>）</w:t>
                  </w:r>
                  <w:r>
                    <w:rPr>
                      <w:rFonts w:hint="default" w:ascii="Times New Roman" w:hAnsi="Times New Roman" w:eastAsia="宋体" w:cs="Times New Roman"/>
                      <w:color w:val="auto"/>
                      <w:spacing w:val="5"/>
                      <w:sz w:val="21"/>
                      <w:szCs w:val="21"/>
                      <w:highlight w:val="none"/>
                      <w:lang w:val="en-US" w:eastAsia="zh-CN"/>
                    </w:rPr>
                    <w:t>、碱库</w:t>
                  </w:r>
                  <w:r>
                    <w:rPr>
                      <w:rFonts w:hint="eastAsia" w:ascii="Times New Roman" w:hAnsi="Times New Roman" w:eastAsia="宋体" w:cs="Times New Roman"/>
                      <w:color w:val="auto"/>
                      <w:spacing w:val="5"/>
                      <w:sz w:val="21"/>
                      <w:szCs w:val="21"/>
                      <w:highlight w:val="none"/>
                      <w:lang w:val="en-US" w:eastAsia="zh-CN"/>
                    </w:rPr>
                    <w:t>（主要存放片碱）</w:t>
                  </w:r>
                  <w:r>
                    <w:rPr>
                      <w:rFonts w:hint="default" w:ascii="Times New Roman" w:hAnsi="Times New Roman" w:eastAsia="宋体" w:cs="Times New Roman"/>
                      <w:color w:val="auto"/>
                      <w:spacing w:val="5"/>
                      <w:sz w:val="21"/>
                      <w:szCs w:val="21"/>
                      <w:highlight w:val="none"/>
                      <w:lang w:val="en-US" w:eastAsia="zh-CN"/>
                    </w:rPr>
                    <w:t>及备用车间</w:t>
                  </w:r>
                  <w:r>
                    <w:rPr>
                      <w:rFonts w:hint="eastAsia" w:ascii="Times New Roman" w:hAnsi="Times New Roman" w:eastAsia="宋体" w:cs="Times New Roman"/>
                      <w:color w:val="auto"/>
                      <w:spacing w:val="5"/>
                      <w:sz w:val="21"/>
                      <w:szCs w:val="21"/>
                      <w:highlight w:val="none"/>
                      <w:lang w:val="en-US" w:eastAsia="zh-CN"/>
                    </w:rPr>
                    <w:t>（闲置，以备规划外需要）</w:t>
                  </w:r>
                  <w:r>
                    <w:rPr>
                      <w:rFonts w:hint="default" w:ascii="Times New Roman" w:hAnsi="Times New Roman" w:eastAsia="宋体" w:cs="Times New Roman"/>
                      <w:color w:val="auto"/>
                      <w:spacing w:val="5"/>
                      <w:sz w:val="21"/>
                      <w:szCs w:val="21"/>
                      <w:highlight w:val="none"/>
                      <w:lang w:val="en-US" w:eastAsia="zh-CN"/>
                    </w:rPr>
                    <w:t>等。</w:t>
                  </w:r>
                </w:p>
                <w:p w14:paraId="582FB83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其中新材料检测等研发中心</w:t>
                  </w:r>
                  <w:r>
                    <w:rPr>
                      <w:rFonts w:hint="default" w:ascii="Times New Roman" w:hAnsi="Times New Roman" w:eastAsia="宋体" w:cs="Times New Roman"/>
                      <w:color w:val="auto"/>
                      <w:spacing w:val="9"/>
                      <w:sz w:val="21"/>
                      <w:szCs w:val="21"/>
                      <w:highlight w:val="none"/>
                    </w:rPr>
                    <w:t>主要进行产品配方升级研发、产品创新、技术改进</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lang w:val="en-US" w:eastAsia="zh-CN"/>
                    </w:rPr>
                    <w:t>该区域仅进行配方调配，试验直接在1#厂房熔炉里微调</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，主要分析方法为物理</w:t>
                  </w:r>
                  <w:r>
                    <w:rPr>
                      <w:rFonts w:hint="default" w:ascii="Times New Roman" w:hAnsi="Times New Roman" w:eastAsia="宋体" w:cs="Times New Roman"/>
                      <w:color w:val="auto"/>
                      <w:spacing w:val="8"/>
                      <w:sz w:val="21"/>
                      <w:szCs w:val="21"/>
                      <w:highlight w:val="none"/>
                    </w:rPr>
                    <w:t>分析法</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主要用于生产过程中检验、产品质量、性能、产品物理指标（如结构、</w:t>
                  </w:r>
                  <w:r>
                    <w:rPr>
                      <w:rFonts w:hint="default" w:ascii="Times New Roman" w:hAnsi="Times New Roman" w:eastAsia="宋体" w:cs="Times New Roman"/>
                      <w:color w:val="auto"/>
                      <w:spacing w:val="8"/>
                      <w:sz w:val="21"/>
                      <w:szCs w:val="21"/>
                      <w:highlight w:val="none"/>
                    </w:rPr>
                    <w:t>杂物含量等）进行抽检分析；本次</w:t>
                  </w:r>
                  <w:r>
                    <w:rPr>
                      <w:rFonts w:hint="default" w:ascii="Times New Roman" w:hAnsi="Times New Roman" w:eastAsia="宋体" w:cs="Times New Roman"/>
                      <w:color w:val="auto"/>
                      <w:spacing w:val="8"/>
                      <w:sz w:val="21"/>
                      <w:szCs w:val="21"/>
                      <w:highlight w:val="none"/>
                      <w:lang w:val="en-US" w:eastAsia="zh-CN"/>
                    </w:rPr>
                    <w:t>拟配置放大镜、</w:t>
                  </w:r>
                  <w:r>
                    <w:rPr>
                      <w:rFonts w:hint="default" w:ascii="Times New Roman" w:hAnsi="Times New Roman" w:eastAsia="宋体" w:cs="Times New Roman"/>
                      <w:color w:val="auto"/>
                      <w:spacing w:val="8"/>
                      <w:sz w:val="21"/>
                      <w:szCs w:val="21"/>
                      <w:highlight w:val="none"/>
                    </w:rPr>
                    <w:t>电子天平、箱式电阻炉、</w:t>
                  </w:r>
                  <w:r>
                    <w:rPr>
                      <w:rFonts w:hint="default" w:ascii="Times New Roman" w:hAnsi="Times New Roman" w:eastAsia="宋体" w:cs="Times New Roman"/>
                      <w:color w:val="auto"/>
                      <w:spacing w:val="-55"/>
                      <w:sz w:val="21"/>
                      <w:szCs w:val="21"/>
                      <w:highlight w:val="none"/>
                    </w:rPr>
                    <w:t xml:space="preserve"> </w:t>
                  </w:r>
                  <w:r>
                    <w:rPr>
                      <w:rFonts w:hint="default" w:ascii="Times New Roman" w:hAnsi="Times New Roman" w:eastAsia="宋体" w:cs="Times New Roman"/>
                      <w:color w:val="auto"/>
                      <w:spacing w:val="8"/>
                      <w:sz w:val="21"/>
                      <w:szCs w:val="21"/>
                      <w:highlight w:val="none"/>
                    </w:rPr>
                    <w:t>电热鼓风干燥箱</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玻璃器皿等检测设备</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lang w:val="en-US" w:eastAsia="zh-CN"/>
                    </w:rPr>
                    <w:t>故该</w:t>
                  </w:r>
                  <w:r>
                    <w:rPr>
                      <w:rFonts w:hint="default" w:ascii="Times New Roman" w:hAnsi="Times New Roman" w:eastAsia="宋体" w:cs="Times New Roman"/>
                      <w:color w:val="auto"/>
                      <w:spacing w:val="8"/>
                      <w:sz w:val="21"/>
                      <w:szCs w:val="21"/>
                      <w:highlight w:val="none"/>
                    </w:rPr>
                    <w:t>过程不产生废气</w:t>
                  </w:r>
                  <w:r>
                    <w:rPr>
                      <w:rFonts w:hint="default" w:ascii="Times New Roman" w:hAnsi="Times New Roman" w:eastAsia="宋体" w:cs="Times New Roman"/>
                      <w:color w:val="auto"/>
                      <w:spacing w:val="8"/>
                      <w:sz w:val="21"/>
                      <w:szCs w:val="21"/>
                      <w:highlight w:val="none"/>
                      <w:lang w:eastAsia="zh-CN"/>
                    </w:rPr>
                    <w:t>。</w:t>
                  </w:r>
                </w:p>
              </w:tc>
              <w:tc>
                <w:tcPr>
                  <w:tcW w:w="674" w:type="dxa"/>
                  <w:tcBorders>
                    <w:tl2br w:val="nil"/>
                    <w:tr2bl w:val="nil"/>
                  </w:tcBorders>
                  <w:shd w:val="clear" w:color="auto" w:fill="auto"/>
                  <w:vAlign w:val="center"/>
                </w:tcPr>
                <w:p w14:paraId="76BC93A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0F920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restart"/>
                  <w:tcBorders>
                    <w:tl2br w:val="nil"/>
                    <w:tr2bl w:val="nil"/>
                  </w:tcBorders>
                  <w:vAlign w:val="center"/>
                </w:tcPr>
                <w:p w14:paraId="10C6DCC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辅助工程</w:t>
                  </w:r>
                </w:p>
              </w:tc>
              <w:tc>
                <w:tcPr>
                  <w:tcW w:w="1120" w:type="dxa"/>
                  <w:tcBorders>
                    <w:tl2br w:val="nil"/>
                    <w:tr2bl w:val="nil"/>
                  </w:tcBorders>
                  <w:vAlign w:val="center"/>
                </w:tcPr>
                <w:p w14:paraId="575B96F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宿舍楼</w:t>
                  </w:r>
                </w:p>
              </w:tc>
              <w:tc>
                <w:tcPr>
                  <w:tcW w:w="5662" w:type="dxa"/>
                  <w:gridSpan w:val="3"/>
                  <w:tcBorders>
                    <w:tl2br w:val="nil"/>
                    <w:tr2bl w:val="nil"/>
                  </w:tcBorders>
                  <w:vAlign w:val="center"/>
                </w:tcPr>
                <w:p w14:paraId="5A597E01">
                  <w:pPr>
                    <w:pStyle w:val="57"/>
                    <w:keepNext w:val="0"/>
                    <w:keepLines w:val="0"/>
                    <w:pageBreakBefore w:val="0"/>
                    <w:kinsoku/>
                    <w:wordWrap/>
                    <w:overflowPunct/>
                    <w:topLinePunct/>
                    <w:autoSpaceDE w:val="0"/>
                    <w:bidi w:val="0"/>
                    <w:spacing w:line="240" w:lineRule="auto"/>
                    <w:ind w:left="0"/>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宿舍楼-1/7F，钢筋混凝土全框架结构，</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3"/>
                      <w:sz w:val="21"/>
                      <w:szCs w:val="21"/>
                      <w:highlight w:val="none"/>
                    </w:rPr>
                    <w:t>占</w:t>
                  </w:r>
                  <w:r>
                    <w:rPr>
                      <w:rFonts w:hint="default" w:ascii="Times New Roman" w:hAnsi="Times New Roman" w:eastAsia="宋体" w:cs="Times New Roman"/>
                      <w:color w:val="auto"/>
                      <w:spacing w:val="7"/>
                      <w:sz w:val="21"/>
                      <w:szCs w:val="21"/>
                      <w:highlight w:val="none"/>
                      <w:lang w:eastAsia="zh-CN"/>
                    </w:rPr>
                    <w:t>地面积</w:t>
                  </w:r>
                  <w:r>
                    <w:rPr>
                      <w:rFonts w:hint="default" w:ascii="Times New Roman" w:hAnsi="Times New Roman" w:eastAsia="宋体" w:cs="Times New Roman"/>
                      <w:color w:val="auto"/>
                      <w:spacing w:val="7"/>
                      <w:sz w:val="21"/>
                      <w:szCs w:val="21"/>
                      <w:highlight w:val="none"/>
                      <w:lang w:val="en-US" w:eastAsia="zh-CN"/>
                    </w:rPr>
                    <w:t>672</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lang w:val="en-US" w:eastAsia="zh-CN"/>
                    </w:rPr>
                    <w:t>建筑面积48</w:t>
                  </w:r>
                  <w:r>
                    <w:rPr>
                      <w:rFonts w:hint="eastAsia" w:ascii="Times New Roman" w:hAnsi="Times New Roman" w:eastAsia="宋体" w:cs="Times New Roman"/>
                      <w:color w:val="auto"/>
                      <w:spacing w:val="3"/>
                      <w:sz w:val="21"/>
                      <w:szCs w:val="21"/>
                      <w:highlight w:val="none"/>
                      <w:lang w:val="en-US" w:eastAsia="zh-CN"/>
                    </w:rPr>
                    <w:t>74.1</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高度22.9m。</w:t>
                  </w:r>
                </w:p>
                <w:p w14:paraId="042D2FC6">
                  <w:pPr>
                    <w:pStyle w:val="57"/>
                    <w:keepNext w:val="0"/>
                    <w:keepLines w:val="0"/>
                    <w:pageBreakBefore w:val="0"/>
                    <w:kinsoku/>
                    <w:wordWrap/>
                    <w:overflowPunct/>
                    <w:topLinePunct/>
                    <w:autoSpaceDE w:val="0"/>
                    <w:bidi w:val="0"/>
                    <w:spacing w:line="240" w:lineRule="auto"/>
                    <w:ind w:left="0"/>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-1F设消防水池</w:t>
                  </w:r>
                  <w:r>
                    <w:rPr>
                      <w:rFonts w:hint="eastAsia" w:ascii="Times New Roman" w:hAnsi="Times New Roman" w:eastAsia="宋体" w:cs="Times New Roman"/>
                      <w:color w:val="auto"/>
                      <w:spacing w:val="7"/>
                      <w:sz w:val="21"/>
                      <w:szCs w:val="21"/>
                      <w:highlight w:val="none"/>
                      <w:lang w:val="en-US" w:eastAsia="zh-CN"/>
                    </w:rPr>
                    <w:t>（容积288m</w:t>
                  </w:r>
                  <w:r>
                    <w:rPr>
                      <w:rFonts w:hint="eastAsia" w:ascii="Times New Roman" w:hAnsi="Times New Roman" w:eastAsia="宋体" w:cs="Times New Roman"/>
                      <w:color w:val="auto"/>
                      <w:spacing w:val="7"/>
                      <w:sz w:val="21"/>
                      <w:szCs w:val="21"/>
                      <w:highlight w:val="none"/>
                      <w:vertAlign w:val="superscript"/>
                      <w:lang w:val="en-US" w:eastAsia="zh-CN"/>
                    </w:rPr>
                    <w:t>3</w:t>
                  </w:r>
                  <w:r>
                    <w:rPr>
                      <w:rFonts w:hint="eastAsia" w:ascii="Times New Roman" w:hAnsi="Times New Roman" w:eastAsia="宋体" w:cs="Times New Roman"/>
                      <w:color w:val="auto"/>
                      <w:spacing w:val="7"/>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、水泵房</w:t>
                  </w:r>
                  <w:r>
                    <w:rPr>
                      <w:rFonts w:hint="eastAsia" w:ascii="Times New Roman" w:hAnsi="Times New Roman" w:eastAsia="宋体" w:cs="Times New Roman"/>
                      <w:color w:val="auto"/>
                      <w:spacing w:val="7"/>
                      <w:sz w:val="21"/>
                      <w:szCs w:val="21"/>
                      <w:highlight w:val="none"/>
                      <w:lang w:val="en-US" w:eastAsia="zh-CN"/>
                    </w:rPr>
                    <w:t>（97.49</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eastAsia" w:ascii="Times New Roman" w:hAnsi="Times New Roman" w:eastAsia="宋体" w:cs="Times New Roman"/>
                      <w:color w:val="auto"/>
                      <w:spacing w:val="7"/>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等；</w:t>
                  </w:r>
                </w:p>
                <w:p w14:paraId="66F49259">
                  <w:pPr>
                    <w:pStyle w:val="57"/>
                    <w:keepNext w:val="0"/>
                    <w:keepLines w:val="0"/>
                    <w:pageBreakBefore w:val="0"/>
                    <w:kinsoku/>
                    <w:wordWrap/>
                    <w:overflowPunct/>
                    <w:topLinePunct/>
                    <w:autoSpaceDE w:val="0"/>
                    <w:bidi w:val="0"/>
                    <w:spacing w:line="240" w:lineRule="auto"/>
                    <w:ind w:left="0"/>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1F设食堂、餐厅、超市等；</w:t>
                  </w:r>
                </w:p>
                <w:p w14:paraId="08EF5139">
                  <w:pPr>
                    <w:pStyle w:val="57"/>
                    <w:keepNext w:val="0"/>
                    <w:keepLines w:val="0"/>
                    <w:pageBreakBefore w:val="0"/>
                    <w:kinsoku/>
                    <w:wordWrap/>
                    <w:overflowPunct/>
                    <w:topLinePunct/>
                    <w:autoSpaceDE w:val="0"/>
                    <w:bidi w:val="0"/>
                    <w:spacing w:line="240" w:lineRule="auto"/>
                    <w:ind w:left="0" w:left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2~7F</w:t>
                  </w:r>
                  <w:r>
                    <w:rPr>
                      <w:rFonts w:hint="default" w:ascii="Times New Roman" w:hAnsi="Times New Roman" w:eastAsia="宋体" w:cs="Times New Roman"/>
                      <w:color w:val="auto"/>
                      <w:spacing w:val="5"/>
                      <w:sz w:val="21"/>
                      <w:szCs w:val="21"/>
                      <w:highlight w:val="none"/>
                    </w:rPr>
                    <w:t>主要为职工宿舍</w:t>
                  </w:r>
                  <w:r>
                    <w:rPr>
                      <w:rFonts w:hint="default" w:ascii="Times New Roman" w:hAnsi="Times New Roman" w:eastAsia="宋体" w:cs="Times New Roman"/>
                      <w:color w:val="auto"/>
                      <w:spacing w:val="7"/>
                      <w:sz w:val="21"/>
                      <w:szCs w:val="21"/>
                      <w:highlight w:val="none"/>
                      <w:lang w:val="en-US" w:eastAsia="zh-CN"/>
                    </w:rPr>
                    <w:t>。</w:t>
                  </w:r>
                </w:p>
              </w:tc>
              <w:tc>
                <w:tcPr>
                  <w:tcW w:w="674" w:type="dxa"/>
                  <w:tcBorders>
                    <w:tl2br w:val="nil"/>
                    <w:tr2bl w:val="nil"/>
                  </w:tcBorders>
                  <w:vAlign w:val="center"/>
                </w:tcPr>
                <w:p w14:paraId="1243DE8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59827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79" w:type="dxa"/>
                  <w:vMerge w:val="continue"/>
                  <w:tcBorders>
                    <w:tl2br w:val="nil"/>
                    <w:tr2bl w:val="nil"/>
                  </w:tcBorders>
                  <w:vAlign w:val="center"/>
                </w:tcPr>
                <w:p w14:paraId="3635DFF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c>
                <w:tcPr>
                  <w:tcW w:w="1120" w:type="dxa"/>
                  <w:tcBorders>
                    <w:tl2br w:val="nil"/>
                    <w:tr2bl w:val="nil"/>
                  </w:tcBorders>
                  <w:vAlign w:val="center"/>
                </w:tcPr>
                <w:p w14:paraId="78BEDFE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办公楼</w:t>
                  </w:r>
                </w:p>
              </w:tc>
              <w:tc>
                <w:tcPr>
                  <w:tcW w:w="5662" w:type="dxa"/>
                  <w:gridSpan w:val="3"/>
                  <w:tcBorders>
                    <w:tl2br w:val="nil"/>
                    <w:tr2bl w:val="nil"/>
                  </w:tcBorders>
                  <w:vAlign w:val="center"/>
                </w:tcPr>
                <w:p w14:paraId="341CD6B7">
                  <w:pPr>
                    <w:pStyle w:val="57"/>
                    <w:keepNext w:val="0"/>
                    <w:keepLines w:val="0"/>
                    <w:pageBreakBefore w:val="0"/>
                    <w:kinsoku/>
                    <w:wordWrap/>
                    <w:overflowPunct/>
                    <w:topLinePunct/>
                    <w:autoSpaceDE w:val="0"/>
                    <w:bidi w:val="0"/>
                    <w:spacing w:line="240" w:lineRule="auto"/>
                    <w:ind w:left="0"/>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办公楼</w:t>
                  </w:r>
                  <w:r>
                    <w:rPr>
                      <w:rFonts w:hint="default" w:ascii="Times New Roman" w:hAnsi="Times New Roman" w:eastAsia="宋体" w:cs="Times New Roman"/>
                      <w:color w:val="auto"/>
                      <w:spacing w:val="7"/>
                      <w:sz w:val="21"/>
                      <w:szCs w:val="21"/>
                      <w:highlight w:val="none"/>
                      <w:lang w:val="en-US" w:eastAsia="zh-CN"/>
                    </w:rPr>
                    <w:t>地上3F，钢筋混凝土全框架结构，</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3"/>
                      <w:sz w:val="21"/>
                      <w:szCs w:val="21"/>
                      <w:highlight w:val="none"/>
                    </w:rPr>
                    <w:t>占</w:t>
                  </w:r>
                  <w:r>
                    <w:rPr>
                      <w:rFonts w:hint="default" w:ascii="Times New Roman" w:hAnsi="Times New Roman" w:eastAsia="宋体" w:cs="Times New Roman"/>
                      <w:color w:val="auto"/>
                      <w:spacing w:val="7"/>
                      <w:sz w:val="21"/>
                      <w:szCs w:val="21"/>
                      <w:highlight w:val="none"/>
                      <w:lang w:eastAsia="zh-CN"/>
                    </w:rPr>
                    <w:t>地面积</w:t>
                  </w:r>
                  <w:r>
                    <w:rPr>
                      <w:rFonts w:hint="eastAsia" w:ascii="Times New Roman" w:hAnsi="Times New Roman" w:eastAsia="宋体" w:cs="Times New Roman"/>
                      <w:color w:val="auto"/>
                      <w:spacing w:val="7"/>
                      <w:sz w:val="21"/>
                      <w:szCs w:val="21"/>
                      <w:highlight w:val="none"/>
                      <w:lang w:val="en-US" w:eastAsia="zh-CN"/>
                    </w:rPr>
                    <w:t>430.03</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lang w:val="en-US" w:eastAsia="zh-CN"/>
                    </w:rPr>
                    <w:t>建筑面积</w:t>
                  </w:r>
                  <w:r>
                    <w:rPr>
                      <w:rFonts w:hint="eastAsia" w:ascii="Times New Roman" w:hAnsi="Times New Roman" w:eastAsia="宋体" w:cs="Times New Roman"/>
                      <w:color w:val="auto"/>
                      <w:spacing w:val="3"/>
                      <w:sz w:val="21"/>
                      <w:szCs w:val="21"/>
                      <w:highlight w:val="none"/>
                      <w:lang w:val="en-US" w:eastAsia="zh-CN"/>
                    </w:rPr>
                    <w:t>1290.09</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高度1</w:t>
                  </w:r>
                  <w:r>
                    <w:rPr>
                      <w:rFonts w:hint="eastAsia" w:ascii="Times New Roman" w:hAnsi="Times New Roman" w:eastAsia="宋体" w:cs="Times New Roman"/>
                      <w:color w:val="auto"/>
                      <w:spacing w:val="7"/>
                      <w:sz w:val="21"/>
                      <w:szCs w:val="21"/>
                      <w:highlight w:val="none"/>
                      <w:lang w:val="en-US" w:eastAsia="zh-CN"/>
                    </w:rPr>
                    <w:t>4.2</w:t>
                  </w:r>
                  <w:r>
                    <w:rPr>
                      <w:rFonts w:hint="default" w:ascii="Times New Roman" w:hAnsi="Times New Roman" w:eastAsia="宋体" w:cs="Times New Roman"/>
                      <w:color w:val="auto"/>
                      <w:spacing w:val="7"/>
                      <w:sz w:val="21"/>
                      <w:szCs w:val="21"/>
                      <w:highlight w:val="none"/>
                      <w:lang w:val="en-US" w:eastAsia="zh-CN"/>
                    </w:rPr>
                    <w:t>m。</w:t>
                  </w:r>
                </w:p>
              </w:tc>
              <w:tc>
                <w:tcPr>
                  <w:tcW w:w="674" w:type="dxa"/>
                  <w:tcBorders>
                    <w:tl2br w:val="nil"/>
                    <w:tr2bl w:val="nil"/>
                  </w:tcBorders>
                  <w:vAlign w:val="center"/>
                </w:tcPr>
                <w:p w14:paraId="6DB25A1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1808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1D4B1A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c>
                <w:tcPr>
                  <w:tcW w:w="1120" w:type="dxa"/>
                  <w:tcBorders>
                    <w:tl2br w:val="nil"/>
                    <w:tr2bl w:val="nil"/>
                  </w:tcBorders>
                  <w:shd w:val="clear" w:color="auto" w:fill="auto"/>
                  <w:vAlign w:val="center"/>
                </w:tcPr>
                <w:p w14:paraId="69D6CE7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门卫</w:t>
                  </w:r>
                </w:p>
              </w:tc>
              <w:tc>
                <w:tcPr>
                  <w:tcW w:w="5662" w:type="dxa"/>
                  <w:gridSpan w:val="3"/>
                  <w:tcBorders>
                    <w:tl2br w:val="nil"/>
                    <w:tr2bl w:val="nil"/>
                  </w:tcBorders>
                  <w:shd w:val="clear" w:color="auto" w:fill="auto"/>
                  <w:vAlign w:val="center"/>
                </w:tcPr>
                <w:p w14:paraId="1A0BC70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于项目东侧出入口设置门卫，1F，</w:t>
                  </w:r>
                  <w:r>
                    <w:rPr>
                      <w:rFonts w:hint="default" w:ascii="Times New Roman" w:hAnsi="Times New Roman" w:eastAsia="宋体" w:cs="Times New Roman"/>
                      <w:color w:val="auto"/>
                      <w:spacing w:val="3"/>
                      <w:sz w:val="21"/>
                      <w:szCs w:val="21"/>
                      <w:highlight w:val="none"/>
                    </w:rPr>
                    <w:t>占</w:t>
                  </w:r>
                  <w:r>
                    <w:rPr>
                      <w:rFonts w:hint="default" w:ascii="Times New Roman" w:hAnsi="Times New Roman" w:eastAsia="宋体" w:cs="Times New Roman"/>
                      <w:color w:val="auto"/>
                      <w:spacing w:val="7"/>
                      <w:sz w:val="21"/>
                      <w:szCs w:val="21"/>
                      <w:highlight w:val="none"/>
                      <w:lang w:eastAsia="zh-CN"/>
                    </w:rPr>
                    <w:t>地面积</w:t>
                  </w:r>
                  <w:r>
                    <w:rPr>
                      <w:rFonts w:hint="default" w:ascii="Times New Roman" w:hAnsi="Times New Roman" w:eastAsia="宋体" w:cs="Times New Roman"/>
                      <w:color w:val="auto"/>
                      <w:spacing w:val="7"/>
                      <w:sz w:val="21"/>
                      <w:szCs w:val="21"/>
                      <w:highlight w:val="none"/>
                      <w:lang w:val="en-US" w:eastAsia="zh-CN"/>
                    </w:rPr>
                    <w:t>约</w:t>
                  </w:r>
                  <w:r>
                    <w:rPr>
                      <w:rFonts w:hint="default" w:ascii="Times New Roman" w:hAnsi="Times New Roman" w:cs="Times New Roman"/>
                      <w:color w:val="auto"/>
                      <w:spacing w:val="3"/>
                      <w:sz w:val="21"/>
                      <w:szCs w:val="21"/>
                      <w:highlight w:val="none"/>
                      <w:lang w:val="en-US" w:eastAsia="zh-CN"/>
                    </w:rPr>
                    <w:t>57.96</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lang w:val="en-US" w:eastAsia="zh-CN"/>
                    </w:rPr>
                    <w:t>，建筑面积</w:t>
                  </w:r>
                  <w:r>
                    <w:rPr>
                      <w:rFonts w:hint="default" w:ascii="Times New Roman" w:hAnsi="Times New Roman" w:cs="Times New Roman"/>
                      <w:color w:val="auto"/>
                      <w:spacing w:val="3"/>
                      <w:sz w:val="21"/>
                      <w:szCs w:val="21"/>
                      <w:highlight w:val="none"/>
                      <w:lang w:val="en-US" w:eastAsia="zh-CN"/>
                    </w:rPr>
                    <w:t>57.96</w:t>
                  </w:r>
                  <w:r>
                    <w:rPr>
                      <w:rFonts w:hint="default" w:ascii="Times New Roman" w:hAnsi="Times New Roman" w:eastAsia="宋体" w:cs="Times New Roman"/>
                      <w:color w:val="auto"/>
                      <w:spacing w:val="7"/>
                      <w:sz w:val="21"/>
                      <w:szCs w:val="21"/>
                      <w:highlight w:val="none"/>
                      <w:lang w:eastAsia="zh-CN"/>
                    </w:rPr>
                    <w:t>m</w:t>
                  </w:r>
                  <w:r>
                    <w:rPr>
                      <w:rFonts w:hint="default" w:ascii="Times New Roman" w:hAnsi="Times New Roman" w:eastAsia="宋体" w:cs="Times New Roman"/>
                      <w:color w:val="auto"/>
                      <w:spacing w:val="7"/>
                      <w:sz w:val="21"/>
                      <w:szCs w:val="21"/>
                      <w:highlight w:val="none"/>
                      <w:vertAlign w:val="superscript"/>
                      <w:lang w:eastAsia="zh-CN"/>
                    </w:rPr>
                    <w:t>2</w:t>
                  </w:r>
                  <w:r>
                    <w:rPr>
                      <w:rFonts w:hint="default"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7"/>
                      <w:sz w:val="21"/>
                      <w:szCs w:val="21"/>
                      <w:highlight w:val="none"/>
                      <w:lang w:val="en-US" w:eastAsia="zh-CN"/>
                    </w:rPr>
                    <w:t>高度4.0m</w:t>
                  </w:r>
                  <w:r>
                    <w:rPr>
                      <w:rFonts w:hint="default" w:ascii="Times New Roman" w:hAnsi="Times New Roman" w:eastAsia="宋体" w:cs="Times New Roman"/>
                      <w:color w:val="auto"/>
                      <w:spacing w:val="7"/>
                      <w:sz w:val="21"/>
                      <w:szCs w:val="21"/>
                      <w:highlight w:val="none"/>
                      <w:lang w:eastAsia="zh-CN"/>
                    </w:rPr>
                    <w:t>。</w:t>
                  </w:r>
                </w:p>
              </w:tc>
              <w:tc>
                <w:tcPr>
                  <w:tcW w:w="674" w:type="dxa"/>
                  <w:tcBorders>
                    <w:tl2br w:val="nil"/>
                    <w:tr2bl w:val="nil"/>
                  </w:tcBorders>
                  <w:vAlign w:val="center"/>
                </w:tcPr>
                <w:p w14:paraId="40D6229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6CF4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2D3175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450F378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污水处理池</w:t>
                  </w:r>
                </w:p>
              </w:tc>
              <w:tc>
                <w:tcPr>
                  <w:tcW w:w="5662" w:type="dxa"/>
                  <w:gridSpan w:val="3"/>
                  <w:tcBorders>
                    <w:tl2br w:val="nil"/>
                    <w:tr2bl w:val="nil"/>
                  </w:tcBorders>
                  <w:vAlign w:val="center"/>
                </w:tcPr>
                <w:p w14:paraId="3955C88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规划设计污水处理区域，</w:t>
                  </w:r>
                  <w:r>
                    <w:rPr>
                      <w:rFonts w:hint="default" w:ascii="Times New Roman" w:hAnsi="Times New Roman" w:eastAsia="宋体" w:cs="Times New Roman"/>
                      <w:color w:val="auto"/>
                      <w:spacing w:val="7"/>
                      <w:sz w:val="21"/>
                      <w:szCs w:val="21"/>
                      <w:highlight w:val="none"/>
                      <w:lang w:val="en-US" w:eastAsia="zh-CN"/>
                    </w:rPr>
                    <w:t>主要布置</w:t>
                  </w:r>
                  <w:r>
                    <w:rPr>
                      <w:rFonts w:hint="default" w:ascii="Times New Roman" w:hAnsi="Times New Roman" w:eastAsia="宋体" w:cs="Times New Roman"/>
                      <w:i w:val="0"/>
                      <w:iCs w:val="0"/>
                      <w:color w:val="auto"/>
                      <w:kern w:val="0"/>
                      <w:sz w:val="21"/>
                      <w:szCs w:val="21"/>
                      <w:highlight w:val="none"/>
                      <w:u w:val="none"/>
                      <w:lang w:val="en-US" w:eastAsia="zh-CN" w:bidi="ar"/>
                    </w:rPr>
                    <w:t>磨抛循环</w:t>
                  </w:r>
                  <w:r>
                    <w:rPr>
                      <w:rFonts w:hint="eastAsia" w:ascii="Times New Roman" w:hAnsi="Times New Roman" w:eastAsia="宋体" w:cs="Times New Roman"/>
                      <w:i w:val="0"/>
                      <w:iCs w:val="0"/>
                      <w:color w:val="auto"/>
                      <w:kern w:val="0"/>
                      <w:sz w:val="21"/>
                      <w:szCs w:val="21"/>
                      <w:highlight w:val="none"/>
                      <w:u w:val="none"/>
                      <w:lang w:val="en-US" w:eastAsia="zh-CN" w:bidi="ar"/>
                    </w:rPr>
                    <w:t>水</w:t>
                  </w:r>
                  <w:r>
                    <w:rPr>
                      <w:rFonts w:hint="default" w:ascii="Times New Roman" w:hAnsi="Times New Roman" w:eastAsia="宋体" w:cs="Times New Roman"/>
                      <w:i w:val="0"/>
                      <w:iCs w:val="0"/>
                      <w:color w:val="auto"/>
                      <w:kern w:val="0"/>
                      <w:sz w:val="21"/>
                      <w:szCs w:val="21"/>
                      <w:highlight w:val="none"/>
                      <w:u w:val="none"/>
                      <w:lang w:val="en-US" w:eastAsia="zh-CN" w:bidi="ar"/>
                    </w:rPr>
                    <w:t>池、圆磨循环</w:t>
                  </w:r>
                  <w:r>
                    <w:rPr>
                      <w:rFonts w:hint="eastAsia" w:ascii="Times New Roman" w:hAnsi="Times New Roman" w:eastAsia="宋体" w:cs="Times New Roman"/>
                      <w:i w:val="0"/>
                      <w:iCs w:val="0"/>
                      <w:color w:val="auto"/>
                      <w:kern w:val="0"/>
                      <w:sz w:val="21"/>
                      <w:szCs w:val="21"/>
                      <w:highlight w:val="none"/>
                      <w:u w:val="none"/>
                      <w:lang w:val="en-US" w:eastAsia="zh-CN" w:bidi="ar"/>
                    </w:rPr>
                    <w:t>水</w:t>
                  </w:r>
                  <w:r>
                    <w:rPr>
                      <w:rFonts w:hint="default" w:ascii="Times New Roman" w:hAnsi="Times New Roman" w:eastAsia="宋体" w:cs="Times New Roman"/>
                      <w:i w:val="0"/>
                      <w:iCs w:val="0"/>
                      <w:color w:val="auto"/>
                      <w:kern w:val="0"/>
                      <w:sz w:val="21"/>
                      <w:szCs w:val="21"/>
                      <w:highlight w:val="none"/>
                      <w:u w:val="none"/>
                      <w:lang w:val="en-US" w:eastAsia="zh-CN" w:bidi="ar"/>
                    </w:rPr>
                    <w:t>池、</w:t>
                  </w:r>
                  <w:r>
                    <w:rPr>
                      <w:rFonts w:hint="default" w:ascii="Times New Roman" w:hAnsi="Times New Roman" w:eastAsia="宋体" w:cs="Times New Roman"/>
                      <w:color w:val="auto"/>
                      <w:spacing w:val="3"/>
                      <w:sz w:val="21"/>
                      <w:szCs w:val="21"/>
                      <w:highlight w:val="none"/>
                      <w:lang w:val="en-US" w:eastAsia="zh-CN"/>
                    </w:rPr>
                    <w:t>生化污水处理站、事故池</w:t>
                  </w:r>
                  <w:r>
                    <w:rPr>
                      <w:rFonts w:hint="eastAsia" w:ascii="Times New Roman" w:hAnsi="Times New Roman" w:eastAsia="宋体" w:cs="Times New Roman"/>
                      <w:color w:val="auto"/>
                      <w:spacing w:val="3"/>
                      <w:sz w:val="21"/>
                      <w:szCs w:val="21"/>
                      <w:highlight w:val="none"/>
                      <w:lang w:val="en-US" w:eastAsia="zh-CN"/>
                    </w:rPr>
                    <w:t>等</w:t>
                  </w:r>
                  <w:r>
                    <w:rPr>
                      <w:rFonts w:hint="default" w:ascii="Times New Roman" w:hAnsi="Times New Roman" w:eastAsia="宋体" w:cs="Times New Roman"/>
                      <w:color w:val="auto"/>
                      <w:spacing w:val="3"/>
                      <w:sz w:val="21"/>
                      <w:szCs w:val="21"/>
                      <w:highlight w:val="none"/>
                      <w:lang w:val="en-US" w:eastAsia="zh-CN"/>
                    </w:rPr>
                    <w:t>。</w:t>
                  </w:r>
                </w:p>
              </w:tc>
              <w:tc>
                <w:tcPr>
                  <w:tcW w:w="674" w:type="dxa"/>
                  <w:tcBorders>
                    <w:tl2br w:val="nil"/>
                    <w:tr2bl w:val="nil"/>
                  </w:tcBorders>
                  <w:vAlign w:val="center"/>
                </w:tcPr>
                <w:p w14:paraId="285AB75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7F454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restart"/>
                  <w:tcBorders>
                    <w:tl2br w:val="nil"/>
                    <w:tr2bl w:val="nil"/>
                  </w:tcBorders>
                  <w:vAlign w:val="center"/>
                </w:tcPr>
                <w:p w14:paraId="34A0CD9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公用</w:t>
                  </w:r>
                  <w:r>
                    <w:rPr>
                      <w:rFonts w:hint="default" w:ascii="Times New Roman" w:hAnsi="Times New Roman" w:eastAsia="宋体" w:cs="Times New Roman"/>
                      <w:color w:val="auto"/>
                      <w:spacing w:val="3"/>
                      <w:sz w:val="21"/>
                      <w:szCs w:val="21"/>
                      <w:highlight w:val="none"/>
                    </w:rPr>
                    <w:t>工程</w:t>
                  </w:r>
                </w:p>
              </w:tc>
              <w:tc>
                <w:tcPr>
                  <w:tcW w:w="1120" w:type="dxa"/>
                  <w:tcBorders>
                    <w:tl2br w:val="nil"/>
                    <w:tr2bl w:val="nil"/>
                  </w:tcBorders>
                  <w:vAlign w:val="center"/>
                </w:tcPr>
                <w:p w14:paraId="67BB8B4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给水系统</w:t>
                  </w:r>
                </w:p>
              </w:tc>
              <w:tc>
                <w:tcPr>
                  <w:tcW w:w="5662" w:type="dxa"/>
                  <w:gridSpan w:val="3"/>
                  <w:tcBorders>
                    <w:tl2br w:val="nil"/>
                    <w:tr2bl w:val="nil"/>
                  </w:tcBorders>
                  <w:vAlign w:val="center"/>
                </w:tcPr>
                <w:p w14:paraId="45790D0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sz w:val="21"/>
                      <w:szCs w:val="21"/>
                      <w:highlight w:val="none"/>
                      <w:lang w:val="en-US" w:eastAsia="zh-CN"/>
                    </w:rPr>
                    <w:t>由园区市政供水管网</w:t>
                  </w:r>
                  <w:r>
                    <w:rPr>
                      <w:rFonts w:hint="default" w:ascii="Times New Roman" w:hAnsi="Times New Roman" w:eastAsia="宋体" w:cs="Times New Roman"/>
                      <w:b w:val="0"/>
                      <w:bCs w:val="0"/>
                      <w:strike w:val="0"/>
                      <w:dstrike w:val="0"/>
                      <w:color w:val="auto"/>
                      <w:sz w:val="21"/>
                      <w:szCs w:val="21"/>
                      <w:highlight w:val="none"/>
                      <w:lang w:val="en-US" w:eastAsia="zh-CN"/>
                    </w:rPr>
                    <w:t>供应</w:t>
                  </w:r>
                  <w:r>
                    <w:rPr>
                      <w:rFonts w:hint="default" w:ascii="Times New Roman" w:hAnsi="Times New Roman" w:eastAsia="宋体" w:cs="Times New Roman"/>
                      <w:color w:val="auto"/>
                      <w:spacing w:val="9"/>
                      <w:sz w:val="21"/>
                      <w:szCs w:val="21"/>
                      <w:highlight w:val="none"/>
                      <w:lang w:val="en-US" w:eastAsia="zh-CN"/>
                    </w:rPr>
                    <w:t>，项目区内</w:t>
                  </w:r>
                  <w:r>
                    <w:rPr>
                      <w:rFonts w:hint="default" w:ascii="Times New Roman" w:hAnsi="Times New Roman" w:eastAsia="宋体" w:cs="Times New Roman"/>
                      <w:color w:val="auto"/>
                      <w:spacing w:val="9"/>
                      <w:sz w:val="21"/>
                      <w:szCs w:val="21"/>
                      <w:highlight w:val="none"/>
                      <w:lang w:eastAsia="zh-CN"/>
                    </w:rPr>
                    <w:t>配套生活、生产、消防给水管网。</w:t>
                  </w:r>
                </w:p>
              </w:tc>
              <w:tc>
                <w:tcPr>
                  <w:tcW w:w="674" w:type="dxa"/>
                  <w:tcBorders>
                    <w:tl2br w:val="nil"/>
                    <w:tr2bl w:val="nil"/>
                  </w:tcBorders>
                  <w:vAlign w:val="center"/>
                </w:tcPr>
                <w:p w14:paraId="562F4DB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9"/>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589F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6D82F48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vAlign w:val="center"/>
                </w:tcPr>
                <w:p w14:paraId="42A0AD7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排水系统</w:t>
                  </w:r>
                </w:p>
              </w:tc>
              <w:tc>
                <w:tcPr>
                  <w:tcW w:w="5662" w:type="dxa"/>
                  <w:gridSpan w:val="3"/>
                  <w:tcBorders>
                    <w:tl2br w:val="nil"/>
                    <w:tr2bl w:val="nil"/>
                  </w:tcBorders>
                  <w:vAlign w:val="center"/>
                </w:tcPr>
                <w:p w14:paraId="4F3AA1A7">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b w:val="0"/>
                      <w:bCs w:val="0"/>
                      <w:strike w:val="0"/>
                      <w:dstrike w:val="0"/>
                      <w:color w:val="auto"/>
                      <w:sz w:val="21"/>
                      <w:szCs w:val="21"/>
                      <w:highlight w:val="none"/>
                      <w:lang w:eastAsia="zh-CN"/>
                    </w:rPr>
                    <w:t>项目实行雨污分流制；厂区雨水经雨水沟收集后，汇入园区雨水管网，</w:t>
                  </w:r>
                  <w:r>
                    <w:rPr>
                      <w:rFonts w:hint="default" w:ascii="Times New Roman" w:hAnsi="Times New Roman" w:eastAsia="宋体" w:cs="Times New Roman"/>
                      <w:b w:val="0"/>
                      <w:bCs w:val="0"/>
                      <w:strike w:val="0"/>
                      <w:dstrike w:val="0"/>
                      <w:color w:val="auto"/>
                      <w:sz w:val="21"/>
                      <w:szCs w:val="21"/>
                      <w:highlight w:val="none"/>
                      <w:lang w:val="en-US" w:eastAsia="zh-CN"/>
                    </w:rPr>
                    <w:t>初期雨水经初期雨水沉淀池收集沉淀处理后晴天用于厂区绿化、道路洒水降尘，雨天储存，不外排</w:t>
                  </w:r>
                  <w:r>
                    <w:rPr>
                      <w:rFonts w:hint="default" w:ascii="Times New Roman" w:hAnsi="Times New Roman" w:eastAsia="宋体" w:cs="Times New Roman"/>
                      <w:b w:val="0"/>
                      <w:bCs w:val="0"/>
                      <w:strike w:val="0"/>
                      <w:dstrike w:val="0"/>
                      <w:color w:val="auto"/>
                      <w:sz w:val="21"/>
                      <w:szCs w:val="21"/>
                      <w:highlight w:val="none"/>
                      <w:lang w:eastAsia="zh-CN"/>
                    </w:rPr>
                    <w:t>。</w:t>
                  </w:r>
                </w:p>
                <w:p w14:paraId="322787C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eastAsia="宋体" w:cs="Times New Roman"/>
                      <w:color w:val="auto"/>
                      <w:spacing w:val="9"/>
                      <w:sz w:val="21"/>
                      <w:szCs w:val="21"/>
                      <w:highlight w:val="none"/>
                      <w:lang w:val="en-US" w:eastAsia="zh-CN"/>
                    </w:rPr>
                    <w:t>生产废水：</w:t>
                  </w:r>
                  <w:r>
                    <w:rPr>
                      <w:rFonts w:hint="default" w:ascii="Times New Roman" w:hAnsi="Times New Roman" w:eastAsia="宋体" w:cs="Times New Roman"/>
                      <w:color w:val="auto"/>
                      <w:spacing w:val="-3"/>
                      <w:sz w:val="21"/>
                      <w:szCs w:val="21"/>
                      <w:highlight w:val="none"/>
                    </w:rPr>
                    <w:t>厂区</w:t>
                  </w:r>
                  <w:r>
                    <w:rPr>
                      <w:rFonts w:hint="eastAsia" w:ascii="Times New Roman" w:hAnsi="Times New Roman" w:eastAsia="宋体"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ascii="Times New Roman" w:hAnsi="Times New Roman" w:eastAsia="宋体"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w:t>
                  </w:r>
                  <w:r>
                    <w:rPr>
                      <w:rFonts w:hint="default" w:ascii="Times New Roman" w:hAnsi="Times New Roman" w:eastAsia="宋体" w:cs="Times New Roman"/>
                      <w:color w:val="auto"/>
                      <w:spacing w:val="-3"/>
                      <w:sz w:val="21"/>
                      <w:szCs w:val="21"/>
                      <w:highlight w:val="none"/>
                      <w:lang w:val="en-US" w:eastAsia="zh-CN"/>
                    </w:rPr>
                    <w:t>生产</w:t>
                  </w:r>
                  <w:r>
                    <w:rPr>
                      <w:rFonts w:hint="default" w:ascii="Times New Roman" w:hAnsi="Times New Roman" w:eastAsia="宋体" w:cs="Times New Roman"/>
                      <w:color w:val="auto"/>
                      <w:spacing w:val="-3"/>
                      <w:sz w:val="21"/>
                      <w:szCs w:val="21"/>
                      <w:highlight w:val="none"/>
                    </w:rPr>
                    <w:t>废水一起经厂区生化污水处理站处理，</w:t>
                  </w:r>
                  <w:r>
                    <w:rPr>
                      <w:rFonts w:hint="default" w:ascii="Times New Roman" w:hAnsi="Times New Roman" w:eastAsia="宋体" w:cs="Times New Roman"/>
                      <w:color w:val="auto"/>
                      <w:spacing w:val="27"/>
                      <w:sz w:val="21"/>
                      <w:szCs w:val="21"/>
                      <w:highlight w:val="none"/>
                      <w:lang w:val="en-US" w:eastAsia="zh-CN"/>
                    </w:rPr>
                    <w:t>在生化</w:t>
                  </w:r>
                  <w:r>
                    <w:rPr>
                      <w:rFonts w:hint="default" w:ascii="Times New Roman" w:hAnsi="Times New Roman" w:eastAsia="宋体" w:cs="Times New Roman"/>
                      <w:color w:val="auto"/>
                      <w:spacing w:val="7"/>
                      <w:sz w:val="21"/>
                      <w:szCs w:val="21"/>
                      <w:highlight w:val="none"/>
                      <w:lang w:eastAsia="zh-CN"/>
                    </w:rPr>
                    <w:t>各指标</w:t>
                  </w:r>
                  <w:r>
                    <w:rPr>
                      <w:rFonts w:hint="default" w:ascii="Times New Roman" w:hAnsi="Times New Roman" w:eastAsia="宋体" w:cs="Times New Roman"/>
                      <w:color w:val="auto"/>
                      <w:spacing w:val="6"/>
                      <w:sz w:val="21"/>
                      <w:szCs w:val="21"/>
                      <w:highlight w:val="none"/>
                      <w:lang w:eastAsia="zh-CN"/>
                    </w:rPr>
                    <w:t>在满足</w:t>
                  </w:r>
                  <w:r>
                    <w:rPr>
                      <w:rFonts w:hint="default" w:ascii="Times New Roman" w:hAnsi="Times New Roman" w:eastAsia="宋体" w:cs="Times New Roman"/>
                      <w:color w:val="auto"/>
                      <w:spacing w:val="4"/>
                      <w:sz w:val="21"/>
                      <w:szCs w:val="21"/>
                      <w:highlight w:val="none"/>
                      <w:lang w:eastAsia="zh-CN"/>
                    </w:rPr>
                    <w:t>《污</w:t>
                  </w:r>
                  <w:r>
                    <w:rPr>
                      <w:rFonts w:hint="default" w:ascii="Times New Roman" w:hAnsi="Times New Roman" w:eastAsia="宋体" w:cs="Times New Roman"/>
                      <w:color w:val="auto"/>
                      <w:spacing w:val="3"/>
                      <w:sz w:val="21"/>
                      <w:szCs w:val="21"/>
                      <w:highlight w:val="none"/>
                      <w:lang w:eastAsia="zh-CN"/>
                    </w:rPr>
                    <w:t>水综合排放标准》（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3"/>
                      <w:sz w:val="21"/>
                      <w:szCs w:val="21"/>
                      <w:highlight w:val="none"/>
                      <w:lang w:eastAsia="zh-CN"/>
                    </w:rPr>
                    <w:t>8978-1996）</w:t>
                  </w:r>
                  <w:r>
                    <w:rPr>
                      <w:rFonts w:hint="default" w:ascii="Times New Roman" w:hAnsi="Times New Roman" w:eastAsia="宋体" w:cs="Times New Roman"/>
                      <w:color w:val="auto"/>
                      <w:spacing w:val="8"/>
                      <w:sz w:val="21"/>
                      <w:szCs w:val="21"/>
                      <w:highlight w:val="none"/>
                      <w:lang w:eastAsia="zh-CN"/>
                    </w:rPr>
                    <w:t>表4中三级标准限值、</w:t>
                  </w:r>
                  <w:r>
                    <w:rPr>
                      <w:rFonts w:hint="default" w:ascii="Times New Roman" w:hAnsi="Times New Roman" w:eastAsia="宋体" w:cs="Times New Roman"/>
                      <w:color w:val="auto"/>
                      <w:spacing w:val="6"/>
                      <w:sz w:val="21"/>
                      <w:szCs w:val="21"/>
                      <w:highlight w:val="none"/>
                      <w:lang w:eastAsia="zh-CN"/>
                    </w:rPr>
                    <w:t>《污水排入城</w:t>
                  </w:r>
                  <w:r>
                    <w:rPr>
                      <w:rFonts w:hint="default" w:ascii="Times New Roman" w:hAnsi="Times New Roman" w:eastAsia="宋体" w:cs="Times New Roman"/>
                      <w:color w:val="auto"/>
                      <w:spacing w:val="9"/>
                      <w:sz w:val="21"/>
                      <w:szCs w:val="21"/>
                      <w:highlight w:val="none"/>
                      <w:lang w:eastAsia="zh-CN"/>
                    </w:rPr>
                    <w:t>镇下水道水质标准》（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9"/>
                      <w:sz w:val="21"/>
                      <w:szCs w:val="21"/>
                      <w:highlight w:val="none"/>
                      <w:lang w:eastAsia="zh-CN"/>
                    </w:rPr>
                    <w:t>/T31962-2015）中A级标准</w:t>
                  </w:r>
                  <w:r>
                    <w:rPr>
                      <w:rFonts w:hint="default" w:ascii="Times New Roman" w:hAnsi="Times New Roman" w:eastAsia="宋体" w:cs="Times New Roman"/>
                      <w:color w:val="auto"/>
                      <w:spacing w:val="-3"/>
                      <w:sz w:val="21"/>
                      <w:szCs w:val="21"/>
                      <w:highlight w:val="none"/>
                    </w:rPr>
                    <w:t>及</w:t>
                  </w:r>
                  <w:r>
                    <w:rPr>
                      <w:rFonts w:hint="default" w:ascii="Times New Roman" w:hAnsi="Times New Roman" w:eastAsia="宋体" w:cs="Times New Roman"/>
                      <w:color w:val="auto"/>
                      <w:spacing w:val="-3"/>
                      <w:sz w:val="21"/>
                      <w:szCs w:val="21"/>
                      <w:highlight w:val="none"/>
                      <w:lang w:val="en-US" w:eastAsia="zh-CN"/>
                    </w:rPr>
                    <w:t>污水处理厂进水水质要求后</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9"/>
                      <w:sz w:val="21"/>
                      <w:szCs w:val="21"/>
                      <w:highlight w:val="none"/>
                      <w:lang w:eastAsia="zh-CN"/>
                    </w:rPr>
                    <w:t>通过废水</w:t>
                  </w:r>
                  <w:r>
                    <w:rPr>
                      <w:rFonts w:hint="default" w:ascii="Times New Roman" w:hAnsi="Times New Roman" w:eastAsia="宋体" w:cs="Times New Roman"/>
                      <w:color w:val="auto"/>
                      <w:spacing w:val="9"/>
                      <w:sz w:val="21"/>
                      <w:szCs w:val="21"/>
                      <w:highlight w:val="none"/>
                      <w:lang w:val="en-US" w:eastAsia="zh-CN"/>
                    </w:rPr>
                    <w:t>总</w:t>
                  </w:r>
                  <w:r>
                    <w:rPr>
                      <w:rFonts w:hint="default" w:ascii="Times New Roman" w:hAnsi="Times New Roman" w:eastAsia="宋体" w:cs="Times New Roman"/>
                      <w:color w:val="auto"/>
                      <w:spacing w:val="8"/>
                      <w:sz w:val="21"/>
                      <w:szCs w:val="21"/>
                      <w:highlight w:val="none"/>
                      <w:lang w:eastAsia="zh-CN"/>
                    </w:rPr>
                    <w:t>排口进入废水接纳管网排放至</w:t>
                  </w:r>
                  <w:r>
                    <w:rPr>
                      <w:rFonts w:hint="default" w:ascii="Times New Roman" w:hAnsi="Times New Roman" w:eastAsia="宋体" w:cs="Times New Roman"/>
                      <w:color w:val="auto"/>
                      <w:spacing w:val="8"/>
                      <w:sz w:val="21"/>
                      <w:szCs w:val="21"/>
                      <w:highlight w:val="none"/>
                      <w:lang w:val="en-US" w:eastAsia="zh-CN"/>
                    </w:rPr>
                    <w:t>云南易门产业园区六街和麦子田片区集中式生活污水处理厂</w:t>
                  </w:r>
                  <w:r>
                    <w:rPr>
                      <w:rFonts w:hint="default" w:ascii="Times New Roman" w:hAnsi="Times New Roman" w:eastAsia="宋体" w:cs="Times New Roman"/>
                      <w:color w:val="auto"/>
                      <w:spacing w:val="4"/>
                      <w:sz w:val="21"/>
                      <w:szCs w:val="21"/>
                      <w:highlight w:val="none"/>
                      <w:lang w:eastAsia="zh-CN"/>
                    </w:rPr>
                    <w:t>处理。</w:t>
                  </w:r>
                </w:p>
                <w:p w14:paraId="647E7AA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4"/>
                      <w:sz w:val="21"/>
                      <w:szCs w:val="21"/>
                      <w:highlight w:val="none"/>
                      <w:lang w:val="en-US" w:eastAsia="zh-CN"/>
                    </w:rPr>
                    <w:t>生活污水：</w:t>
                  </w:r>
                  <w:r>
                    <w:rPr>
                      <w:rFonts w:hint="default" w:ascii="Times New Roman" w:hAnsi="Times New Roman" w:eastAsia="宋体" w:cs="Times New Roman"/>
                      <w:color w:val="auto"/>
                      <w:spacing w:val="4"/>
                      <w:sz w:val="21"/>
                      <w:szCs w:val="21"/>
                      <w:highlight w:val="none"/>
                      <w:lang w:eastAsia="zh-CN"/>
                    </w:rPr>
                    <w:t>食堂废水经隔油池处理后同其他生活污水一起经化粪池预处理达到《污</w:t>
                  </w:r>
                  <w:r>
                    <w:rPr>
                      <w:rFonts w:hint="default" w:ascii="Times New Roman" w:hAnsi="Times New Roman" w:eastAsia="宋体" w:cs="Times New Roman"/>
                      <w:color w:val="auto"/>
                      <w:spacing w:val="3"/>
                      <w:sz w:val="21"/>
                      <w:szCs w:val="21"/>
                      <w:highlight w:val="none"/>
                      <w:lang w:eastAsia="zh-CN"/>
                    </w:rPr>
                    <w:t>水综合排放标准》（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3"/>
                      <w:sz w:val="21"/>
                      <w:szCs w:val="21"/>
                      <w:highlight w:val="none"/>
                      <w:lang w:eastAsia="zh-CN"/>
                    </w:rPr>
                    <w:t>8978-1996）</w:t>
                  </w:r>
                  <w:r>
                    <w:rPr>
                      <w:rFonts w:hint="default" w:ascii="Times New Roman" w:hAnsi="Times New Roman" w:eastAsia="宋体" w:cs="Times New Roman"/>
                      <w:color w:val="auto"/>
                      <w:spacing w:val="8"/>
                      <w:sz w:val="21"/>
                      <w:szCs w:val="21"/>
                      <w:highlight w:val="none"/>
                      <w:lang w:eastAsia="zh-CN"/>
                    </w:rPr>
                    <w:t>表4中三级标准限值、</w:t>
                  </w:r>
                  <w:r>
                    <w:rPr>
                      <w:rFonts w:hint="default" w:ascii="Times New Roman" w:hAnsi="Times New Roman" w:eastAsia="宋体" w:cs="Times New Roman"/>
                      <w:color w:val="auto"/>
                      <w:spacing w:val="6"/>
                      <w:sz w:val="21"/>
                      <w:szCs w:val="21"/>
                      <w:highlight w:val="none"/>
                      <w:lang w:eastAsia="zh-CN"/>
                    </w:rPr>
                    <w:t>《污水排入城</w:t>
                  </w:r>
                  <w:r>
                    <w:rPr>
                      <w:rFonts w:hint="default" w:ascii="Times New Roman" w:hAnsi="Times New Roman" w:eastAsia="宋体" w:cs="Times New Roman"/>
                      <w:color w:val="auto"/>
                      <w:spacing w:val="9"/>
                      <w:sz w:val="21"/>
                      <w:szCs w:val="21"/>
                      <w:highlight w:val="none"/>
                      <w:lang w:eastAsia="zh-CN"/>
                    </w:rPr>
                    <w:t>镇下水道水质标准》（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9"/>
                      <w:sz w:val="21"/>
                      <w:szCs w:val="21"/>
                      <w:highlight w:val="none"/>
                      <w:lang w:eastAsia="zh-CN"/>
                    </w:rPr>
                    <w:t>/T31962-2015）中A级标准</w:t>
                  </w:r>
                  <w:r>
                    <w:rPr>
                      <w:rFonts w:hint="default" w:ascii="Times New Roman" w:hAnsi="Times New Roman" w:eastAsia="宋体" w:cs="Times New Roman"/>
                      <w:color w:val="auto"/>
                      <w:spacing w:val="-3"/>
                      <w:sz w:val="21"/>
                      <w:szCs w:val="21"/>
                      <w:highlight w:val="none"/>
                    </w:rPr>
                    <w:t>及</w:t>
                  </w:r>
                  <w:r>
                    <w:rPr>
                      <w:rFonts w:hint="default" w:ascii="Times New Roman" w:hAnsi="Times New Roman" w:eastAsia="宋体" w:cs="Times New Roman"/>
                      <w:color w:val="auto"/>
                      <w:spacing w:val="-3"/>
                      <w:sz w:val="21"/>
                      <w:szCs w:val="21"/>
                      <w:highlight w:val="none"/>
                      <w:lang w:val="en-US" w:eastAsia="zh-CN"/>
                    </w:rPr>
                    <w:t>污水处理厂进水水质要求后</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与去离子水制备浓水及反冲洗水一起</w:t>
                  </w:r>
                  <w:r>
                    <w:rPr>
                      <w:rFonts w:hint="default" w:ascii="Times New Roman" w:hAnsi="Times New Roman" w:eastAsia="宋体" w:cs="Times New Roman"/>
                      <w:color w:val="auto"/>
                      <w:spacing w:val="-3"/>
                      <w:sz w:val="21"/>
                      <w:szCs w:val="21"/>
                      <w:highlight w:val="none"/>
                    </w:rPr>
                    <w:t>通过废水</w:t>
                  </w:r>
                  <w:r>
                    <w:rPr>
                      <w:rFonts w:hint="default" w:ascii="Times New Roman" w:hAnsi="Times New Roman" w:eastAsia="宋体" w:cs="Times New Roman"/>
                      <w:color w:val="auto"/>
                      <w:spacing w:val="-3"/>
                      <w:sz w:val="21"/>
                      <w:szCs w:val="21"/>
                      <w:highlight w:val="none"/>
                      <w:lang w:val="en-US" w:eastAsia="zh-CN"/>
                    </w:rPr>
                    <w:t>总</w:t>
                  </w:r>
                  <w:r>
                    <w:rPr>
                      <w:rFonts w:hint="default" w:ascii="Times New Roman" w:hAnsi="Times New Roman" w:eastAsia="宋体" w:cs="Times New Roman"/>
                      <w:color w:val="auto"/>
                      <w:spacing w:val="-3"/>
                      <w:sz w:val="21"/>
                      <w:szCs w:val="21"/>
                      <w:highlight w:val="none"/>
                    </w:rPr>
                    <w:t>排口进入废水接纳管网排放至</w:t>
                  </w:r>
                  <w:r>
                    <w:rPr>
                      <w:rFonts w:hint="default" w:ascii="Times New Roman" w:hAnsi="Times New Roman" w:eastAsia="宋体" w:cs="Times New Roman"/>
                      <w:color w:val="auto"/>
                      <w:spacing w:val="8"/>
                      <w:sz w:val="21"/>
                      <w:szCs w:val="21"/>
                      <w:highlight w:val="none"/>
                      <w:lang w:eastAsia="zh-CN"/>
                    </w:rPr>
                    <w:t>云南易门产业园区六街和麦子田片区集中式生活污水处理厂</w:t>
                  </w:r>
                  <w:r>
                    <w:rPr>
                      <w:rFonts w:hint="default" w:ascii="Times New Roman" w:hAnsi="Times New Roman" w:eastAsia="宋体" w:cs="Times New Roman"/>
                      <w:color w:val="auto"/>
                      <w:spacing w:val="6"/>
                      <w:sz w:val="21"/>
                      <w:szCs w:val="21"/>
                      <w:highlight w:val="none"/>
                      <w:lang w:eastAsia="zh-CN"/>
                    </w:rPr>
                    <w:t>处理。</w:t>
                  </w:r>
                </w:p>
              </w:tc>
              <w:tc>
                <w:tcPr>
                  <w:tcW w:w="674" w:type="dxa"/>
                  <w:tcBorders>
                    <w:tl2br w:val="nil"/>
                    <w:tr2bl w:val="nil"/>
                  </w:tcBorders>
                  <w:vAlign w:val="center"/>
                </w:tcPr>
                <w:p w14:paraId="69C6DC3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585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4D43C3C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120" w:type="dxa"/>
                  <w:tcBorders>
                    <w:tl2br w:val="nil"/>
                    <w:tr2bl w:val="nil"/>
                  </w:tcBorders>
                  <w:vAlign w:val="center"/>
                </w:tcPr>
                <w:p w14:paraId="7760362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制水系统</w:t>
                  </w:r>
                </w:p>
              </w:tc>
              <w:tc>
                <w:tcPr>
                  <w:tcW w:w="5662" w:type="dxa"/>
                  <w:gridSpan w:val="3"/>
                  <w:tcBorders>
                    <w:tl2br w:val="nil"/>
                    <w:tr2bl w:val="nil"/>
                  </w:tcBorders>
                  <w:vAlign w:val="center"/>
                </w:tcPr>
                <w:p w14:paraId="7D5EF88F">
                  <w:pPr>
                    <w:keepNext w:val="0"/>
                    <w:keepLines w:val="0"/>
                    <w:pageBreakBefore w:val="0"/>
                    <w:widowControl/>
                    <w:suppressLineNumbers w:val="0"/>
                    <w:kinsoku/>
                    <w:wordWrap/>
                    <w:overflowPunct/>
                    <w:topLinePunct/>
                    <w:autoSpaceDE w:val="0"/>
                    <w:bidi w:val="0"/>
                    <w:spacing w:line="240" w:lineRule="auto"/>
                    <w:ind w:lef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去离子水制备系统1套，规模为0.5t/h，工艺为“RO反渗透＋离子交换树脂”，制水率为70%。</w:t>
                  </w:r>
                </w:p>
              </w:tc>
              <w:tc>
                <w:tcPr>
                  <w:tcW w:w="674" w:type="dxa"/>
                  <w:tcBorders>
                    <w:tl2br w:val="nil"/>
                    <w:tr2bl w:val="nil"/>
                  </w:tcBorders>
                  <w:vAlign w:val="center"/>
                </w:tcPr>
                <w:p w14:paraId="5C8C03B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3CCB4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986860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1C2A64B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供电系统</w:t>
                  </w:r>
                </w:p>
              </w:tc>
              <w:tc>
                <w:tcPr>
                  <w:tcW w:w="5662" w:type="dxa"/>
                  <w:gridSpan w:val="3"/>
                  <w:tcBorders>
                    <w:tl2br w:val="nil"/>
                    <w:tr2bl w:val="nil"/>
                  </w:tcBorders>
                  <w:vAlign w:val="center"/>
                </w:tcPr>
                <w:p w14:paraId="7E07CD3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由</w:t>
                  </w:r>
                  <w:r>
                    <w:rPr>
                      <w:rFonts w:hint="default" w:ascii="Times New Roman" w:hAnsi="Times New Roman" w:eastAsia="宋体" w:cs="Times New Roman"/>
                      <w:color w:val="auto"/>
                      <w:spacing w:val="9"/>
                      <w:sz w:val="21"/>
                      <w:szCs w:val="21"/>
                      <w:highlight w:val="none"/>
                      <w:lang w:val="en-US" w:eastAsia="zh-CN"/>
                    </w:rPr>
                    <w:t>园区市政供电电网</w:t>
                  </w:r>
                  <w:r>
                    <w:rPr>
                      <w:rFonts w:hint="default" w:ascii="Times New Roman" w:hAnsi="Times New Roman" w:eastAsia="宋体" w:cs="Times New Roman"/>
                      <w:b w:val="0"/>
                      <w:bCs w:val="0"/>
                      <w:strike w:val="0"/>
                      <w:dstrike w:val="0"/>
                      <w:color w:val="auto"/>
                      <w:sz w:val="21"/>
                      <w:szCs w:val="21"/>
                      <w:highlight w:val="none"/>
                      <w:lang w:val="en-US" w:eastAsia="zh-CN"/>
                    </w:rPr>
                    <w:t>供应</w:t>
                  </w:r>
                  <w:r>
                    <w:rPr>
                      <w:rFonts w:hint="default" w:ascii="Times New Roman" w:hAnsi="Times New Roman" w:eastAsia="宋体" w:cs="Times New Roman"/>
                      <w:color w:val="auto"/>
                      <w:spacing w:val="9"/>
                      <w:sz w:val="21"/>
                      <w:szCs w:val="21"/>
                      <w:highlight w:val="none"/>
                      <w:lang w:val="en-US" w:eastAsia="zh-CN"/>
                    </w:rPr>
                    <w:t>，项目区</w:t>
                  </w:r>
                  <w:r>
                    <w:rPr>
                      <w:rFonts w:hint="default" w:ascii="Times New Roman" w:hAnsi="Times New Roman" w:eastAsia="宋体" w:cs="Times New Roman"/>
                      <w:color w:val="auto"/>
                      <w:spacing w:val="7"/>
                      <w:sz w:val="21"/>
                      <w:szCs w:val="21"/>
                      <w:highlight w:val="none"/>
                      <w:lang w:val="en-US" w:eastAsia="zh-CN"/>
                    </w:rPr>
                    <w:t>配备</w:t>
                  </w:r>
                  <w:r>
                    <w:rPr>
                      <w:rFonts w:hint="eastAsia" w:ascii="Times New Roman" w:hAnsi="Times New Roman" w:eastAsia="宋体" w:cs="Times New Roman"/>
                      <w:color w:val="auto"/>
                      <w:spacing w:val="7"/>
                      <w:sz w:val="21"/>
                      <w:szCs w:val="21"/>
                      <w:highlight w:val="none"/>
                      <w:lang w:val="en-US" w:eastAsia="zh-CN"/>
                    </w:rPr>
                    <w:t>建设</w:t>
                  </w:r>
                  <w:r>
                    <w:rPr>
                      <w:rFonts w:hint="default" w:ascii="Times New Roman" w:hAnsi="Times New Roman" w:eastAsia="宋体" w:cs="Times New Roman"/>
                      <w:color w:val="auto"/>
                      <w:spacing w:val="7"/>
                      <w:sz w:val="21"/>
                      <w:szCs w:val="21"/>
                      <w:highlight w:val="none"/>
                      <w:lang w:val="en-US" w:eastAsia="zh-CN"/>
                    </w:rPr>
                    <w:t>110KV变压</w:t>
                  </w:r>
                  <w:r>
                    <w:rPr>
                      <w:rFonts w:hint="eastAsia" w:ascii="Times New Roman" w:hAnsi="Times New Roman" w:eastAsia="宋体" w:cs="Times New Roman"/>
                      <w:color w:val="auto"/>
                      <w:spacing w:val="7"/>
                      <w:sz w:val="21"/>
                      <w:szCs w:val="21"/>
                      <w:highlight w:val="none"/>
                      <w:lang w:val="en-US" w:eastAsia="zh-CN"/>
                    </w:rPr>
                    <w:t>站进行供电</w:t>
                  </w:r>
                  <w:r>
                    <w:rPr>
                      <w:rFonts w:hint="default" w:ascii="Times New Roman" w:hAnsi="Times New Roman" w:eastAsia="宋体" w:cs="Times New Roman"/>
                      <w:color w:val="auto"/>
                      <w:spacing w:val="7"/>
                      <w:sz w:val="21"/>
                      <w:szCs w:val="21"/>
                      <w:highlight w:val="none"/>
                      <w:lang w:val="en-US" w:eastAsia="zh-CN"/>
                    </w:rPr>
                    <w:t>。</w:t>
                  </w:r>
                </w:p>
              </w:tc>
              <w:tc>
                <w:tcPr>
                  <w:tcW w:w="674" w:type="dxa"/>
                  <w:tcBorders>
                    <w:tl2br w:val="nil"/>
                    <w:tr2bl w:val="nil"/>
                  </w:tcBorders>
                  <w:vAlign w:val="center"/>
                </w:tcPr>
                <w:p w14:paraId="2A78236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59E5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ED8DCD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4BBCB80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车位</w:t>
                  </w:r>
                </w:p>
              </w:tc>
              <w:tc>
                <w:tcPr>
                  <w:tcW w:w="5662" w:type="dxa"/>
                  <w:gridSpan w:val="3"/>
                  <w:tcBorders>
                    <w:tl2br w:val="nil"/>
                    <w:tr2bl w:val="nil"/>
                  </w:tcBorders>
                  <w:vAlign w:val="center"/>
                </w:tcPr>
                <w:p w14:paraId="19C7661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项目区内配备机动车车位17</w:t>
                  </w:r>
                  <w:r>
                    <w:rPr>
                      <w:rFonts w:hint="eastAsia" w:ascii="Times New Roman" w:hAnsi="Times New Roman" w:eastAsia="宋体" w:cs="Times New Roman"/>
                      <w:color w:val="auto"/>
                      <w:spacing w:val="7"/>
                      <w:sz w:val="21"/>
                      <w:szCs w:val="21"/>
                      <w:highlight w:val="none"/>
                      <w:lang w:val="en-US" w:eastAsia="zh-CN"/>
                    </w:rPr>
                    <w:t>3</w:t>
                  </w:r>
                  <w:r>
                    <w:rPr>
                      <w:rFonts w:hint="default" w:ascii="Times New Roman" w:hAnsi="Times New Roman" w:eastAsia="宋体" w:cs="Times New Roman"/>
                      <w:color w:val="auto"/>
                      <w:spacing w:val="7"/>
                      <w:sz w:val="21"/>
                      <w:szCs w:val="21"/>
                      <w:highlight w:val="none"/>
                      <w:lang w:val="en-US" w:eastAsia="zh-CN"/>
                    </w:rPr>
                    <w:t>个。</w:t>
                  </w:r>
                </w:p>
              </w:tc>
              <w:tc>
                <w:tcPr>
                  <w:tcW w:w="674" w:type="dxa"/>
                  <w:tcBorders>
                    <w:tl2br w:val="nil"/>
                    <w:tr2bl w:val="nil"/>
                  </w:tcBorders>
                  <w:vAlign w:val="center"/>
                </w:tcPr>
                <w:p w14:paraId="1B97EF5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3AD28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restart"/>
                  <w:tcBorders>
                    <w:tl2br w:val="nil"/>
                    <w:tr2bl w:val="nil"/>
                  </w:tcBorders>
                  <w:vAlign w:val="center"/>
                </w:tcPr>
                <w:p w14:paraId="7D0654B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储运</w:t>
                  </w:r>
                  <w:r>
                    <w:rPr>
                      <w:rFonts w:hint="default" w:ascii="Times New Roman" w:hAnsi="Times New Roman" w:eastAsia="宋体" w:cs="Times New Roman"/>
                      <w:color w:val="auto"/>
                      <w:spacing w:val="3"/>
                      <w:sz w:val="21"/>
                      <w:szCs w:val="21"/>
                      <w:highlight w:val="none"/>
                    </w:rPr>
                    <w:t>工程</w:t>
                  </w:r>
                </w:p>
              </w:tc>
              <w:tc>
                <w:tcPr>
                  <w:tcW w:w="1120" w:type="dxa"/>
                  <w:vMerge w:val="restart"/>
                  <w:tcBorders>
                    <w:tl2br w:val="nil"/>
                    <w:tr2bl w:val="nil"/>
                  </w:tcBorders>
                  <w:vAlign w:val="center"/>
                </w:tcPr>
                <w:p w14:paraId="7D2FD53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原料库</w:t>
                  </w:r>
                </w:p>
              </w:tc>
              <w:tc>
                <w:tcPr>
                  <w:tcW w:w="5662" w:type="dxa"/>
                  <w:gridSpan w:val="3"/>
                  <w:tcBorders>
                    <w:tl2br w:val="nil"/>
                    <w:tr2bl w:val="nil"/>
                  </w:tcBorders>
                  <w:vAlign w:val="center"/>
                </w:tcPr>
                <w:p w14:paraId="27FF652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设置石英砂仓库，即原料库，位于1#厂房西侧，</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约1000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，主要进行石英砂堆放。</w:t>
                  </w:r>
                </w:p>
              </w:tc>
              <w:tc>
                <w:tcPr>
                  <w:tcW w:w="674" w:type="dxa"/>
                  <w:vMerge w:val="restart"/>
                  <w:tcBorders>
                    <w:tl2br w:val="nil"/>
                    <w:tr2bl w:val="nil"/>
                  </w:tcBorders>
                  <w:vAlign w:val="center"/>
                </w:tcPr>
                <w:p w14:paraId="16BC014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3BABF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CFAC9C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rPr>
                  </w:pPr>
                  <w:bookmarkStart w:id="5" w:name="_Hlk214891168"/>
                </w:p>
              </w:tc>
              <w:tc>
                <w:tcPr>
                  <w:tcW w:w="1120" w:type="dxa"/>
                  <w:vMerge w:val="continue"/>
                  <w:tcBorders>
                    <w:tl2br w:val="nil"/>
                    <w:tr2bl w:val="nil"/>
                  </w:tcBorders>
                  <w:vAlign w:val="center"/>
                </w:tcPr>
                <w:p w14:paraId="2E80427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rPr>
                  </w:pPr>
                </w:p>
              </w:tc>
              <w:tc>
                <w:tcPr>
                  <w:tcW w:w="5662" w:type="dxa"/>
                  <w:gridSpan w:val="3"/>
                  <w:tcBorders>
                    <w:tl2br w:val="nil"/>
                    <w:tr2bl w:val="nil"/>
                  </w:tcBorders>
                  <w:vAlign w:val="center"/>
                </w:tcPr>
                <w:p w14:paraId="3F5D726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吸塑片原料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位于1#厂房中部，</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w:t>
                  </w:r>
                  <w:r>
                    <w:rPr>
                      <w:rFonts w:hint="default" w:ascii="Times New Roman" w:hAnsi="Times New Roman" w:eastAsia="宋体" w:cs="Times New Roman"/>
                      <w:color w:val="auto"/>
                      <w:spacing w:val="7"/>
                      <w:sz w:val="21"/>
                      <w:szCs w:val="21"/>
                      <w:highlight w:val="none"/>
                      <w:lang w:val="en-US" w:eastAsia="zh-CN"/>
                    </w:rPr>
                    <w:t>面积600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w:t>
                  </w:r>
                  <w:r>
                    <w:rPr>
                      <w:rFonts w:hint="default" w:ascii="Times New Roman" w:hAnsi="Times New Roman" w:eastAsia="宋体" w:cs="Times New Roman"/>
                      <w:color w:val="auto"/>
                      <w:spacing w:val="4"/>
                      <w:sz w:val="21"/>
                      <w:szCs w:val="21"/>
                      <w:highlight w:val="none"/>
                    </w:rPr>
                    <w:t>吸塑片</w:t>
                  </w:r>
                  <w:r>
                    <w:rPr>
                      <w:rFonts w:hint="default" w:ascii="Times New Roman" w:hAnsi="Times New Roman" w:eastAsia="宋体" w:cs="Times New Roman"/>
                      <w:color w:val="auto"/>
                      <w:spacing w:val="4"/>
                      <w:sz w:val="21"/>
                      <w:szCs w:val="21"/>
                      <w:highlight w:val="none"/>
                      <w:lang w:val="en-US" w:eastAsia="zh-CN"/>
                    </w:rPr>
                    <w:t>生产所需的</w:t>
                  </w:r>
                  <w:r>
                    <w:rPr>
                      <w:rFonts w:hint="default" w:ascii="Times New Roman" w:hAnsi="Times New Roman" w:eastAsia="宋体" w:cs="Times New Roman"/>
                      <w:color w:val="auto"/>
                      <w:spacing w:val="3"/>
                      <w:sz w:val="21"/>
                      <w:szCs w:val="21"/>
                      <w:highlight w:val="none"/>
                      <w:lang w:val="en-US" w:eastAsia="zh-CN"/>
                    </w:rPr>
                    <w:t>PVC原料。</w:t>
                  </w:r>
                </w:p>
              </w:tc>
              <w:tc>
                <w:tcPr>
                  <w:tcW w:w="674" w:type="dxa"/>
                  <w:vMerge w:val="continue"/>
                  <w:tcBorders>
                    <w:tl2br w:val="nil"/>
                    <w:tr2bl w:val="nil"/>
                  </w:tcBorders>
                  <w:vAlign w:val="center"/>
                </w:tcPr>
                <w:p w14:paraId="2A7D516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p>
              </w:tc>
            </w:tr>
            <w:tr w14:paraId="6F1C3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2F5383C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vMerge w:val="restart"/>
                  <w:tcBorders>
                    <w:tl2br w:val="nil"/>
                    <w:tr2bl w:val="nil"/>
                  </w:tcBorders>
                  <w:vAlign w:val="center"/>
                </w:tcPr>
                <w:p w14:paraId="51EAE55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辅料库</w:t>
                  </w:r>
                </w:p>
              </w:tc>
              <w:tc>
                <w:tcPr>
                  <w:tcW w:w="5662" w:type="dxa"/>
                  <w:gridSpan w:val="3"/>
                  <w:tcBorders>
                    <w:tl2br w:val="nil"/>
                    <w:tr2bl w:val="nil"/>
                  </w:tcBorders>
                  <w:vAlign w:val="center"/>
                </w:tcPr>
                <w:p w14:paraId="15070F0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设置</w:t>
                  </w:r>
                  <w:r>
                    <w:rPr>
                      <w:rFonts w:hint="eastAsia" w:ascii="Times New Roman" w:hAnsi="Times New Roman" w:eastAsia="宋体" w:cs="Times New Roman"/>
                      <w:color w:val="auto"/>
                      <w:spacing w:val="6"/>
                      <w:sz w:val="21"/>
                      <w:szCs w:val="21"/>
                      <w:highlight w:val="none"/>
                      <w:lang w:val="en-US" w:eastAsia="zh-CN"/>
                    </w:rPr>
                    <w:t>珠胚</w:t>
                  </w:r>
                  <w:r>
                    <w:rPr>
                      <w:rFonts w:hint="default" w:ascii="Times New Roman" w:hAnsi="Times New Roman" w:eastAsia="宋体" w:cs="Times New Roman"/>
                      <w:color w:val="auto"/>
                      <w:spacing w:val="6"/>
                      <w:sz w:val="21"/>
                      <w:szCs w:val="21"/>
                      <w:highlight w:val="none"/>
                      <w:lang w:val="en-US" w:eastAsia="zh-CN"/>
                    </w:rPr>
                    <w:t>辅料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位于1#厂房西北侧，</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约100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，用于堆放碳酸钾、碳酸钡、纯碱、硼砂、氧化镁、氧化铈、钛白粉等生产辅料；</w:t>
                  </w:r>
                </w:p>
                <w:p w14:paraId="39C8F3B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抛光粉、</w:t>
                  </w:r>
                  <w:r>
                    <w:rPr>
                      <w:rFonts w:hint="default" w:ascii="Times New Roman" w:hAnsi="Times New Roman" w:eastAsia="宋体" w:cs="Times New Roman"/>
                      <w:color w:val="auto"/>
                      <w:spacing w:val="8"/>
                      <w:sz w:val="21"/>
                      <w:szCs w:val="21"/>
                      <w:highlight w:val="none"/>
                    </w:rPr>
                    <w:t>不饱和聚酯树脂</w:t>
                  </w:r>
                  <w:r>
                    <w:rPr>
                      <w:rFonts w:hint="default" w:ascii="Times New Roman" w:hAnsi="Times New Roman" w:eastAsia="宋体" w:cs="Times New Roman"/>
                      <w:color w:val="auto"/>
                      <w:spacing w:val="3"/>
                      <w:sz w:val="21"/>
                      <w:szCs w:val="21"/>
                      <w:highlight w:val="none"/>
                      <w:lang w:val="en-US" w:eastAsia="zh-CN"/>
                    </w:rPr>
                    <w:t>等修复材料堆放于6#厂房</w:t>
                  </w:r>
                  <w:r>
                    <w:rPr>
                      <w:rFonts w:hint="default" w:ascii="Times New Roman" w:hAnsi="Times New Roman" w:eastAsia="宋体" w:cs="Times New Roman"/>
                      <w:color w:val="auto"/>
                      <w:spacing w:val="7"/>
                      <w:sz w:val="21"/>
                      <w:szCs w:val="21"/>
                      <w:highlight w:val="none"/>
                      <w:lang w:val="en-US" w:eastAsia="zh-CN"/>
                    </w:rPr>
                    <w:t>综合</w:t>
                  </w:r>
                  <w:r>
                    <w:rPr>
                      <w:rFonts w:hint="default" w:ascii="Times New Roman" w:hAnsi="Times New Roman" w:eastAsia="宋体" w:cs="Times New Roman"/>
                      <w:color w:val="auto"/>
                      <w:spacing w:val="7"/>
                      <w:sz w:val="21"/>
                      <w:szCs w:val="21"/>
                      <w:highlight w:val="none"/>
                    </w:rPr>
                    <w:t>配件仓库</w:t>
                  </w:r>
                  <w:r>
                    <w:rPr>
                      <w:rFonts w:hint="default" w:ascii="Times New Roman" w:hAnsi="Times New Roman" w:eastAsia="宋体" w:cs="Times New Roman"/>
                      <w:color w:val="auto"/>
                      <w:spacing w:val="3"/>
                      <w:sz w:val="21"/>
                      <w:szCs w:val="21"/>
                      <w:highlight w:val="none"/>
                      <w:lang w:val="en-US" w:eastAsia="zh-CN"/>
                    </w:rPr>
                    <w:t>西北侧</w:t>
                  </w:r>
                  <w:r>
                    <w:rPr>
                      <w:rFonts w:hint="default" w:ascii="Times New Roman" w:hAnsi="Times New Roman" w:eastAsia="宋体" w:cs="Times New Roman"/>
                      <w:color w:val="auto"/>
                      <w:spacing w:val="5"/>
                      <w:sz w:val="21"/>
                      <w:szCs w:val="21"/>
                      <w:highlight w:val="none"/>
                      <w:lang w:val="en-US" w:eastAsia="zh-CN"/>
                    </w:rPr>
                    <w:t>，</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约50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w:t>
                  </w:r>
                </w:p>
                <w:p w14:paraId="5B2BD4F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黏胶粉（即虫胶）等单尖辅料堆放于7#厂房</w:t>
                  </w:r>
                  <w:r>
                    <w:rPr>
                      <w:rFonts w:hint="default" w:ascii="Times New Roman" w:hAnsi="Times New Roman" w:eastAsia="宋体" w:cs="Times New Roman"/>
                      <w:color w:val="auto"/>
                      <w:spacing w:val="5"/>
                      <w:sz w:val="21"/>
                      <w:szCs w:val="21"/>
                      <w:highlight w:val="none"/>
                      <w:lang w:val="en-US" w:eastAsia="zh-CN"/>
                    </w:rPr>
                    <w:t>虫胶仓（即单尖</w:t>
                  </w:r>
                  <w:r>
                    <w:rPr>
                      <w:rFonts w:hint="default" w:ascii="Times New Roman" w:hAnsi="Times New Roman" w:eastAsia="宋体" w:cs="Times New Roman"/>
                      <w:color w:val="auto"/>
                      <w:spacing w:val="3"/>
                      <w:sz w:val="21"/>
                      <w:szCs w:val="21"/>
                      <w:highlight w:val="none"/>
                      <w:lang w:val="en-US" w:eastAsia="zh-CN"/>
                    </w:rPr>
                    <w:t>辅料</w:t>
                  </w:r>
                  <w:r>
                    <w:rPr>
                      <w:rFonts w:hint="default" w:ascii="Times New Roman" w:hAnsi="Times New Roman" w:eastAsia="宋体" w:cs="Times New Roman"/>
                      <w:color w:val="auto"/>
                      <w:spacing w:val="5"/>
                      <w:sz w:val="21"/>
                      <w:szCs w:val="21"/>
                      <w:highlight w:val="none"/>
                      <w:lang w:val="en-US" w:eastAsia="zh-CN"/>
                    </w:rPr>
                    <w:t>仓），</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约80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5"/>
                      <w:sz w:val="21"/>
                      <w:szCs w:val="21"/>
                      <w:highlight w:val="none"/>
                      <w:lang w:val="en-US" w:eastAsia="zh-CN"/>
                    </w:rPr>
                    <w:t>。</w:t>
                  </w:r>
                </w:p>
              </w:tc>
              <w:tc>
                <w:tcPr>
                  <w:tcW w:w="674" w:type="dxa"/>
                  <w:vMerge w:val="restart"/>
                  <w:tcBorders>
                    <w:tl2br w:val="nil"/>
                    <w:tr2bl w:val="nil"/>
                  </w:tcBorders>
                  <w:vAlign w:val="center"/>
                </w:tcPr>
                <w:p w14:paraId="4249724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9013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A79BC3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vMerge w:val="continue"/>
                  <w:tcBorders>
                    <w:tl2br w:val="nil"/>
                    <w:tr2bl w:val="nil"/>
                  </w:tcBorders>
                  <w:vAlign w:val="center"/>
                </w:tcPr>
                <w:p w14:paraId="220CD28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rPr>
                  </w:pPr>
                </w:p>
              </w:tc>
              <w:tc>
                <w:tcPr>
                  <w:tcW w:w="5662" w:type="dxa"/>
                  <w:gridSpan w:val="3"/>
                  <w:tcBorders>
                    <w:tl2br w:val="nil"/>
                    <w:tr2bl w:val="nil"/>
                  </w:tcBorders>
                  <w:vAlign w:val="center"/>
                </w:tcPr>
                <w:p w14:paraId="3E6F636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吸塑片辅料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位于1#厂房中部，</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w:t>
                  </w:r>
                  <w:r>
                    <w:rPr>
                      <w:rFonts w:hint="default" w:ascii="Times New Roman" w:hAnsi="Times New Roman" w:eastAsia="宋体" w:cs="Times New Roman"/>
                      <w:color w:val="auto"/>
                      <w:spacing w:val="7"/>
                      <w:sz w:val="21"/>
                      <w:szCs w:val="21"/>
                      <w:highlight w:val="none"/>
                      <w:lang w:val="en-US" w:eastAsia="zh-CN"/>
                    </w:rPr>
                    <w:t>面积100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w:t>
                  </w:r>
                  <w:r>
                    <w:rPr>
                      <w:rFonts w:hint="default" w:ascii="Times New Roman" w:hAnsi="Times New Roman" w:eastAsia="宋体" w:cs="Times New Roman"/>
                      <w:color w:val="auto"/>
                      <w:spacing w:val="4"/>
                      <w:sz w:val="21"/>
                      <w:szCs w:val="21"/>
                      <w:highlight w:val="none"/>
                    </w:rPr>
                    <w:t>吸塑片</w:t>
                  </w:r>
                  <w:r>
                    <w:rPr>
                      <w:rFonts w:hint="default" w:ascii="Times New Roman" w:hAnsi="Times New Roman" w:eastAsia="宋体" w:cs="Times New Roman"/>
                      <w:color w:val="auto"/>
                      <w:spacing w:val="4"/>
                      <w:sz w:val="21"/>
                      <w:szCs w:val="21"/>
                      <w:highlight w:val="none"/>
                      <w:lang w:val="en-US" w:eastAsia="zh-CN"/>
                    </w:rPr>
                    <w:t>生产所需的</w:t>
                  </w:r>
                  <w:r>
                    <w:rPr>
                      <w:rFonts w:hint="default" w:ascii="Times New Roman" w:hAnsi="Times New Roman" w:eastAsia="宋体" w:cs="Times New Roman"/>
                      <w:color w:val="auto"/>
                      <w:spacing w:val="3"/>
                      <w:sz w:val="21"/>
                      <w:szCs w:val="21"/>
                      <w:highlight w:val="none"/>
                      <w:lang w:val="en-US" w:eastAsia="zh-CN"/>
                    </w:rPr>
                    <w:t>甲基锡稳定剂、增强剂、润滑剂、不饱和脂肪树脂等；PVC</w:t>
                  </w:r>
                  <w:r>
                    <w:rPr>
                      <w:rFonts w:hint="default" w:ascii="Times New Roman" w:hAnsi="Times New Roman" w:eastAsia="宋体" w:cs="Times New Roman"/>
                      <w:color w:val="auto"/>
                      <w:spacing w:val="4"/>
                      <w:sz w:val="21"/>
                      <w:szCs w:val="21"/>
                      <w:highlight w:val="none"/>
                      <w:lang w:val="en-US" w:eastAsia="zh-CN"/>
                    </w:rPr>
                    <w:t>胶</w:t>
                  </w:r>
                  <w:r>
                    <w:rPr>
                      <w:rFonts w:hint="default" w:ascii="Times New Roman" w:hAnsi="Times New Roman" w:eastAsia="宋体" w:cs="Times New Roman"/>
                      <w:color w:val="auto"/>
                      <w:spacing w:val="4"/>
                      <w:sz w:val="21"/>
                      <w:szCs w:val="21"/>
                      <w:highlight w:val="none"/>
                    </w:rPr>
                    <w:t>片</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1</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位于1#厂房中部，</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w:t>
                  </w:r>
                  <w:r>
                    <w:rPr>
                      <w:rFonts w:hint="default" w:ascii="Times New Roman" w:hAnsi="Times New Roman" w:eastAsia="宋体" w:cs="Times New Roman"/>
                      <w:color w:val="auto"/>
                      <w:spacing w:val="7"/>
                      <w:sz w:val="21"/>
                      <w:szCs w:val="21"/>
                      <w:highlight w:val="none"/>
                      <w:lang w:val="en-US" w:eastAsia="zh-CN"/>
                    </w:rPr>
                    <w:t>面积500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w:t>
                  </w:r>
                </w:p>
              </w:tc>
              <w:tc>
                <w:tcPr>
                  <w:tcW w:w="674" w:type="dxa"/>
                  <w:vMerge w:val="continue"/>
                  <w:tcBorders>
                    <w:tl2br w:val="nil"/>
                    <w:tr2bl w:val="nil"/>
                  </w:tcBorders>
                  <w:vAlign w:val="center"/>
                </w:tcPr>
                <w:p w14:paraId="4D0429A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p>
              </w:tc>
            </w:tr>
            <w:tr w14:paraId="45BDE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6BCEF18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4AA98B8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碱库</w:t>
                  </w:r>
                </w:p>
              </w:tc>
              <w:tc>
                <w:tcPr>
                  <w:tcW w:w="5662" w:type="dxa"/>
                  <w:gridSpan w:val="3"/>
                  <w:tcBorders>
                    <w:tl2br w:val="nil"/>
                    <w:tr2bl w:val="nil"/>
                  </w:tcBorders>
                  <w:vAlign w:val="center"/>
                </w:tcPr>
                <w:p w14:paraId="26D39C5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2"/>
                      <w:sz w:val="21"/>
                      <w:szCs w:val="21"/>
                      <w:highlight w:val="none"/>
                    </w:rPr>
                    <w:t>位于</w:t>
                  </w:r>
                  <w:r>
                    <w:rPr>
                      <w:rFonts w:hint="default" w:ascii="Times New Roman" w:hAnsi="Times New Roman" w:eastAsia="宋体" w:cs="Times New Roman"/>
                      <w:color w:val="auto"/>
                      <w:spacing w:val="-2"/>
                      <w:sz w:val="21"/>
                      <w:szCs w:val="21"/>
                      <w:highlight w:val="none"/>
                      <w:lang w:val="en-US" w:eastAsia="zh-CN"/>
                    </w:rPr>
                    <w:t>7#</w:t>
                  </w:r>
                  <w:r>
                    <w:rPr>
                      <w:rFonts w:hint="default" w:ascii="Times New Roman" w:hAnsi="Times New Roman" w:eastAsia="宋体" w:cs="Times New Roman"/>
                      <w:color w:val="auto"/>
                      <w:spacing w:val="-2"/>
                      <w:sz w:val="21"/>
                      <w:szCs w:val="21"/>
                      <w:highlight w:val="none"/>
                    </w:rPr>
                    <w:t>厂房，占地面积</w:t>
                  </w:r>
                  <w:r>
                    <w:rPr>
                      <w:rFonts w:hint="default" w:ascii="Times New Roman" w:hAnsi="Times New Roman" w:eastAsia="宋体" w:cs="Times New Roman"/>
                      <w:color w:val="auto"/>
                      <w:spacing w:val="-2"/>
                      <w:sz w:val="21"/>
                      <w:szCs w:val="21"/>
                      <w:highlight w:val="none"/>
                      <w:lang w:val="en-US" w:eastAsia="zh-CN"/>
                    </w:rPr>
                    <w:t>约3</w:t>
                  </w:r>
                  <w:r>
                    <w:rPr>
                      <w:rFonts w:hint="default" w:ascii="Times New Roman" w:hAnsi="Times New Roman" w:eastAsia="宋体" w:cs="Times New Roman"/>
                      <w:color w:val="auto"/>
                      <w:spacing w:val="-2"/>
                      <w:sz w:val="21"/>
                      <w:szCs w:val="21"/>
                      <w:highlight w:val="none"/>
                    </w:rPr>
                    <w:t>0m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rPr>
                    <w:t>，用来储存</w:t>
                  </w:r>
                  <w:r>
                    <w:rPr>
                      <w:rFonts w:hint="default" w:ascii="Times New Roman" w:hAnsi="Times New Roman" w:eastAsia="宋体" w:cs="Times New Roman"/>
                      <w:color w:val="auto"/>
                      <w:spacing w:val="-2"/>
                      <w:sz w:val="21"/>
                      <w:szCs w:val="21"/>
                      <w:highlight w:val="none"/>
                      <w:lang w:val="en-US" w:eastAsia="zh-CN"/>
                    </w:rPr>
                    <w:t>生产过程中使用的</w:t>
                  </w:r>
                  <w:r>
                    <w:rPr>
                      <w:rFonts w:hint="default" w:ascii="Times New Roman" w:hAnsi="Times New Roman" w:eastAsia="宋体" w:cs="Times New Roman"/>
                      <w:color w:val="auto"/>
                      <w:spacing w:val="-2"/>
                      <w:sz w:val="21"/>
                      <w:szCs w:val="21"/>
                      <w:highlight w:val="none"/>
                    </w:rPr>
                    <w:t>氢氧化钠等化学品</w:t>
                  </w:r>
                  <w:r>
                    <w:rPr>
                      <w:rFonts w:hint="default" w:ascii="Times New Roman" w:hAnsi="Times New Roman" w:eastAsia="宋体" w:cs="Times New Roman"/>
                      <w:color w:val="auto"/>
                      <w:spacing w:val="-2"/>
                      <w:sz w:val="21"/>
                      <w:szCs w:val="21"/>
                      <w:highlight w:val="none"/>
                      <w:lang w:val="en-US" w:eastAsia="zh-CN"/>
                    </w:rPr>
                    <w:t>以及污水处理过程所用的材料</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pacing w:val="-2"/>
                      <w:sz w:val="21"/>
                      <w:szCs w:val="21"/>
                      <w:highlight w:val="none"/>
                      <w:lang w:val="en-US" w:eastAsia="zh-CN"/>
                    </w:rPr>
                    <w:t>进行</w:t>
                  </w:r>
                  <w:r>
                    <w:rPr>
                      <w:rFonts w:hint="default" w:ascii="Times New Roman" w:hAnsi="Times New Roman" w:eastAsia="宋体" w:cs="Times New Roman"/>
                      <w:color w:val="auto"/>
                      <w:spacing w:val="-2"/>
                      <w:sz w:val="21"/>
                      <w:szCs w:val="21"/>
                      <w:highlight w:val="none"/>
                    </w:rPr>
                    <w:t>分区储存；片碱NaOH</w:t>
                  </w:r>
                  <w:r>
                    <w:rPr>
                      <w:rFonts w:hint="default" w:ascii="Times New Roman" w:hAnsi="Times New Roman" w:eastAsia="宋体" w:cs="Times New Roman"/>
                      <w:color w:val="auto"/>
                      <w:spacing w:val="2"/>
                      <w:sz w:val="21"/>
                      <w:szCs w:val="21"/>
                      <w:highlight w:val="none"/>
                    </w:rPr>
                    <w:t>袋装储存。</w:t>
                  </w:r>
                  <w:r>
                    <w:rPr>
                      <w:rFonts w:hint="default" w:ascii="Times New Roman" w:hAnsi="Times New Roman" w:eastAsia="宋体" w:cs="Times New Roman"/>
                      <w:color w:val="auto"/>
                      <w:spacing w:val="2"/>
                      <w:sz w:val="21"/>
                      <w:szCs w:val="21"/>
                      <w:highlight w:val="none"/>
                      <w:lang w:val="en-US" w:eastAsia="zh-CN"/>
                    </w:rPr>
                    <w:t>本次要求</w:t>
                  </w:r>
                  <w:r>
                    <w:rPr>
                      <w:rFonts w:hint="default" w:ascii="Times New Roman" w:hAnsi="Times New Roman" w:eastAsia="宋体" w:cs="Times New Roman"/>
                      <w:color w:val="auto"/>
                      <w:spacing w:val="2"/>
                      <w:sz w:val="21"/>
                      <w:szCs w:val="21"/>
                      <w:highlight w:val="none"/>
                    </w:rPr>
                    <w:t>地面和墙裙采用玻璃钢防腐层（三布五涂</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2"/>
                      <w:sz w:val="21"/>
                      <w:szCs w:val="21"/>
                      <w:highlight w:val="none"/>
                    </w:rPr>
                    <w:t>2.0</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pacing w:val="2"/>
                      <w:sz w:val="21"/>
                      <w:szCs w:val="21"/>
                      <w:highlight w:val="none"/>
                    </w:rPr>
                    <w:t>厚非固化橡胶沥青防渗材料，C30钢筋混凝</w:t>
                  </w:r>
                  <w:r>
                    <w:rPr>
                      <w:rFonts w:hint="default" w:ascii="Times New Roman" w:hAnsi="Times New Roman" w:eastAsia="宋体" w:cs="Times New Roman"/>
                      <w:color w:val="auto"/>
                      <w:spacing w:val="1"/>
                      <w:sz w:val="21"/>
                      <w:szCs w:val="21"/>
                      <w:highlight w:val="none"/>
                    </w:rPr>
                    <w:t>土底层。</w:t>
                  </w:r>
                </w:p>
              </w:tc>
              <w:tc>
                <w:tcPr>
                  <w:tcW w:w="674" w:type="dxa"/>
                  <w:tcBorders>
                    <w:tl2br w:val="nil"/>
                    <w:tr2bl w:val="nil"/>
                  </w:tcBorders>
                  <w:vAlign w:val="center"/>
                </w:tcPr>
                <w:p w14:paraId="0119C0A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32ECB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305C96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2F4D775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val="en-US" w:eastAsia="zh-CN"/>
                    </w:rPr>
                    <w:t>综合</w:t>
                  </w:r>
                  <w:r>
                    <w:rPr>
                      <w:rFonts w:hint="default" w:ascii="Times New Roman" w:hAnsi="Times New Roman" w:eastAsia="宋体" w:cs="Times New Roman"/>
                      <w:color w:val="auto"/>
                      <w:spacing w:val="7"/>
                      <w:sz w:val="21"/>
                      <w:szCs w:val="21"/>
                      <w:highlight w:val="none"/>
                    </w:rPr>
                    <w:t>配件仓库</w:t>
                  </w:r>
                </w:p>
              </w:tc>
              <w:tc>
                <w:tcPr>
                  <w:tcW w:w="5662" w:type="dxa"/>
                  <w:gridSpan w:val="3"/>
                  <w:tcBorders>
                    <w:tl2br w:val="nil"/>
                    <w:tr2bl w:val="nil"/>
                  </w:tcBorders>
                  <w:vAlign w:val="center"/>
                </w:tcPr>
                <w:p w14:paraId="628BB61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设置有1个综合配件仓库，</w:t>
                  </w:r>
                  <w:r>
                    <w:rPr>
                      <w:rFonts w:hint="default" w:ascii="Times New Roman" w:hAnsi="Times New Roman" w:eastAsia="宋体" w:cs="Times New Roman"/>
                      <w:color w:val="auto"/>
                      <w:spacing w:val="3"/>
                      <w:sz w:val="21"/>
                      <w:szCs w:val="21"/>
                      <w:highlight w:val="none"/>
                      <w:lang w:val="en-US" w:eastAsia="zh-CN"/>
                    </w:rPr>
                    <w:t>位于6#厂房东南侧，</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约1200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主要分为抛轮仓（1</w:t>
                  </w:r>
                  <w:r>
                    <w:rPr>
                      <w:rFonts w:hint="default" w:ascii="Times New Roman" w:hAnsi="Times New Roman" w:eastAsia="宋体" w:cs="Times New Roman"/>
                      <w:color w:val="auto"/>
                      <w:spacing w:val="-1"/>
                      <w:sz w:val="21"/>
                      <w:szCs w:val="21"/>
                      <w:highlight w:val="none"/>
                      <w:lang w:val="en-US" w:eastAsia="zh-CN"/>
                    </w:rPr>
                    <w:t>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）、抛轮抛盘修复材料仓（</w:t>
                  </w:r>
                  <w:r>
                    <w:rPr>
                      <w:rFonts w:hint="default" w:ascii="Times New Roman" w:hAnsi="Times New Roman" w:eastAsia="宋体" w:cs="Times New Roman"/>
                      <w:color w:val="auto"/>
                      <w:spacing w:val="-1"/>
                      <w:sz w:val="21"/>
                      <w:szCs w:val="21"/>
                      <w:highlight w:val="none"/>
                      <w:lang w:val="en-US" w:eastAsia="zh-CN"/>
                    </w:rPr>
                    <w:t>50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），抛轮抛盘修复车间</w:t>
                  </w:r>
                  <w:r>
                    <w:rPr>
                      <w:rFonts w:hint="default" w:ascii="Times New Roman" w:hAnsi="Times New Roman" w:eastAsia="宋体" w:cs="Times New Roman"/>
                      <w:color w:val="auto"/>
                      <w:spacing w:val="-1"/>
                      <w:sz w:val="21"/>
                      <w:szCs w:val="21"/>
                      <w:highlight w:val="none"/>
                      <w:lang w:val="en-US" w:eastAsia="zh-CN"/>
                    </w:rPr>
                    <w:t>（50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1"/>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、抛盘仓（1</w:t>
                  </w:r>
                  <w:r>
                    <w:rPr>
                      <w:rFonts w:hint="default" w:ascii="Times New Roman" w:hAnsi="Times New Roman" w:eastAsia="宋体" w:cs="Times New Roman"/>
                      <w:color w:val="auto"/>
                      <w:spacing w:val="-1"/>
                      <w:sz w:val="21"/>
                      <w:szCs w:val="21"/>
                      <w:highlight w:val="none"/>
                      <w:lang w:val="en-US" w:eastAsia="zh-CN"/>
                    </w:rPr>
                    <w:t>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），磨轮、磨盘仓（</w:t>
                  </w:r>
                  <w:r>
                    <w:rPr>
                      <w:rFonts w:hint="default" w:ascii="Times New Roman" w:hAnsi="Times New Roman" w:eastAsia="宋体" w:cs="Times New Roman"/>
                      <w:color w:val="auto"/>
                      <w:spacing w:val="-1"/>
                      <w:sz w:val="21"/>
                      <w:szCs w:val="21"/>
                      <w:highlight w:val="none"/>
                      <w:lang w:val="en-US" w:eastAsia="zh-CN"/>
                    </w:rPr>
                    <w:t>150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），夹具保养及修复（</w:t>
                  </w:r>
                  <w:r>
                    <w:rPr>
                      <w:rFonts w:hint="default" w:ascii="Times New Roman" w:hAnsi="Times New Roman" w:eastAsia="宋体" w:cs="Times New Roman"/>
                      <w:color w:val="auto"/>
                      <w:spacing w:val="-1"/>
                      <w:sz w:val="21"/>
                      <w:szCs w:val="21"/>
                      <w:highlight w:val="none"/>
                      <w:lang w:val="en-US" w:eastAsia="zh-CN"/>
                    </w:rPr>
                    <w:t>150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），配件仓库（6</w:t>
                  </w:r>
                  <w:r>
                    <w:rPr>
                      <w:rFonts w:hint="default" w:ascii="Times New Roman" w:hAnsi="Times New Roman" w:eastAsia="宋体" w:cs="Times New Roman"/>
                      <w:color w:val="auto"/>
                      <w:spacing w:val="-1"/>
                      <w:sz w:val="21"/>
                      <w:szCs w:val="21"/>
                      <w:highlight w:val="none"/>
                      <w:lang w:val="en-US" w:eastAsia="zh-CN"/>
                    </w:rPr>
                    <w:t>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w:t>
                  </w:r>
                  <w:r>
                    <w:rPr>
                      <w:rFonts w:hint="default" w:ascii="Times New Roman" w:hAnsi="Times New Roman" w:eastAsia="宋体" w:cs="Times New Roman"/>
                      <w:color w:val="auto"/>
                      <w:sz w:val="21"/>
                      <w:szCs w:val="21"/>
                      <w:highlight w:val="none"/>
                      <w:lang w:val="en-US" w:eastAsia="zh-CN"/>
                    </w:rPr>
                    <w:t>生产所需的抛轮、抛盘、磨轮、夹具、配件等</w:t>
                  </w:r>
                  <w:r>
                    <w:rPr>
                      <w:rFonts w:hint="default" w:ascii="Times New Roman" w:hAnsi="Times New Roman" w:eastAsia="宋体" w:cs="Times New Roman"/>
                      <w:color w:val="auto"/>
                      <w:spacing w:val="3"/>
                      <w:sz w:val="21"/>
                      <w:szCs w:val="21"/>
                      <w:highlight w:val="none"/>
                      <w:lang w:eastAsia="zh-CN"/>
                    </w:rPr>
                    <w:t>。</w:t>
                  </w:r>
                </w:p>
              </w:tc>
              <w:tc>
                <w:tcPr>
                  <w:tcW w:w="674" w:type="dxa"/>
                  <w:tcBorders>
                    <w:tl2br w:val="nil"/>
                    <w:tr2bl w:val="nil"/>
                  </w:tcBorders>
                  <w:vAlign w:val="center"/>
                </w:tcPr>
                <w:p w14:paraId="42DBCB1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bookmarkEnd w:id="5"/>
            <w:tr w14:paraId="5F060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99AEAF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bookmarkStart w:id="6" w:name="OLE_LINK12"/>
                </w:p>
              </w:tc>
              <w:tc>
                <w:tcPr>
                  <w:tcW w:w="1120" w:type="dxa"/>
                  <w:vMerge w:val="restart"/>
                  <w:tcBorders>
                    <w:tl2br w:val="nil"/>
                    <w:tr2bl w:val="nil"/>
                  </w:tcBorders>
                  <w:vAlign w:val="center"/>
                </w:tcPr>
                <w:p w14:paraId="2B6FD3A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半成品仓</w:t>
                  </w:r>
                  <w:r>
                    <w:rPr>
                      <w:rFonts w:hint="default" w:ascii="Times New Roman" w:hAnsi="Times New Roman" w:eastAsia="宋体" w:cs="Times New Roman"/>
                      <w:color w:val="auto"/>
                      <w:sz w:val="21"/>
                      <w:szCs w:val="21"/>
                      <w:highlight w:val="none"/>
                    </w:rPr>
                    <w:t>库</w:t>
                  </w:r>
                </w:p>
              </w:tc>
              <w:tc>
                <w:tcPr>
                  <w:tcW w:w="5662" w:type="dxa"/>
                  <w:gridSpan w:val="3"/>
                  <w:tcBorders>
                    <w:tl2br w:val="nil"/>
                    <w:tr2bl w:val="nil"/>
                  </w:tcBorders>
                  <w:vAlign w:val="center"/>
                </w:tcPr>
                <w:p w14:paraId="47BA0FD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设置</w:t>
                  </w:r>
                  <w:r>
                    <w:rPr>
                      <w:rFonts w:hint="eastAsia" w:ascii="Times New Roman" w:hAnsi="Times New Roman" w:eastAsia="宋体" w:cs="Times New Roman"/>
                      <w:color w:val="auto"/>
                      <w:spacing w:val="6"/>
                      <w:sz w:val="21"/>
                      <w:szCs w:val="21"/>
                      <w:highlight w:val="none"/>
                      <w:lang w:val="en-US" w:eastAsia="zh-CN"/>
                    </w:rPr>
                    <w:t>珠胚</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4</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即圆珠仓</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位于1#厂房，</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1"/>
                      <w:sz w:val="21"/>
                      <w:szCs w:val="21"/>
                      <w:highlight w:val="none"/>
                      <w:lang w:val="en-US" w:eastAsia="zh-CN"/>
                    </w:rPr>
                    <w:t>800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w:t>
                  </w:r>
                  <w:r>
                    <w:rPr>
                      <w:rFonts w:hint="eastAsia" w:ascii="Times New Roman" w:hAnsi="Times New Roman" w:eastAsia="宋体" w:cs="Times New Roman"/>
                      <w:color w:val="auto"/>
                      <w:spacing w:val="7"/>
                      <w:sz w:val="21"/>
                      <w:szCs w:val="21"/>
                      <w:highlight w:val="none"/>
                      <w:lang w:eastAsia="zh-CN"/>
                    </w:rPr>
                    <w:t>珠胚</w:t>
                  </w:r>
                  <w:r>
                    <w:rPr>
                      <w:rFonts w:hint="default" w:ascii="Times New Roman" w:hAnsi="Times New Roman" w:eastAsia="宋体" w:cs="Times New Roman"/>
                      <w:color w:val="auto"/>
                      <w:spacing w:val="7"/>
                      <w:sz w:val="21"/>
                      <w:szCs w:val="21"/>
                      <w:highlight w:val="none"/>
                    </w:rPr>
                    <w:t>（中间</w:t>
                  </w:r>
                  <w:r>
                    <w:rPr>
                      <w:rFonts w:hint="default" w:ascii="Times New Roman" w:hAnsi="Times New Roman" w:eastAsia="宋体" w:cs="Times New Roman"/>
                      <w:color w:val="auto"/>
                      <w:spacing w:val="3"/>
                      <w:sz w:val="21"/>
                      <w:szCs w:val="21"/>
                      <w:highlight w:val="none"/>
                    </w:rPr>
                    <w:t>产品）</w:t>
                  </w:r>
                  <w:r>
                    <w:rPr>
                      <w:rFonts w:hint="default" w:ascii="Times New Roman" w:hAnsi="Times New Roman" w:eastAsia="宋体" w:cs="Times New Roman"/>
                      <w:color w:val="auto"/>
                      <w:spacing w:val="3"/>
                      <w:sz w:val="21"/>
                      <w:szCs w:val="21"/>
                      <w:highlight w:val="none"/>
                      <w:lang w:eastAsia="zh-CN"/>
                    </w:rPr>
                    <w:t>；</w:t>
                  </w:r>
                </w:p>
              </w:tc>
              <w:tc>
                <w:tcPr>
                  <w:tcW w:w="674" w:type="dxa"/>
                  <w:vMerge w:val="restart"/>
                  <w:tcBorders>
                    <w:tl2br w:val="nil"/>
                    <w:tr2bl w:val="nil"/>
                  </w:tcBorders>
                  <w:vAlign w:val="center"/>
                </w:tcPr>
                <w:p w14:paraId="7B531F4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8B11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78AC3A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vMerge w:val="continue"/>
                  <w:tcBorders>
                    <w:tl2br w:val="nil"/>
                    <w:tr2bl w:val="nil"/>
                  </w:tcBorders>
                  <w:vAlign w:val="center"/>
                </w:tcPr>
                <w:p w14:paraId="5177A62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rPr>
                  </w:pPr>
                </w:p>
              </w:tc>
              <w:tc>
                <w:tcPr>
                  <w:tcW w:w="5662" w:type="dxa"/>
                  <w:gridSpan w:val="3"/>
                  <w:tcBorders>
                    <w:tl2br w:val="nil"/>
                    <w:tr2bl w:val="nil"/>
                  </w:tcBorders>
                  <w:vAlign w:val="center"/>
                </w:tcPr>
                <w:p w14:paraId="0240532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设置吸塑片</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val="en-US" w:eastAsia="zh-CN"/>
                    </w:rPr>
                    <w:t>4</w:t>
                  </w:r>
                  <w:r>
                    <w:rPr>
                      <w:rFonts w:hint="default" w:ascii="Times New Roman" w:hAnsi="Times New Roman" w:eastAsia="宋体" w:cs="Times New Roman"/>
                      <w:color w:val="auto"/>
                      <w:spacing w:val="-1"/>
                      <w:sz w:val="21"/>
                      <w:szCs w:val="21"/>
                      <w:highlight w:val="none"/>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位于5#厂房，</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z w:val="21"/>
                      <w:szCs w:val="21"/>
                      <w:highlight w:val="none"/>
                      <w:lang w:val="en-US" w:eastAsia="zh-CN"/>
                    </w:rPr>
                    <w:t>约400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；用于堆放PVC</w:t>
                  </w:r>
                  <w:r>
                    <w:rPr>
                      <w:rFonts w:hint="default" w:ascii="Times New Roman" w:hAnsi="Times New Roman" w:eastAsia="宋体" w:cs="Times New Roman"/>
                      <w:color w:val="auto"/>
                      <w:spacing w:val="4"/>
                      <w:sz w:val="21"/>
                      <w:szCs w:val="21"/>
                      <w:highlight w:val="none"/>
                    </w:rPr>
                    <w:t>吸塑片</w:t>
                  </w:r>
                  <w:r>
                    <w:rPr>
                      <w:rFonts w:hint="default" w:ascii="Times New Roman" w:hAnsi="Times New Roman" w:eastAsia="宋体" w:cs="Times New Roman"/>
                      <w:color w:val="auto"/>
                      <w:spacing w:val="7"/>
                      <w:sz w:val="21"/>
                      <w:szCs w:val="21"/>
                      <w:highlight w:val="none"/>
                    </w:rPr>
                    <w:t>（中间</w:t>
                  </w:r>
                  <w:r>
                    <w:rPr>
                      <w:rFonts w:hint="default" w:ascii="Times New Roman" w:hAnsi="Times New Roman" w:eastAsia="宋体" w:cs="Times New Roman"/>
                      <w:color w:val="auto"/>
                      <w:spacing w:val="3"/>
                      <w:sz w:val="21"/>
                      <w:szCs w:val="21"/>
                      <w:highlight w:val="none"/>
                    </w:rPr>
                    <w:t>产品）</w:t>
                  </w:r>
                  <w:r>
                    <w:rPr>
                      <w:rFonts w:hint="default" w:ascii="Times New Roman" w:hAnsi="Times New Roman" w:eastAsia="宋体" w:cs="Times New Roman"/>
                      <w:color w:val="auto"/>
                      <w:spacing w:val="3"/>
                      <w:sz w:val="21"/>
                      <w:szCs w:val="21"/>
                      <w:highlight w:val="none"/>
                      <w:lang w:eastAsia="zh-CN"/>
                    </w:rPr>
                    <w:t>。</w:t>
                  </w:r>
                </w:p>
              </w:tc>
              <w:tc>
                <w:tcPr>
                  <w:tcW w:w="674" w:type="dxa"/>
                  <w:vMerge w:val="continue"/>
                  <w:tcBorders>
                    <w:tl2br w:val="nil"/>
                    <w:tr2bl w:val="nil"/>
                  </w:tcBorders>
                  <w:vAlign w:val="center"/>
                </w:tcPr>
                <w:p w14:paraId="56D3417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p>
              </w:tc>
            </w:tr>
            <w:tr w14:paraId="1C00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50EA80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18B91CE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成品仓库</w:t>
                  </w:r>
                </w:p>
              </w:tc>
              <w:tc>
                <w:tcPr>
                  <w:tcW w:w="5662" w:type="dxa"/>
                  <w:gridSpan w:val="3"/>
                  <w:tcBorders>
                    <w:tl2br w:val="nil"/>
                    <w:tr2bl w:val="nil"/>
                  </w:tcBorders>
                  <w:vAlign w:val="center"/>
                </w:tcPr>
                <w:p w14:paraId="66DDAE9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1"/>
                      <w:sz w:val="21"/>
                      <w:szCs w:val="21"/>
                      <w:highlight w:val="none"/>
                    </w:rPr>
                    <w:t>设置</w:t>
                  </w:r>
                  <w:r>
                    <w:rPr>
                      <w:rFonts w:hint="default" w:ascii="Times New Roman" w:hAnsi="Times New Roman" w:eastAsia="宋体" w:cs="Times New Roman"/>
                      <w:color w:val="auto"/>
                      <w:spacing w:val="-47"/>
                      <w:sz w:val="21"/>
                      <w:szCs w:val="21"/>
                      <w:highlight w:val="none"/>
                      <w:lang w:val="en-US" w:eastAsia="zh-CN"/>
                    </w:rPr>
                    <w:t>1</w:t>
                  </w:r>
                  <w:r>
                    <w:rPr>
                      <w:rFonts w:hint="default" w:ascii="Times New Roman" w:hAnsi="Times New Roman" w:eastAsia="宋体" w:cs="Times New Roman"/>
                      <w:color w:val="auto"/>
                      <w:spacing w:val="-1"/>
                      <w:sz w:val="21"/>
                      <w:szCs w:val="21"/>
                      <w:highlight w:val="none"/>
                    </w:rPr>
                    <w:t>个成品仓库</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即裸钻仓</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，位于</w:t>
                  </w:r>
                  <w:r>
                    <w:rPr>
                      <w:rFonts w:hint="default" w:ascii="Times New Roman" w:hAnsi="Times New Roman" w:eastAsia="宋体" w:cs="Times New Roman"/>
                      <w:color w:val="auto"/>
                      <w:spacing w:val="-1"/>
                      <w:sz w:val="21"/>
                      <w:szCs w:val="21"/>
                      <w:highlight w:val="none"/>
                      <w:lang w:val="en-US" w:eastAsia="zh-CN"/>
                    </w:rPr>
                    <w:t>5#厂房中部东南角</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56"/>
                      <w:sz w:val="21"/>
                      <w:szCs w:val="21"/>
                      <w:highlight w:val="none"/>
                    </w:rPr>
                    <w:t xml:space="preserve"> </w:t>
                  </w:r>
                  <w:r>
                    <w:rPr>
                      <w:rFonts w:hint="default" w:ascii="Times New Roman" w:hAnsi="Times New Roman" w:eastAsia="宋体" w:cs="Times New Roman"/>
                      <w:color w:val="auto"/>
                      <w:spacing w:val="-1"/>
                      <w:sz w:val="21"/>
                      <w:szCs w:val="21"/>
                      <w:highlight w:val="none"/>
                    </w:rPr>
                    <w:t>占地面积</w:t>
                  </w:r>
                  <w:r>
                    <w:rPr>
                      <w:rFonts w:hint="default" w:ascii="Times New Roman" w:hAnsi="Times New Roman" w:eastAsia="宋体" w:cs="Times New Roman"/>
                      <w:color w:val="auto"/>
                      <w:spacing w:val="-47"/>
                      <w:sz w:val="21"/>
                      <w:szCs w:val="21"/>
                      <w:highlight w:val="none"/>
                    </w:rPr>
                    <w:t xml:space="preserve"> </w:t>
                  </w:r>
                  <w:r>
                    <w:rPr>
                      <w:rFonts w:hint="default" w:ascii="Times New Roman" w:hAnsi="Times New Roman" w:eastAsia="宋体" w:cs="Times New Roman"/>
                      <w:color w:val="auto"/>
                      <w:spacing w:val="-1"/>
                      <w:sz w:val="21"/>
                      <w:szCs w:val="21"/>
                      <w:highlight w:val="none"/>
                      <w:lang w:val="en-US" w:eastAsia="zh-CN"/>
                    </w:rPr>
                    <w:t>800</w:t>
                  </w:r>
                  <w:r>
                    <w:rPr>
                      <w:rFonts w:hint="default" w:ascii="Times New Roman" w:hAnsi="Times New Roman" w:eastAsia="宋体" w:cs="Times New Roman"/>
                      <w:color w:val="auto"/>
                      <w:spacing w:val="-1"/>
                      <w:sz w:val="21"/>
                      <w:szCs w:val="21"/>
                      <w:highlight w:val="none"/>
                    </w:rPr>
                    <w:t>m</w:t>
                  </w:r>
                  <w:r>
                    <w:rPr>
                      <w:rFonts w:hint="default" w:ascii="Times New Roman" w:hAnsi="Times New Roman" w:eastAsia="宋体" w:cs="Times New Roman"/>
                      <w:color w:val="auto"/>
                      <w:spacing w:val="-1"/>
                      <w:sz w:val="21"/>
                      <w:szCs w:val="21"/>
                      <w:highlight w:val="none"/>
                      <w:vertAlign w:val="superscript"/>
                      <w:lang w:val="en-US" w:eastAsia="zh-CN"/>
                    </w:rPr>
                    <w:t>2</w:t>
                  </w:r>
                  <w:r>
                    <w:rPr>
                      <w:rFonts w:hint="default" w:ascii="Times New Roman" w:hAnsi="Times New Roman" w:eastAsia="宋体" w:cs="Times New Roman"/>
                      <w:color w:val="auto"/>
                      <w:spacing w:val="3"/>
                      <w:sz w:val="21"/>
                      <w:szCs w:val="21"/>
                      <w:highlight w:val="none"/>
                      <w:lang w:val="en-US" w:eastAsia="zh-CN"/>
                    </w:rPr>
                    <w:t>；用于堆放</w:t>
                  </w:r>
                  <w:r>
                    <w:rPr>
                      <w:rFonts w:hint="default" w:ascii="Times New Roman" w:hAnsi="Times New Roman" w:eastAsia="宋体" w:cs="Times New Roman"/>
                      <w:color w:val="auto"/>
                      <w:spacing w:val="2"/>
                      <w:sz w:val="21"/>
                      <w:szCs w:val="21"/>
                      <w:highlight w:val="none"/>
                    </w:rPr>
                    <w:t>烫钻</w:t>
                  </w:r>
                  <w:r>
                    <w:rPr>
                      <w:rFonts w:hint="default" w:ascii="Times New Roman" w:hAnsi="Times New Roman" w:eastAsia="宋体" w:cs="Times New Roman"/>
                      <w:color w:val="auto"/>
                      <w:spacing w:val="2"/>
                      <w:sz w:val="21"/>
                      <w:szCs w:val="21"/>
                      <w:highlight w:val="none"/>
                      <w:lang w:val="en-US" w:eastAsia="zh-CN"/>
                    </w:rPr>
                    <w:t>裸钻</w:t>
                  </w:r>
                  <w:r>
                    <w:rPr>
                      <w:rFonts w:hint="default" w:ascii="Times New Roman" w:hAnsi="Times New Roman" w:eastAsia="宋体" w:cs="Times New Roman"/>
                      <w:color w:val="auto"/>
                      <w:spacing w:val="4"/>
                      <w:sz w:val="21"/>
                      <w:szCs w:val="21"/>
                      <w:highlight w:val="none"/>
                      <w:lang w:eastAsia="zh-CN"/>
                    </w:rPr>
                    <w:t>。</w:t>
                  </w:r>
                </w:p>
              </w:tc>
              <w:tc>
                <w:tcPr>
                  <w:tcW w:w="674" w:type="dxa"/>
                  <w:tcBorders>
                    <w:tl2br w:val="nil"/>
                    <w:tr2bl w:val="nil"/>
                  </w:tcBorders>
                  <w:vAlign w:val="center"/>
                </w:tcPr>
                <w:p w14:paraId="4EC8291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42E30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3E97C0B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20" w:type="dxa"/>
                  <w:tcBorders>
                    <w:tl2br w:val="nil"/>
                    <w:tr2bl w:val="nil"/>
                  </w:tcBorders>
                  <w:vAlign w:val="center"/>
                </w:tcPr>
                <w:p w14:paraId="762BED4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运输</w:t>
                  </w:r>
                </w:p>
              </w:tc>
              <w:tc>
                <w:tcPr>
                  <w:tcW w:w="5662" w:type="dxa"/>
                  <w:gridSpan w:val="3"/>
                  <w:tcBorders>
                    <w:tl2br w:val="nil"/>
                    <w:tr2bl w:val="nil"/>
                  </w:tcBorders>
                  <w:vAlign w:val="center"/>
                </w:tcPr>
                <w:p w14:paraId="5F97AD0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项目运输采用汽车运输，原辅料等均由厂家运输至项目厂区。</w:t>
                  </w:r>
                </w:p>
              </w:tc>
              <w:tc>
                <w:tcPr>
                  <w:tcW w:w="674" w:type="dxa"/>
                  <w:tcBorders>
                    <w:tl2br w:val="nil"/>
                    <w:tr2bl w:val="nil"/>
                  </w:tcBorders>
                  <w:vAlign w:val="center"/>
                </w:tcPr>
                <w:p w14:paraId="557ACAB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79B3C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restart"/>
                  <w:tcBorders>
                    <w:tl2br w:val="nil"/>
                    <w:tr2bl w:val="nil"/>
                  </w:tcBorders>
                  <w:vAlign w:val="center"/>
                </w:tcPr>
                <w:p w14:paraId="3E6C8B5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环保</w:t>
                  </w:r>
                  <w:r>
                    <w:rPr>
                      <w:rFonts w:hint="default" w:ascii="Times New Roman" w:hAnsi="Times New Roman" w:eastAsia="宋体" w:cs="Times New Roman"/>
                      <w:color w:val="auto"/>
                      <w:spacing w:val="3"/>
                      <w:sz w:val="21"/>
                      <w:szCs w:val="21"/>
                      <w:highlight w:val="none"/>
                    </w:rPr>
                    <w:t>工程</w:t>
                  </w:r>
                </w:p>
              </w:tc>
              <w:tc>
                <w:tcPr>
                  <w:tcW w:w="1120" w:type="dxa"/>
                  <w:vMerge w:val="restart"/>
                  <w:tcBorders>
                    <w:tl2br w:val="nil"/>
                    <w:tr2bl w:val="nil"/>
                  </w:tcBorders>
                  <w:vAlign w:val="center"/>
                </w:tcPr>
                <w:p w14:paraId="44E8C72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废气处理</w:t>
                  </w:r>
                </w:p>
              </w:tc>
              <w:tc>
                <w:tcPr>
                  <w:tcW w:w="660" w:type="dxa"/>
                  <w:tcBorders>
                    <w:tl2br w:val="nil"/>
                    <w:tr2bl w:val="nil"/>
                  </w:tcBorders>
                  <w:shd w:val="clear" w:color="auto" w:fill="auto"/>
                  <w:vAlign w:val="center"/>
                </w:tcPr>
                <w:p w14:paraId="646AF67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珠胚生产</w:t>
                  </w:r>
                  <w:r>
                    <w:rPr>
                      <w:rFonts w:hint="default" w:ascii="Times New Roman" w:hAnsi="Times New Roman" w:eastAsia="宋体" w:cs="Times New Roman"/>
                      <w:color w:val="auto"/>
                      <w:spacing w:val="3"/>
                      <w:sz w:val="21"/>
                      <w:szCs w:val="21"/>
                      <w:highlight w:val="none"/>
                      <w:lang w:val="en-US" w:eastAsia="zh-CN"/>
                    </w:rPr>
                    <w:t>线</w:t>
                  </w:r>
                </w:p>
              </w:tc>
              <w:tc>
                <w:tcPr>
                  <w:tcW w:w="690" w:type="dxa"/>
                  <w:tcBorders>
                    <w:tl2br w:val="nil"/>
                    <w:tr2bl w:val="nil"/>
                  </w:tcBorders>
                  <w:shd w:val="clear" w:color="auto" w:fill="auto"/>
                  <w:vAlign w:val="center"/>
                </w:tcPr>
                <w:p w14:paraId="26CFC5F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投料、电炉、滚抛</w:t>
                  </w:r>
                </w:p>
              </w:tc>
              <w:tc>
                <w:tcPr>
                  <w:tcW w:w="4312" w:type="dxa"/>
                  <w:tcBorders>
                    <w:tl2br w:val="nil"/>
                    <w:tr2bl w:val="nil"/>
                  </w:tcBorders>
                  <w:shd w:val="clear" w:color="auto" w:fill="auto"/>
                  <w:vAlign w:val="center"/>
                </w:tcPr>
                <w:p w14:paraId="0702CEF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项目电炉为密闭</w:t>
                  </w:r>
                  <w:r>
                    <w:rPr>
                      <w:rFonts w:hint="eastAsia" w:ascii="Times New Roman" w:hAnsi="Times New Roman" w:eastAsia="宋体" w:cs="Times New Roman"/>
                      <w:color w:val="auto"/>
                      <w:spacing w:val="3"/>
                      <w:sz w:val="21"/>
                      <w:szCs w:val="21"/>
                      <w:highlight w:val="none"/>
                      <w:lang w:val="en-US" w:eastAsia="zh-CN"/>
                    </w:rPr>
                    <w:t>，电炉烟尘经管道收集、投料、滚抛粉尘经集气罩收集后，</w:t>
                  </w:r>
                  <w:r>
                    <w:rPr>
                      <w:rFonts w:hint="default" w:ascii="Times New Roman" w:hAnsi="Times New Roman" w:eastAsia="宋体" w:cs="Times New Roman"/>
                      <w:color w:val="auto"/>
                      <w:spacing w:val="3"/>
                      <w:sz w:val="21"/>
                      <w:szCs w:val="21"/>
                      <w:highlight w:val="none"/>
                      <w:lang w:val="en-US" w:eastAsia="zh-CN"/>
                    </w:rPr>
                    <w:t>经布袋除尘器（1#）收集</w:t>
                  </w:r>
                  <w:r>
                    <w:rPr>
                      <w:rFonts w:hint="default" w:ascii="Times New Roman" w:hAnsi="Times New Roman" w:eastAsia="宋体" w:cs="Times New Roman"/>
                      <w:strike w:val="0"/>
                      <w:dstrike w:val="0"/>
                      <w:color w:val="auto"/>
                      <w:kern w:val="0"/>
                      <w:sz w:val="21"/>
                      <w:szCs w:val="21"/>
                      <w:highlight w:val="none"/>
                      <w:lang w:val="en-US" w:eastAsia="zh-CN" w:bidi="ar"/>
                    </w:rPr>
                    <w:t>处理后通过</w:t>
                  </w:r>
                  <w:r>
                    <w:rPr>
                      <w:rFonts w:hint="default" w:ascii="Times New Roman" w:hAnsi="Times New Roman" w:eastAsia="宋体" w:cs="Times New Roman"/>
                      <w:color w:val="auto"/>
                      <w:spacing w:val="3"/>
                      <w:sz w:val="21"/>
                      <w:szCs w:val="21"/>
                      <w:highlight w:val="none"/>
                      <w:lang w:val="en-US" w:eastAsia="zh-CN"/>
                    </w:rPr>
                    <w:t>15m高排气筒（DA001）排放。</w:t>
                  </w:r>
                </w:p>
              </w:tc>
              <w:tc>
                <w:tcPr>
                  <w:tcW w:w="674" w:type="dxa"/>
                  <w:tcBorders>
                    <w:tl2br w:val="nil"/>
                    <w:tr2bl w:val="nil"/>
                  </w:tcBorders>
                  <w:vAlign w:val="center"/>
                </w:tcPr>
                <w:p w14:paraId="5B3F112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8A7E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1C450A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vAlign w:val="center"/>
                </w:tcPr>
                <w:p w14:paraId="1ED343C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660" w:type="dxa"/>
                  <w:vMerge w:val="restart"/>
                  <w:tcBorders>
                    <w:tl2br w:val="nil"/>
                    <w:tr2bl w:val="nil"/>
                  </w:tcBorders>
                  <w:shd w:val="clear" w:color="auto" w:fill="auto"/>
                  <w:vAlign w:val="center"/>
                </w:tcPr>
                <w:p w14:paraId="4BE1FF0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吸塑片生产线</w:t>
                  </w:r>
                </w:p>
              </w:tc>
              <w:tc>
                <w:tcPr>
                  <w:tcW w:w="690" w:type="dxa"/>
                  <w:tcBorders>
                    <w:tl2br w:val="nil"/>
                    <w:tr2bl w:val="nil"/>
                  </w:tcBorders>
                  <w:shd w:val="clear" w:color="auto" w:fill="auto"/>
                  <w:vAlign w:val="center"/>
                </w:tcPr>
                <w:p w14:paraId="4C1420F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投料</w:t>
                  </w:r>
                </w:p>
              </w:tc>
              <w:tc>
                <w:tcPr>
                  <w:tcW w:w="4312" w:type="dxa"/>
                  <w:tcBorders>
                    <w:tl2br w:val="nil"/>
                    <w:tr2bl w:val="nil"/>
                  </w:tcBorders>
                  <w:shd w:val="clear" w:color="auto" w:fill="auto"/>
                  <w:vAlign w:val="center"/>
                </w:tcPr>
                <w:p w14:paraId="4AE42E4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投料粉尘</w:t>
                  </w:r>
                  <w:r>
                    <w:rPr>
                      <w:rFonts w:hint="default" w:ascii="Times New Roman" w:hAnsi="Times New Roman" w:eastAsia="宋体" w:cs="Times New Roman"/>
                      <w:color w:val="auto"/>
                      <w:spacing w:val="3"/>
                      <w:sz w:val="21"/>
                      <w:szCs w:val="21"/>
                      <w:highlight w:val="none"/>
                      <w:lang w:val="en-US" w:eastAsia="zh-CN"/>
                    </w:rPr>
                    <w:t>经集气罩+布袋除尘器（2#）收集</w:t>
                  </w:r>
                  <w:r>
                    <w:rPr>
                      <w:rFonts w:hint="default" w:ascii="Times New Roman" w:hAnsi="Times New Roman" w:eastAsia="宋体" w:cs="Times New Roman"/>
                      <w:strike w:val="0"/>
                      <w:dstrike w:val="0"/>
                      <w:color w:val="auto"/>
                      <w:kern w:val="0"/>
                      <w:sz w:val="21"/>
                      <w:szCs w:val="21"/>
                      <w:highlight w:val="none"/>
                      <w:lang w:val="en-US" w:eastAsia="zh-CN" w:bidi="ar"/>
                    </w:rPr>
                    <w:t>处理后通过</w:t>
                  </w:r>
                  <w:r>
                    <w:rPr>
                      <w:rFonts w:hint="default" w:ascii="Times New Roman" w:hAnsi="Times New Roman" w:eastAsia="宋体" w:cs="Times New Roman"/>
                      <w:color w:val="auto"/>
                      <w:spacing w:val="3"/>
                      <w:sz w:val="21"/>
                      <w:szCs w:val="21"/>
                      <w:highlight w:val="none"/>
                      <w:lang w:val="en-US" w:eastAsia="zh-CN"/>
                    </w:rPr>
                    <w:t>15m排气筒（DA002）排放。</w:t>
                  </w:r>
                </w:p>
              </w:tc>
              <w:tc>
                <w:tcPr>
                  <w:tcW w:w="674" w:type="dxa"/>
                  <w:tcBorders>
                    <w:tl2br w:val="nil"/>
                    <w:tr2bl w:val="nil"/>
                  </w:tcBorders>
                  <w:vAlign w:val="center"/>
                </w:tcPr>
                <w:p w14:paraId="7A30B51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116C5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4462713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vAlign w:val="center"/>
                </w:tcPr>
                <w:p w14:paraId="5468541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660" w:type="dxa"/>
                  <w:vMerge w:val="continue"/>
                  <w:tcBorders>
                    <w:tl2br w:val="nil"/>
                    <w:tr2bl w:val="nil"/>
                  </w:tcBorders>
                  <w:vAlign w:val="center"/>
                </w:tcPr>
                <w:p w14:paraId="7EBEB9B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690" w:type="dxa"/>
                  <w:tcBorders>
                    <w:tl2br w:val="nil"/>
                    <w:tr2bl w:val="nil"/>
                  </w:tcBorders>
                  <w:shd w:val="clear" w:color="auto" w:fill="auto"/>
                  <w:vAlign w:val="center"/>
                </w:tcPr>
                <w:p w14:paraId="4EFE231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生产</w:t>
                  </w:r>
                </w:p>
              </w:tc>
              <w:tc>
                <w:tcPr>
                  <w:tcW w:w="4312" w:type="dxa"/>
                  <w:tcBorders>
                    <w:tl2br w:val="nil"/>
                    <w:tr2bl w:val="nil"/>
                  </w:tcBorders>
                  <w:shd w:val="clear" w:color="auto" w:fill="auto"/>
                  <w:vAlign w:val="center"/>
                </w:tcPr>
                <w:p w14:paraId="18F7D20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有机废气</w:t>
                  </w:r>
                  <w:r>
                    <w:rPr>
                      <w:rFonts w:hint="default" w:ascii="Times New Roman" w:hAnsi="Times New Roman" w:eastAsia="宋体" w:cs="Times New Roman"/>
                      <w:color w:val="auto"/>
                      <w:spacing w:val="3"/>
                      <w:sz w:val="21"/>
                      <w:szCs w:val="21"/>
                      <w:highlight w:val="none"/>
                      <w:lang w:val="en-US" w:eastAsia="zh-CN"/>
                    </w:rPr>
                    <w:t>经集气罩+三级活性炭吸附装置收集</w:t>
                  </w:r>
                  <w:r>
                    <w:rPr>
                      <w:rFonts w:hint="default" w:ascii="Times New Roman" w:hAnsi="Times New Roman" w:eastAsia="宋体" w:cs="Times New Roman"/>
                      <w:strike w:val="0"/>
                      <w:dstrike w:val="0"/>
                      <w:color w:val="auto"/>
                      <w:kern w:val="0"/>
                      <w:sz w:val="21"/>
                      <w:szCs w:val="21"/>
                      <w:highlight w:val="none"/>
                      <w:lang w:val="en-US" w:eastAsia="zh-CN" w:bidi="ar"/>
                    </w:rPr>
                    <w:t>处理后通过</w:t>
                  </w:r>
                  <w:r>
                    <w:rPr>
                      <w:rFonts w:hint="default" w:ascii="Times New Roman" w:hAnsi="Times New Roman" w:eastAsia="宋体" w:cs="Times New Roman"/>
                      <w:color w:val="auto"/>
                      <w:spacing w:val="3"/>
                      <w:sz w:val="21"/>
                      <w:szCs w:val="21"/>
                      <w:highlight w:val="none"/>
                      <w:lang w:val="en-US" w:eastAsia="zh-CN"/>
                    </w:rPr>
                    <w:t>15m排气筒（DA003）排放。</w:t>
                  </w:r>
                </w:p>
              </w:tc>
              <w:tc>
                <w:tcPr>
                  <w:tcW w:w="674" w:type="dxa"/>
                  <w:tcBorders>
                    <w:tl2br w:val="nil"/>
                    <w:tr2bl w:val="nil"/>
                  </w:tcBorders>
                  <w:vAlign w:val="center"/>
                </w:tcPr>
                <w:p w14:paraId="2166F1D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83CF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4330A6E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vAlign w:val="center"/>
                </w:tcPr>
                <w:p w14:paraId="43B8865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660" w:type="dxa"/>
                  <w:tcBorders>
                    <w:tl2br w:val="nil"/>
                    <w:tr2bl w:val="nil"/>
                  </w:tcBorders>
                  <w:shd w:val="clear" w:color="auto" w:fill="auto"/>
                  <w:vAlign w:val="center"/>
                </w:tcPr>
                <w:p w14:paraId="2517F39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抛轮生产线</w:t>
                  </w:r>
                </w:p>
              </w:tc>
              <w:tc>
                <w:tcPr>
                  <w:tcW w:w="690" w:type="dxa"/>
                  <w:tcBorders>
                    <w:tl2br w:val="nil"/>
                    <w:tr2bl w:val="nil"/>
                  </w:tcBorders>
                  <w:shd w:val="clear" w:color="auto" w:fill="auto"/>
                  <w:vAlign w:val="center"/>
                </w:tcPr>
                <w:p w14:paraId="7466CDE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投料、车圆</w:t>
                  </w:r>
                </w:p>
              </w:tc>
              <w:tc>
                <w:tcPr>
                  <w:tcW w:w="4312" w:type="dxa"/>
                  <w:tcBorders>
                    <w:tl2br w:val="nil"/>
                    <w:tr2bl w:val="nil"/>
                  </w:tcBorders>
                  <w:shd w:val="clear" w:color="auto" w:fill="auto"/>
                  <w:vAlign w:val="center"/>
                </w:tcPr>
                <w:p w14:paraId="14BF0B3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投料、车圆</w:t>
                  </w:r>
                  <w:r>
                    <w:rPr>
                      <w:rFonts w:hint="eastAsia" w:ascii="Times New Roman" w:hAnsi="Times New Roman" w:eastAsia="宋体" w:cs="Times New Roman"/>
                      <w:color w:val="auto"/>
                      <w:spacing w:val="3"/>
                      <w:sz w:val="21"/>
                      <w:szCs w:val="21"/>
                      <w:highlight w:val="none"/>
                      <w:lang w:val="en-US" w:eastAsia="zh-CN"/>
                    </w:rPr>
                    <w:t>粉尘</w:t>
                  </w:r>
                  <w:r>
                    <w:rPr>
                      <w:rFonts w:hint="default" w:ascii="Times New Roman" w:hAnsi="Times New Roman" w:eastAsia="宋体" w:cs="Times New Roman"/>
                      <w:color w:val="auto"/>
                      <w:spacing w:val="3"/>
                      <w:sz w:val="21"/>
                      <w:szCs w:val="21"/>
                      <w:highlight w:val="none"/>
                      <w:lang w:val="en-US" w:eastAsia="zh-CN"/>
                    </w:rPr>
                    <w:t>经集气罩+布袋除尘器（3#）收集</w:t>
                  </w:r>
                  <w:r>
                    <w:rPr>
                      <w:rFonts w:hint="default" w:ascii="Times New Roman" w:hAnsi="Times New Roman" w:eastAsia="宋体" w:cs="Times New Roman"/>
                      <w:strike w:val="0"/>
                      <w:dstrike w:val="0"/>
                      <w:color w:val="auto"/>
                      <w:kern w:val="0"/>
                      <w:sz w:val="21"/>
                      <w:szCs w:val="21"/>
                      <w:highlight w:val="none"/>
                      <w:lang w:val="en-US" w:eastAsia="zh-CN" w:bidi="ar"/>
                    </w:rPr>
                    <w:t>处理后通过</w:t>
                  </w:r>
                  <w:r>
                    <w:rPr>
                      <w:rFonts w:hint="default" w:ascii="Times New Roman" w:hAnsi="Times New Roman" w:eastAsia="宋体" w:cs="Times New Roman"/>
                      <w:color w:val="auto"/>
                      <w:spacing w:val="3"/>
                      <w:sz w:val="21"/>
                      <w:szCs w:val="21"/>
                      <w:highlight w:val="none"/>
                      <w:lang w:val="en-US" w:eastAsia="zh-CN"/>
                    </w:rPr>
                    <w:t>15m排气筒（DA004）排放。</w:t>
                  </w:r>
                </w:p>
              </w:tc>
              <w:tc>
                <w:tcPr>
                  <w:tcW w:w="674" w:type="dxa"/>
                  <w:tcBorders>
                    <w:tl2br w:val="nil"/>
                    <w:tr2bl w:val="nil"/>
                  </w:tcBorders>
                  <w:vAlign w:val="center"/>
                </w:tcPr>
                <w:p w14:paraId="390701C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48940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6D13A8A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738ADBE6">
                  <w:pPr>
                    <w:pStyle w:val="57"/>
                    <w:keepNext w:val="0"/>
                    <w:keepLines w:val="0"/>
                    <w:pageBreakBefore w:val="0"/>
                    <w:kinsoku/>
                    <w:wordWrap/>
                    <w:overflowPunct/>
                    <w:topLinePunct/>
                    <w:autoSpaceDE w:val="0"/>
                    <w:bidi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p>
              </w:tc>
              <w:tc>
                <w:tcPr>
                  <w:tcW w:w="1350" w:type="dxa"/>
                  <w:gridSpan w:val="2"/>
                  <w:tcBorders>
                    <w:tl2br w:val="nil"/>
                    <w:tr2bl w:val="nil"/>
                  </w:tcBorders>
                  <w:shd w:val="clear" w:color="auto" w:fill="auto"/>
                  <w:vAlign w:val="center"/>
                </w:tcPr>
                <w:p w14:paraId="1D77BD1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生化污水处理站恶臭</w:t>
                  </w:r>
                </w:p>
              </w:tc>
              <w:tc>
                <w:tcPr>
                  <w:tcW w:w="4312" w:type="dxa"/>
                  <w:tcBorders>
                    <w:tl2br w:val="nil"/>
                    <w:tr2bl w:val="nil"/>
                  </w:tcBorders>
                  <w:shd w:val="clear" w:color="auto" w:fill="auto"/>
                  <w:vAlign w:val="center"/>
                </w:tcPr>
                <w:p w14:paraId="28E8C04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污水处理站进行池体封闭，加强周边绿化。</w:t>
                  </w:r>
                </w:p>
              </w:tc>
              <w:tc>
                <w:tcPr>
                  <w:tcW w:w="674" w:type="dxa"/>
                  <w:tcBorders>
                    <w:tl2br w:val="nil"/>
                    <w:tr2bl w:val="nil"/>
                  </w:tcBorders>
                  <w:vAlign w:val="center"/>
                </w:tcPr>
                <w:p w14:paraId="4910936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7A371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30C6D62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4EA3739E">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kern w:val="2"/>
                      <w:sz w:val="21"/>
                      <w:szCs w:val="21"/>
                      <w:highlight w:val="none"/>
                      <w:lang w:val="en-US" w:eastAsia="en-US" w:bidi="ar-SA"/>
                    </w:rPr>
                  </w:pPr>
                </w:p>
              </w:tc>
              <w:tc>
                <w:tcPr>
                  <w:tcW w:w="1350" w:type="dxa"/>
                  <w:gridSpan w:val="2"/>
                  <w:tcBorders>
                    <w:tl2br w:val="nil"/>
                    <w:tr2bl w:val="nil"/>
                  </w:tcBorders>
                  <w:shd w:val="clear" w:color="auto" w:fill="auto"/>
                  <w:vAlign w:val="center"/>
                </w:tcPr>
                <w:p w14:paraId="7A31B74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食堂油烟</w:t>
                  </w:r>
                </w:p>
              </w:tc>
              <w:tc>
                <w:tcPr>
                  <w:tcW w:w="4312" w:type="dxa"/>
                  <w:tcBorders>
                    <w:tl2br w:val="nil"/>
                    <w:tr2bl w:val="nil"/>
                  </w:tcBorders>
                  <w:shd w:val="clear" w:color="auto" w:fill="auto"/>
                  <w:vAlign w:val="center"/>
                </w:tcPr>
                <w:p w14:paraId="0B278A4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设置食堂，位于宿舍楼食堂，4个灶台，食堂油烟经油烟净化器（</w:t>
                  </w:r>
                  <w:r>
                    <w:rPr>
                      <w:rFonts w:hint="default" w:ascii="Times New Roman" w:hAnsi="Times New Roman" w:eastAsia="宋体" w:cs="Times New Roman"/>
                      <w:color w:val="auto"/>
                      <w:kern w:val="0"/>
                      <w:sz w:val="21"/>
                      <w:szCs w:val="21"/>
                      <w:highlight w:val="none"/>
                    </w:rPr>
                    <w:t>处理效率为</w:t>
                  </w:r>
                  <w:r>
                    <w:rPr>
                      <w:rFonts w:hint="default" w:ascii="Times New Roman" w:hAnsi="Times New Roman" w:eastAsia="宋体" w:cs="Times New Roman"/>
                      <w:color w:val="auto"/>
                      <w:kern w:val="0"/>
                      <w:sz w:val="21"/>
                      <w:szCs w:val="21"/>
                      <w:highlight w:val="none"/>
                      <w:lang w:val="en-US" w:eastAsia="zh-CN"/>
                    </w:rPr>
                    <w:t>60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pacing w:val="3"/>
                      <w:sz w:val="21"/>
                      <w:szCs w:val="21"/>
                      <w:highlight w:val="none"/>
                      <w:lang w:val="en-US" w:eastAsia="zh-CN"/>
                    </w:rPr>
                    <w:t>）处理后由排气筒从楼顶排放。</w:t>
                  </w:r>
                </w:p>
              </w:tc>
              <w:tc>
                <w:tcPr>
                  <w:tcW w:w="674" w:type="dxa"/>
                  <w:tcBorders>
                    <w:tl2br w:val="nil"/>
                    <w:tr2bl w:val="nil"/>
                  </w:tcBorders>
                  <w:vAlign w:val="center"/>
                </w:tcPr>
                <w:p w14:paraId="5714134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07D1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293189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restart"/>
                  <w:tcBorders>
                    <w:tl2br w:val="nil"/>
                    <w:tr2bl w:val="nil"/>
                  </w:tcBorders>
                  <w:shd w:val="clear" w:color="auto" w:fill="auto"/>
                  <w:vAlign w:val="center"/>
                </w:tcPr>
                <w:p w14:paraId="6596AE7F">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废水处理</w:t>
                  </w:r>
                </w:p>
              </w:tc>
              <w:tc>
                <w:tcPr>
                  <w:tcW w:w="1350" w:type="dxa"/>
                  <w:gridSpan w:val="2"/>
                  <w:vMerge w:val="restart"/>
                  <w:tcBorders>
                    <w:tl2br w:val="nil"/>
                    <w:tr2bl w:val="nil"/>
                  </w:tcBorders>
                  <w:shd w:val="clear" w:color="auto" w:fill="auto"/>
                  <w:vAlign w:val="center"/>
                </w:tcPr>
                <w:p w14:paraId="60FCA8F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生产废水</w:t>
                  </w:r>
                </w:p>
              </w:tc>
              <w:tc>
                <w:tcPr>
                  <w:tcW w:w="4312" w:type="dxa"/>
                  <w:tcBorders>
                    <w:tl2br w:val="nil"/>
                    <w:tr2bl w:val="nil"/>
                  </w:tcBorders>
                  <w:shd w:val="clear" w:color="auto" w:fill="auto"/>
                  <w:vAlign w:val="center"/>
                </w:tcPr>
                <w:p w14:paraId="5A0E7B3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1座</w:t>
                  </w:r>
                  <w:r>
                    <w:rPr>
                      <w:rFonts w:hint="eastAsia" w:ascii="Times New Roman" w:hAnsi="Times New Roman" w:eastAsia="宋体" w:cs="Times New Roman"/>
                      <w:color w:val="auto"/>
                      <w:spacing w:val="3"/>
                      <w:sz w:val="21"/>
                      <w:szCs w:val="21"/>
                      <w:highlight w:val="none"/>
                      <w:lang w:val="en-US" w:eastAsia="zh-CN"/>
                    </w:rPr>
                    <w:t>珠胚循环水池，</w:t>
                  </w:r>
                  <w:r>
                    <w:rPr>
                      <w:rFonts w:hint="default" w:ascii="Times New Roman" w:hAnsi="Times New Roman" w:eastAsia="宋体" w:cs="Times New Roman"/>
                      <w:color w:val="auto"/>
                      <w:spacing w:val="3"/>
                      <w:sz w:val="21"/>
                      <w:szCs w:val="21"/>
                      <w:highlight w:val="none"/>
                      <w:lang w:val="en-US" w:eastAsia="zh-CN"/>
                    </w:rPr>
                    <w:t>容积不小于</w:t>
                  </w:r>
                  <w:r>
                    <w:rPr>
                      <w:rFonts w:hint="eastAsia" w:ascii="Times New Roman" w:hAnsi="Times New Roman" w:eastAsia="宋体" w:cs="Times New Roman"/>
                      <w:color w:val="auto"/>
                      <w:spacing w:val="3"/>
                      <w:sz w:val="21"/>
                      <w:szCs w:val="21"/>
                      <w:highlight w:val="none"/>
                      <w:lang w:val="en-US" w:eastAsia="zh-CN"/>
                    </w:rPr>
                    <w:t>8</w:t>
                  </w:r>
                  <w:r>
                    <w:rPr>
                      <w:rFonts w:hint="default" w:ascii="Times New Roman" w:hAnsi="Times New Roman" w:eastAsia="宋体" w:cs="Times New Roman"/>
                      <w:color w:val="auto"/>
                      <w:spacing w:val="3"/>
                      <w:sz w:val="21"/>
                      <w:szCs w:val="21"/>
                      <w:highlight w:val="none"/>
                      <w:lang w:val="en-US" w:eastAsia="zh-CN"/>
                    </w:rPr>
                    <w:t>0m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lang w:val="en-US" w:eastAsia="zh-CN"/>
                    </w:rPr>
                    <w:t>，位于1#厂房东南侧，用于处理</w:t>
                  </w:r>
                  <w:r>
                    <w:rPr>
                      <w:rFonts w:hint="eastAsia" w:ascii="Times New Roman" w:hAnsi="Times New Roman" w:eastAsia="宋体" w:cs="Times New Roman"/>
                      <w:color w:val="auto"/>
                      <w:spacing w:val="3"/>
                      <w:sz w:val="21"/>
                      <w:szCs w:val="21"/>
                      <w:highlight w:val="none"/>
                      <w:lang w:val="en-US" w:eastAsia="zh-CN"/>
                    </w:rPr>
                    <w:t>珠胚清洗</w:t>
                  </w:r>
                  <w:r>
                    <w:rPr>
                      <w:rFonts w:hint="default" w:ascii="Times New Roman" w:hAnsi="Times New Roman" w:eastAsia="宋体" w:cs="Times New Roman"/>
                      <w:color w:val="auto"/>
                      <w:spacing w:val="3"/>
                      <w:sz w:val="21"/>
                      <w:szCs w:val="21"/>
                      <w:highlight w:val="none"/>
                      <w:lang w:val="en-US" w:eastAsia="zh-CN"/>
                    </w:rPr>
                    <w:t>废水。</w:t>
                  </w:r>
                </w:p>
              </w:tc>
              <w:tc>
                <w:tcPr>
                  <w:tcW w:w="674" w:type="dxa"/>
                  <w:tcBorders>
                    <w:tl2br w:val="nil"/>
                    <w:tr2bl w:val="nil"/>
                  </w:tcBorders>
                  <w:shd w:val="clear" w:color="auto" w:fill="auto"/>
                  <w:vAlign w:val="center"/>
                </w:tcPr>
                <w:p w14:paraId="4DA65E3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7E1F1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44E0A1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5B1AF647">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1A682DF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1B5DF08B">
                  <w:pPr>
                    <w:keepNext w:val="0"/>
                    <w:keepLines w:val="0"/>
                    <w:pageBreakBefore w:val="0"/>
                    <w:widowControl/>
                    <w:suppressLineNumbers w:val="0"/>
                    <w:kinsoku/>
                    <w:wordWrap/>
                    <w:overflowPunct/>
                    <w:bidi w:val="0"/>
                    <w:spacing w:line="240" w:lineRule="auto"/>
                    <w:ind w:left="0"/>
                    <w:jc w:val="left"/>
                    <w:textAlignment w:val="center"/>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1座磨抛循环</w:t>
                  </w:r>
                  <w:r>
                    <w:rPr>
                      <w:rFonts w:hint="eastAsia" w:ascii="Times New Roman" w:hAnsi="Times New Roman" w:eastAsia="宋体" w:cs="Times New Roman"/>
                      <w:color w:val="auto"/>
                      <w:spacing w:val="3"/>
                      <w:sz w:val="21"/>
                      <w:szCs w:val="21"/>
                      <w:highlight w:val="none"/>
                      <w:lang w:val="en-US" w:eastAsia="zh-CN"/>
                    </w:rPr>
                    <w:t>水</w:t>
                  </w:r>
                  <w:r>
                    <w:rPr>
                      <w:rFonts w:hint="default" w:ascii="Times New Roman" w:hAnsi="Times New Roman" w:eastAsia="宋体" w:cs="Times New Roman"/>
                      <w:i w:val="0"/>
                      <w:iCs w:val="0"/>
                      <w:color w:val="auto"/>
                      <w:kern w:val="0"/>
                      <w:sz w:val="21"/>
                      <w:szCs w:val="21"/>
                      <w:highlight w:val="none"/>
                      <w:u w:val="none"/>
                      <w:lang w:val="en-US" w:eastAsia="zh-CN" w:bidi="ar"/>
                    </w:rPr>
                    <w:t>池</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12</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，位于项目北侧污水处理池区域，用于处理磨抛清洗废水。</w:t>
                  </w:r>
                </w:p>
              </w:tc>
              <w:tc>
                <w:tcPr>
                  <w:tcW w:w="674" w:type="dxa"/>
                  <w:tcBorders>
                    <w:tl2br w:val="nil"/>
                    <w:tr2bl w:val="nil"/>
                  </w:tcBorders>
                  <w:shd w:val="clear" w:color="auto" w:fill="auto"/>
                  <w:vAlign w:val="center"/>
                </w:tcPr>
                <w:p w14:paraId="1CBBBBF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4350C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4E29F7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28712E84">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5897F8D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6ABA7950">
                  <w:pPr>
                    <w:keepNext w:val="0"/>
                    <w:keepLines w:val="0"/>
                    <w:pageBreakBefore w:val="0"/>
                    <w:widowControl/>
                    <w:suppressLineNumbers w:val="0"/>
                    <w:kinsoku/>
                    <w:wordWrap/>
                    <w:overflowPunct/>
                    <w:bidi w:val="0"/>
                    <w:spacing w:line="240" w:lineRule="auto"/>
                    <w:ind w:left="0"/>
                    <w:jc w:val="left"/>
                    <w:textAlignment w:val="center"/>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1座圆磨循环</w:t>
                  </w:r>
                  <w:r>
                    <w:rPr>
                      <w:rFonts w:hint="eastAsia" w:ascii="Times New Roman" w:hAnsi="Times New Roman" w:eastAsia="宋体" w:cs="Times New Roman"/>
                      <w:color w:val="auto"/>
                      <w:spacing w:val="3"/>
                      <w:sz w:val="21"/>
                      <w:szCs w:val="21"/>
                      <w:highlight w:val="none"/>
                      <w:lang w:val="en-US" w:eastAsia="zh-CN"/>
                    </w:rPr>
                    <w:t>水</w:t>
                  </w:r>
                  <w:r>
                    <w:rPr>
                      <w:rFonts w:hint="default" w:ascii="Times New Roman" w:hAnsi="Times New Roman" w:eastAsia="宋体" w:cs="Times New Roman"/>
                      <w:i w:val="0"/>
                      <w:iCs w:val="0"/>
                      <w:color w:val="auto"/>
                      <w:kern w:val="0"/>
                      <w:sz w:val="21"/>
                      <w:szCs w:val="21"/>
                      <w:highlight w:val="none"/>
                      <w:u w:val="none"/>
                      <w:lang w:val="en-US" w:eastAsia="zh-CN" w:bidi="ar"/>
                    </w:rPr>
                    <w:t>池</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12</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，位于项目北侧污水处理池区域，用于处理圆磨清洗废水。</w:t>
                  </w:r>
                </w:p>
              </w:tc>
              <w:tc>
                <w:tcPr>
                  <w:tcW w:w="674" w:type="dxa"/>
                  <w:tcBorders>
                    <w:tl2br w:val="nil"/>
                    <w:tr2bl w:val="nil"/>
                  </w:tcBorders>
                  <w:shd w:val="clear" w:color="auto" w:fill="auto"/>
                  <w:vAlign w:val="center"/>
                </w:tcPr>
                <w:p w14:paraId="3BA6E15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1402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1DF16F5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29904871">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056DCDB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0F16B2C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1座</w:t>
                  </w:r>
                  <w:r>
                    <w:rPr>
                      <w:rFonts w:hint="eastAsia" w:ascii="Times New Roman" w:hAnsi="Times New Roman" w:eastAsia="宋体" w:cs="Times New Roman"/>
                      <w:color w:val="auto"/>
                      <w:spacing w:val="3"/>
                      <w:sz w:val="21"/>
                      <w:szCs w:val="21"/>
                      <w:highlight w:val="none"/>
                      <w:lang w:val="en-US" w:eastAsia="zh-CN"/>
                    </w:rPr>
                    <w:t>碱液收集池，</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color w:val="auto"/>
                      <w:spacing w:val="3"/>
                      <w:sz w:val="21"/>
                      <w:szCs w:val="21"/>
                      <w:highlight w:val="none"/>
                      <w:lang w:val="en-US" w:eastAsia="zh-CN"/>
                    </w:rPr>
                    <w:t>，位于5#厂房北侧，用于碱洗废水</w:t>
                  </w:r>
                  <w:r>
                    <w:rPr>
                      <w:rFonts w:hint="eastAsia" w:ascii="Times New Roman" w:hAnsi="Times New Roman" w:eastAsia="宋体" w:cs="Times New Roman"/>
                      <w:color w:val="auto"/>
                      <w:spacing w:val="3"/>
                      <w:sz w:val="21"/>
                      <w:szCs w:val="21"/>
                      <w:highlight w:val="none"/>
                      <w:lang w:val="en-US" w:eastAsia="zh-CN"/>
                    </w:rPr>
                    <w:t>预</w:t>
                  </w:r>
                  <w:r>
                    <w:rPr>
                      <w:rFonts w:hint="default" w:ascii="Times New Roman" w:hAnsi="Times New Roman" w:eastAsia="宋体" w:cs="Times New Roman"/>
                      <w:color w:val="auto"/>
                      <w:spacing w:val="3"/>
                      <w:sz w:val="21"/>
                      <w:szCs w:val="21"/>
                      <w:highlight w:val="none"/>
                      <w:lang w:val="en-US" w:eastAsia="zh-CN"/>
                    </w:rPr>
                    <w:t>处理。</w:t>
                  </w:r>
                </w:p>
              </w:tc>
              <w:tc>
                <w:tcPr>
                  <w:tcW w:w="674" w:type="dxa"/>
                  <w:tcBorders>
                    <w:tl2br w:val="nil"/>
                    <w:tr2bl w:val="nil"/>
                  </w:tcBorders>
                  <w:shd w:val="clear" w:color="auto" w:fill="auto"/>
                  <w:vAlign w:val="center"/>
                </w:tcPr>
                <w:p w14:paraId="5A3ED09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4EB3B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23CD7B1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63DCE892">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69D5643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5C13F31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1座生化污水处理站</w:t>
                  </w:r>
                  <w:r>
                    <w:rPr>
                      <w:rFonts w:hint="eastAsia" w:ascii="Times New Roman" w:hAnsi="Times New Roman" w:eastAsia="宋体" w:cs="Times New Roman"/>
                      <w:color w:val="auto"/>
                      <w:spacing w:val="3"/>
                      <w:sz w:val="21"/>
                      <w:szCs w:val="21"/>
                      <w:highlight w:val="none"/>
                      <w:lang w:val="en-US" w:eastAsia="zh-CN"/>
                    </w:rPr>
                    <w:t>，设计规模36</w:t>
                  </w:r>
                  <w:r>
                    <w:rPr>
                      <w:rFonts w:hint="default" w:ascii="Times New Roman" w:hAnsi="Times New Roman" w:eastAsia="宋体" w:cs="Times New Roman"/>
                      <w:color w:val="auto"/>
                      <w:spacing w:val="3"/>
                      <w:sz w:val="21"/>
                      <w:szCs w:val="21"/>
                      <w:highlight w:val="none"/>
                      <w:lang w:val="en-US" w:eastAsia="zh-CN"/>
                    </w:rPr>
                    <w:t>0m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lang w:val="en-US" w:eastAsia="zh-CN"/>
                    </w:rPr>
                    <w:t>/d，</w:t>
                  </w:r>
                  <w:r>
                    <w:rPr>
                      <w:rFonts w:hint="eastAsia" w:ascii="Times New Roman" w:hAnsi="Times New Roman" w:eastAsia="宋体" w:cs="Times New Roman"/>
                      <w:color w:val="auto"/>
                      <w:spacing w:val="3"/>
                      <w:sz w:val="21"/>
                      <w:szCs w:val="21"/>
                      <w:highlight w:val="none"/>
                      <w:lang w:val="en-US" w:eastAsia="zh-CN"/>
                    </w:rPr>
                    <w:t>工艺为</w:t>
                  </w:r>
                  <w:r>
                    <w:rPr>
                      <w:rFonts w:hint="default" w:ascii="Times New Roman" w:hAnsi="Times New Roman" w:eastAsia="宋体"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lang w:val="en-US" w:eastAsia="zh-CN"/>
                    </w:rPr>
                    <w:t>调节池+</w:t>
                  </w:r>
                  <w:r>
                    <w:rPr>
                      <w:rFonts w:hint="eastAsia" w:cs="Times New Roman"/>
                      <w:color w:val="auto"/>
                      <w:spacing w:val="-3"/>
                      <w:sz w:val="21"/>
                      <w:szCs w:val="21"/>
                      <w:highlight w:val="none"/>
                      <w:lang w:val="en-US" w:eastAsia="zh-CN"/>
                    </w:rPr>
                    <w:t>混凝沉淀</w:t>
                  </w:r>
                  <w:r>
                    <w:rPr>
                      <w:rFonts w:hint="default" w:ascii="Times New Roman" w:hAnsi="Times New Roman" w:eastAsia="宋体" w:cs="Times New Roman"/>
                      <w:color w:val="auto"/>
                      <w:spacing w:val="-3"/>
                      <w:sz w:val="21"/>
                      <w:szCs w:val="21"/>
                      <w:highlight w:val="none"/>
                      <w:lang w:val="en-US" w:eastAsia="zh-CN"/>
                    </w:rPr>
                    <w:t>+A/O</w:t>
                  </w:r>
                  <w:r>
                    <w:rPr>
                      <w:rFonts w:hint="eastAsia" w:cs="Times New Roman"/>
                      <w:color w:val="auto"/>
                      <w:spacing w:val="-3"/>
                      <w:sz w:val="21"/>
                      <w:szCs w:val="21"/>
                      <w:highlight w:val="none"/>
                      <w:lang w:val="en-US" w:eastAsia="zh-CN"/>
                    </w:rPr>
                    <w:t>接触氧化</w:t>
                  </w:r>
                  <w:r>
                    <w:rPr>
                      <w:rFonts w:hint="default" w:ascii="Times New Roman" w:hAnsi="Times New Roman" w:eastAsia="宋体" w:cs="Times New Roman"/>
                      <w:color w:val="auto"/>
                      <w:spacing w:val="-3"/>
                      <w:sz w:val="21"/>
                      <w:szCs w:val="21"/>
                      <w:highlight w:val="none"/>
                      <w:lang w:val="en-US" w:eastAsia="zh-CN"/>
                    </w:rPr>
                    <w:t>池</w:t>
                  </w:r>
                  <w:r>
                    <w:rPr>
                      <w:rFonts w:hint="eastAsia" w:cs="Times New Roman"/>
                      <w:color w:val="auto"/>
                      <w:spacing w:val="-3"/>
                      <w:sz w:val="21"/>
                      <w:szCs w:val="21"/>
                      <w:highlight w:val="none"/>
                      <w:lang w:val="en-US" w:eastAsia="zh-CN"/>
                    </w:rPr>
                    <w:t>+斜板沉淀</w:t>
                  </w:r>
                  <w:r>
                    <w:rPr>
                      <w:rFonts w:hint="default" w:ascii="Times New Roman" w:hAnsi="Times New Roman" w:eastAsia="宋体" w:cs="Times New Roman"/>
                      <w:color w:val="auto"/>
                      <w:spacing w:val="-3"/>
                      <w:sz w:val="21"/>
                      <w:szCs w:val="21"/>
                      <w:highlight w:val="none"/>
                    </w:rPr>
                    <w:t>”</w:t>
                  </w: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位于项目北侧，用于处理</w:t>
                  </w:r>
                  <w:r>
                    <w:rPr>
                      <w:rFonts w:hint="eastAsia" w:ascii="Times New Roman" w:hAnsi="Times New Roman" w:eastAsia="宋体" w:cs="Times New Roman"/>
                      <w:color w:val="auto"/>
                      <w:spacing w:val="3"/>
                      <w:sz w:val="21"/>
                      <w:szCs w:val="21"/>
                      <w:highlight w:val="none"/>
                      <w:lang w:val="en-US" w:eastAsia="zh-CN"/>
                    </w:rPr>
                    <w:t>综合</w:t>
                  </w:r>
                  <w:r>
                    <w:rPr>
                      <w:rFonts w:hint="default" w:ascii="Times New Roman" w:hAnsi="Times New Roman" w:eastAsia="宋体" w:cs="Times New Roman"/>
                      <w:color w:val="auto"/>
                      <w:spacing w:val="3"/>
                      <w:sz w:val="21"/>
                      <w:szCs w:val="21"/>
                      <w:highlight w:val="none"/>
                      <w:lang w:val="en-US" w:eastAsia="zh-CN"/>
                    </w:rPr>
                    <w:t>废水。</w:t>
                  </w:r>
                </w:p>
              </w:tc>
              <w:tc>
                <w:tcPr>
                  <w:tcW w:w="674" w:type="dxa"/>
                  <w:tcBorders>
                    <w:tl2br w:val="nil"/>
                    <w:tr2bl w:val="nil"/>
                  </w:tcBorders>
                  <w:shd w:val="clear" w:color="auto" w:fill="auto"/>
                  <w:vAlign w:val="center"/>
                </w:tcPr>
                <w:p w14:paraId="234A72E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7CC5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7B9574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1525CB3D">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4F84947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2047974B">
                  <w:pPr>
                    <w:keepNext w:val="0"/>
                    <w:keepLines w:val="0"/>
                    <w:pageBreakBefore w:val="0"/>
                    <w:widowControl/>
                    <w:suppressLineNumbers w:val="0"/>
                    <w:kinsoku/>
                    <w:wordWrap/>
                    <w:overflowPunct/>
                    <w:bidi w:val="0"/>
                    <w:spacing w:line="240" w:lineRule="auto"/>
                    <w:ind w:left="0"/>
                    <w:jc w:val="left"/>
                    <w:textAlignment w:val="center"/>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1座</w:t>
                  </w:r>
                  <w:r>
                    <w:rPr>
                      <w:rFonts w:hint="default" w:ascii="Times New Roman" w:hAnsi="Times New Roman" w:eastAsia="宋体" w:cs="Times New Roman"/>
                      <w:b w:val="0"/>
                      <w:bCs w:val="0"/>
                      <w:strike w:val="0"/>
                      <w:dstrike w:val="0"/>
                      <w:color w:val="auto"/>
                      <w:sz w:val="21"/>
                      <w:szCs w:val="21"/>
                      <w:highlight w:val="none"/>
                      <w:lang w:val="en-US" w:eastAsia="zh-CN"/>
                    </w:rPr>
                    <w:t>初期雨水收集池</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pacing w:val="3"/>
                      <w:sz w:val="21"/>
                      <w:szCs w:val="21"/>
                      <w:highlight w:val="none"/>
                      <w:lang w:val="en-US" w:eastAsia="zh-CN"/>
                    </w:rPr>
                    <w:t>容积不小于</w:t>
                  </w:r>
                  <w:r>
                    <w:rPr>
                      <w:rStyle w:val="68"/>
                      <w:rFonts w:hint="default" w:ascii="Times New Roman" w:hAnsi="Times New Roman" w:eastAsia="宋体" w:cs="Times New Roman"/>
                      <w:color w:val="auto"/>
                      <w:sz w:val="21"/>
                      <w:szCs w:val="21"/>
                      <w:highlight w:val="none"/>
                      <w:lang w:val="en-US" w:eastAsia="zh-CN" w:bidi="ar"/>
                    </w:rPr>
                    <w:t>300m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），用于处理厂区</w:t>
                  </w:r>
                  <w:r>
                    <w:rPr>
                      <w:rFonts w:hint="default" w:ascii="Times New Roman" w:hAnsi="Times New Roman" w:eastAsia="宋体" w:cs="Times New Roman"/>
                      <w:b w:val="0"/>
                      <w:bCs w:val="0"/>
                      <w:strike w:val="0"/>
                      <w:dstrike w:val="0"/>
                      <w:color w:val="auto"/>
                      <w:sz w:val="21"/>
                      <w:szCs w:val="21"/>
                      <w:highlight w:val="none"/>
                      <w:lang w:val="en-US" w:eastAsia="zh-CN"/>
                    </w:rPr>
                    <w:t>初期雨水</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4" w:type="dxa"/>
                  <w:tcBorders>
                    <w:tl2br w:val="nil"/>
                    <w:tr2bl w:val="nil"/>
                  </w:tcBorders>
                  <w:shd w:val="clear" w:color="auto" w:fill="auto"/>
                  <w:vAlign w:val="center"/>
                </w:tcPr>
                <w:p w14:paraId="2AB225F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新建</w:t>
                  </w:r>
                </w:p>
              </w:tc>
            </w:tr>
            <w:tr w14:paraId="7205E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387B4C2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66789ECC">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restart"/>
                  <w:tcBorders>
                    <w:tl2br w:val="nil"/>
                    <w:tr2bl w:val="nil"/>
                  </w:tcBorders>
                  <w:shd w:val="clear" w:color="auto" w:fill="auto"/>
                  <w:vAlign w:val="center"/>
                </w:tcPr>
                <w:p w14:paraId="4475D19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生活污水</w:t>
                  </w:r>
                </w:p>
              </w:tc>
              <w:tc>
                <w:tcPr>
                  <w:tcW w:w="4312" w:type="dxa"/>
                  <w:tcBorders>
                    <w:tl2br w:val="nil"/>
                    <w:tr2bl w:val="nil"/>
                  </w:tcBorders>
                  <w:shd w:val="clear" w:color="auto" w:fill="auto"/>
                  <w:vAlign w:val="center"/>
                </w:tcPr>
                <w:p w14:paraId="490C97D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1座隔油池（1.0m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lang w:val="en-US" w:eastAsia="zh-CN"/>
                    </w:rPr>
                    <w:t>d），位于宿舍楼南侧，</w:t>
                  </w:r>
                  <w:r>
                    <w:rPr>
                      <w:rFonts w:hint="default" w:ascii="Times New Roman" w:hAnsi="Times New Roman" w:eastAsia="宋体" w:cs="Times New Roman"/>
                      <w:strike w:val="0"/>
                      <w:dstrike w:val="0"/>
                      <w:color w:val="auto"/>
                      <w:spacing w:val="5"/>
                      <w:sz w:val="21"/>
                      <w:szCs w:val="21"/>
                      <w:highlight w:val="none"/>
                    </w:rPr>
                    <w:t>用</w:t>
                  </w:r>
                  <w:r>
                    <w:rPr>
                      <w:rFonts w:hint="default" w:ascii="Times New Roman" w:hAnsi="Times New Roman" w:eastAsia="宋体" w:cs="Times New Roman"/>
                      <w:strike w:val="0"/>
                      <w:dstrike w:val="0"/>
                      <w:color w:val="auto"/>
                      <w:spacing w:val="7"/>
                      <w:sz w:val="21"/>
                      <w:szCs w:val="21"/>
                      <w:highlight w:val="none"/>
                    </w:rPr>
                    <w:t>于处理项目内的</w:t>
                  </w:r>
                  <w:r>
                    <w:rPr>
                      <w:rFonts w:hint="default" w:ascii="Times New Roman" w:hAnsi="Times New Roman" w:eastAsia="宋体" w:cs="Times New Roman"/>
                      <w:strike w:val="0"/>
                      <w:dstrike w:val="0"/>
                      <w:color w:val="auto"/>
                      <w:spacing w:val="7"/>
                      <w:sz w:val="21"/>
                      <w:szCs w:val="21"/>
                      <w:highlight w:val="none"/>
                      <w:lang w:val="en-US" w:eastAsia="zh-CN"/>
                    </w:rPr>
                    <w:t>食堂废水</w:t>
                  </w:r>
                  <w:r>
                    <w:rPr>
                      <w:rFonts w:hint="default" w:ascii="Times New Roman" w:hAnsi="Times New Roman" w:eastAsia="宋体" w:cs="Times New Roman"/>
                      <w:strike w:val="0"/>
                      <w:dstrike w:val="0"/>
                      <w:color w:val="auto"/>
                      <w:spacing w:val="7"/>
                      <w:sz w:val="21"/>
                      <w:szCs w:val="21"/>
                      <w:highlight w:val="none"/>
                    </w:rPr>
                    <w:t>。</w:t>
                  </w:r>
                </w:p>
              </w:tc>
              <w:tc>
                <w:tcPr>
                  <w:tcW w:w="674" w:type="dxa"/>
                  <w:tcBorders>
                    <w:tl2br w:val="nil"/>
                    <w:tr2bl w:val="nil"/>
                  </w:tcBorders>
                  <w:vAlign w:val="center"/>
                </w:tcPr>
                <w:p w14:paraId="7C4BDFD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71DB5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DAA0B5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1F77C9E2">
                  <w:pPr>
                    <w:pStyle w:val="57"/>
                    <w:keepNext w:val="0"/>
                    <w:keepLines w:val="0"/>
                    <w:pageBreakBefore w:val="0"/>
                    <w:kinsoku/>
                    <w:wordWrap/>
                    <w:overflowPunct/>
                    <w:topLinePunct/>
                    <w:autoSpaceDE w:val="0"/>
                    <w:bidi w:val="0"/>
                    <w:spacing w:line="240" w:lineRule="auto"/>
                    <w:ind w:left="0"/>
                    <w:jc w:val="center"/>
                    <w:rPr>
                      <w:rFonts w:hint="default" w:ascii="Times New Roman" w:hAnsi="Times New Roman" w:eastAsia="宋体" w:cs="Times New Roman"/>
                      <w:color w:val="auto"/>
                      <w:spacing w:val="1"/>
                      <w:sz w:val="21"/>
                      <w:szCs w:val="21"/>
                      <w:highlight w:val="none"/>
                    </w:rPr>
                  </w:pPr>
                </w:p>
              </w:tc>
              <w:tc>
                <w:tcPr>
                  <w:tcW w:w="1350" w:type="dxa"/>
                  <w:gridSpan w:val="2"/>
                  <w:vMerge w:val="continue"/>
                  <w:tcBorders>
                    <w:tl2br w:val="nil"/>
                    <w:tr2bl w:val="nil"/>
                  </w:tcBorders>
                  <w:shd w:val="clear" w:color="auto" w:fill="auto"/>
                  <w:vAlign w:val="center"/>
                </w:tcPr>
                <w:p w14:paraId="7672E38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4312" w:type="dxa"/>
                  <w:tcBorders>
                    <w:tl2br w:val="nil"/>
                    <w:tr2bl w:val="nil"/>
                  </w:tcBorders>
                  <w:shd w:val="clear" w:color="auto" w:fill="auto"/>
                  <w:vAlign w:val="center"/>
                </w:tcPr>
                <w:p w14:paraId="6AFFE92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化粪池（总容积不小于30m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lang w:val="en-US" w:eastAsia="zh-CN"/>
                    </w:rPr>
                    <w:t>），位于宿舍楼南侧，</w:t>
                  </w:r>
                  <w:r>
                    <w:rPr>
                      <w:rFonts w:hint="default" w:ascii="Times New Roman" w:hAnsi="Times New Roman" w:eastAsia="宋体" w:cs="Times New Roman"/>
                      <w:strike w:val="0"/>
                      <w:dstrike w:val="0"/>
                      <w:color w:val="auto"/>
                      <w:spacing w:val="5"/>
                      <w:sz w:val="21"/>
                      <w:szCs w:val="21"/>
                      <w:highlight w:val="none"/>
                    </w:rPr>
                    <w:t>用</w:t>
                  </w:r>
                  <w:r>
                    <w:rPr>
                      <w:rFonts w:hint="default" w:ascii="Times New Roman" w:hAnsi="Times New Roman" w:eastAsia="宋体" w:cs="Times New Roman"/>
                      <w:strike w:val="0"/>
                      <w:dstrike w:val="0"/>
                      <w:color w:val="auto"/>
                      <w:spacing w:val="7"/>
                      <w:sz w:val="21"/>
                      <w:szCs w:val="21"/>
                      <w:highlight w:val="none"/>
                    </w:rPr>
                    <w:t>于处理项目内的生活</w:t>
                  </w:r>
                  <w:r>
                    <w:rPr>
                      <w:rFonts w:hint="default" w:ascii="Times New Roman" w:hAnsi="Times New Roman" w:eastAsia="宋体" w:cs="Times New Roman"/>
                      <w:strike w:val="0"/>
                      <w:dstrike w:val="0"/>
                      <w:color w:val="auto"/>
                      <w:spacing w:val="7"/>
                      <w:sz w:val="21"/>
                      <w:szCs w:val="21"/>
                      <w:highlight w:val="none"/>
                      <w:lang w:val="en-US" w:eastAsia="zh-CN"/>
                    </w:rPr>
                    <w:t>污水</w:t>
                  </w:r>
                  <w:r>
                    <w:rPr>
                      <w:rFonts w:hint="default" w:ascii="Times New Roman" w:hAnsi="Times New Roman" w:eastAsia="宋体" w:cs="Times New Roman"/>
                      <w:strike w:val="0"/>
                      <w:dstrike w:val="0"/>
                      <w:color w:val="auto"/>
                      <w:spacing w:val="7"/>
                      <w:sz w:val="21"/>
                      <w:szCs w:val="21"/>
                      <w:highlight w:val="none"/>
                    </w:rPr>
                    <w:t>。</w:t>
                  </w:r>
                </w:p>
              </w:tc>
              <w:tc>
                <w:tcPr>
                  <w:tcW w:w="674" w:type="dxa"/>
                  <w:tcBorders>
                    <w:tl2br w:val="nil"/>
                    <w:tr2bl w:val="nil"/>
                  </w:tcBorders>
                  <w:vAlign w:val="center"/>
                </w:tcPr>
                <w:p w14:paraId="19DDF17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232F2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59E3017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tcBorders>
                    <w:tl2br w:val="nil"/>
                    <w:tr2bl w:val="nil"/>
                  </w:tcBorders>
                  <w:shd w:val="clear" w:color="auto" w:fill="auto"/>
                  <w:vAlign w:val="center"/>
                </w:tcPr>
                <w:p w14:paraId="14BBCC44">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4"/>
                      <w:sz w:val="21"/>
                      <w:szCs w:val="21"/>
                      <w:highlight w:val="none"/>
                    </w:rPr>
                    <w:t>噪声治理</w:t>
                  </w:r>
                </w:p>
              </w:tc>
              <w:tc>
                <w:tcPr>
                  <w:tcW w:w="5662" w:type="dxa"/>
                  <w:gridSpan w:val="3"/>
                  <w:tcBorders>
                    <w:tl2br w:val="nil"/>
                    <w:tr2bl w:val="nil"/>
                  </w:tcBorders>
                  <w:shd w:val="clear" w:color="auto" w:fill="auto"/>
                  <w:vAlign w:val="center"/>
                </w:tcPr>
                <w:p w14:paraId="580EC2F3">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9"/>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选择低噪声设备、</w:t>
                  </w:r>
                  <w:r>
                    <w:rPr>
                      <w:rFonts w:hint="default" w:ascii="Times New Roman" w:hAnsi="Times New Roman" w:eastAsia="宋体" w:cs="Times New Roman"/>
                      <w:color w:val="auto"/>
                      <w:kern w:val="0"/>
                      <w:sz w:val="21"/>
                      <w:szCs w:val="21"/>
                      <w:highlight w:val="none"/>
                    </w:rPr>
                    <w:t>设备基础减振、厂房隔声等。</w:t>
                  </w:r>
                </w:p>
              </w:tc>
              <w:tc>
                <w:tcPr>
                  <w:tcW w:w="674" w:type="dxa"/>
                  <w:tcBorders>
                    <w:tl2br w:val="nil"/>
                    <w:tr2bl w:val="nil"/>
                  </w:tcBorders>
                  <w:vAlign w:val="center"/>
                </w:tcPr>
                <w:p w14:paraId="3A3BD39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48790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FBE6BC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restart"/>
                  <w:tcBorders>
                    <w:tl2br w:val="nil"/>
                    <w:tr2bl w:val="nil"/>
                  </w:tcBorders>
                  <w:shd w:val="clear" w:color="auto" w:fill="auto"/>
                  <w:vAlign w:val="center"/>
                </w:tcPr>
                <w:p w14:paraId="48887B3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en-US"/>
                    </w:rPr>
                  </w:pPr>
                  <w:r>
                    <w:rPr>
                      <w:rFonts w:hint="default" w:ascii="Times New Roman" w:hAnsi="Times New Roman" w:eastAsia="宋体" w:cs="Times New Roman"/>
                      <w:color w:val="auto"/>
                      <w:spacing w:val="3"/>
                      <w:sz w:val="21"/>
                      <w:szCs w:val="21"/>
                      <w:highlight w:val="none"/>
                      <w:lang w:val="en-US" w:eastAsia="zh-CN"/>
                    </w:rPr>
                    <w:t>固废暂存</w:t>
                  </w:r>
                </w:p>
              </w:tc>
              <w:tc>
                <w:tcPr>
                  <w:tcW w:w="1350" w:type="dxa"/>
                  <w:gridSpan w:val="2"/>
                  <w:tcBorders>
                    <w:tl2br w:val="nil"/>
                    <w:tr2bl w:val="nil"/>
                  </w:tcBorders>
                  <w:shd w:val="clear" w:color="auto" w:fill="auto"/>
                  <w:vAlign w:val="center"/>
                </w:tcPr>
                <w:p w14:paraId="4E1EFA6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一般固废暂存间</w:t>
                  </w:r>
                </w:p>
              </w:tc>
              <w:tc>
                <w:tcPr>
                  <w:tcW w:w="4312" w:type="dxa"/>
                  <w:tcBorders>
                    <w:tl2br w:val="nil"/>
                    <w:tr2bl w:val="nil"/>
                  </w:tcBorders>
                  <w:shd w:val="clear" w:color="auto" w:fill="auto"/>
                  <w:vAlign w:val="center"/>
                </w:tcPr>
                <w:p w14:paraId="450D362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3"/>
                      <w:sz w:val="21"/>
                      <w:szCs w:val="21"/>
                      <w:highlight w:val="none"/>
                      <w:vertAlign w:val="superscript"/>
                      <w:lang w:val="en-US" w:eastAsia="zh-CN"/>
                    </w:rPr>
                  </w:pPr>
                  <w:r>
                    <w:rPr>
                      <w:rFonts w:hint="default" w:ascii="Times New Roman" w:hAnsi="Times New Roman" w:eastAsia="宋体" w:cs="Times New Roman"/>
                      <w:color w:val="auto"/>
                      <w:spacing w:val="3"/>
                      <w:sz w:val="21"/>
                      <w:szCs w:val="21"/>
                      <w:highlight w:val="none"/>
                      <w:lang w:val="en-US" w:eastAsia="zh-CN"/>
                    </w:rPr>
                    <w:t>设在1#厂房最东侧</w:t>
                  </w:r>
                  <w:r>
                    <w:rPr>
                      <w:rFonts w:hint="default" w:ascii="Times New Roman" w:hAnsi="Times New Roman" w:eastAsia="宋体" w:cs="Times New Roman"/>
                      <w:color w:val="auto"/>
                      <w:spacing w:val="2"/>
                      <w:sz w:val="21"/>
                      <w:szCs w:val="21"/>
                      <w:highlight w:val="none"/>
                    </w:rPr>
                    <w:t>，占地面积</w:t>
                  </w:r>
                  <w:r>
                    <w:rPr>
                      <w:rFonts w:hint="default" w:ascii="Times New Roman" w:hAnsi="Times New Roman" w:eastAsia="宋体" w:cs="Times New Roman"/>
                      <w:color w:val="auto"/>
                      <w:spacing w:val="2"/>
                      <w:sz w:val="21"/>
                      <w:szCs w:val="21"/>
                      <w:highlight w:val="none"/>
                      <w:lang w:val="en-US" w:eastAsia="zh-CN"/>
                    </w:rPr>
                    <w:t>60</w:t>
                  </w:r>
                  <w:r>
                    <w:rPr>
                      <w:rFonts w:hint="default" w:ascii="Times New Roman" w:hAnsi="Times New Roman" w:eastAsia="宋体" w:cs="Times New Roman"/>
                      <w:color w:val="auto"/>
                      <w:spacing w:val="2"/>
                      <w:sz w:val="21"/>
                      <w:szCs w:val="21"/>
                      <w:highlight w:val="none"/>
                    </w:rPr>
                    <w:t>0</w:t>
                  </w:r>
                  <w:r>
                    <w:rPr>
                      <w:rFonts w:hint="default" w:ascii="Times New Roman" w:hAnsi="Times New Roman" w:eastAsia="宋体" w:cs="Times New Roman"/>
                      <w:color w:val="auto"/>
                      <w:spacing w:val="3"/>
                      <w:sz w:val="21"/>
                      <w:szCs w:val="21"/>
                      <w:highlight w:val="none"/>
                      <w:lang w:val="en-US" w:eastAsia="zh-CN"/>
                    </w:rPr>
                    <w:t>m</w:t>
                  </w:r>
                  <w:r>
                    <w:rPr>
                      <w:rFonts w:hint="default" w:ascii="Times New Roman" w:hAnsi="Times New Roman" w:eastAsia="宋体" w:cs="Times New Roman"/>
                      <w:color w:val="auto"/>
                      <w:spacing w:val="3"/>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。采用水泥硬化地面，防渗要求参照《一般工业固体废物贮存和填埋污染控制标准》（GB18599-2020）执行。</w:t>
                  </w:r>
                </w:p>
              </w:tc>
              <w:tc>
                <w:tcPr>
                  <w:tcW w:w="674" w:type="dxa"/>
                  <w:tcBorders>
                    <w:tl2br w:val="nil"/>
                    <w:tr2bl w:val="nil"/>
                  </w:tcBorders>
                  <w:vAlign w:val="center"/>
                </w:tcPr>
                <w:p w14:paraId="15DE199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5E34A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653A71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5EA9BD0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50" w:type="dxa"/>
                  <w:gridSpan w:val="2"/>
                  <w:tcBorders>
                    <w:tl2br w:val="nil"/>
                    <w:tr2bl w:val="nil"/>
                  </w:tcBorders>
                  <w:shd w:val="clear" w:color="auto" w:fill="auto"/>
                  <w:vAlign w:val="center"/>
                </w:tcPr>
                <w:p w14:paraId="6CC9E24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危险废物贮存库</w:t>
                  </w:r>
                </w:p>
              </w:tc>
              <w:tc>
                <w:tcPr>
                  <w:tcW w:w="4312" w:type="dxa"/>
                  <w:tcBorders>
                    <w:tl2br w:val="nil"/>
                    <w:tr2bl w:val="nil"/>
                  </w:tcBorders>
                  <w:shd w:val="clear" w:color="auto" w:fill="auto"/>
                  <w:vAlign w:val="center"/>
                </w:tcPr>
                <w:p w14:paraId="152FD76F">
                  <w:pPr>
                    <w:keepNext w:val="0"/>
                    <w:keepLines w:val="0"/>
                    <w:pageBreakBefore w:val="0"/>
                    <w:kinsoku/>
                    <w:wordWrap/>
                    <w:overflowPunct/>
                    <w:topLinePunct/>
                    <w:autoSpaceDE w:val="0"/>
                    <w:autoSpaceDN w:val="0"/>
                    <w:bidi w:val="0"/>
                    <w:adjustRightInd w:val="0"/>
                    <w:spacing w:line="240" w:lineRule="auto"/>
                    <w:ind w:left="0"/>
                    <w:jc w:val="both"/>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6"/>
                      <w:sz w:val="21"/>
                      <w:szCs w:val="21"/>
                      <w:highlight w:val="none"/>
                    </w:rPr>
                    <w:t>位于</w:t>
                  </w:r>
                  <w:r>
                    <w:rPr>
                      <w:rFonts w:hint="default" w:ascii="Times New Roman" w:hAnsi="Times New Roman" w:eastAsia="宋体" w:cs="Times New Roman"/>
                      <w:color w:val="auto"/>
                      <w:spacing w:val="-27"/>
                      <w:sz w:val="21"/>
                      <w:szCs w:val="21"/>
                      <w:highlight w:val="none"/>
                      <w:lang w:val="en-US" w:eastAsia="zh-CN"/>
                    </w:rPr>
                    <w:t>7#</w:t>
                  </w:r>
                  <w:r>
                    <w:rPr>
                      <w:rFonts w:hint="default" w:ascii="Times New Roman" w:hAnsi="Times New Roman" w:eastAsia="宋体" w:cs="Times New Roman"/>
                      <w:color w:val="auto"/>
                      <w:spacing w:val="6"/>
                      <w:sz w:val="21"/>
                      <w:szCs w:val="21"/>
                      <w:highlight w:val="none"/>
                    </w:rPr>
                    <w:t>厂房，</w:t>
                  </w:r>
                  <w:r>
                    <w:rPr>
                      <w:rFonts w:hint="default" w:ascii="Times New Roman" w:hAnsi="Times New Roman" w:eastAsia="宋体" w:cs="Times New Roman"/>
                      <w:color w:val="auto"/>
                      <w:spacing w:val="-49"/>
                      <w:sz w:val="21"/>
                      <w:szCs w:val="21"/>
                      <w:highlight w:val="none"/>
                    </w:rPr>
                    <w:t xml:space="preserve"> </w:t>
                  </w:r>
                  <w:r>
                    <w:rPr>
                      <w:rFonts w:hint="default" w:ascii="Times New Roman" w:hAnsi="Times New Roman" w:eastAsia="宋体" w:cs="Times New Roman"/>
                      <w:color w:val="auto"/>
                      <w:spacing w:val="6"/>
                      <w:sz w:val="21"/>
                      <w:szCs w:val="21"/>
                      <w:highlight w:val="none"/>
                    </w:rPr>
                    <w:t>占地</w:t>
                  </w:r>
                  <w:r>
                    <w:rPr>
                      <w:rFonts w:hint="default" w:ascii="Times New Roman" w:hAnsi="Times New Roman" w:eastAsia="宋体" w:cs="Times New Roman"/>
                      <w:color w:val="auto"/>
                      <w:spacing w:val="6"/>
                      <w:sz w:val="21"/>
                      <w:szCs w:val="21"/>
                      <w:highlight w:val="none"/>
                      <w:lang w:val="en-US" w:eastAsia="zh-CN"/>
                    </w:rPr>
                    <w:t>面积约3</w:t>
                  </w:r>
                  <w:r>
                    <w:rPr>
                      <w:rFonts w:hint="default" w:ascii="Times New Roman" w:hAnsi="Times New Roman" w:eastAsia="宋体" w:cs="Times New Roman"/>
                      <w:color w:val="auto"/>
                      <w:spacing w:val="6"/>
                      <w:sz w:val="21"/>
                      <w:szCs w:val="21"/>
                      <w:highlight w:val="none"/>
                    </w:rPr>
                    <w:t>0</w:t>
                  </w:r>
                  <w:r>
                    <w:rPr>
                      <w:rFonts w:hint="default" w:ascii="Times New Roman" w:hAnsi="Times New Roman" w:eastAsia="宋体" w:cs="Times New Roman"/>
                      <w:color w:val="auto"/>
                      <w:spacing w:val="3"/>
                      <w:sz w:val="21"/>
                      <w:szCs w:val="21"/>
                      <w:highlight w:val="none"/>
                      <w:lang w:val="en-US" w:eastAsia="zh-CN"/>
                    </w:rPr>
                    <w:t>m</w:t>
                  </w:r>
                  <w:r>
                    <w:rPr>
                      <w:rFonts w:hint="default" w:ascii="Times New Roman" w:hAnsi="Times New Roman" w:eastAsia="宋体" w:cs="Times New Roman"/>
                      <w:color w:val="auto"/>
                      <w:spacing w:val="3"/>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rPr>
                    <w:t>，地坪</w:t>
                  </w:r>
                  <w:r>
                    <w:rPr>
                      <w:rFonts w:hint="default" w:ascii="Times New Roman" w:hAnsi="Times New Roman" w:eastAsia="宋体" w:cs="Times New Roman"/>
                      <w:color w:val="auto"/>
                      <w:spacing w:val="6"/>
                      <w:sz w:val="21"/>
                      <w:szCs w:val="21"/>
                      <w:highlight w:val="none"/>
                      <w:lang w:eastAsia="zh-CN"/>
                    </w:rPr>
                    <w:t>做</w:t>
                  </w:r>
                  <w:r>
                    <w:rPr>
                      <w:rFonts w:hint="default" w:ascii="Times New Roman" w:hAnsi="Times New Roman" w:eastAsia="宋体" w:cs="Times New Roman"/>
                      <w:color w:val="auto"/>
                      <w:spacing w:val="6"/>
                      <w:sz w:val="21"/>
                      <w:szCs w:val="21"/>
                      <w:highlight w:val="none"/>
                    </w:rPr>
                    <w:t>防渗处理，防渗工程须拍摄影像、交付施</w:t>
                  </w:r>
                  <w:r>
                    <w:rPr>
                      <w:rFonts w:hint="default" w:ascii="Times New Roman" w:hAnsi="Times New Roman" w:eastAsia="宋体" w:cs="Times New Roman"/>
                      <w:color w:val="auto"/>
                      <w:spacing w:val="7"/>
                      <w:sz w:val="21"/>
                      <w:szCs w:val="21"/>
                      <w:highlight w:val="none"/>
                    </w:rPr>
                    <w:t>工相关说明资料；参照《危险废物贮存污染控制标准》（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7"/>
                      <w:sz w:val="21"/>
                      <w:szCs w:val="21"/>
                      <w:highlight w:val="none"/>
                    </w:rPr>
                    <w:t>185</w:t>
                  </w:r>
                  <w:r>
                    <w:rPr>
                      <w:rFonts w:hint="default" w:ascii="Times New Roman" w:hAnsi="Times New Roman" w:eastAsia="宋体" w:cs="Times New Roman"/>
                      <w:color w:val="auto"/>
                      <w:spacing w:val="6"/>
                      <w:sz w:val="21"/>
                      <w:szCs w:val="21"/>
                      <w:highlight w:val="none"/>
                    </w:rPr>
                    <w:t>97-2023）的要求进行</w:t>
                  </w:r>
                  <w:r>
                    <w:rPr>
                      <w:rFonts w:hint="default" w:ascii="Times New Roman" w:hAnsi="Times New Roman" w:eastAsia="宋体" w:cs="Times New Roman"/>
                      <w:color w:val="auto"/>
                      <w:spacing w:val="4"/>
                      <w:sz w:val="21"/>
                      <w:szCs w:val="21"/>
                      <w:highlight w:val="none"/>
                    </w:rPr>
                    <w:t>防渗设计，采用防渗层为至少1m厚黏土层（渗透系数不大于1</w:t>
                  </w:r>
                  <w:r>
                    <w:rPr>
                      <w:rFonts w:hint="default" w:ascii="Times New Roman" w:hAnsi="Times New Roman" w:eastAsia="宋体" w:cs="Times New Roman"/>
                      <w:color w:val="auto"/>
                      <w:spacing w:val="3"/>
                      <w:sz w:val="21"/>
                      <w:szCs w:val="21"/>
                      <w:highlight w:val="none"/>
                    </w:rPr>
                    <w:t>0</w:t>
                  </w:r>
                  <w:r>
                    <w:rPr>
                      <w:rFonts w:hint="default" w:ascii="Times New Roman" w:hAnsi="Times New Roman" w:eastAsia="宋体" w:cs="Times New Roman"/>
                      <w:color w:val="auto"/>
                      <w:spacing w:val="3"/>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pacing w:val="3"/>
                      <w:sz w:val="21"/>
                      <w:szCs w:val="21"/>
                      <w:highlight w:val="none"/>
                    </w:rPr>
                    <w:t>/s</w:t>
                  </w:r>
                  <w:r>
                    <w:rPr>
                      <w:rFonts w:hint="default" w:ascii="Times New Roman" w:hAnsi="Times New Roman" w:eastAsia="宋体" w:cs="Times New Roman"/>
                      <w:color w:val="auto"/>
                      <w:spacing w:val="-33"/>
                      <w:sz w:val="21"/>
                      <w:szCs w:val="21"/>
                      <w:highlight w:val="none"/>
                    </w:rPr>
                    <w:t>），</w:t>
                  </w:r>
                  <w:r>
                    <w:rPr>
                      <w:rFonts w:hint="default" w:ascii="Times New Roman" w:hAnsi="Times New Roman" w:eastAsia="宋体" w:cs="Times New Roman"/>
                      <w:color w:val="auto"/>
                      <w:spacing w:val="3"/>
                      <w:sz w:val="21"/>
                      <w:szCs w:val="21"/>
                      <w:highlight w:val="none"/>
                    </w:rPr>
                    <w:t>或至少2</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pacing w:val="8"/>
                      <w:sz w:val="21"/>
                      <w:szCs w:val="21"/>
                      <w:highlight w:val="none"/>
                    </w:rPr>
                    <w:t>厚高密度聚乙烯膜等人工防渗材料（渗透系数不大于10</w:t>
                  </w:r>
                  <w:r>
                    <w:rPr>
                      <w:rFonts w:hint="default" w:ascii="Times New Roman" w:hAnsi="Times New Roman" w:eastAsia="宋体" w:cs="Times New Roman"/>
                      <w:color w:val="auto"/>
                      <w:spacing w:val="3"/>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pacing w:val="8"/>
                      <w:sz w:val="21"/>
                      <w:szCs w:val="21"/>
                      <w:highlight w:val="none"/>
                    </w:rPr>
                    <w:t>/s</w:t>
                  </w:r>
                  <w:r>
                    <w:rPr>
                      <w:rFonts w:hint="default" w:ascii="Times New Roman" w:hAnsi="Times New Roman" w:eastAsia="宋体" w:cs="Times New Roman"/>
                      <w:color w:val="auto"/>
                      <w:spacing w:val="16"/>
                      <w:sz w:val="21"/>
                      <w:szCs w:val="21"/>
                      <w:highlight w:val="none"/>
                    </w:rPr>
                    <w:t>），</w:t>
                  </w:r>
                  <w:r>
                    <w:rPr>
                      <w:rFonts w:hint="default" w:ascii="Times New Roman" w:hAnsi="Times New Roman" w:eastAsia="宋体" w:cs="Times New Roman"/>
                      <w:color w:val="auto"/>
                      <w:spacing w:val="7"/>
                      <w:sz w:val="21"/>
                      <w:szCs w:val="21"/>
                      <w:highlight w:val="none"/>
                    </w:rPr>
                    <w:t>或其他防渗性能等</w:t>
                  </w:r>
                  <w:r>
                    <w:rPr>
                      <w:rFonts w:hint="default" w:ascii="Times New Roman" w:hAnsi="Times New Roman" w:eastAsia="宋体" w:cs="Times New Roman"/>
                      <w:color w:val="auto"/>
                      <w:spacing w:val="4"/>
                      <w:sz w:val="21"/>
                      <w:szCs w:val="21"/>
                      <w:highlight w:val="none"/>
                    </w:rPr>
                    <w:t>效的材料。</w:t>
                  </w:r>
                </w:p>
              </w:tc>
              <w:tc>
                <w:tcPr>
                  <w:tcW w:w="674" w:type="dxa"/>
                  <w:tcBorders>
                    <w:tl2br w:val="nil"/>
                    <w:tr2bl w:val="nil"/>
                  </w:tcBorders>
                  <w:vAlign w:val="center"/>
                </w:tcPr>
                <w:p w14:paraId="2447CB5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5C6F7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4A55328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vMerge w:val="continue"/>
                  <w:tcBorders>
                    <w:tl2br w:val="nil"/>
                    <w:tr2bl w:val="nil"/>
                  </w:tcBorders>
                  <w:shd w:val="clear" w:color="auto" w:fill="auto"/>
                  <w:vAlign w:val="center"/>
                </w:tcPr>
                <w:p w14:paraId="28B29F3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p>
              </w:tc>
              <w:tc>
                <w:tcPr>
                  <w:tcW w:w="1350" w:type="dxa"/>
                  <w:gridSpan w:val="2"/>
                  <w:tcBorders>
                    <w:tl2br w:val="nil"/>
                    <w:tr2bl w:val="nil"/>
                  </w:tcBorders>
                  <w:shd w:val="clear" w:color="auto" w:fill="auto"/>
                  <w:vAlign w:val="center"/>
                </w:tcPr>
                <w:p w14:paraId="1906C42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生活垃圾桶</w:t>
                  </w:r>
                </w:p>
              </w:tc>
              <w:tc>
                <w:tcPr>
                  <w:tcW w:w="4312" w:type="dxa"/>
                  <w:tcBorders>
                    <w:tl2br w:val="nil"/>
                    <w:tr2bl w:val="nil"/>
                  </w:tcBorders>
                  <w:shd w:val="clear" w:color="auto" w:fill="auto"/>
                  <w:vAlign w:val="center"/>
                </w:tcPr>
                <w:p w14:paraId="2C7934E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z w:val="21"/>
                      <w:szCs w:val="21"/>
                      <w:highlight w:val="none"/>
                    </w:rPr>
                    <w:t>项目区设置带盖垃圾桶</w:t>
                  </w:r>
                  <w:r>
                    <w:rPr>
                      <w:rFonts w:hint="default" w:ascii="Times New Roman" w:hAnsi="Times New Roman" w:eastAsia="宋体" w:cs="Times New Roman"/>
                      <w:color w:val="auto"/>
                      <w:sz w:val="21"/>
                      <w:szCs w:val="21"/>
                      <w:highlight w:val="none"/>
                      <w:lang w:val="en-US" w:eastAsia="zh-CN"/>
                    </w:rPr>
                    <w:t>若干</w:t>
                  </w:r>
                  <w:r>
                    <w:rPr>
                      <w:rFonts w:hint="default" w:ascii="Times New Roman" w:hAnsi="Times New Roman" w:eastAsia="宋体" w:cs="Times New Roman"/>
                      <w:color w:val="auto"/>
                      <w:sz w:val="21"/>
                      <w:szCs w:val="21"/>
                      <w:highlight w:val="none"/>
                    </w:rPr>
                    <w:t>，用于收集生活垃圾</w:t>
                  </w:r>
                  <w:r>
                    <w:rPr>
                      <w:rFonts w:hint="default" w:ascii="Times New Roman" w:hAnsi="Times New Roman" w:eastAsia="宋体" w:cs="Times New Roman"/>
                      <w:color w:val="auto"/>
                      <w:sz w:val="21"/>
                      <w:szCs w:val="21"/>
                      <w:highlight w:val="none"/>
                      <w:lang w:eastAsia="zh-CN"/>
                    </w:rPr>
                    <w:t>。</w:t>
                  </w:r>
                </w:p>
              </w:tc>
              <w:tc>
                <w:tcPr>
                  <w:tcW w:w="674" w:type="dxa"/>
                  <w:tcBorders>
                    <w:tl2br w:val="nil"/>
                    <w:tr2bl w:val="nil"/>
                  </w:tcBorders>
                  <w:vAlign w:val="center"/>
                </w:tcPr>
                <w:p w14:paraId="75D812E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6D6C6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0F353F0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tcBorders>
                    <w:tl2br w:val="nil"/>
                    <w:tr2bl w:val="nil"/>
                  </w:tcBorders>
                  <w:shd w:val="clear" w:color="auto" w:fill="auto"/>
                  <w:vAlign w:val="center"/>
                </w:tcPr>
                <w:p w14:paraId="32A2DCF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en-US"/>
                    </w:rPr>
                  </w:pPr>
                  <w:r>
                    <w:rPr>
                      <w:rFonts w:hint="default" w:ascii="Times New Roman" w:hAnsi="Times New Roman" w:eastAsia="宋体" w:cs="Times New Roman"/>
                      <w:color w:val="auto"/>
                      <w:spacing w:val="3"/>
                      <w:sz w:val="21"/>
                      <w:szCs w:val="21"/>
                      <w:highlight w:val="none"/>
                      <w:lang w:val="en-US" w:eastAsia="zh-CN"/>
                    </w:rPr>
                    <w:t>地下水</w:t>
                  </w:r>
                </w:p>
              </w:tc>
              <w:tc>
                <w:tcPr>
                  <w:tcW w:w="1350" w:type="dxa"/>
                  <w:gridSpan w:val="2"/>
                  <w:tcBorders>
                    <w:tl2br w:val="nil"/>
                    <w:tr2bl w:val="nil"/>
                  </w:tcBorders>
                  <w:shd w:val="clear" w:color="auto" w:fill="auto"/>
                  <w:vAlign w:val="center"/>
                </w:tcPr>
                <w:p w14:paraId="0E38BBD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分区防渗</w:t>
                  </w:r>
                </w:p>
              </w:tc>
              <w:tc>
                <w:tcPr>
                  <w:tcW w:w="4312" w:type="dxa"/>
                  <w:tcBorders>
                    <w:tl2br w:val="nil"/>
                    <w:tr2bl w:val="nil"/>
                  </w:tcBorders>
                  <w:shd w:val="clear" w:color="auto" w:fill="auto"/>
                  <w:vAlign w:val="center"/>
                </w:tcPr>
                <w:p w14:paraId="12D4758D">
                  <w:pPr>
                    <w:keepNext w:val="0"/>
                    <w:keepLines w:val="0"/>
                    <w:pageBreakBefore w:val="0"/>
                    <w:kinsoku/>
                    <w:wordWrap/>
                    <w:overflowPunct/>
                    <w:topLinePunct/>
                    <w:autoSpaceDE w:val="0"/>
                    <w:autoSpaceDN w:val="0"/>
                    <w:bidi w:val="0"/>
                    <w:adjustRightInd w:val="0"/>
                    <w:spacing w:line="240" w:lineRule="auto"/>
                    <w:ind w:left="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项目区进行分区防渗，具体</w:t>
                  </w:r>
                  <w:r>
                    <w:rPr>
                      <w:rFonts w:hint="default" w:ascii="Times New Roman" w:hAnsi="Times New Roman" w:eastAsia="宋体" w:cs="Times New Roman"/>
                      <w:color w:val="auto"/>
                      <w:sz w:val="21"/>
                      <w:szCs w:val="21"/>
                      <w:highlight w:val="none"/>
                    </w:rPr>
                    <w:t>防渗要求</w:t>
                  </w:r>
                  <w:r>
                    <w:rPr>
                      <w:rFonts w:hint="default" w:ascii="Times New Roman" w:hAnsi="Times New Roman" w:eastAsia="宋体" w:cs="Times New Roman"/>
                      <w:color w:val="auto"/>
                      <w:sz w:val="21"/>
                      <w:szCs w:val="21"/>
                      <w:highlight w:val="none"/>
                      <w:lang w:eastAsia="zh-CN"/>
                    </w:rPr>
                    <w:t>：</w:t>
                  </w:r>
                </w:p>
                <w:p w14:paraId="443E3F6D">
                  <w:pPr>
                    <w:keepNext w:val="0"/>
                    <w:keepLines w:val="0"/>
                    <w:pageBreakBefore w:val="0"/>
                    <w:kinsoku/>
                    <w:wordWrap/>
                    <w:overflowPunct/>
                    <w:topLinePunct/>
                    <w:autoSpaceDE w:val="0"/>
                    <w:autoSpaceDN w:val="0"/>
                    <w:bidi w:val="0"/>
                    <w:adjustRightInd w:val="0"/>
                    <w:spacing w:line="240" w:lineRule="auto"/>
                    <w:ind w:left="0"/>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重点防渗</w:t>
                  </w:r>
                  <w:r>
                    <w:rPr>
                      <w:rFonts w:hint="default" w:ascii="Times New Roman" w:hAnsi="Times New Roman" w:eastAsia="宋体" w:cs="Times New Roman"/>
                      <w:b w:val="0"/>
                      <w:bCs w:val="0"/>
                      <w:color w:val="auto"/>
                      <w:sz w:val="21"/>
                      <w:szCs w:val="21"/>
                      <w:highlight w:val="none"/>
                      <w:lang w:val="en-US" w:eastAsia="zh-CN"/>
                    </w:rPr>
                    <w:t>区：</w:t>
                  </w:r>
                  <w:r>
                    <w:rPr>
                      <w:rFonts w:hint="eastAsia" w:cs="Times New Roman"/>
                      <w:color w:val="auto"/>
                      <w:spacing w:val="9"/>
                      <w:sz w:val="21"/>
                      <w:szCs w:val="21"/>
                      <w:highlight w:val="none"/>
                      <w:lang w:val="en-US" w:eastAsia="zh-CN"/>
                    </w:rPr>
                    <w:t>危险废物贮存库</w:t>
                  </w:r>
                  <w:r>
                    <w:rPr>
                      <w:rFonts w:hint="default" w:ascii="Times New Roman" w:hAnsi="Times New Roman" w:eastAsia="宋体" w:cs="Times New Roman"/>
                      <w:color w:val="auto"/>
                      <w:spacing w:val="9"/>
                      <w:sz w:val="21"/>
                      <w:szCs w:val="21"/>
                      <w:highlight w:val="none"/>
                      <w:lang w:val="en-US" w:eastAsia="zh-CN"/>
                    </w:rPr>
                    <w:t>、碱库进行重点防渗</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lang w:val="en-US" w:eastAsia="zh-CN"/>
                    </w:rPr>
                    <w:t>按GB18597进行防渗设计，基础必须防渗，防渗层为至少1m厚黏土层（渗透系数≤10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cm/s），或2mm厚高密度聚乙烯膜等人工材料，渗透系数≤10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cm/s，或其他防渗性能等效的材料；碱库按HJ610要求进行防渗设计，防渗层至少为6.0m厚黏土层，渗透系数≤10×10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cm/s进行设计。</w:t>
                  </w:r>
                </w:p>
                <w:p w14:paraId="6375A27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lef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一般防渗</w:t>
                  </w:r>
                  <w:r>
                    <w:rPr>
                      <w:rFonts w:hint="default" w:ascii="Times New Roman" w:hAnsi="Times New Roman" w:eastAsia="宋体" w:cs="Times New Roman"/>
                      <w:color w:val="auto"/>
                      <w:spacing w:val="8"/>
                      <w:sz w:val="21"/>
                      <w:szCs w:val="21"/>
                      <w:highlight w:val="none"/>
                    </w:rPr>
                    <w:t>区</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9"/>
                      <w:sz w:val="21"/>
                      <w:szCs w:val="21"/>
                      <w:highlight w:val="none"/>
                    </w:rPr>
                    <w:t>生产废水处理设施</w:t>
                  </w:r>
                  <w:r>
                    <w:rPr>
                      <w:rFonts w:hint="default" w:ascii="Times New Roman" w:hAnsi="Times New Roman" w:eastAsia="宋体" w:cs="Times New Roman"/>
                      <w:color w:val="auto"/>
                      <w:spacing w:val="9"/>
                      <w:sz w:val="21"/>
                      <w:szCs w:val="21"/>
                      <w:highlight w:val="none"/>
                      <w:lang w:val="en-US" w:eastAsia="zh-CN"/>
                    </w:rPr>
                    <w:t>、</w:t>
                  </w:r>
                  <w:r>
                    <w:rPr>
                      <w:rFonts w:hint="default" w:ascii="Times New Roman" w:hAnsi="Times New Roman" w:eastAsia="宋体" w:cs="Times New Roman"/>
                      <w:color w:val="auto"/>
                      <w:spacing w:val="8"/>
                      <w:sz w:val="21"/>
                      <w:szCs w:val="21"/>
                      <w:highlight w:val="none"/>
                      <w:lang w:val="en-US" w:eastAsia="zh-CN"/>
                    </w:rPr>
                    <w:t>原料库</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pacing w:val="9"/>
                      <w:sz w:val="21"/>
                      <w:szCs w:val="21"/>
                      <w:highlight w:val="none"/>
                      <w:lang w:val="en-US" w:eastAsia="zh-CN"/>
                    </w:rPr>
                    <w:t>辅料库、</w:t>
                  </w:r>
                  <w:r>
                    <w:rPr>
                      <w:rFonts w:hint="default" w:ascii="Times New Roman" w:hAnsi="Times New Roman" w:eastAsia="宋体" w:cs="Times New Roman"/>
                      <w:color w:val="auto"/>
                      <w:spacing w:val="8"/>
                      <w:sz w:val="21"/>
                      <w:szCs w:val="21"/>
                      <w:highlight w:val="none"/>
                    </w:rPr>
                    <w:t>生活污水处理设施区域</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lang w:val="en-US" w:eastAsia="zh-CN"/>
                    </w:rPr>
                    <w:t>隔油池、化粪池</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等</w:t>
                  </w:r>
                  <w:r>
                    <w:rPr>
                      <w:rFonts w:hint="default" w:ascii="Times New Roman" w:hAnsi="Times New Roman" w:eastAsia="宋体" w:cs="Times New Roman"/>
                      <w:color w:val="auto"/>
                      <w:spacing w:val="8"/>
                      <w:sz w:val="21"/>
                      <w:szCs w:val="21"/>
                      <w:highlight w:val="none"/>
                      <w:lang w:val="en-US" w:eastAsia="zh-CN"/>
                    </w:rPr>
                    <w:t>作为一般防渗区域</w:t>
                  </w:r>
                  <w:r>
                    <w:rPr>
                      <w:rFonts w:hint="default" w:ascii="Times New Roman" w:hAnsi="Times New Roman" w:eastAsia="宋体" w:cs="Times New Roman"/>
                      <w:color w:val="auto"/>
                      <w:spacing w:val="8"/>
                      <w:sz w:val="21"/>
                      <w:szCs w:val="21"/>
                      <w:highlight w:val="none"/>
                    </w:rPr>
                    <w:t>；一般防</w:t>
                  </w:r>
                  <w:r>
                    <w:rPr>
                      <w:rFonts w:hint="default" w:ascii="Times New Roman" w:hAnsi="Times New Roman" w:eastAsia="宋体" w:cs="Times New Roman"/>
                      <w:color w:val="auto"/>
                      <w:sz w:val="21"/>
                      <w:szCs w:val="21"/>
                      <w:highlight w:val="none"/>
                    </w:rPr>
                    <w:t>渗区防渗要求为：等效黏土防渗层Mb≥1.5m，渗透系数K≤1×10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p w14:paraId="5C360F1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b w:val="0"/>
                      <w:bCs w:val="0"/>
                      <w:color w:val="auto"/>
                      <w:sz w:val="21"/>
                      <w:szCs w:val="21"/>
                      <w:highlight w:val="none"/>
                    </w:rPr>
                    <w:t>简单防渗区</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pacing w:val="9"/>
                      <w:sz w:val="21"/>
                      <w:szCs w:val="21"/>
                      <w:highlight w:val="none"/>
                    </w:rPr>
                    <w:t>主要为综合楼、宿舍</w:t>
                  </w:r>
                  <w:r>
                    <w:rPr>
                      <w:rFonts w:hint="eastAsia" w:ascii="Times New Roman" w:hAnsi="Times New Roman" w:eastAsia="宋体" w:cs="Times New Roman"/>
                      <w:color w:val="auto"/>
                      <w:spacing w:val="9"/>
                      <w:sz w:val="21"/>
                      <w:szCs w:val="21"/>
                      <w:highlight w:val="none"/>
                      <w:lang w:val="en-US" w:eastAsia="zh-CN"/>
                    </w:rPr>
                    <w:t>楼</w:t>
                  </w:r>
                  <w:r>
                    <w:rPr>
                      <w:rFonts w:hint="default" w:ascii="Times New Roman" w:hAnsi="Times New Roman" w:eastAsia="宋体" w:cs="Times New Roman"/>
                      <w:color w:val="auto"/>
                      <w:spacing w:val="8"/>
                      <w:sz w:val="21"/>
                      <w:szCs w:val="21"/>
                      <w:highlight w:val="none"/>
                    </w:rPr>
                    <w:t>、生产</w:t>
                  </w:r>
                  <w:r>
                    <w:rPr>
                      <w:rFonts w:hint="default" w:ascii="Times New Roman" w:hAnsi="Times New Roman" w:eastAsia="宋体" w:cs="Times New Roman"/>
                      <w:color w:val="auto"/>
                      <w:spacing w:val="8"/>
                      <w:sz w:val="21"/>
                      <w:szCs w:val="21"/>
                      <w:highlight w:val="none"/>
                      <w:lang w:val="en-US" w:eastAsia="zh-CN"/>
                    </w:rPr>
                    <w:t>厂房</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pacing w:val="8"/>
                      <w:sz w:val="21"/>
                      <w:szCs w:val="21"/>
                      <w:highlight w:val="none"/>
                      <w:lang w:val="en-US" w:eastAsia="zh-CN"/>
                    </w:rPr>
                    <w:t>半成品仓库、成品仓库</w:t>
                  </w:r>
                  <w:r>
                    <w:rPr>
                      <w:rFonts w:hint="default" w:ascii="Times New Roman" w:hAnsi="Times New Roman" w:eastAsia="宋体" w:cs="Times New Roman"/>
                      <w:color w:val="auto"/>
                      <w:spacing w:val="9"/>
                      <w:sz w:val="21"/>
                      <w:szCs w:val="21"/>
                      <w:highlight w:val="none"/>
                    </w:rPr>
                    <w:t>等区域</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lang w:val="en-US" w:eastAsia="zh-CN"/>
                    </w:rPr>
                    <w:t>进行一般地面硬化。</w:t>
                  </w:r>
                </w:p>
              </w:tc>
              <w:tc>
                <w:tcPr>
                  <w:tcW w:w="674" w:type="dxa"/>
                  <w:tcBorders>
                    <w:tl2br w:val="nil"/>
                    <w:tr2bl w:val="nil"/>
                  </w:tcBorders>
                  <w:vAlign w:val="center"/>
                </w:tcPr>
                <w:p w14:paraId="17B3BC8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5D4D9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74DE8D7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tcBorders>
                    <w:tl2br w:val="nil"/>
                    <w:tr2bl w:val="nil"/>
                  </w:tcBorders>
                  <w:shd w:val="clear" w:color="auto" w:fill="auto"/>
                  <w:vAlign w:val="center"/>
                </w:tcPr>
                <w:p w14:paraId="6E43080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en-US"/>
                    </w:rPr>
                  </w:pPr>
                  <w:r>
                    <w:rPr>
                      <w:rFonts w:hint="default" w:ascii="Times New Roman" w:hAnsi="Times New Roman" w:eastAsia="宋体" w:cs="Times New Roman"/>
                      <w:color w:val="auto"/>
                      <w:spacing w:val="3"/>
                      <w:sz w:val="21"/>
                      <w:szCs w:val="21"/>
                      <w:highlight w:val="none"/>
                      <w:lang w:val="en-US" w:eastAsia="zh-CN"/>
                    </w:rPr>
                    <w:t>风险防范</w:t>
                  </w:r>
                </w:p>
              </w:tc>
              <w:tc>
                <w:tcPr>
                  <w:tcW w:w="1350" w:type="dxa"/>
                  <w:gridSpan w:val="2"/>
                  <w:tcBorders>
                    <w:tl2br w:val="nil"/>
                    <w:tr2bl w:val="nil"/>
                  </w:tcBorders>
                  <w:shd w:val="clear" w:color="auto" w:fill="auto"/>
                  <w:vAlign w:val="center"/>
                </w:tcPr>
                <w:p w14:paraId="1018F4D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事故池</w:t>
                  </w:r>
                </w:p>
              </w:tc>
              <w:tc>
                <w:tcPr>
                  <w:tcW w:w="4312" w:type="dxa"/>
                  <w:tcBorders>
                    <w:tl2br w:val="nil"/>
                    <w:tr2bl w:val="nil"/>
                  </w:tcBorders>
                  <w:shd w:val="clear" w:color="auto" w:fill="auto"/>
                  <w:vAlign w:val="center"/>
                </w:tcPr>
                <w:p w14:paraId="4FAC31C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8"/>
                      <w:sz w:val="21"/>
                      <w:szCs w:val="21"/>
                      <w:highlight w:val="none"/>
                    </w:rPr>
                    <w:t>位于项目区</w:t>
                  </w:r>
                  <w:r>
                    <w:rPr>
                      <w:rFonts w:hint="default" w:ascii="Times New Roman" w:hAnsi="Times New Roman" w:eastAsia="宋体" w:cs="Times New Roman"/>
                      <w:color w:val="auto"/>
                      <w:spacing w:val="8"/>
                      <w:sz w:val="21"/>
                      <w:szCs w:val="21"/>
                      <w:highlight w:val="none"/>
                      <w:lang w:val="en-US" w:eastAsia="zh-CN"/>
                    </w:rPr>
                    <w:t>污水处理池附近</w:t>
                  </w:r>
                  <w:r>
                    <w:rPr>
                      <w:rFonts w:hint="default" w:ascii="Times New Roman" w:hAnsi="Times New Roman" w:eastAsia="宋体" w:cs="Times New Roman"/>
                      <w:color w:val="auto"/>
                      <w:spacing w:val="8"/>
                      <w:sz w:val="21"/>
                      <w:szCs w:val="21"/>
                      <w:highlight w:val="none"/>
                    </w:rPr>
                    <w:t>设置</w:t>
                  </w:r>
                  <w:r>
                    <w:rPr>
                      <w:rFonts w:hint="default" w:ascii="Times New Roman" w:hAnsi="Times New Roman" w:eastAsia="宋体" w:cs="Times New Roman"/>
                      <w:color w:val="auto"/>
                      <w:spacing w:val="7"/>
                      <w:sz w:val="21"/>
                      <w:szCs w:val="21"/>
                      <w:highlight w:val="none"/>
                    </w:rPr>
                    <w:t>事故池，</w:t>
                  </w:r>
                  <w:r>
                    <w:rPr>
                      <w:rFonts w:hint="default" w:ascii="Times New Roman" w:hAnsi="Times New Roman" w:eastAsia="宋体" w:cs="Times New Roman"/>
                      <w:color w:val="auto"/>
                      <w:spacing w:val="7"/>
                      <w:sz w:val="21"/>
                      <w:szCs w:val="21"/>
                      <w:highlight w:val="none"/>
                      <w:lang w:val="en-US" w:eastAsia="zh-CN"/>
                    </w:rPr>
                    <w:t>总容积不小于</w:t>
                  </w:r>
                  <w:r>
                    <w:rPr>
                      <w:rFonts w:hint="default" w:ascii="Times New Roman" w:hAnsi="Times New Roman" w:eastAsia="宋体" w:cs="Times New Roman"/>
                      <w:color w:val="auto"/>
                      <w:spacing w:val="7"/>
                      <w:sz w:val="21"/>
                      <w:szCs w:val="21"/>
                      <w:highlight w:val="none"/>
                    </w:rPr>
                    <w:t>250m</w:t>
                  </w:r>
                  <w:r>
                    <w:rPr>
                      <w:rFonts w:hint="default" w:ascii="Times New Roman" w:hAnsi="Times New Roman" w:eastAsia="宋体" w:cs="Times New Roman"/>
                      <w:color w:val="auto"/>
                      <w:spacing w:val="7"/>
                      <w:sz w:val="21"/>
                      <w:szCs w:val="21"/>
                      <w:highlight w:val="none"/>
                      <w:vertAlign w:val="superscript"/>
                      <w:lang w:val="en-US" w:eastAsia="zh-CN"/>
                    </w:rPr>
                    <w:t>3</w:t>
                  </w:r>
                  <w:r>
                    <w:rPr>
                      <w:rFonts w:hint="default" w:ascii="Times New Roman" w:hAnsi="Times New Roman" w:eastAsia="宋体" w:cs="Times New Roman"/>
                      <w:color w:val="auto"/>
                      <w:spacing w:val="7"/>
                      <w:sz w:val="21"/>
                      <w:szCs w:val="21"/>
                      <w:highlight w:val="none"/>
                      <w:vertAlign w:val="baseline"/>
                      <w:lang w:val="en-US" w:eastAsia="zh-CN"/>
                    </w:rPr>
                    <w:t>，</w:t>
                  </w:r>
                  <w:r>
                    <w:rPr>
                      <w:rFonts w:hint="default" w:ascii="Times New Roman" w:hAnsi="Times New Roman" w:eastAsia="宋体" w:cs="Times New Roman"/>
                      <w:strike w:val="0"/>
                      <w:dstrike w:val="0"/>
                      <w:color w:val="auto"/>
                      <w:spacing w:val="5"/>
                      <w:sz w:val="21"/>
                      <w:szCs w:val="21"/>
                      <w:highlight w:val="none"/>
                    </w:rPr>
                    <w:t>用于突发环境事件收集生产废水处理系</w:t>
                  </w:r>
                  <w:r>
                    <w:rPr>
                      <w:rFonts w:hint="default" w:ascii="Times New Roman" w:hAnsi="Times New Roman" w:eastAsia="宋体" w:cs="Times New Roman"/>
                      <w:strike w:val="0"/>
                      <w:dstrike w:val="0"/>
                      <w:color w:val="auto"/>
                      <w:spacing w:val="7"/>
                      <w:sz w:val="21"/>
                      <w:szCs w:val="21"/>
                      <w:highlight w:val="none"/>
                    </w:rPr>
                    <w:t>统的生产废水，防</w:t>
                  </w:r>
                  <w:r>
                    <w:rPr>
                      <w:rFonts w:hint="eastAsia" w:ascii="Times New Roman" w:hAnsi="Times New Roman" w:eastAsia="宋体" w:cs="Times New Roman"/>
                      <w:strike w:val="0"/>
                      <w:dstrike w:val="0"/>
                      <w:color w:val="auto"/>
                      <w:spacing w:val="7"/>
                      <w:sz w:val="21"/>
                      <w:szCs w:val="21"/>
                      <w:highlight w:val="none"/>
                      <w:lang w:val="en-US" w:eastAsia="zh-CN"/>
                    </w:rPr>
                    <w:t>止</w:t>
                  </w:r>
                  <w:r>
                    <w:rPr>
                      <w:rFonts w:hint="default" w:ascii="Times New Roman" w:hAnsi="Times New Roman" w:eastAsia="宋体" w:cs="Times New Roman"/>
                      <w:strike w:val="0"/>
                      <w:dstrike w:val="0"/>
                      <w:color w:val="auto"/>
                      <w:spacing w:val="7"/>
                      <w:sz w:val="21"/>
                      <w:szCs w:val="21"/>
                      <w:highlight w:val="none"/>
                    </w:rPr>
                    <w:t>地下水和土壤被污染。</w:t>
                  </w:r>
                </w:p>
              </w:tc>
              <w:tc>
                <w:tcPr>
                  <w:tcW w:w="674" w:type="dxa"/>
                  <w:tcBorders>
                    <w:tl2br w:val="nil"/>
                    <w:tr2bl w:val="nil"/>
                  </w:tcBorders>
                  <w:vAlign w:val="center"/>
                </w:tcPr>
                <w:p w14:paraId="5AEE3EB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tr w14:paraId="717D8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vMerge w:val="continue"/>
                  <w:tcBorders>
                    <w:tl2br w:val="nil"/>
                    <w:tr2bl w:val="nil"/>
                  </w:tcBorders>
                  <w:vAlign w:val="center"/>
                </w:tcPr>
                <w:p w14:paraId="339D123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c>
                <w:tcPr>
                  <w:tcW w:w="1120" w:type="dxa"/>
                  <w:tcBorders>
                    <w:tl2br w:val="nil"/>
                    <w:tr2bl w:val="nil"/>
                  </w:tcBorders>
                  <w:shd w:val="clear" w:color="auto" w:fill="auto"/>
                  <w:vAlign w:val="center"/>
                </w:tcPr>
                <w:p w14:paraId="1DB5D7F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en-US"/>
                    </w:rPr>
                  </w:pPr>
                  <w:r>
                    <w:rPr>
                      <w:rFonts w:hint="default" w:ascii="Times New Roman" w:hAnsi="Times New Roman" w:eastAsia="宋体" w:cs="Times New Roman"/>
                      <w:color w:val="auto"/>
                      <w:spacing w:val="3"/>
                      <w:sz w:val="21"/>
                      <w:szCs w:val="21"/>
                      <w:highlight w:val="none"/>
                      <w:lang w:val="en-US" w:eastAsia="zh-CN"/>
                    </w:rPr>
                    <w:t>生态</w:t>
                  </w:r>
                </w:p>
              </w:tc>
              <w:tc>
                <w:tcPr>
                  <w:tcW w:w="1350" w:type="dxa"/>
                  <w:gridSpan w:val="2"/>
                  <w:tcBorders>
                    <w:tl2br w:val="nil"/>
                    <w:tr2bl w:val="nil"/>
                  </w:tcBorders>
                  <w:shd w:val="clear" w:color="auto" w:fill="auto"/>
                  <w:vAlign w:val="center"/>
                </w:tcPr>
                <w:p w14:paraId="2350C44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绿化</w:t>
                  </w:r>
                </w:p>
              </w:tc>
              <w:tc>
                <w:tcPr>
                  <w:tcW w:w="4312" w:type="dxa"/>
                  <w:tcBorders>
                    <w:tl2br w:val="nil"/>
                    <w:tr2bl w:val="nil"/>
                  </w:tcBorders>
                  <w:shd w:val="clear" w:color="auto" w:fill="auto"/>
                  <w:vAlign w:val="center"/>
                </w:tcPr>
                <w:p w14:paraId="4E9FFB8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绿地面积约</w:t>
                  </w:r>
                  <w:r>
                    <w:rPr>
                      <w:rFonts w:hint="eastAsia" w:ascii="Times New Roman" w:hAnsi="Times New Roman" w:eastAsia="宋体" w:cs="Times New Roman"/>
                      <w:color w:val="auto"/>
                      <w:spacing w:val="3"/>
                      <w:sz w:val="21"/>
                      <w:szCs w:val="21"/>
                      <w:highlight w:val="none"/>
                      <w:lang w:val="en-US" w:eastAsia="zh-CN"/>
                    </w:rPr>
                    <w:t>620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p>
              </w:tc>
              <w:tc>
                <w:tcPr>
                  <w:tcW w:w="674" w:type="dxa"/>
                  <w:tcBorders>
                    <w:tl2br w:val="nil"/>
                    <w:tr2bl w:val="nil"/>
                  </w:tcBorders>
                  <w:vAlign w:val="center"/>
                </w:tcPr>
                <w:p w14:paraId="759333E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新建</w:t>
                  </w:r>
                </w:p>
              </w:tc>
            </w:tr>
            <w:bookmarkEnd w:id="6"/>
          </w:tbl>
          <w:p w14:paraId="1C53EFC7">
            <w:pPr>
              <w:pStyle w:val="27"/>
              <w:keepNext w:val="0"/>
              <w:keepLines w:val="0"/>
              <w:pageBreakBefore w:val="0"/>
              <w:widowControl w:val="0"/>
              <w:kinsoku/>
              <w:wordWrap/>
              <w:overflowPunct/>
              <w:topLinePunct/>
              <w:autoSpaceDE w:val="0"/>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pacing w:val="-1"/>
                <w:sz w:val="24"/>
                <w:szCs w:val="24"/>
                <w:highlight w:val="none"/>
              </w:rPr>
              <w:t>主要经济技术指标情况见下表</w:t>
            </w:r>
            <w:r>
              <w:rPr>
                <w:rFonts w:hint="default" w:ascii="Times New Roman" w:hAnsi="Times New Roman" w:eastAsia="宋体" w:cs="Times New Roman"/>
                <w:color w:val="auto"/>
                <w:spacing w:val="-1"/>
                <w:sz w:val="24"/>
                <w:szCs w:val="24"/>
                <w:highlight w:val="none"/>
                <w:lang w:eastAsia="zh-CN"/>
              </w:rPr>
              <w:t>。</w:t>
            </w:r>
          </w:p>
          <w:p w14:paraId="6D964114">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主要经济技术指标情况一览表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316"/>
              <w:gridCol w:w="333"/>
              <w:gridCol w:w="1398"/>
              <w:gridCol w:w="698"/>
              <w:gridCol w:w="1135"/>
              <w:gridCol w:w="3455"/>
            </w:tblGrid>
            <w:tr w14:paraId="1416F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55BAF802">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序号</w:t>
                  </w:r>
                </w:p>
              </w:tc>
              <w:tc>
                <w:tcPr>
                  <w:tcW w:w="2027" w:type="dxa"/>
                  <w:gridSpan w:val="3"/>
                  <w:tcBorders>
                    <w:tl2br w:val="nil"/>
                    <w:tr2bl w:val="nil"/>
                  </w:tcBorders>
                  <w:vAlign w:val="center"/>
                </w:tcPr>
                <w:p w14:paraId="68EFFFF4">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项目</w:t>
                  </w:r>
                </w:p>
              </w:tc>
              <w:tc>
                <w:tcPr>
                  <w:tcW w:w="691" w:type="dxa"/>
                  <w:tcBorders>
                    <w:tl2br w:val="nil"/>
                    <w:tr2bl w:val="nil"/>
                  </w:tcBorders>
                  <w:vAlign w:val="center"/>
                </w:tcPr>
                <w:p w14:paraId="3571EC35">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单位</w:t>
                  </w:r>
                </w:p>
              </w:tc>
              <w:tc>
                <w:tcPr>
                  <w:tcW w:w="1124" w:type="dxa"/>
                  <w:tcBorders>
                    <w:tl2br w:val="nil"/>
                    <w:tr2bl w:val="nil"/>
                  </w:tcBorders>
                  <w:vAlign w:val="center"/>
                </w:tcPr>
                <w:p w14:paraId="67513BB1">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数量</w:t>
                  </w:r>
                </w:p>
              </w:tc>
              <w:tc>
                <w:tcPr>
                  <w:tcW w:w="3420" w:type="dxa"/>
                  <w:tcBorders>
                    <w:tl2br w:val="nil"/>
                    <w:tr2bl w:val="nil"/>
                  </w:tcBorders>
                  <w:vAlign w:val="center"/>
                </w:tcPr>
                <w:p w14:paraId="161F25A2">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备注</w:t>
                  </w:r>
                </w:p>
              </w:tc>
            </w:tr>
            <w:tr w14:paraId="793D8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753AFE6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27" w:type="dxa"/>
                  <w:gridSpan w:val="3"/>
                  <w:tcBorders>
                    <w:tl2br w:val="nil"/>
                    <w:tr2bl w:val="nil"/>
                  </w:tcBorders>
                  <w:vAlign w:val="center"/>
                </w:tcPr>
                <w:p w14:paraId="1334DCA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总用地面积</w:t>
                  </w:r>
                </w:p>
              </w:tc>
              <w:tc>
                <w:tcPr>
                  <w:tcW w:w="691" w:type="dxa"/>
                  <w:tcBorders>
                    <w:tl2br w:val="nil"/>
                    <w:tr2bl w:val="nil"/>
                  </w:tcBorders>
                  <w:vAlign w:val="center"/>
                </w:tcPr>
                <w:p w14:paraId="2C803103">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46FC8E2C">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69682.96</w:t>
                  </w:r>
                </w:p>
              </w:tc>
              <w:tc>
                <w:tcPr>
                  <w:tcW w:w="3420" w:type="dxa"/>
                  <w:tcBorders>
                    <w:tl2br w:val="nil"/>
                    <w:tr2bl w:val="nil"/>
                  </w:tcBorders>
                  <w:vAlign w:val="center"/>
                </w:tcPr>
                <w:p w14:paraId="171B49AC">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约104.53亩</w:t>
                  </w:r>
                </w:p>
              </w:tc>
            </w:tr>
            <w:tr w14:paraId="09841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626DFE5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27" w:type="dxa"/>
                  <w:gridSpan w:val="3"/>
                  <w:tcBorders>
                    <w:tl2br w:val="nil"/>
                    <w:tr2bl w:val="nil"/>
                  </w:tcBorders>
                  <w:vAlign w:val="center"/>
                </w:tcPr>
                <w:p w14:paraId="3999DCD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总建筑面积</w:t>
                  </w:r>
                </w:p>
              </w:tc>
              <w:tc>
                <w:tcPr>
                  <w:tcW w:w="691" w:type="dxa"/>
                  <w:tcBorders>
                    <w:tl2br w:val="nil"/>
                    <w:tr2bl w:val="nil"/>
                  </w:tcBorders>
                  <w:vAlign w:val="center"/>
                </w:tcPr>
                <w:p w14:paraId="683DEE3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357C736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43</w:t>
                  </w:r>
                  <w:r>
                    <w:rPr>
                      <w:rFonts w:hint="eastAsia" w:cs="Times New Roman"/>
                      <w:color w:val="auto"/>
                      <w:spacing w:val="3"/>
                      <w:sz w:val="21"/>
                      <w:szCs w:val="21"/>
                      <w:highlight w:val="none"/>
                      <w:lang w:val="en-US" w:eastAsia="zh-CN"/>
                    </w:rPr>
                    <w:t>308.79</w:t>
                  </w:r>
                </w:p>
              </w:tc>
              <w:tc>
                <w:tcPr>
                  <w:tcW w:w="3420" w:type="dxa"/>
                  <w:tcBorders>
                    <w:tl2br w:val="nil"/>
                    <w:tr2bl w:val="nil"/>
                  </w:tcBorders>
                  <w:vAlign w:val="center"/>
                </w:tcPr>
                <w:p w14:paraId="3424AE6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r>
            <w:tr w14:paraId="577A6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restart"/>
                  <w:tcBorders>
                    <w:tl2br w:val="nil"/>
                    <w:tr2bl w:val="nil"/>
                  </w:tcBorders>
                  <w:vAlign w:val="center"/>
                </w:tcPr>
                <w:p w14:paraId="6EA89AF8">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3</w:t>
                  </w:r>
                </w:p>
              </w:tc>
              <w:tc>
                <w:tcPr>
                  <w:tcW w:w="313" w:type="dxa"/>
                  <w:vMerge w:val="restart"/>
                  <w:tcBorders>
                    <w:tl2br w:val="nil"/>
                    <w:tr2bl w:val="nil"/>
                  </w:tcBorders>
                  <w:textDirection w:val="tbRlV"/>
                  <w:vAlign w:val="center"/>
                </w:tcPr>
                <w:p w14:paraId="78BDACF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其中</w:t>
                  </w:r>
                </w:p>
              </w:tc>
              <w:tc>
                <w:tcPr>
                  <w:tcW w:w="1714" w:type="dxa"/>
                  <w:gridSpan w:val="2"/>
                  <w:tcBorders>
                    <w:tl2br w:val="nil"/>
                    <w:tr2bl w:val="nil"/>
                  </w:tcBorders>
                  <w:vAlign w:val="center"/>
                </w:tcPr>
                <w:p w14:paraId="568F83FE">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地上建筑面积</w:t>
                  </w:r>
                </w:p>
              </w:tc>
              <w:tc>
                <w:tcPr>
                  <w:tcW w:w="691" w:type="dxa"/>
                  <w:tcBorders>
                    <w:tl2br w:val="nil"/>
                    <w:tr2bl w:val="nil"/>
                  </w:tcBorders>
                  <w:vAlign w:val="center"/>
                </w:tcPr>
                <w:p w14:paraId="5F9356F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596C573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43</w:t>
                  </w:r>
                  <w:r>
                    <w:rPr>
                      <w:rFonts w:hint="eastAsia" w:cs="Times New Roman"/>
                      <w:color w:val="auto"/>
                      <w:spacing w:val="3"/>
                      <w:sz w:val="21"/>
                      <w:szCs w:val="21"/>
                      <w:highlight w:val="none"/>
                      <w:lang w:val="en-US" w:eastAsia="zh-CN"/>
                    </w:rPr>
                    <w:t>211.30</w:t>
                  </w:r>
                </w:p>
              </w:tc>
              <w:tc>
                <w:tcPr>
                  <w:tcW w:w="3420" w:type="dxa"/>
                  <w:tcBorders>
                    <w:tl2br w:val="nil"/>
                    <w:tr2bl w:val="nil"/>
                  </w:tcBorders>
                  <w:vAlign w:val="center"/>
                </w:tcPr>
                <w:p w14:paraId="3137229C">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占地面积3</w:t>
                  </w:r>
                  <w:r>
                    <w:rPr>
                      <w:rFonts w:hint="eastAsia" w:cs="Times New Roman"/>
                      <w:color w:val="auto"/>
                      <w:spacing w:val="3"/>
                      <w:sz w:val="21"/>
                      <w:szCs w:val="21"/>
                      <w:highlight w:val="none"/>
                      <w:lang w:val="en-US" w:eastAsia="zh-CN"/>
                    </w:rPr>
                    <w:t>8246.63</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w:t>
                  </w:r>
                  <w:r>
                    <w:rPr>
                      <w:rFonts w:hint="eastAsia" w:cs="Times New Roman"/>
                      <w:color w:val="auto"/>
                      <w:spacing w:val="3"/>
                      <w:sz w:val="21"/>
                      <w:szCs w:val="21"/>
                      <w:highlight w:val="none"/>
                      <w:lang w:val="en-US" w:eastAsia="zh-CN"/>
                    </w:rPr>
                    <w:t>79813.70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r>
            <w:tr w14:paraId="372B7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6932FEE3">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0C35D4E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restart"/>
                  <w:tcBorders>
                    <w:tl2br w:val="nil"/>
                    <w:tr2bl w:val="nil"/>
                  </w:tcBorders>
                  <w:textDirection w:val="tbRlV"/>
                  <w:vAlign w:val="center"/>
                </w:tcPr>
                <w:p w14:paraId="4F5A674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其中</w:t>
                  </w:r>
                </w:p>
              </w:tc>
              <w:tc>
                <w:tcPr>
                  <w:tcW w:w="1384" w:type="dxa"/>
                  <w:tcBorders>
                    <w:tl2br w:val="nil"/>
                    <w:tr2bl w:val="nil"/>
                  </w:tcBorders>
                  <w:vAlign w:val="center"/>
                </w:tcPr>
                <w:p w14:paraId="7E87993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1#厂房</w:t>
                  </w:r>
                </w:p>
              </w:tc>
              <w:tc>
                <w:tcPr>
                  <w:tcW w:w="691" w:type="dxa"/>
                  <w:tcBorders>
                    <w:tl2br w:val="nil"/>
                    <w:tr2bl w:val="nil"/>
                  </w:tcBorders>
                  <w:vAlign w:val="center"/>
                </w:tcPr>
                <w:p w14:paraId="7953EFC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119A1C4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10800</w:t>
                  </w:r>
                </w:p>
              </w:tc>
              <w:tc>
                <w:tcPr>
                  <w:tcW w:w="3420" w:type="dxa"/>
                  <w:tcBorders>
                    <w:tl2br w:val="nil"/>
                    <w:tr2bl w:val="nil"/>
                  </w:tcBorders>
                  <w:vAlign w:val="center"/>
                </w:tcPr>
                <w:p w14:paraId="3A4FEC94">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占地面积10800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面积21600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高度1</w:t>
                  </w:r>
                  <w:r>
                    <w:rPr>
                      <w:rFonts w:hint="eastAsia" w:cs="Times New Roman"/>
                      <w:color w:val="auto"/>
                      <w:spacing w:val="7"/>
                      <w:sz w:val="21"/>
                      <w:szCs w:val="21"/>
                      <w:highlight w:val="none"/>
                      <w:lang w:val="en-US" w:eastAsia="zh-CN"/>
                    </w:rPr>
                    <w:t>2</w:t>
                  </w:r>
                  <w:r>
                    <w:rPr>
                      <w:rFonts w:hint="default" w:ascii="Times New Roman" w:hAnsi="Times New Roman" w:eastAsia="宋体" w:cs="Times New Roman"/>
                      <w:color w:val="auto"/>
                      <w:spacing w:val="7"/>
                      <w:sz w:val="21"/>
                      <w:szCs w:val="21"/>
                      <w:highlight w:val="none"/>
                      <w:lang w:val="en-US" w:eastAsia="zh-CN"/>
                    </w:rPr>
                    <w:t>.98</w:t>
                  </w:r>
                  <w:r>
                    <w:rPr>
                      <w:rFonts w:hint="default" w:ascii="Times New Roman" w:hAnsi="Times New Roman" w:eastAsia="宋体" w:cs="Times New Roman"/>
                      <w:color w:val="auto"/>
                      <w:spacing w:val="7"/>
                      <w:sz w:val="21"/>
                      <w:szCs w:val="21"/>
                      <w:highlight w:val="none"/>
                      <w:lang w:eastAsia="zh-CN"/>
                    </w:rPr>
                    <w:t>m</w:t>
                  </w:r>
                </w:p>
              </w:tc>
            </w:tr>
            <w:tr w14:paraId="5744E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368D6AA5">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0624816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66E15B8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3E69221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2#厂房</w:t>
                  </w:r>
                </w:p>
              </w:tc>
              <w:tc>
                <w:tcPr>
                  <w:tcW w:w="691" w:type="dxa"/>
                  <w:tcBorders>
                    <w:tl2br w:val="nil"/>
                    <w:tr2bl w:val="nil"/>
                  </w:tcBorders>
                  <w:vAlign w:val="center"/>
                </w:tcPr>
                <w:p w14:paraId="49D6437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4344A9B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4672.8</w:t>
                  </w:r>
                </w:p>
              </w:tc>
              <w:tc>
                <w:tcPr>
                  <w:tcW w:w="3420" w:type="dxa"/>
                  <w:tcBorders>
                    <w:tl2br w:val="nil"/>
                    <w:tr2bl w:val="nil"/>
                  </w:tcBorders>
                  <w:vAlign w:val="center"/>
                </w:tcPr>
                <w:p w14:paraId="39FA2C61">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占地面积4672.8</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面积9345.6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w:t>
                  </w:r>
                  <w:r>
                    <w:rPr>
                      <w:rFonts w:hint="eastAsia" w:cs="Times New Roman"/>
                      <w:color w:val="auto"/>
                      <w:spacing w:val="7"/>
                      <w:sz w:val="21"/>
                      <w:szCs w:val="21"/>
                      <w:highlight w:val="none"/>
                      <w:lang w:val="en-US" w:eastAsia="zh-CN"/>
                    </w:rPr>
                    <w:t>33</w:t>
                  </w:r>
                  <w:r>
                    <w:rPr>
                      <w:rFonts w:hint="default" w:ascii="Times New Roman" w:hAnsi="Times New Roman" w:eastAsia="宋体" w:cs="Times New Roman"/>
                      <w:color w:val="auto"/>
                      <w:spacing w:val="7"/>
                      <w:sz w:val="21"/>
                      <w:szCs w:val="21"/>
                      <w:highlight w:val="none"/>
                      <w:lang w:eastAsia="zh-CN"/>
                    </w:rPr>
                    <w:t>m</w:t>
                  </w:r>
                </w:p>
              </w:tc>
            </w:tr>
            <w:tr w14:paraId="6648A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0D9FE7D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526BEA6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2B41211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2A1D1E7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3#厂房</w:t>
                  </w:r>
                </w:p>
              </w:tc>
              <w:tc>
                <w:tcPr>
                  <w:tcW w:w="691" w:type="dxa"/>
                  <w:tcBorders>
                    <w:tl2br w:val="nil"/>
                    <w:tr2bl w:val="nil"/>
                  </w:tcBorders>
                  <w:vAlign w:val="center"/>
                </w:tcPr>
                <w:p w14:paraId="7CAD619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1929AAE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4672.8</w:t>
                  </w:r>
                </w:p>
              </w:tc>
              <w:tc>
                <w:tcPr>
                  <w:tcW w:w="3420" w:type="dxa"/>
                  <w:tcBorders>
                    <w:tl2br w:val="nil"/>
                    <w:tr2bl w:val="nil"/>
                  </w:tcBorders>
                  <w:vAlign w:val="center"/>
                </w:tcPr>
                <w:p w14:paraId="2B4BAB51">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占地面积4672.8</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面积9345.6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高度9.33</w:t>
                  </w:r>
                  <w:r>
                    <w:rPr>
                      <w:rFonts w:hint="default" w:ascii="Times New Roman" w:hAnsi="Times New Roman" w:eastAsia="宋体" w:cs="Times New Roman"/>
                      <w:color w:val="auto"/>
                      <w:spacing w:val="7"/>
                      <w:sz w:val="21"/>
                      <w:szCs w:val="21"/>
                      <w:highlight w:val="none"/>
                      <w:lang w:eastAsia="zh-CN"/>
                    </w:rPr>
                    <w:t>m</w:t>
                  </w:r>
                </w:p>
              </w:tc>
            </w:tr>
            <w:tr w14:paraId="642C5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0810215E">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676BD4E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605A998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7D46006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4#厂房</w:t>
                  </w:r>
                </w:p>
              </w:tc>
              <w:tc>
                <w:tcPr>
                  <w:tcW w:w="691" w:type="dxa"/>
                  <w:tcBorders>
                    <w:tl2br w:val="nil"/>
                    <w:tr2bl w:val="nil"/>
                  </w:tcBorders>
                  <w:vAlign w:val="center"/>
                </w:tcPr>
                <w:p w14:paraId="57D68AD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6A23B53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4672.8</w:t>
                  </w:r>
                </w:p>
              </w:tc>
              <w:tc>
                <w:tcPr>
                  <w:tcW w:w="3420" w:type="dxa"/>
                  <w:tcBorders>
                    <w:tl2br w:val="nil"/>
                    <w:tr2bl w:val="nil"/>
                  </w:tcBorders>
                  <w:vAlign w:val="center"/>
                </w:tcPr>
                <w:p w14:paraId="7604FABA">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占地面积4672.8</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面积9345.6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高度9.33</w:t>
                  </w:r>
                  <w:r>
                    <w:rPr>
                      <w:rFonts w:hint="default" w:ascii="Times New Roman" w:hAnsi="Times New Roman" w:eastAsia="宋体" w:cs="Times New Roman"/>
                      <w:color w:val="auto"/>
                      <w:spacing w:val="7"/>
                      <w:sz w:val="21"/>
                      <w:szCs w:val="21"/>
                      <w:highlight w:val="none"/>
                      <w:lang w:eastAsia="zh-CN"/>
                    </w:rPr>
                    <w:t>m</w:t>
                  </w:r>
                </w:p>
              </w:tc>
            </w:tr>
            <w:tr w14:paraId="7DEE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75314DF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528D6DB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5B45F24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7F058162">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5#厂房</w:t>
                  </w:r>
                </w:p>
              </w:tc>
              <w:tc>
                <w:tcPr>
                  <w:tcW w:w="691" w:type="dxa"/>
                  <w:tcBorders>
                    <w:tl2br w:val="nil"/>
                    <w:tr2bl w:val="nil"/>
                  </w:tcBorders>
                  <w:vAlign w:val="center"/>
                </w:tcPr>
                <w:p w14:paraId="39304201">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247BE293">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5460</w:t>
                  </w:r>
                </w:p>
              </w:tc>
              <w:tc>
                <w:tcPr>
                  <w:tcW w:w="3420" w:type="dxa"/>
                  <w:tcBorders>
                    <w:tl2br w:val="nil"/>
                    <w:tr2bl w:val="nil"/>
                  </w:tcBorders>
                  <w:vAlign w:val="center"/>
                </w:tcPr>
                <w:p w14:paraId="31B34CE1">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占地面积5460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面积10920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高度9.2</w:t>
                  </w:r>
                  <w:r>
                    <w:rPr>
                      <w:rFonts w:hint="default" w:ascii="Times New Roman" w:hAnsi="Times New Roman" w:eastAsia="宋体" w:cs="Times New Roman"/>
                      <w:color w:val="auto"/>
                      <w:spacing w:val="7"/>
                      <w:sz w:val="21"/>
                      <w:szCs w:val="21"/>
                      <w:highlight w:val="none"/>
                      <w:lang w:eastAsia="zh-CN"/>
                    </w:rPr>
                    <w:t>m</w:t>
                  </w:r>
                </w:p>
              </w:tc>
            </w:tr>
            <w:tr w14:paraId="4DF1B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461BF785">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3319BD08">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301346A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6D2D63B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6#厂房</w:t>
                  </w:r>
                </w:p>
              </w:tc>
              <w:tc>
                <w:tcPr>
                  <w:tcW w:w="691" w:type="dxa"/>
                  <w:tcBorders>
                    <w:tl2br w:val="nil"/>
                    <w:tr2bl w:val="nil"/>
                  </w:tcBorders>
                  <w:vAlign w:val="center"/>
                </w:tcPr>
                <w:p w14:paraId="3D7915A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1776027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5488</w:t>
                  </w:r>
                </w:p>
              </w:tc>
              <w:tc>
                <w:tcPr>
                  <w:tcW w:w="3420" w:type="dxa"/>
                  <w:tcBorders>
                    <w:tl2br w:val="nil"/>
                    <w:tr2bl w:val="nil"/>
                  </w:tcBorders>
                  <w:vAlign w:val="center"/>
                </w:tcPr>
                <w:p w14:paraId="21ACB40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占地面积5488</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面积10976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高度9.15</w:t>
                  </w:r>
                  <w:r>
                    <w:rPr>
                      <w:rFonts w:hint="default" w:ascii="Times New Roman" w:hAnsi="Times New Roman" w:eastAsia="宋体" w:cs="Times New Roman"/>
                      <w:color w:val="auto"/>
                      <w:spacing w:val="7"/>
                      <w:sz w:val="21"/>
                      <w:szCs w:val="21"/>
                      <w:highlight w:val="none"/>
                      <w:lang w:eastAsia="zh-CN"/>
                    </w:rPr>
                    <w:t>m</w:t>
                  </w:r>
                </w:p>
              </w:tc>
            </w:tr>
            <w:tr w14:paraId="6E793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2C5C0A0C">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3016081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4C7E6842">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1E9750C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7#厂房</w:t>
                  </w:r>
                </w:p>
              </w:tc>
              <w:tc>
                <w:tcPr>
                  <w:tcW w:w="691" w:type="dxa"/>
                  <w:tcBorders>
                    <w:tl2br w:val="nil"/>
                    <w:tr2bl w:val="nil"/>
                  </w:tcBorders>
                  <w:vAlign w:val="center"/>
                </w:tcPr>
                <w:p w14:paraId="14B836E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08E97A3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836</w:t>
                  </w:r>
                </w:p>
              </w:tc>
              <w:tc>
                <w:tcPr>
                  <w:tcW w:w="3420" w:type="dxa"/>
                  <w:tcBorders>
                    <w:tl2br w:val="nil"/>
                    <w:tr2bl w:val="nil"/>
                  </w:tcBorders>
                  <w:vAlign w:val="center"/>
                </w:tcPr>
                <w:p w14:paraId="4F4BB5D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占地面积836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面积1672</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高度9.15</w:t>
                  </w:r>
                  <w:r>
                    <w:rPr>
                      <w:rFonts w:hint="default" w:ascii="Times New Roman" w:hAnsi="Times New Roman" w:eastAsia="宋体" w:cs="Times New Roman"/>
                      <w:color w:val="auto"/>
                      <w:spacing w:val="7"/>
                      <w:sz w:val="21"/>
                      <w:szCs w:val="21"/>
                      <w:highlight w:val="none"/>
                      <w:lang w:eastAsia="zh-CN"/>
                    </w:rPr>
                    <w:t>m</w:t>
                  </w:r>
                </w:p>
              </w:tc>
            </w:tr>
            <w:tr w14:paraId="0BFC8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654BB1BE">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342FF2D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6D653C93">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33C9A06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办公楼</w:t>
                  </w:r>
                </w:p>
              </w:tc>
              <w:tc>
                <w:tcPr>
                  <w:tcW w:w="691" w:type="dxa"/>
                  <w:tcBorders>
                    <w:tl2br w:val="nil"/>
                    <w:tr2bl w:val="nil"/>
                  </w:tcBorders>
                  <w:vAlign w:val="center"/>
                </w:tcPr>
                <w:p w14:paraId="0ABD959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36932405">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1290.09</w:t>
                  </w:r>
                </w:p>
              </w:tc>
              <w:tc>
                <w:tcPr>
                  <w:tcW w:w="3420" w:type="dxa"/>
                  <w:tcBorders>
                    <w:tl2br w:val="nil"/>
                    <w:tr2bl w:val="nil"/>
                  </w:tcBorders>
                  <w:vAlign w:val="center"/>
                </w:tcPr>
                <w:p w14:paraId="3FB632B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w:t>
                  </w:r>
                  <w:r>
                    <w:rPr>
                      <w:rFonts w:hint="eastAsia" w:cs="Times New Roman"/>
                      <w:color w:val="auto"/>
                      <w:spacing w:val="3"/>
                      <w:sz w:val="21"/>
                      <w:szCs w:val="21"/>
                      <w:highlight w:val="none"/>
                      <w:lang w:val="en-US" w:eastAsia="zh-CN"/>
                    </w:rPr>
                    <w:t>430.03</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w:t>
                  </w:r>
                  <w:r>
                    <w:rPr>
                      <w:rFonts w:hint="eastAsia" w:cs="Times New Roman"/>
                      <w:color w:val="auto"/>
                      <w:spacing w:val="3"/>
                      <w:sz w:val="21"/>
                      <w:szCs w:val="21"/>
                      <w:highlight w:val="none"/>
                      <w:lang w:val="en-US" w:eastAsia="zh-CN"/>
                    </w:rPr>
                    <w:t>1290.09</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3</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高度1</w:t>
                  </w:r>
                  <w:r>
                    <w:rPr>
                      <w:rFonts w:hint="eastAsia" w:cs="Times New Roman"/>
                      <w:color w:val="auto"/>
                      <w:spacing w:val="7"/>
                      <w:sz w:val="21"/>
                      <w:szCs w:val="21"/>
                      <w:highlight w:val="none"/>
                      <w:lang w:val="en-US" w:eastAsia="zh-CN"/>
                    </w:rPr>
                    <w:t>4.2</w:t>
                  </w:r>
                  <w:r>
                    <w:rPr>
                      <w:rFonts w:hint="default" w:ascii="Times New Roman" w:hAnsi="Times New Roman" w:eastAsia="宋体" w:cs="Times New Roman"/>
                      <w:color w:val="auto"/>
                      <w:spacing w:val="7"/>
                      <w:sz w:val="21"/>
                      <w:szCs w:val="21"/>
                      <w:highlight w:val="none"/>
                      <w:lang w:eastAsia="zh-CN"/>
                    </w:rPr>
                    <w:t>m</w:t>
                  </w:r>
                </w:p>
              </w:tc>
            </w:tr>
            <w:tr w14:paraId="682C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3391450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14CE021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0A7538D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242A641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宿舍楼</w:t>
                  </w:r>
                </w:p>
              </w:tc>
              <w:tc>
                <w:tcPr>
                  <w:tcW w:w="691" w:type="dxa"/>
                  <w:tcBorders>
                    <w:tl2br w:val="nil"/>
                    <w:tr2bl w:val="nil"/>
                  </w:tcBorders>
                  <w:vAlign w:val="center"/>
                </w:tcPr>
                <w:p w14:paraId="130E7D8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1D001BB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487</w:t>
                  </w:r>
                  <w:r>
                    <w:rPr>
                      <w:rFonts w:hint="eastAsia" w:cs="Times New Roman"/>
                      <w:color w:val="auto"/>
                      <w:spacing w:val="3"/>
                      <w:sz w:val="21"/>
                      <w:szCs w:val="21"/>
                      <w:highlight w:val="none"/>
                      <w:lang w:val="en-US" w:eastAsia="zh-CN"/>
                    </w:rPr>
                    <w:t>4.1</w:t>
                  </w:r>
                </w:p>
              </w:tc>
              <w:tc>
                <w:tcPr>
                  <w:tcW w:w="3420" w:type="dxa"/>
                  <w:tcBorders>
                    <w:tl2br w:val="nil"/>
                    <w:tr2bl w:val="nil"/>
                  </w:tcBorders>
                  <w:vAlign w:val="center"/>
                </w:tcPr>
                <w:p w14:paraId="6B397BA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占地面积672</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面积4779.02</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-1/7F</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高度22.9</w:t>
                  </w:r>
                  <w:r>
                    <w:rPr>
                      <w:rFonts w:hint="default" w:ascii="Times New Roman" w:hAnsi="Times New Roman" w:eastAsia="宋体" w:cs="Times New Roman"/>
                      <w:color w:val="auto"/>
                      <w:spacing w:val="7"/>
                      <w:sz w:val="21"/>
                      <w:szCs w:val="21"/>
                      <w:highlight w:val="none"/>
                      <w:lang w:eastAsia="zh-CN"/>
                    </w:rPr>
                    <w:t>m</w:t>
                  </w:r>
                </w:p>
              </w:tc>
            </w:tr>
            <w:tr w14:paraId="60FDB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6CB9B2F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3ED67C75">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0EADCF7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38A12547">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门卫</w:t>
                  </w:r>
                </w:p>
              </w:tc>
              <w:tc>
                <w:tcPr>
                  <w:tcW w:w="691" w:type="dxa"/>
                  <w:tcBorders>
                    <w:tl2br w:val="nil"/>
                    <w:tr2bl w:val="nil"/>
                  </w:tcBorders>
                  <w:vAlign w:val="center"/>
                </w:tcPr>
                <w:p w14:paraId="2C49D465">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688D23E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57.96</w:t>
                  </w:r>
                </w:p>
              </w:tc>
              <w:tc>
                <w:tcPr>
                  <w:tcW w:w="3420" w:type="dxa"/>
                  <w:tcBorders>
                    <w:tl2br w:val="nil"/>
                    <w:tr2bl w:val="nil"/>
                  </w:tcBorders>
                  <w:vAlign w:val="center"/>
                </w:tcPr>
                <w:p w14:paraId="3262E2DE">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w:t>
                  </w:r>
                  <w:r>
                    <w:rPr>
                      <w:rFonts w:hint="eastAsia" w:cs="Times New Roman"/>
                      <w:color w:val="auto"/>
                      <w:spacing w:val="3"/>
                      <w:sz w:val="21"/>
                      <w:szCs w:val="21"/>
                      <w:highlight w:val="none"/>
                      <w:lang w:val="en-US" w:eastAsia="zh-CN"/>
                    </w:rPr>
                    <w:t>57.96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w:t>
                  </w:r>
                  <w:r>
                    <w:rPr>
                      <w:rFonts w:hint="eastAsia" w:cs="Times New Roman"/>
                      <w:color w:val="auto"/>
                      <w:spacing w:val="3"/>
                      <w:sz w:val="21"/>
                      <w:szCs w:val="21"/>
                      <w:highlight w:val="none"/>
                      <w:lang w:val="en-US" w:eastAsia="zh-CN"/>
                    </w:rPr>
                    <w:t>57.96</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w:t>
                  </w:r>
                  <w:r>
                    <w:rPr>
                      <w:rFonts w:hint="eastAsia" w:cs="Times New Roman"/>
                      <w:color w:val="auto"/>
                      <w:spacing w:val="7"/>
                      <w:sz w:val="21"/>
                      <w:szCs w:val="21"/>
                      <w:highlight w:val="none"/>
                      <w:lang w:val="en-US" w:eastAsia="zh-CN"/>
                    </w:rPr>
                    <w:t>4.0</w:t>
                  </w:r>
                  <w:r>
                    <w:rPr>
                      <w:rFonts w:hint="default" w:ascii="Times New Roman" w:hAnsi="Times New Roman" w:eastAsia="宋体" w:cs="Times New Roman"/>
                      <w:color w:val="auto"/>
                      <w:spacing w:val="7"/>
                      <w:sz w:val="21"/>
                      <w:szCs w:val="21"/>
                      <w:highlight w:val="none"/>
                      <w:lang w:eastAsia="zh-CN"/>
                    </w:rPr>
                    <w:t>m</w:t>
                  </w:r>
                </w:p>
              </w:tc>
            </w:tr>
            <w:tr w14:paraId="1F647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463A2FE8">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12C3880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330" w:type="dxa"/>
                  <w:vMerge w:val="continue"/>
                  <w:tcBorders>
                    <w:tl2br w:val="nil"/>
                    <w:tr2bl w:val="nil"/>
                  </w:tcBorders>
                  <w:textDirection w:val="tbRlV"/>
                  <w:vAlign w:val="center"/>
                </w:tcPr>
                <w:p w14:paraId="1EC44E58">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p>
              </w:tc>
              <w:tc>
                <w:tcPr>
                  <w:tcW w:w="1384" w:type="dxa"/>
                  <w:tcBorders>
                    <w:tl2br w:val="nil"/>
                    <w:tr2bl w:val="nil"/>
                  </w:tcBorders>
                  <w:vAlign w:val="center"/>
                </w:tcPr>
                <w:p w14:paraId="05D6A23B">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变电站</w:t>
                  </w:r>
                </w:p>
              </w:tc>
              <w:tc>
                <w:tcPr>
                  <w:tcW w:w="691" w:type="dxa"/>
                  <w:tcBorders>
                    <w:tl2br w:val="nil"/>
                    <w:tr2bl w:val="nil"/>
                  </w:tcBorders>
                  <w:vAlign w:val="center"/>
                </w:tcPr>
                <w:p w14:paraId="62A714F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42E3C6E2">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484.24</w:t>
                  </w:r>
                </w:p>
              </w:tc>
              <w:tc>
                <w:tcPr>
                  <w:tcW w:w="3420" w:type="dxa"/>
                  <w:tcBorders>
                    <w:tl2br w:val="nil"/>
                    <w:tr2bl w:val="nil"/>
                  </w:tcBorders>
                  <w:vAlign w:val="center"/>
                </w:tcPr>
                <w:p w14:paraId="5764E35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占地面积</w:t>
                  </w:r>
                  <w:r>
                    <w:rPr>
                      <w:rFonts w:hint="eastAsia" w:cs="Times New Roman"/>
                      <w:color w:val="auto"/>
                      <w:spacing w:val="3"/>
                      <w:sz w:val="21"/>
                      <w:szCs w:val="21"/>
                      <w:highlight w:val="none"/>
                      <w:lang w:val="en-US" w:eastAsia="zh-CN"/>
                    </w:rPr>
                    <w:t>484.24</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smallCaps w:val="0"/>
                      <w:color w:val="auto"/>
                      <w:kern w:val="2"/>
                      <w:sz w:val="21"/>
                      <w:szCs w:val="21"/>
                      <w:highlight w:val="none"/>
                      <w:vertAlign w:val="baseline"/>
                      <w:lang w:val="en-US" w:eastAsia="zh-CN" w:bidi="ar"/>
                    </w:rPr>
                    <w:t>，</w:t>
                  </w:r>
                  <w:r>
                    <w:rPr>
                      <w:rFonts w:hint="default" w:ascii="Times New Roman" w:hAnsi="Times New Roman" w:eastAsia="宋体" w:cs="Times New Roman"/>
                      <w:color w:val="auto"/>
                      <w:sz w:val="21"/>
                      <w:szCs w:val="21"/>
                      <w:highlight w:val="none"/>
                      <w:lang w:val="en-US" w:eastAsia="zh-CN"/>
                    </w:rPr>
                    <w:t>计容</w:t>
                  </w:r>
                  <w:r>
                    <w:rPr>
                      <w:rFonts w:hint="default" w:ascii="Times New Roman" w:hAnsi="Times New Roman" w:eastAsia="宋体" w:cs="Times New Roman"/>
                      <w:color w:val="auto"/>
                      <w:spacing w:val="3"/>
                      <w:sz w:val="21"/>
                      <w:szCs w:val="21"/>
                      <w:highlight w:val="none"/>
                      <w:lang w:val="en-US" w:eastAsia="zh-CN"/>
                    </w:rPr>
                    <w:t>面积</w:t>
                  </w:r>
                  <w:r>
                    <w:rPr>
                      <w:rFonts w:hint="eastAsia" w:cs="Times New Roman"/>
                      <w:color w:val="auto"/>
                      <w:spacing w:val="3"/>
                      <w:sz w:val="21"/>
                      <w:szCs w:val="21"/>
                      <w:highlight w:val="none"/>
                      <w:lang w:val="en-US" w:eastAsia="zh-CN"/>
                    </w:rPr>
                    <w:t>484.24</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lang w:eastAsia="zh-CN"/>
                    </w:rPr>
                    <w:t>F，</w:t>
                  </w:r>
                  <w:r>
                    <w:rPr>
                      <w:rFonts w:hint="default" w:ascii="Times New Roman" w:hAnsi="Times New Roman" w:eastAsia="宋体" w:cs="Times New Roman"/>
                      <w:color w:val="auto"/>
                      <w:spacing w:val="7"/>
                      <w:sz w:val="21"/>
                      <w:szCs w:val="21"/>
                      <w:highlight w:val="none"/>
                      <w:lang w:val="en-US" w:eastAsia="zh-CN"/>
                    </w:rPr>
                    <w:t>高度</w:t>
                  </w:r>
                  <w:r>
                    <w:rPr>
                      <w:rFonts w:hint="eastAsia" w:cs="Times New Roman"/>
                      <w:color w:val="auto"/>
                      <w:spacing w:val="7"/>
                      <w:sz w:val="21"/>
                      <w:szCs w:val="21"/>
                      <w:highlight w:val="none"/>
                      <w:lang w:val="en-US" w:eastAsia="zh-CN"/>
                    </w:rPr>
                    <w:t>5.8</w:t>
                  </w:r>
                  <w:r>
                    <w:rPr>
                      <w:rFonts w:hint="default" w:ascii="Times New Roman" w:hAnsi="Times New Roman" w:eastAsia="宋体" w:cs="Times New Roman"/>
                      <w:color w:val="auto"/>
                      <w:spacing w:val="7"/>
                      <w:sz w:val="21"/>
                      <w:szCs w:val="21"/>
                      <w:highlight w:val="none"/>
                      <w:lang w:eastAsia="zh-CN"/>
                    </w:rPr>
                    <w:t>m</w:t>
                  </w:r>
                </w:p>
              </w:tc>
            </w:tr>
            <w:tr w14:paraId="47CBD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vMerge w:val="continue"/>
                  <w:tcBorders>
                    <w:tl2br w:val="nil"/>
                    <w:tr2bl w:val="nil"/>
                  </w:tcBorders>
                  <w:vAlign w:val="center"/>
                </w:tcPr>
                <w:p w14:paraId="22A6630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313" w:type="dxa"/>
                  <w:vMerge w:val="continue"/>
                  <w:tcBorders>
                    <w:tl2br w:val="nil"/>
                    <w:tr2bl w:val="nil"/>
                  </w:tcBorders>
                  <w:textDirection w:val="tbRlV"/>
                  <w:vAlign w:val="center"/>
                </w:tcPr>
                <w:p w14:paraId="1D55F556">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1714" w:type="dxa"/>
                  <w:gridSpan w:val="2"/>
                  <w:tcBorders>
                    <w:tl2br w:val="nil"/>
                    <w:tr2bl w:val="nil"/>
                  </w:tcBorders>
                  <w:vAlign w:val="center"/>
                </w:tcPr>
                <w:p w14:paraId="1680F7A9">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地下建筑面积</w:t>
                  </w:r>
                </w:p>
              </w:tc>
              <w:tc>
                <w:tcPr>
                  <w:tcW w:w="691" w:type="dxa"/>
                  <w:tcBorders>
                    <w:tl2br w:val="nil"/>
                    <w:tr2bl w:val="nil"/>
                  </w:tcBorders>
                  <w:vAlign w:val="center"/>
                </w:tcPr>
                <w:p w14:paraId="01A4E9F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3507723A">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97.49</w:t>
                  </w:r>
                </w:p>
              </w:tc>
              <w:tc>
                <w:tcPr>
                  <w:tcW w:w="3420" w:type="dxa"/>
                  <w:tcBorders>
                    <w:tl2br w:val="nil"/>
                    <w:tr2bl w:val="nil"/>
                  </w:tcBorders>
                  <w:vAlign w:val="center"/>
                </w:tcPr>
                <w:p w14:paraId="2CC194D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不计容</w:t>
                  </w:r>
                </w:p>
              </w:tc>
            </w:tr>
            <w:tr w14:paraId="3D650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30CF68AE">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4</w:t>
                  </w:r>
                </w:p>
              </w:tc>
              <w:tc>
                <w:tcPr>
                  <w:tcW w:w="2027" w:type="dxa"/>
                  <w:gridSpan w:val="3"/>
                  <w:tcBorders>
                    <w:tl2br w:val="nil"/>
                    <w:tr2bl w:val="nil"/>
                  </w:tcBorders>
                  <w:vAlign w:val="center"/>
                </w:tcPr>
                <w:p w14:paraId="59DD606E">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计容建筑面积</w:t>
                  </w:r>
                </w:p>
              </w:tc>
              <w:tc>
                <w:tcPr>
                  <w:tcW w:w="691" w:type="dxa"/>
                  <w:tcBorders>
                    <w:tl2br w:val="nil"/>
                    <w:tr2bl w:val="nil"/>
                  </w:tcBorders>
                  <w:vAlign w:val="center"/>
                </w:tcPr>
                <w:p w14:paraId="42611EF2">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38E57737">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79813.70</w:t>
                  </w:r>
                </w:p>
              </w:tc>
              <w:tc>
                <w:tcPr>
                  <w:tcW w:w="3420" w:type="dxa"/>
                  <w:tcBorders>
                    <w:tl2br w:val="nil"/>
                    <w:tr2bl w:val="nil"/>
                  </w:tcBorders>
                  <w:vAlign w:val="center"/>
                </w:tcPr>
                <w:p w14:paraId="03E0D0F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6B41D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49ADF02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5</w:t>
                  </w:r>
                </w:p>
              </w:tc>
              <w:tc>
                <w:tcPr>
                  <w:tcW w:w="2027" w:type="dxa"/>
                  <w:gridSpan w:val="3"/>
                  <w:tcBorders>
                    <w:tl2br w:val="nil"/>
                    <w:tr2bl w:val="nil"/>
                  </w:tcBorders>
                  <w:vAlign w:val="center"/>
                </w:tcPr>
                <w:p w14:paraId="4C5879FE">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lang w:eastAsia="zh-CN"/>
                    </w:rPr>
                  </w:pPr>
                  <w:r>
                    <w:rPr>
                      <w:rFonts w:hint="eastAsia" w:ascii="Times New Roman" w:hAnsi="Times New Roman" w:eastAsia="宋体" w:cs="Times New Roman"/>
                      <w:color w:val="auto"/>
                      <w:spacing w:val="8"/>
                      <w:sz w:val="21"/>
                      <w:szCs w:val="21"/>
                      <w:highlight w:val="none"/>
                      <w:lang w:val="en-US" w:eastAsia="zh-CN"/>
                    </w:rPr>
                    <w:t>建筑</w:t>
                  </w:r>
                  <w:r>
                    <w:rPr>
                      <w:rFonts w:hint="default" w:ascii="Times New Roman" w:hAnsi="Times New Roman" w:eastAsia="宋体" w:cs="Times New Roman"/>
                      <w:color w:val="auto"/>
                      <w:spacing w:val="8"/>
                      <w:sz w:val="21"/>
                      <w:szCs w:val="21"/>
                      <w:highlight w:val="none"/>
                      <w:lang w:val="en-US" w:eastAsia="zh-CN"/>
                    </w:rPr>
                    <w:t>占地面积</w:t>
                  </w:r>
                </w:p>
              </w:tc>
              <w:tc>
                <w:tcPr>
                  <w:tcW w:w="691" w:type="dxa"/>
                  <w:tcBorders>
                    <w:tl2br w:val="nil"/>
                    <w:tr2bl w:val="nil"/>
                  </w:tcBorders>
                  <w:vAlign w:val="center"/>
                </w:tcPr>
                <w:p w14:paraId="6C14210C">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c>
                <w:tcPr>
                  <w:tcW w:w="1124" w:type="dxa"/>
                  <w:tcBorders>
                    <w:tl2br w:val="nil"/>
                    <w:tr2bl w:val="nil"/>
                  </w:tcBorders>
                  <w:vAlign w:val="center"/>
                </w:tcPr>
                <w:p w14:paraId="44DFFA67">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3</w:t>
                  </w:r>
                  <w:r>
                    <w:rPr>
                      <w:rFonts w:hint="eastAsia" w:ascii="Times New Roman" w:hAnsi="Times New Roman" w:eastAsia="宋体" w:cs="Times New Roman"/>
                      <w:color w:val="auto"/>
                      <w:spacing w:val="8"/>
                      <w:sz w:val="21"/>
                      <w:szCs w:val="21"/>
                      <w:highlight w:val="none"/>
                      <w:lang w:val="en-US" w:eastAsia="zh-CN"/>
                    </w:rPr>
                    <w:t>8246.63</w:t>
                  </w:r>
                </w:p>
              </w:tc>
              <w:tc>
                <w:tcPr>
                  <w:tcW w:w="3420" w:type="dxa"/>
                  <w:tcBorders>
                    <w:tl2br w:val="nil"/>
                    <w:tr2bl w:val="nil"/>
                  </w:tcBorders>
                  <w:vAlign w:val="center"/>
                </w:tcPr>
                <w:p w14:paraId="108B03F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3F602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133935C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6</w:t>
                  </w:r>
                </w:p>
              </w:tc>
              <w:tc>
                <w:tcPr>
                  <w:tcW w:w="2027" w:type="dxa"/>
                  <w:gridSpan w:val="3"/>
                  <w:tcBorders>
                    <w:tl2br w:val="nil"/>
                    <w:tr2bl w:val="nil"/>
                  </w:tcBorders>
                  <w:vAlign w:val="center"/>
                </w:tcPr>
                <w:p w14:paraId="022A29F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建筑密度</w:t>
                  </w:r>
                </w:p>
              </w:tc>
              <w:tc>
                <w:tcPr>
                  <w:tcW w:w="691" w:type="dxa"/>
                  <w:tcBorders>
                    <w:tl2br w:val="nil"/>
                    <w:tr2bl w:val="nil"/>
                  </w:tcBorders>
                  <w:vAlign w:val="center"/>
                </w:tcPr>
                <w:p w14:paraId="332336EC">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w:t>
                  </w:r>
                </w:p>
              </w:tc>
              <w:tc>
                <w:tcPr>
                  <w:tcW w:w="1124" w:type="dxa"/>
                  <w:tcBorders>
                    <w:tl2br w:val="nil"/>
                    <w:tr2bl w:val="nil"/>
                  </w:tcBorders>
                  <w:vAlign w:val="center"/>
                </w:tcPr>
                <w:p w14:paraId="4ED726F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lang w:val="en-US"/>
                    </w:rPr>
                  </w:pPr>
                  <w:r>
                    <w:rPr>
                      <w:rFonts w:hint="default" w:ascii="Times New Roman" w:hAnsi="Times New Roman" w:eastAsia="宋体" w:cs="Times New Roman"/>
                      <w:color w:val="auto"/>
                      <w:spacing w:val="-8"/>
                      <w:sz w:val="21"/>
                      <w:szCs w:val="21"/>
                      <w:highlight w:val="none"/>
                      <w:lang w:val="en-US" w:eastAsia="zh-CN"/>
                    </w:rPr>
                    <w:t>5</w:t>
                  </w:r>
                  <w:r>
                    <w:rPr>
                      <w:rFonts w:hint="eastAsia" w:cs="Times New Roman"/>
                      <w:color w:val="auto"/>
                      <w:spacing w:val="-8"/>
                      <w:sz w:val="21"/>
                      <w:szCs w:val="21"/>
                      <w:highlight w:val="none"/>
                      <w:lang w:val="en-US" w:eastAsia="zh-CN"/>
                    </w:rPr>
                    <w:t>4.89</w:t>
                  </w:r>
                </w:p>
              </w:tc>
              <w:tc>
                <w:tcPr>
                  <w:tcW w:w="3420" w:type="dxa"/>
                  <w:tcBorders>
                    <w:tl2br w:val="nil"/>
                    <w:tr2bl w:val="nil"/>
                  </w:tcBorders>
                  <w:vAlign w:val="center"/>
                </w:tcPr>
                <w:p w14:paraId="3908FE1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7022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7138EB6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7</w:t>
                  </w:r>
                </w:p>
              </w:tc>
              <w:tc>
                <w:tcPr>
                  <w:tcW w:w="2027" w:type="dxa"/>
                  <w:gridSpan w:val="3"/>
                  <w:tcBorders>
                    <w:tl2br w:val="nil"/>
                    <w:tr2bl w:val="nil"/>
                  </w:tcBorders>
                  <w:vAlign w:val="center"/>
                </w:tcPr>
                <w:p w14:paraId="5AF9618D">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容积率</w:t>
                  </w:r>
                </w:p>
              </w:tc>
              <w:tc>
                <w:tcPr>
                  <w:tcW w:w="691" w:type="dxa"/>
                  <w:tcBorders>
                    <w:tl2br w:val="nil"/>
                    <w:tr2bl w:val="nil"/>
                  </w:tcBorders>
                  <w:vAlign w:val="center"/>
                </w:tcPr>
                <w:p w14:paraId="752ED7C1">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rPr>
                  </w:pPr>
                </w:p>
              </w:tc>
              <w:tc>
                <w:tcPr>
                  <w:tcW w:w="1124" w:type="dxa"/>
                  <w:tcBorders>
                    <w:tl2br w:val="nil"/>
                    <w:tr2bl w:val="nil"/>
                  </w:tcBorders>
                  <w:vAlign w:val="center"/>
                </w:tcPr>
                <w:p w14:paraId="0E62D37F">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1.15</w:t>
                  </w:r>
                </w:p>
              </w:tc>
              <w:tc>
                <w:tcPr>
                  <w:tcW w:w="3420" w:type="dxa"/>
                  <w:tcBorders>
                    <w:tl2br w:val="nil"/>
                    <w:tr2bl w:val="nil"/>
                  </w:tcBorders>
                  <w:vAlign w:val="center"/>
                </w:tcPr>
                <w:p w14:paraId="14EB62D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201BC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63A6F4A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w:t>
                  </w:r>
                </w:p>
              </w:tc>
              <w:tc>
                <w:tcPr>
                  <w:tcW w:w="2027" w:type="dxa"/>
                  <w:gridSpan w:val="3"/>
                  <w:tcBorders>
                    <w:tl2br w:val="nil"/>
                    <w:tr2bl w:val="nil"/>
                  </w:tcBorders>
                  <w:vAlign w:val="center"/>
                </w:tcPr>
                <w:p w14:paraId="66E3CEC9">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绿地率</w:t>
                  </w:r>
                </w:p>
              </w:tc>
              <w:tc>
                <w:tcPr>
                  <w:tcW w:w="691" w:type="dxa"/>
                  <w:tcBorders>
                    <w:tl2br w:val="nil"/>
                    <w:tr2bl w:val="nil"/>
                  </w:tcBorders>
                  <w:vAlign w:val="center"/>
                </w:tcPr>
                <w:p w14:paraId="4354323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4" w:type="dxa"/>
                  <w:tcBorders>
                    <w:tl2br w:val="nil"/>
                    <w:tr2bl w:val="nil"/>
                  </w:tcBorders>
                  <w:vAlign w:val="center"/>
                </w:tcPr>
                <w:p w14:paraId="09C6E320">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2"/>
                      <w:sz w:val="21"/>
                      <w:szCs w:val="21"/>
                      <w:highlight w:val="none"/>
                      <w:lang w:val="en-US" w:eastAsia="zh-CN"/>
                    </w:rPr>
                    <w:t>0.89</w:t>
                  </w:r>
                </w:p>
              </w:tc>
              <w:tc>
                <w:tcPr>
                  <w:tcW w:w="3420" w:type="dxa"/>
                  <w:tcBorders>
                    <w:tl2br w:val="nil"/>
                    <w:tr2bl w:val="nil"/>
                  </w:tcBorders>
                  <w:vAlign w:val="center"/>
                </w:tcPr>
                <w:p w14:paraId="3D253153">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绿地面积约</w:t>
                  </w:r>
                  <w:r>
                    <w:rPr>
                      <w:rFonts w:hint="eastAsia" w:cs="Times New Roman"/>
                      <w:color w:val="auto"/>
                      <w:spacing w:val="3"/>
                      <w:sz w:val="21"/>
                      <w:szCs w:val="21"/>
                      <w:highlight w:val="none"/>
                      <w:lang w:val="en-US" w:eastAsia="zh-CN"/>
                    </w:rPr>
                    <w:t>620</w:t>
                  </w:r>
                  <w:r>
                    <w:rPr>
                      <w:rFonts w:hint="default" w:ascii="Times New Roman" w:hAnsi="Times New Roman" w:eastAsia="宋体" w:cs="Times New Roman"/>
                      <w:smallCaps w:val="0"/>
                      <w:color w:val="auto"/>
                      <w:kern w:val="2"/>
                      <w:sz w:val="21"/>
                      <w:szCs w:val="21"/>
                      <w:highlight w:val="none"/>
                      <w:lang w:val="en-US" w:eastAsia="zh-CN" w:bidi="ar"/>
                    </w:rPr>
                    <w:t>m</w:t>
                  </w:r>
                  <w:r>
                    <w:rPr>
                      <w:rFonts w:hint="default" w:ascii="Times New Roman" w:hAnsi="Times New Roman" w:eastAsia="宋体" w:cs="Times New Roman"/>
                      <w:smallCaps w:val="0"/>
                      <w:color w:val="auto"/>
                      <w:kern w:val="2"/>
                      <w:sz w:val="21"/>
                      <w:szCs w:val="21"/>
                      <w:highlight w:val="none"/>
                      <w:vertAlign w:val="superscript"/>
                      <w:lang w:val="en-US" w:eastAsia="zh-CN" w:bidi="ar"/>
                    </w:rPr>
                    <w:t>2</w:t>
                  </w:r>
                </w:p>
              </w:tc>
            </w:tr>
            <w:tr w14:paraId="0CA61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4" w:type="dxa"/>
                  <w:tcBorders>
                    <w:tl2br w:val="nil"/>
                    <w:tr2bl w:val="nil"/>
                  </w:tcBorders>
                  <w:vAlign w:val="center"/>
                </w:tcPr>
                <w:p w14:paraId="36BDF854">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lang w:val="en-US" w:eastAsia="zh-CN"/>
                    </w:rPr>
                    <w:t>9</w:t>
                  </w:r>
                </w:p>
              </w:tc>
              <w:tc>
                <w:tcPr>
                  <w:tcW w:w="2027" w:type="dxa"/>
                  <w:gridSpan w:val="3"/>
                  <w:tcBorders>
                    <w:tl2br w:val="nil"/>
                    <w:tr2bl w:val="nil"/>
                  </w:tcBorders>
                  <w:vAlign w:val="center"/>
                </w:tcPr>
                <w:p w14:paraId="7B42E220">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停车位</w:t>
                  </w:r>
                </w:p>
              </w:tc>
              <w:tc>
                <w:tcPr>
                  <w:tcW w:w="691" w:type="dxa"/>
                  <w:tcBorders>
                    <w:tl2br w:val="nil"/>
                    <w:tr2bl w:val="nil"/>
                  </w:tcBorders>
                  <w:vAlign w:val="center"/>
                </w:tcPr>
                <w:p w14:paraId="22E33453">
                  <w:pPr>
                    <w:pStyle w:val="57"/>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辆</w:t>
                  </w:r>
                </w:p>
              </w:tc>
              <w:tc>
                <w:tcPr>
                  <w:tcW w:w="1124" w:type="dxa"/>
                  <w:tcBorders>
                    <w:tl2br w:val="nil"/>
                    <w:tr2bl w:val="nil"/>
                  </w:tcBorders>
                  <w:vAlign w:val="center"/>
                </w:tcPr>
                <w:p w14:paraId="35D6A488">
                  <w:pPr>
                    <w:keepNext w:val="0"/>
                    <w:keepLines w:val="0"/>
                    <w:pageBreakBefore w:val="0"/>
                    <w:widowControl w:val="0"/>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17</w:t>
                  </w:r>
                  <w:r>
                    <w:rPr>
                      <w:rFonts w:hint="eastAsia" w:cs="Times New Roman"/>
                      <w:color w:val="auto"/>
                      <w:spacing w:val="2"/>
                      <w:sz w:val="21"/>
                      <w:szCs w:val="21"/>
                      <w:highlight w:val="none"/>
                      <w:lang w:val="en-US" w:eastAsia="zh-CN"/>
                    </w:rPr>
                    <w:t>3</w:t>
                  </w:r>
                </w:p>
              </w:tc>
              <w:tc>
                <w:tcPr>
                  <w:tcW w:w="3420" w:type="dxa"/>
                  <w:tcBorders>
                    <w:tl2br w:val="nil"/>
                    <w:tr2bl w:val="nil"/>
                  </w:tcBorders>
                  <w:vAlign w:val="center"/>
                </w:tcPr>
                <w:p w14:paraId="0209B29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bl>
          <w:p w14:paraId="780D9806">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4、</w:t>
            </w:r>
            <w:r>
              <w:rPr>
                <w:rFonts w:hint="default" w:ascii="Times New Roman" w:hAnsi="Times New Roman" w:eastAsia="宋体" w:cs="Times New Roman"/>
                <w:b/>
                <w:bCs w:val="0"/>
                <w:color w:val="auto"/>
                <w:sz w:val="24"/>
                <w:szCs w:val="24"/>
                <w:highlight w:val="none"/>
                <w:lang w:val="en-US" w:eastAsia="zh-CN"/>
              </w:rPr>
              <w:t>产品方案</w:t>
            </w:r>
          </w:p>
          <w:p w14:paraId="243D7DE3">
            <w:pPr>
              <w:keepNext w:val="0"/>
              <w:keepLines w:val="0"/>
              <w:pageBreakBefore w:val="0"/>
              <w:kinsoku/>
              <w:overflowPunct/>
              <w:topLinePunct/>
              <w:autoSpaceDE w:val="0"/>
              <w:bidi w:val="0"/>
              <w:adjustRightInd w:val="0"/>
              <w:snapToGrid w:val="0"/>
              <w:spacing w:line="360" w:lineRule="auto"/>
              <w:ind w:firstLine="474"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项目产品方案</w:t>
            </w:r>
          </w:p>
          <w:p w14:paraId="0414A538">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根据规划设计，项目建成后年产6000吨高品质水晶钻石，主要产品为烫钻，产品方案详见下表。</w:t>
            </w:r>
          </w:p>
          <w:p w14:paraId="20FECF40">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 xml:space="preserve">4  </w:t>
            </w:r>
            <w:r>
              <w:rPr>
                <w:rFonts w:hint="default" w:ascii="Times New Roman" w:hAnsi="Times New Roman" w:eastAsia="宋体" w:cs="Times New Roman"/>
                <w:b/>
                <w:color w:val="auto"/>
                <w:sz w:val="21"/>
                <w:szCs w:val="21"/>
                <w:highlight w:val="none"/>
              </w:rPr>
              <w:t>项目产品</w:t>
            </w:r>
            <w:r>
              <w:rPr>
                <w:rFonts w:hint="default" w:ascii="Times New Roman" w:hAnsi="Times New Roman" w:eastAsia="宋体" w:cs="Times New Roman"/>
                <w:b/>
                <w:color w:val="auto"/>
                <w:sz w:val="21"/>
                <w:szCs w:val="21"/>
                <w:highlight w:val="none"/>
                <w:lang w:eastAsia="zh-CN"/>
              </w:rPr>
              <w:t>方案一览</w:t>
            </w:r>
            <w:r>
              <w:rPr>
                <w:rFonts w:hint="default" w:ascii="Times New Roman" w:hAnsi="Times New Roman" w:eastAsia="宋体" w:cs="Times New Roman"/>
                <w:b/>
                <w:color w:val="auto"/>
                <w:sz w:val="21"/>
                <w:szCs w:val="21"/>
                <w:highlight w:val="none"/>
              </w:rPr>
              <w:t>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786"/>
              <w:gridCol w:w="1296"/>
              <w:gridCol w:w="1335"/>
              <w:gridCol w:w="1133"/>
              <w:gridCol w:w="1746"/>
            </w:tblGrid>
            <w:tr w14:paraId="4FC8A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9" w:type="dxa"/>
                  <w:tcBorders>
                    <w:tl2br w:val="nil"/>
                    <w:tr2bl w:val="nil"/>
                  </w:tcBorders>
                  <w:vAlign w:val="center"/>
                </w:tcPr>
                <w:p w14:paraId="32AFF73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序号</w:t>
                  </w:r>
                </w:p>
              </w:tc>
              <w:tc>
                <w:tcPr>
                  <w:tcW w:w="1786" w:type="dxa"/>
                  <w:tcBorders>
                    <w:tl2br w:val="nil"/>
                    <w:tr2bl w:val="nil"/>
                  </w:tcBorders>
                  <w:vAlign w:val="center"/>
                </w:tcPr>
                <w:p w14:paraId="2CD73E7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生产线</w:t>
                  </w:r>
                </w:p>
              </w:tc>
              <w:tc>
                <w:tcPr>
                  <w:tcW w:w="1296" w:type="dxa"/>
                  <w:tcBorders>
                    <w:tl2br w:val="nil"/>
                    <w:tr2bl w:val="nil"/>
                  </w:tcBorders>
                  <w:vAlign w:val="center"/>
                </w:tcPr>
                <w:p w14:paraId="4343F3E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产品名称</w:t>
                  </w:r>
                </w:p>
              </w:tc>
              <w:tc>
                <w:tcPr>
                  <w:tcW w:w="1335" w:type="dxa"/>
                  <w:tcBorders>
                    <w:tl2br w:val="nil"/>
                    <w:tr2bl w:val="nil"/>
                  </w:tcBorders>
                  <w:vAlign w:val="center"/>
                </w:tcPr>
                <w:p w14:paraId="08819FA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6"/>
                      <w:sz w:val="21"/>
                      <w:szCs w:val="21"/>
                      <w:highlight w:val="none"/>
                    </w:rPr>
                    <w:t>年设计能力</w:t>
                  </w:r>
                  <w:r>
                    <w:rPr>
                      <w:rFonts w:hint="default" w:ascii="Times New Roman" w:hAnsi="Times New Roman" w:eastAsia="宋体" w:cs="Times New Roman"/>
                      <w:b/>
                      <w:bCs/>
                      <w:color w:val="auto"/>
                      <w:spacing w:val="6"/>
                      <w:sz w:val="21"/>
                      <w:szCs w:val="21"/>
                      <w:highlight w:val="none"/>
                      <w:lang w:val="en-US" w:eastAsia="zh-CN"/>
                    </w:rPr>
                    <w:t>/</w:t>
                  </w:r>
                  <w:r>
                    <w:rPr>
                      <w:rFonts w:hint="default" w:ascii="Times New Roman" w:hAnsi="Times New Roman" w:eastAsia="宋体" w:cs="Times New Roman"/>
                      <w:b/>
                      <w:bCs/>
                      <w:color w:val="auto"/>
                      <w:spacing w:val="-3"/>
                      <w:sz w:val="21"/>
                      <w:szCs w:val="21"/>
                      <w:highlight w:val="none"/>
                      <w:lang w:val="en-US" w:eastAsia="zh-CN"/>
                    </w:rPr>
                    <w:t>t</w:t>
                  </w:r>
                </w:p>
              </w:tc>
              <w:tc>
                <w:tcPr>
                  <w:tcW w:w="1133" w:type="dxa"/>
                  <w:tcBorders>
                    <w:tl2br w:val="nil"/>
                    <w:tr2bl w:val="nil"/>
                  </w:tcBorders>
                  <w:vAlign w:val="center"/>
                </w:tcPr>
                <w:p w14:paraId="008A6B7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年运行</w:t>
                  </w:r>
                  <w:r>
                    <w:rPr>
                      <w:rFonts w:hint="default" w:ascii="Times New Roman" w:hAnsi="Times New Roman" w:eastAsia="宋体" w:cs="Times New Roman"/>
                      <w:b/>
                      <w:bCs/>
                      <w:color w:val="auto"/>
                      <w:spacing w:val="1"/>
                      <w:sz w:val="21"/>
                      <w:szCs w:val="21"/>
                      <w:highlight w:val="none"/>
                    </w:rPr>
                    <w:t>时数/h</w:t>
                  </w:r>
                </w:p>
              </w:tc>
              <w:tc>
                <w:tcPr>
                  <w:tcW w:w="1746" w:type="dxa"/>
                  <w:tcBorders>
                    <w:tl2br w:val="nil"/>
                    <w:tr2bl w:val="nil"/>
                  </w:tcBorders>
                  <w:vAlign w:val="center"/>
                </w:tcPr>
                <w:p w14:paraId="29B473B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产品用途</w:t>
                  </w:r>
                </w:p>
              </w:tc>
            </w:tr>
            <w:tr w14:paraId="4A704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35" w:type="dxa"/>
                  <w:gridSpan w:val="6"/>
                  <w:tcBorders>
                    <w:tl2br w:val="nil"/>
                    <w:tr2bl w:val="nil"/>
                  </w:tcBorders>
                  <w:vAlign w:val="center"/>
                </w:tcPr>
                <w:p w14:paraId="7F41323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主要产品</w:t>
                  </w:r>
                </w:p>
              </w:tc>
            </w:tr>
            <w:tr w14:paraId="0C45E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9" w:type="dxa"/>
                  <w:tcBorders>
                    <w:tl2br w:val="nil"/>
                    <w:tr2bl w:val="nil"/>
                  </w:tcBorders>
                  <w:vAlign w:val="center"/>
                </w:tcPr>
                <w:p w14:paraId="4692FFB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86" w:type="dxa"/>
                  <w:tcBorders>
                    <w:tl2br w:val="nil"/>
                    <w:tr2bl w:val="nil"/>
                  </w:tcBorders>
                  <w:shd w:val="clear" w:color="auto" w:fill="auto"/>
                  <w:vAlign w:val="center"/>
                </w:tcPr>
                <w:p w14:paraId="718FEA7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7"/>
                      <w:sz w:val="21"/>
                      <w:szCs w:val="21"/>
                      <w:highlight w:val="none"/>
                    </w:rPr>
                    <w:t>烫钻生产线</w:t>
                  </w:r>
                </w:p>
              </w:tc>
              <w:tc>
                <w:tcPr>
                  <w:tcW w:w="1296" w:type="dxa"/>
                  <w:tcBorders>
                    <w:tl2br w:val="nil"/>
                    <w:tr2bl w:val="nil"/>
                  </w:tcBorders>
                  <w:shd w:val="clear" w:color="auto" w:fill="auto"/>
                  <w:vAlign w:val="center"/>
                </w:tcPr>
                <w:p w14:paraId="7D73756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烫钻</w:t>
                  </w:r>
                </w:p>
              </w:tc>
              <w:tc>
                <w:tcPr>
                  <w:tcW w:w="1335" w:type="dxa"/>
                  <w:tcBorders>
                    <w:tl2br w:val="nil"/>
                    <w:tr2bl w:val="nil"/>
                  </w:tcBorders>
                  <w:shd w:val="clear" w:color="auto" w:fill="auto"/>
                  <w:vAlign w:val="center"/>
                </w:tcPr>
                <w:p w14:paraId="13B188D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6000</w:t>
                  </w:r>
                </w:p>
              </w:tc>
              <w:tc>
                <w:tcPr>
                  <w:tcW w:w="1133" w:type="dxa"/>
                  <w:tcBorders>
                    <w:tl2br w:val="nil"/>
                    <w:tr2bl w:val="nil"/>
                  </w:tcBorders>
                  <w:shd w:val="clear" w:color="auto" w:fill="auto"/>
                  <w:vAlign w:val="center"/>
                </w:tcPr>
                <w:p w14:paraId="236862D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7920</w:t>
                  </w:r>
                </w:p>
              </w:tc>
              <w:tc>
                <w:tcPr>
                  <w:tcW w:w="1746" w:type="dxa"/>
                  <w:tcBorders>
                    <w:tl2br w:val="nil"/>
                    <w:tr2bl w:val="nil"/>
                  </w:tcBorders>
                  <w:shd w:val="clear" w:color="auto" w:fill="auto"/>
                  <w:vAlign w:val="center"/>
                </w:tcPr>
                <w:p w14:paraId="6222064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外售</w:t>
                  </w:r>
                </w:p>
              </w:tc>
            </w:tr>
            <w:tr w14:paraId="51587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35" w:type="dxa"/>
                  <w:gridSpan w:val="6"/>
                  <w:tcBorders>
                    <w:tl2br w:val="nil"/>
                    <w:tr2bl w:val="nil"/>
                  </w:tcBorders>
                  <w:vAlign w:val="center"/>
                </w:tcPr>
                <w:p w14:paraId="1ACDBD3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辅助或中间产品</w:t>
                  </w:r>
                </w:p>
              </w:tc>
            </w:tr>
            <w:tr w14:paraId="490F3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9" w:type="dxa"/>
                  <w:tcBorders>
                    <w:tl2br w:val="nil"/>
                    <w:tr2bl w:val="nil"/>
                  </w:tcBorders>
                  <w:vAlign w:val="center"/>
                </w:tcPr>
                <w:p w14:paraId="7178346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86" w:type="dxa"/>
                  <w:tcBorders>
                    <w:tl2br w:val="nil"/>
                    <w:tr2bl w:val="nil"/>
                  </w:tcBorders>
                  <w:vAlign w:val="center"/>
                </w:tcPr>
                <w:p w14:paraId="1DA2ADF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7"/>
                      <w:sz w:val="21"/>
                      <w:szCs w:val="21"/>
                      <w:highlight w:val="none"/>
                      <w:lang w:eastAsia="zh-CN"/>
                    </w:rPr>
                    <w:t>珠胚生产</w:t>
                  </w:r>
                  <w:r>
                    <w:rPr>
                      <w:rFonts w:hint="default" w:ascii="Times New Roman" w:hAnsi="Times New Roman" w:eastAsia="宋体" w:cs="Times New Roman"/>
                      <w:color w:val="auto"/>
                      <w:spacing w:val="7"/>
                      <w:sz w:val="21"/>
                      <w:szCs w:val="21"/>
                      <w:highlight w:val="none"/>
                    </w:rPr>
                    <w:t>线</w:t>
                  </w:r>
                </w:p>
              </w:tc>
              <w:tc>
                <w:tcPr>
                  <w:tcW w:w="1296" w:type="dxa"/>
                  <w:tcBorders>
                    <w:tl2br w:val="nil"/>
                    <w:tr2bl w:val="nil"/>
                  </w:tcBorders>
                  <w:vAlign w:val="center"/>
                </w:tcPr>
                <w:p w14:paraId="43680E8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7"/>
                      <w:sz w:val="21"/>
                      <w:szCs w:val="21"/>
                      <w:highlight w:val="none"/>
                      <w:lang w:eastAsia="zh-CN"/>
                    </w:rPr>
                    <w:t>珠胚</w:t>
                  </w:r>
                </w:p>
              </w:tc>
              <w:tc>
                <w:tcPr>
                  <w:tcW w:w="1335" w:type="dxa"/>
                  <w:tcBorders>
                    <w:tl2br w:val="nil"/>
                    <w:tr2bl w:val="nil"/>
                  </w:tcBorders>
                  <w:vAlign w:val="center"/>
                </w:tcPr>
                <w:p w14:paraId="267D19A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13000</w:t>
                  </w:r>
                </w:p>
              </w:tc>
              <w:tc>
                <w:tcPr>
                  <w:tcW w:w="1133" w:type="dxa"/>
                  <w:tcBorders>
                    <w:tl2br w:val="nil"/>
                    <w:tr2bl w:val="nil"/>
                  </w:tcBorders>
                  <w:vAlign w:val="center"/>
                </w:tcPr>
                <w:p w14:paraId="5DD1680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7920</w:t>
                  </w:r>
                </w:p>
              </w:tc>
              <w:tc>
                <w:tcPr>
                  <w:tcW w:w="1746" w:type="dxa"/>
                  <w:tcBorders>
                    <w:tl2br w:val="nil"/>
                    <w:tr2bl w:val="nil"/>
                  </w:tcBorders>
                  <w:vAlign w:val="center"/>
                </w:tcPr>
                <w:p w14:paraId="4140B4E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自用，中间产品，用</w:t>
                  </w:r>
                  <w:r>
                    <w:rPr>
                      <w:rFonts w:hint="default" w:ascii="Times New Roman" w:hAnsi="Times New Roman" w:eastAsia="宋体" w:cs="Times New Roman"/>
                      <w:color w:val="auto"/>
                      <w:spacing w:val="8"/>
                      <w:sz w:val="21"/>
                      <w:szCs w:val="21"/>
                      <w:highlight w:val="none"/>
                      <w:lang w:eastAsia="zh-CN"/>
                    </w:rPr>
                    <w:t>于烫钻生产</w:t>
                  </w:r>
                </w:p>
              </w:tc>
            </w:tr>
            <w:tr w14:paraId="17659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9" w:type="dxa"/>
                  <w:tcBorders>
                    <w:tl2br w:val="nil"/>
                    <w:tr2bl w:val="nil"/>
                  </w:tcBorders>
                  <w:vAlign w:val="center"/>
                </w:tcPr>
                <w:p w14:paraId="5981603A">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1786" w:type="dxa"/>
                  <w:tcBorders>
                    <w:tl2br w:val="nil"/>
                    <w:tr2bl w:val="nil"/>
                  </w:tcBorders>
                  <w:shd w:val="clear" w:color="auto" w:fill="auto"/>
                  <w:vAlign w:val="center"/>
                </w:tcPr>
                <w:p w14:paraId="03C7CAE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吸塑片生产线</w:t>
                  </w:r>
                </w:p>
              </w:tc>
              <w:tc>
                <w:tcPr>
                  <w:tcW w:w="1296" w:type="dxa"/>
                  <w:tcBorders>
                    <w:tl2br w:val="nil"/>
                    <w:tr2bl w:val="nil"/>
                  </w:tcBorders>
                  <w:shd w:val="clear" w:color="auto" w:fill="auto"/>
                  <w:vAlign w:val="center"/>
                </w:tcPr>
                <w:p w14:paraId="5CF1933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吸塑片</w:t>
                  </w:r>
                </w:p>
              </w:tc>
              <w:tc>
                <w:tcPr>
                  <w:tcW w:w="1335" w:type="dxa"/>
                  <w:tcBorders>
                    <w:tl2br w:val="nil"/>
                    <w:tr2bl w:val="nil"/>
                  </w:tcBorders>
                  <w:shd w:val="clear" w:color="auto" w:fill="auto"/>
                  <w:vAlign w:val="center"/>
                </w:tcPr>
                <w:p w14:paraId="1028E27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4000</w:t>
                  </w:r>
                </w:p>
              </w:tc>
              <w:tc>
                <w:tcPr>
                  <w:tcW w:w="1133" w:type="dxa"/>
                  <w:tcBorders>
                    <w:tl2br w:val="nil"/>
                    <w:tr2bl w:val="nil"/>
                  </w:tcBorders>
                  <w:shd w:val="clear" w:color="auto" w:fill="auto"/>
                  <w:vAlign w:val="center"/>
                </w:tcPr>
                <w:p w14:paraId="35F58C9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7920</w:t>
                  </w:r>
                </w:p>
              </w:tc>
              <w:tc>
                <w:tcPr>
                  <w:tcW w:w="1746" w:type="dxa"/>
                  <w:tcBorders>
                    <w:tl2br w:val="nil"/>
                    <w:tr2bl w:val="nil"/>
                  </w:tcBorders>
                  <w:shd w:val="clear" w:color="auto" w:fill="auto"/>
                  <w:vAlign w:val="center"/>
                </w:tcPr>
                <w:p w14:paraId="593D6C3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自用，辅助产品，用</w:t>
                  </w:r>
                  <w:r>
                    <w:rPr>
                      <w:rFonts w:hint="default" w:ascii="Times New Roman" w:hAnsi="Times New Roman" w:eastAsia="宋体" w:cs="Times New Roman"/>
                      <w:color w:val="auto"/>
                      <w:spacing w:val="8"/>
                      <w:sz w:val="21"/>
                      <w:szCs w:val="21"/>
                      <w:highlight w:val="none"/>
                      <w:lang w:eastAsia="zh-CN"/>
                    </w:rPr>
                    <w:t>于烫钻生产</w:t>
                  </w:r>
                  <w:r>
                    <w:rPr>
                      <w:rFonts w:hint="default" w:ascii="Times New Roman" w:hAnsi="Times New Roman" w:eastAsia="宋体" w:cs="Times New Roman"/>
                      <w:color w:val="auto"/>
                      <w:spacing w:val="8"/>
                      <w:sz w:val="21"/>
                      <w:szCs w:val="21"/>
                      <w:highlight w:val="none"/>
                      <w:lang w:val="en-US" w:eastAsia="zh-CN"/>
                    </w:rPr>
                    <w:t>线</w:t>
                  </w:r>
                </w:p>
              </w:tc>
            </w:tr>
            <w:tr w14:paraId="1110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9" w:type="dxa"/>
                  <w:tcBorders>
                    <w:tl2br w:val="nil"/>
                    <w:tr2bl w:val="nil"/>
                  </w:tcBorders>
                  <w:vAlign w:val="center"/>
                </w:tcPr>
                <w:p w14:paraId="70DA68B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lang w:val="en-US" w:eastAsia="zh-CN"/>
                    </w:rPr>
                    <w:t>3</w:t>
                  </w:r>
                </w:p>
              </w:tc>
              <w:tc>
                <w:tcPr>
                  <w:tcW w:w="1786" w:type="dxa"/>
                  <w:tcBorders>
                    <w:tl2br w:val="nil"/>
                    <w:tr2bl w:val="nil"/>
                  </w:tcBorders>
                  <w:shd w:val="clear" w:color="auto" w:fill="auto"/>
                  <w:vAlign w:val="center"/>
                </w:tcPr>
                <w:p w14:paraId="7DEEBEC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抛轮</w:t>
                  </w:r>
                  <w:r>
                    <w:rPr>
                      <w:rFonts w:hint="default" w:ascii="Times New Roman" w:hAnsi="Times New Roman" w:eastAsia="宋体" w:cs="Times New Roman"/>
                      <w:color w:val="auto"/>
                      <w:spacing w:val="8"/>
                      <w:sz w:val="21"/>
                      <w:szCs w:val="21"/>
                      <w:highlight w:val="none"/>
                      <w:lang w:val="en-US" w:eastAsia="zh-CN"/>
                    </w:rPr>
                    <w:t>抛盘</w:t>
                  </w:r>
                  <w:r>
                    <w:rPr>
                      <w:rFonts w:hint="default" w:ascii="Times New Roman" w:hAnsi="Times New Roman" w:eastAsia="宋体" w:cs="Times New Roman"/>
                      <w:color w:val="auto"/>
                      <w:spacing w:val="8"/>
                      <w:sz w:val="21"/>
                      <w:szCs w:val="21"/>
                      <w:highlight w:val="none"/>
                    </w:rPr>
                    <w:t>生产线</w:t>
                  </w:r>
                </w:p>
              </w:tc>
              <w:tc>
                <w:tcPr>
                  <w:tcW w:w="1296" w:type="dxa"/>
                  <w:tcBorders>
                    <w:tl2br w:val="nil"/>
                    <w:tr2bl w:val="nil"/>
                  </w:tcBorders>
                  <w:shd w:val="clear" w:color="auto" w:fill="auto"/>
                  <w:vAlign w:val="center"/>
                </w:tcPr>
                <w:p w14:paraId="536E0B3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抛轮</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lang w:val="en-US" w:eastAsia="zh-CN"/>
                    </w:rPr>
                    <w:t>抛盘</w:t>
                  </w:r>
                </w:p>
              </w:tc>
              <w:tc>
                <w:tcPr>
                  <w:tcW w:w="1335" w:type="dxa"/>
                  <w:tcBorders>
                    <w:tl2br w:val="nil"/>
                    <w:tr2bl w:val="nil"/>
                  </w:tcBorders>
                  <w:shd w:val="clear" w:color="auto" w:fill="auto"/>
                  <w:vAlign w:val="center"/>
                </w:tcPr>
                <w:p w14:paraId="5DCA25D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108</w:t>
                  </w:r>
                </w:p>
              </w:tc>
              <w:tc>
                <w:tcPr>
                  <w:tcW w:w="1133" w:type="dxa"/>
                  <w:tcBorders>
                    <w:tl2br w:val="nil"/>
                    <w:tr2bl w:val="nil"/>
                  </w:tcBorders>
                  <w:shd w:val="clear" w:color="auto" w:fill="auto"/>
                  <w:vAlign w:val="center"/>
                </w:tcPr>
                <w:p w14:paraId="4613A88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2700</w:t>
                  </w:r>
                </w:p>
              </w:tc>
              <w:tc>
                <w:tcPr>
                  <w:tcW w:w="1746" w:type="dxa"/>
                  <w:tcBorders>
                    <w:tl2br w:val="nil"/>
                    <w:tr2bl w:val="nil"/>
                  </w:tcBorders>
                  <w:shd w:val="clear" w:color="auto" w:fill="auto"/>
                  <w:vAlign w:val="center"/>
                </w:tcPr>
                <w:p w14:paraId="1ED8A34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自用，</w:t>
                  </w:r>
                  <w:r>
                    <w:rPr>
                      <w:rFonts w:hint="default" w:ascii="Times New Roman" w:hAnsi="Times New Roman" w:eastAsia="宋体" w:cs="Times New Roman"/>
                      <w:color w:val="auto"/>
                      <w:sz w:val="21"/>
                      <w:szCs w:val="21"/>
                      <w:highlight w:val="none"/>
                      <w:lang w:eastAsia="zh-CN"/>
                    </w:rPr>
                    <w:t>辅助产品，</w:t>
                  </w:r>
                  <w:r>
                    <w:rPr>
                      <w:rFonts w:hint="default" w:ascii="Times New Roman" w:hAnsi="Times New Roman" w:eastAsia="宋体" w:cs="Times New Roman"/>
                      <w:color w:val="auto"/>
                      <w:spacing w:val="7"/>
                      <w:sz w:val="21"/>
                      <w:szCs w:val="21"/>
                      <w:highlight w:val="none"/>
                      <w:lang w:val="en-US" w:eastAsia="zh-CN"/>
                    </w:rPr>
                    <w:t>用于</w:t>
                  </w:r>
                  <w:r>
                    <w:rPr>
                      <w:rFonts w:hint="eastAsia" w:ascii="Times New Roman" w:hAnsi="Times New Roman" w:eastAsia="宋体" w:cs="Times New Roman"/>
                      <w:color w:val="auto"/>
                      <w:spacing w:val="7"/>
                      <w:sz w:val="21"/>
                      <w:szCs w:val="21"/>
                      <w:highlight w:val="none"/>
                      <w:lang w:val="en-US" w:eastAsia="zh-CN"/>
                    </w:rPr>
                    <w:t>珠胚生产</w:t>
                  </w:r>
                  <w:r>
                    <w:rPr>
                      <w:rFonts w:hint="default" w:ascii="Times New Roman" w:hAnsi="Times New Roman" w:eastAsia="宋体" w:cs="Times New Roman"/>
                      <w:color w:val="auto"/>
                      <w:spacing w:val="7"/>
                      <w:sz w:val="21"/>
                      <w:szCs w:val="21"/>
                      <w:highlight w:val="none"/>
                      <w:lang w:val="en-US" w:eastAsia="zh-CN"/>
                    </w:rPr>
                    <w:t>线磨抛工序</w:t>
                  </w:r>
                </w:p>
              </w:tc>
            </w:tr>
          </w:tbl>
          <w:p w14:paraId="3A0333DF">
            <w:pPr>
              <w:keepNext w:val="0"/>
              <w:keepLines w:val="0"/>
              <w:pageBreakBefore w:val="0"/>
              <w:kinsoku/>
              <w:overflowPunct/>
              <w:topLinePunct/>
              <w:autoSpaceDE w:val="0"/>
              <w:bidi w:val="0"/>
              <w:adjustRightInd w:val="0"/>
              <w:snapToGrid w:val="0"/>
              <w:spacing w:line="360" w:lineRule="auto"/>
              <w:ind w:firstLine="474"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lang w:val="en-US" w:eastAsia="zh-CN"/>
              </w:rPr>
              <w:t>（2）主要</w:t>
            </w:r>
            <w:r>
              <w:rPr>
                <w:rFonts w:hint="default" w:ascii="Times New Roman" w:hAnsi="Times New Roman" w:eastAsia="宋体" w:cs="Times New Roman"/>
                <w:b/>
                <w:bCs/>
                <w:color w:val="auto"/>
                <w:spacing w:val="-1"/>
                <w:sz w:val="24"/>
                <w:szCs w:val="24"/>
                <w:highlight w:val="none"/>
              </w:rPr>
              <w:t>产品标准</w:t>
            </w:r>
          </w:p>
          <w:p w14:paraId="596D474F">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color w:val="auto"/>
                <w:lang w:val="en-US" w:eastAsia="zh-CN"/>
              </w:rPr>
            </w:pPr>
            <w:r>
              <w:rPr>
                <w:rFonts w:hint="default" w:ascii="Times New Roman" w:hAnsi="Times New Roman" w:eastAsia="宋体" w:cs="Times New Roman"/>
                <w:color w:val="auto"/>
                <w:sz w:val="24"/>
                <w:szCs w:val="24"/>
                <w:highlight w:val="none"/>
                <w:lang w:val="en-US" w:eastAsia="zh-CN"/>
              </w:rPr>
              <w:t>项目产品为烫钻</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主要用于衣物、提包、发饰等物件的装点、配饰上，属饰品。</w:t>
            </w:r>
            <w:r>
              <w:rPr>
                <w:rFonts w:hint="eastAsia" w:ascii="Times New Roman" w:hAnsi="Times New Roman" w:eastAsia="宋体" w:cs="Times New Roman"/>
                <w:color w:val="auto"/>
                <w:sz w:val="24"/>
                <w:szCs w:val="24"/>
                <w:highlight w:val="none"/>
                <w:lang w:val="en-US" w:eastAsia="zh-CN"/>
              </w:rPr>
              <w:t>项目烫钻生产</w:t>
            </w:r>
            <w:r>
              <w:rPr>
                <w:rFonts w:hint="default" w:ascii="Times New Roman" w:hAnsi="Times New Roman" w:eastAsia="宋体" w:cs="Times New Roman"/>
                <w:b w:val="0"/>
                <w:bCs w:val="0"/>
                <w:color w:val="auto"/>
                <w:kern w:val="2"/>
                <w:sz w:val="24"/>
                <w:szCs w:val="24"/>
                <w:highlight w:val="none"/>
                <w:lang w:val="en-US" w:eastAsia="zh-CN" w:bidi="ar-SA"/>
              </w:rPr>
              <w:t>不涉及电镀</w:t>
            </w:r>
            <w:r>
              <w:rPr>
                <w:rFonts w:hint="eastAsia" w:hAnsi="Times New Roman" w:cs="Times New Roman"/>
                <w:b w:val="0"/>
                <w:bCs w:val="0"/>
                <w:color w:val="auto"/>
                <w:kern w:val="2"/>
                <w:sz w:val="24"/>
                <w:szCs w:val="24"/>
                <w:highlight w:val="none"/>
                <w:lang w:val="en-US" w:eastAsia="zh-CN" w:bidi="ar-SA"/>
              </w:rPr>
              <w:t>等</w:t>
            </w:r>
            <w:r>
              <w:rPr>
                <w:rFonts w:hint="default" w:ascii="Times New Roman" w:hAnsi="Times New Roman" w:eastAsia="宋体" w:cs="Times New Roman"/>
                <w:b w:val="0"/>
                <w:bCs w:val="0"/>
                <w:color w:val="auto"/>
                <w:kern w:val="2"/>
                <w:sz w:val="24"/>
                <w:szCs w:val="24"/>
                <w:highlight w:val="none"/>
                <w:lang w:val="en-US" w:eastAsia="zh-CN" w:bidi="ar-SA"/>
              </w:rPr>
              <w:t>工艺，</w:t>
            </w:r>
            <w:r>
              <w:rPr>
                <w:rFonts w:hint="eastAsia" w:ascii="Times New Roman" w:hAnsi="Times New Roman" w:eastAsia="宋体" w:cs="Times New Roman"/>
                <w:b w:val="0"/>
                <w:bCs w:val="0"/>
                <w:color w:val="auto"/>
                <w:kern w:val="2"/>
                <w:sz w:val="24"/>
                <w:szCs w:val="24"/>
                <w:highlight w:val="none"/>
                <w:lang w:val="en-US" w:eastAsia="zh-CN" w:bidi="ar-SA"/>
              </w:rPr>
              <w:t>不生产水钻，待后期项目建成后烫钻产品可单独外售、亦可运往浙江总部进行水钻生产加工</w:t>
            </w:r>
            <w:r>
              <w:rPr>
                <w:rFonts w:hint="eastAsia" w:ascii="Times New Roman" w:hAnsi="Times New Roman" w:eastAsia="宋体" w:cs="Times New Roman"/>
                <w:color w:val="auto"/>
                <w:sz w:val="24"/>
                <w:szCs w:val="24"/>
                <w:highlight w:val="none"/>
                <w:lang w:val="en-US" w:eastAsia="zh-CN"/>
              </w:rPr>
              <w:t>。</w:t>
            </w:r>
          </w:p>
          <w:p w14:paraId="243C5ADB">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根据建设单位提供资料，项目生产的烫钻不属于天然的未镶嵌抛光的钻石</w:t>
            </w:r>
            <w:r>
              <w:rPr>
                <w:rFonts w:hint="eastAsia" w:cs="Times New Roman"/>
                <w:color w:val="auto"/>
                <w:sz w:val="24"/>
                <w:szCs w:val="24"/>
                <w:highlight w:val="none"/>
                <w:lang w:val="en-US" w:eastAsia="zh-CN"/>
              </w:rPr>
              <w:t>，也</w:t>
            </w:r>
            <w:r>
              <w:rPr>
                <w:rFonts w:hint="eastAsia" w:ascii="Times New Roman" w:hAnsi="Times New Roman" w:eastAsia="宋体" w:cs="Times New Roman"/>
                <w:color w:val="auto"/>
                <w:sz w:val="24"/>
                <w:szCs w:val="24"/>
                <w:highlight w:val="none"/>
                <w:lang w:val="en-US" w:eastAsia="zh-CN"/>
              </w:rPr>
              <w:t>不属于天然的单颗毛坯钻石，</w:t>
            </w:r>
            <w:r>
              <w:rPr>
                <w:rFonts w:hint="eastAsia" w:cs="Times New Roman"/>
                <w:color w:val="auto"/>
                <w:sz w:val="24"/>
                <w:szCs w:val="24"/>
                <w:highlight w:val="none"/>
                <w:lang w:val="en-US" w:eastAsia="zh-CN"/>
              </w:rPr>
              <w:t>烫钻</w:t>
            </w:r>
            <w:r>
              <w:rPr>
                <w:rFonts w:hint="default" w:ascii="Times New Roman" w:hAnsi="Times New Roman" w:eastAsia="宋体" w:cs="Times New Roman"/>
                <w:color w:val="auto"/>
                <w:sz w:val="24"/>
                <w:szCs w:val="24"/>
                <w:highlight w:val="none"/>
                <w:lang w:val="en-US" w:eastAsia="zh-CN"/>
              </w:rPr>
              <w:t>产品</w:t>
            </w:r>
            <w:r>
              <w:rPr>
                <w:rFonts w:hint="eastAsia" w:cs="Times New Roman"/>
                <w:color w:val="auto"/>
                <w:sz w:val="24"/>
                <w:szCs w:val="24"/>
                <w:highlight w:val="none"/>
                <w:lang w:val="en-US" w:eastAsia="zh-CN"/>
              </w:rPr>
              <w:t>不执行</w:t>
            </w:r>
            <w:r>
              <w:rPr>
                <w:rFonts w:hint="default" w:ascii="Times New Roman" w:hAnsi="Times New Roman" w:eastAsia="宋体" w:cs="Times New Roman"/>
                <w:color w:val="auto"/>
                <w:sz w:val="24"/>
                <w:szCs w:val="24"/>
                <w:highlight w:val="none"/>
                <w:lang w:val="en-US" w:eastAsia="zh-CN"/>
              </w:rPr>
              <w:t>中华人民共和国轻工行业标准《彩色钻石颜色分级》（QB/T4113-2021）、中华人民共和国出入境检验检疫行业标准《毛坯钻石检验和分级》（SN/T2265-2009）及国际通用的钻石品质评估4C标准。</w:t>
            </w:r>
          </w:p>
          <w:p w14:paraId="0EA56FBD">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根据调查，</w:t>
            </w:r>
            <w:r>
              <w:rPr>
                <w:rFonts w:hint="eastAsia" w:cs="Times New Roman"/>
                <w:color w:val="auto"/>
                <w:sz w:val="24"/>
                <w:szCs w:val="24"/>
                <w:highlight w:val="none"/>
                <w:lang w:val="en-US" w:eastAsia="zh-CN"/>
              </w:rPr>
              <w:t>由于水钻</w:t>
            </w:r>
            <w:r>
              <w:rPr>
                <w:rFonts w:hint="eastAsia" w:ascii="Times New Roman" w:hAnsi="Times New Roman" w:eastAsia="宋体" w:cs="Times New Roman"/>
                <w:b w:val="0"/>
                <w:bCs w:val="0"/>
                <w:color w:val="auto"/>
                <w:kern w:val="2"/>
                <w:sz w:val="24"/>
                <w:szCs w:val="24"/>
                <w:highlight w:val="none"/>
                <w:lang w:val="en-US" w:eastAsia="zh-CN" w:bidi="ar-SA"/>
              </w:rPr>
              <w:t>与烫钻生产工艺区别较大，</w:t>
            </w:r>
            <w:r>
              <w:rPr>
                <w:rFonts w:hint="default" w:ascii="Times New Roman" w:hAnsi="Times New Roman" w:eastAsia="宋体" w:cs="Times New Roman"/>
                <w:color w:val="auto"/>
                <w:sz w:val="24"/>
                <w:szCs w:val="24"/>
                <w:highlight w:val="none"/>
                <w:lang w:val="en-US" w:eastAsia="zh-CN"/>
              </w:rPr>
              <w:t>中华人民共和国轻工行业标准《</w:t>
            </w:r>
            <w:r>
              <w:rPr>
                <w:rFonts w:hint="eastAsia" w:ascii="Times New Roman" w:hAnsi="Times New Roman" w:eastAsia="宋体" w:cs="Times New Roman"/>
                <w:color w:val="auto"/>
                <w:sz w:val="24"/>
                <w:szCs w:val="24"/>
                <w:highlight w:val="none"/>
                <w:lang w:val="en-US" w:eastAsia="zh-CN"/>
              </w:rPr>
              <w:t>水钻</w:t>
            </w:r>
            <w:r>
              <w:rPr>
                <w:rFonts w:hint="default" w:ascii="Times New Roman" w:hAnsi="Times New Roman" w:eastAsia="宋体" w:cs="Times New Roman"/>
                <w:color w:val="auto"/>
                <w:sz w:val="24"/>
                <w:szCs w:val="24"/>
                <w:highlight w:val="none"/>
                <w:lang w:val="en-US" w:eastAsia="zh-CN"/>
              </w:rPr>
              <w:t>》（QB/T</w:t>
            </w:r>
            <w:r>
              <w:rPr>
                <w:rFonts w:hint="eastAsia" w:ascii="Times New Roman" w:hAnsi="Times New Roman" w:eastAsia="宋体" w:cs="Times New Roman"/>
                <w:b w:val="0"/>
                <w:bCs w:val="0"/>
                <w:color w:val="auto"/>
                <w:kern w:val="2"/>
                <w:sz w:val="24"/>
                <w:szCs w:val="24"/>
                <w:highlight w:val="none"/>
                <w:lang w:val="en-US" w:eastAsia="zh-CN" w:bidi="ar-SA"/>
              </w:rPr>
              <w:t>4914-2016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无法对</w:t>
            </w:r>
            <w:r>
              <w:rPr>
                <w:rFonts w:hint="eastAsia" w:ascii="Times New Roman" w:hAnsi="Times New Roman" w:eastAsia="宋体" w:cs="Times New Roman"/>
                <w:b w:val="0"/>
                <w:bCs w:val="0"/>
                <w:color w:val="auto"/>
                <w:kern w:val="2"/>
                <w:sz w:val="24"/>
                <w:szCs w:val="24"/>
                <w:highlight w:val="none"/>
                <w:lang w:val="en-US" w:eastAsia="zh-CN" w:bidi="ar-SA"/>
              </w:rPr>
              <w:t>烫钻产品起到规范作用</w:t>
            </w:r>
            <w:r>
              <w:rPr>
                <w:rFonts w:hint="eastAsia" w:ascii="Times New Roman" w:hAnsi="Times New Roman" w:eastAsia="宋体" w:cs="Times New Roman"/>
                <w:color w:val="auto"/>
                <w:sz w:val="24"/>
                <w:szCs w:val="24"/>
                <w:highlight w:val="none"/>
                <w:lang w:val="en-US" w:eastAsia="zh-CN"/>
              </w:rPr>
              <w:t>，故</w:t>
            </w:r>
            <w:r>
              <w:rPr>
                <w:rFonts w:hint="eastAsia" w:cs="Times New Roman"/>
                <w:color w:val="auto"/>
                <w:sz w:val="24"/>
                <w:szCs w:val="24"/>
                <w:highlight w:val="none"/>
                <w:lang w:val="en-US" w:eastAsia="zh-CN"/>
              </w:rPr>
              <w:t>不</w:t>
            </w:r>
            <w:r>
              <w:rPr>
                <w:rFonts w:hint="eastAsia" w:ascii="Times New Roman" w:hAnsi="Times New Roman" w:eastAsia="宋体" w:cs="Times New Roman"/>
                <w:color w:val="auto"/>
                <w:sz w:val="24"/>
                <w:szCs w:val="24"/>
                <w:highlight w:val="none"/>
                <w:lang w:val="en-US" w:eastAsia="zh-CN"/>
              </w:rPr>
              <w:t>参照</w:t>
            </w:r>
            <w:r>
              <w:rPr>
                <w:rFonts w:hint="eastAsia" w:cs="Times New Roman"/>
                <w:color w:val="auto"/>
                <w:sz w:val="24"/>
                <w:szCs w:val="24"/>
                <w:highlight w:val="none"/>
                <w:lang w:val="en-US" w:eastAsia="zh-CN"/>
              </w:rPr>
              <w:t>执行</w:t>
            </w:r>
            <w:r>
              <w:rPr>
                <w:rFonts w:hint="eastAsia" w:ascii="Times New Roman" w:hAnsi="Times New Roman" w:eastAsia="宋体" w:cs="Times New Roman"/>
                <w:b w:val="0"/>
                <w:bCs w:val="0"/>
                <w:color w:val="auto"/>
                <w:kern w:val="2"/>
                <w:sz w:val="24"/>
                <w:szCs w:val="24"/>
                <w:highlight w:val="none"/>
                <w:lang w:val="en-US" w:eastAsia="zh-CN" w:bidi="ar-SA"/>
              </w:rPr>
              <w:t>，但烫钻尚未形成</w:t>
            </w:r>
            <w:r>
              <w:rPr>
                <w:rFonts w:hint="default" w:ascii="Times New Roman" w:hAnsi="Times New Roman" w:eastAsia="宋体" w:cs="Times New Roman"/>
                <w:color w:val="auto"/>
                <w:sz w:val="24"/>
                <w:szCs w:val="24"/>
                <w:highlight w:val="none"/>
                <w:lang w:val="en-US" w:eastAsia="zh-CN"/>
              </w:rPr>
              <w:t>行业标准</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产品质量</w:t>
            </w:r>
            <w:r>
              <w:rPr>
                <w:rFonts w:hint="eastAsia" w:ascii="Times New Roman" w:hAnsi="Times New Roman" w:eastAsia="宋体" w:cs="Times New Roman"/>
                <w:color w:val="auto"/>
                <w:sz w:val="24"/>
                <w:szCs w:val="24"/>
                <w:highlight w:val="none"/>
                <w:lang w:val="en-US" w:eastAsia="zh-CN"/>
              </w:rPr>
              <w:t>故参照执行中国中小商业企业协会团体</w:t>
            </w:r>
            <w:r>
              <w:rPr>
                <w:rFonts w:hint="eastAsia" w:ascii="Times New Roman" w:hAnsi="Times New Roman" w:eastAsia="宋体" w:cs="Times New Roman"/>
                <w:b w:val="0"/>
                <w:bCs w:val="0"/>
                <w:color w:val="auto"/>
                <w:kern w:val="2"/>
                <w:sz w:val="24"/>
                <w:szCs w:val="24"/>
                <w:highlight w:val="none"/>
                <w:lang w:val="en-US" w:eastAsia="zh-CN" w:bidi="ar-SA"/>
              </w:rPr>
              <w:t>标准</w:t>
            </w:r>
            <w:r>
              <w:rPr>
                <w:rFonts w:hint="default" w:ascii="Times New Roman" w:hAnsi="Times New Roman" w:eastAsia="宋体" w:cs="Times New Roman"/>
                <w:b w:val="0"/>
                <w:bCs w:val="0"/>
                <w:color w:val="auto"/>
                <w:kern w:val="2"/>
                <w:sz w:val="24"/>
                <w:szCs w:val="24"/>
                <w:highlight w:val="none"/>
                <w:lang w:val="en-US" w:eastAsia="zh-CN" w:bidi="ar-SA"/>
              </w:rPr>
              <w:t>《平底烫钻》</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T/CASME817</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2023</w:t>
            </w:r>
            <w:r>
              <w:rPr>
                <w:rFonts w:hint="eastAsia" w:cs="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lang w:val="en-US" w:eastAsia="zh-CN"/>
              </w:rPr>
              <w:t>中华人民共和国</w:t>
            </w:r>
            <w:r>
              <w:rPr>
                <w:rFonts w:hint="eastAsia" w:cs="Times New Roman"/>
                <w:color w:val="auto"/>
                <w:sz w:val="24"/>
                <w:szCs w:val="24"/>
                <w:highlight w:val="none"/>
                <w:lang w:val="en-US" w:eastAsia="zh-CN"/>
              </w:rPr>
              <w:t>国家</w:t>
            </w:r>
            <w:r>
              <w:rPr>
                <w:rFonts w:hint="default" w:ascii="Times New Roman" w:hAnsi="Times New Roman" w:eastAsia="宋体" w:cs="Times New Roman"/>
                <w:color w:val="auto"/>
                <w:sz w:val="24"/>
                <w:szCs w:val="24"/>
                <w:highlight w:val="none"/>
                <w:lang w:val="en-US" w:eastAsia="zh-CN"/>
              </w:rPr>
              <w:t>标准《</w:t>
            </w:r>
            <w:r>
              <w:rPr>
                <w:rFonts w:hint="eastAsia" w:cs="Times New Roman"/>
                <w:color w:val="auto"/>
                <w:sz w:val="24"/>
                <w:szCs w:val="24"/>
                <w:highlight w:val="none"/>
                <w:lang w:val="en-US" w:eastAsia="zh-CN"/>
              </w:rPr>
              <w:t>工艺水晶饰品</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G</w:t>
            </w:r>
            <w:r>
              <w:rPr>
                <w:rFonts w:hint="default" w:ascii="Times New Roman" w:hAnsi="Times New Roman" w:eastAsia="宋体" w:cs="Times New Roman"/>
                <w:color w:val="auto"/>
                <w:sz w:val="24"/>
                <w:szCs w:val="24"/>
                <w:highlight w:val="none"/>
                <w:lang w:val="en-US" w:eastAsia="zh-CN"/>
              </w:rPr>
              <w:t>B/T</w:t>
            </w:r>
            <w:r>
              <w:rPr>
                <w:rFonts w:hint="eastAsia" w:cs="Times New Roman"/>
                <w:b w:val="0"/>
                <w:bCs w:val="0"/>
                <w:color w:val="auto"/>
                <w:kern w:val="2"/>
                <w:sz w:val="24"/>
                <w:szCs w:val="24"/>
                <w:highlight w:val="none"/>
                <w:lang w:val="en-US" w:eastAsia="zh-CN" w:bidi="ar-SA"/>
              </w:rPr>
              <w:t>28796-</w:t>
            </w:r>
            <w:r>
              <w:rPr>
                <w:rFonts w:hint="eastAsia" w:ascii="Times New Roman" w:hAnsi="Times New Roman" w:eastAsia="宋体" w:cs="Times New Roman"/>
                <w:b w:val="0"/>
                <w:bCs w:val="0"/>
                <w:color w:val="auto"/>
                <w:kern w:val="2"/>
                <w:sz w:val="24"/>
                <w:szCs w:val="24"/>
                <w:highlight w:val="none"/>
                <w:lang w:val="en-US" w:eastAsia="zh-CN" w:bidi="ar-SA"/>
              </w:rPr>
              <w:t>20</w:t>
            </w:r>
            <w:r>
              <w:rPr>
                <w:rFonts w:hint="eastAsia" w:cs="Times New Roman"/>
                <w:b w:val="0"/>
                <w:bCs w:val="0"/>
                <w:color w:val="auto"/>
                <w:kern w:val="2"/>
                <w:sz w:val="24"/>
                <w:szCs w:val="24"/>
                <w:highlight w:val="none"/>
                <w:lang w:val="en-US" w:eastAsia="zh-CN" w:bidi="ar-SA"/>
              </w:rPr>
              <w:t>21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p>
          <w:p w14:paraId="4841615D">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项目产品主要技术性能指标如下：</w:t>
            </w:r>
          </w:p>
          <w:p w14:paraId="250D4BFF">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表2-</w:t>
            </w:r>
            <w:r>
              <w:rPr>
                <w:rFonts w:hint="default" w:ascii="Times New Roman" w:hAnsi="Times New Roman" w:eastAsia="宋体" w:cs="Times New Roman"/>
                <w:b/>
                <w:color w:val="auto"/>
                <w:sz w:val="21"/>
                <w:szCs w:val="21"/>
                <w:highlight w:val="none"/>
                <w:lang w:val="en-US" w:eastAsia="zh-CN"/>
              </w:rPr>
              <w:t>5  项目产品主要技术性能指标一览表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50"/>
              <w:gridCol w:w="1650"/>
              <w:gridCol w:w="2278"/>
              <w:gridCol w:w="1956"/>
            </w:tblGrid>
            <w:tr w14:paraId="0C46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1" w:type="dxa"/>
                  <w:gridSpan w:val="2"/>
                  <w:shd w:val="clear" w:color="auto" w:fill="auto"/>
                  <w:vAlign w:val="center"/>
                </w:tcPr>
                <w:p w14:paraId="696034E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项目</w:t>
                  </w:r>
                </w:p>
              </w:tc>
              <w:tc>
                <w:tcPr>
                  <w:tcW w:w="1650" w:type="dxa"/>
                  <w:shd w:val="clear" w:color="auto" w:fill="auto"/>
                  <w:vAlign w:val="center"/>
                </w:tcPr>
                <w:p w14:paraId="1A84AA9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工艺水晶饰品</w:t>
                  </w:r>
                </w:p>
              </w:tc>
              <w:tc>
                <w:tcPr>
                  <w:tcW w:w="2278" w:type="dxa"/>
                  <w:shd w:val="clear" w:color="auto" w:fill="auto"/>
                  <w:vAlign w:val="center"/>
                </w:tcPr>
                <w:p w14:paraId="2762DDB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平底烫钻</w:t>
                  </w:r>
                </w:p>
              </w:tc>
              <w:tc>
                <w:tcPr>
                  <w:tcW w:w="1956" w:type="dxa"/>
                  <w:shd w:val="clear" w:color="auto" w:fill="auto"/>
                  <w:vAlign w:val="center"/>
                </w:tcPr>
                <w:p w14:paraId="7660B0A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本项目</w:t>
                  </w:r>
                  <w:r>
                    <w:rPr>
                      <w:rFonts w:hint="eastAsia" w:ascii="Times New Roman" w:hAnsi="Times New Roman" w:eastAsia="宋体" w:cs="Times New Roman"/>
                      <w:b/>
                      <w:bCs/>
                      <w:color w:val="auto"/>
                      <w:spacing w:val="6"/>
                      <w:sz w:val="21"/>
                      <w:szCs w:val="21"/>
                      <w:highlight w:val="none"/>
                      <w:lang w:val="en-US" w:eastAsia="zh-CN"/>
                    </w:rPr>
                    <w:t>（烫钻）</w:t>
                  </w:r>
                  <w:r>
                    <w:rPr>
                      <w:rFonts w:hint="default" w:ascii="Times New Roman" w:hAnsi="Times New Roman" w:eastAsia="宋体" w:cs="Times New Roman"/>
                      <w:b/>
                      <w:bCs/>
                      <w:color w:val="auto"/>
                      <w:spacing w:val="6"/>
                      <w:sz w:val="21"/>
                      <w:szCs w:val="21"/>
                      <w:highlight w:val="none"/>
                      <w:lang w:val="en-US" w:eastAsia="zh-CN"/>
                    </w:rPr>
                    <w:t>执行</w:t>
                  </w:r>
                </w:p>
              </w:tc>
            </w:tr>
            <w:tr w14:paraId="6AA5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shd w:val="clear" w:color="auto" w:fill="auto"/>
                  <w:vAlign w:val="center"/>
                </w:tcPr>
                <w:p w14:paraId="407C9EF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外观质量</w:t>
                  </w:r>
                </w:p>
              </w:tc>
              <w:tc>
                <w:tcPr>
                  <w:tcW w:w="1350" w:type="dxa"/>
                  <w:shd w:val="clear" w:color="auto" w:fill="auto"/>
                  <w:vAlign w:val="center"/>
                </w:tcPr>
                <w:p w14:paraId="3049062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整体外观</w:t>
                  </w:r>
                </w:p>
              </w:tc>
              <w:tc>
                <w:tcPr>
                  <w:tcW w:w="1650" w:type="dxa"/>
                  <w:vAlign w:val="center"/>
                </w:tcPr>
                <w:p w14:paraId="73D6A27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不应有碎口、裂痕、磨痕、杂质；粘接部位无明显痕迹；立体感强</w:t>
                  </w:r>
                </w:p>
              </w:tc>
              <w:tc>
                <w:tcPr>
                  <w:tcW w:w="2278" w:type="dxa"/>
                  <w:vMerge w:val="restart"/>
                  <w:vAlign w:val="center"/>
                </w:tcPr>
                <w:p w14:paraId="53AD47E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w:t>
                  </w:r>
                  <w:r>
                    <w:rPr>
                      <w:rFonts w:hint="default" w:ascii="Times New Roman" w:hAnsi="Times New Roman" w:eastAsia="宋体" w:cs="Times New Roman"/>
                      <w:color w:val="auto"/>
                      <w:spacing w:val="6"/>
                      <w:sz w:val="21"/>
                      <w:szCs w:val="21"/>
                      <w:highlight w:val="none"/>
                      <w:lang w:val="en-US" w:eastAsia="zh-CN"/>
                    </w:rPr>
                    <w:t>表面应光滑、洁净，无碎口、裂痕、磨痕、划痕、杂质、条纹、气泡和可能伤害人体的毛刺、利边。</w:t>
                  </w:r>
                </w:p>
                <w:p w14:paraId="7228732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val="en-US" w:eastAsia="zh-CN"/>
                    </w:rPr>
                    <w:t>底部应平整，无破损，如有胶层应无缺胶、溢胶。</w:t>
                  </w:r>
                </w:p>
                <w:p w14:paraId="12C5815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3）</w:t>
                  </w:r>
                  <w:r>
                    <w:rPr>
                      <w:rFonts w:hint="default" w:ascii="Times New Roman" w:hAnsi="Times New Roman" w:eastAsia="宋体" w:cs="Times New Roman"/>
                      <w:color w:val="auto"/>
                      <w:spacing w:val="6"/>
                      <w:sz w:val="21"/>
                      <w:szCs w:val="21"/>
                      <w:highlight w:val="none"/>
                      <w:lang w:val="en-US" w:eastAsia="zh-CN"/>
                    </w:rPr>
                    <w:t>造型应有立体感，无明显中心不对称和棱线破损，镀层和涂层应颜色均匀，无发黑、发黄、发白。</w:t>
                  </w:r>
                </w:p>
              </w:tc>
              <w:tc>
                <w:tcPr>
                  <w:tcW w:w="1956" w:type="dxa"/>
                  <w:vMerge w:val="restart"/>
                  <w:vAlign w:val="center"/>
                </w:tcPr>
                <w:p w14:paraId="3C771B8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w:t>
                  </w:r>
                  <w:r>
                    <w:rPr>
                      <w:rFonts w:hint="default" w:ascii="Times New Roman" w:hAnsi="Times New Roman" w:eastAsia="宋体" w:cs="Times New Roman"/>
                      <w:color w:val="auto"/>
                      <w:spacing w:val="6"/>
                      <w:sz w:val="21"/>
                      <w:szCs w:val="21"/>
                      <w:highlight w:val="none"/>
                      <w:lang w:val="en-US" w:eastAsia="zh-CN"/>
                    </w:rPr>
                    <w:t>表面应光滑、洁净，无碎口、裂痕、磨痕、划痕、杂质、条纹、气泡和可能伤害人体的毛刺、利边。</w:t>
                  </w:r>
                </w:p>
                <w:p w14:paraId="1263DE6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val="en-US" w:eastAsia="zh-CN"/>
                    </w:rPr>
                    <w:t>底部应平整，无破损，如有胶层应无缺胶、溢胶。</w:t>
                  </w:r>
                </w:p>
                <w:p w14:paraId="4CA6E8E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3）</w:t>
                  </w:r>
                  <w:r>
                    <w:rPr>
                      <w:rFonts w:hint="default" w:ascii="Times New Roman" w:hAnsi="Times New Roman" w:eastAsia="宋体" w:cs="Times New Roman"/>
                      <w:color w:val="auto"/>
                      <w:spacing w:val="6"/>
                      <w:sz w:val="21"/>
                      <w:szCs w:val="21"/>
                      <w:highlight w:val="none"/>
                      <w:lang w:val="en-US" w:eastAsia="zh-CN"/>
                    </w:rPr>
                    <w:t>造型应有立体感，无明显中心不对称和棱线破损</w:t>
                  </w:r>
                  <w:r>
                    <w:rPr>
                      <w:rFonts w:hint="eastAsia" w:ascii="Times New Roman" w:hAnsi="Times New Roman" w:eastAsia="宋体" w:cs="Times New Roman"/>
                      <w:color w:val="auto"/>
                      <w:spacing w:val="6"/>
                      <w:sz w:val="21"/>
                      <w:szCs w:val="21"/>
                      <w:highlight w:val="none"/>
                      <w:lang w:val="en-US" w:eastAsia="zh-CN"/>
                    </w:rPr>
                    <w:t>。</w:t>
                  </w:r>
                </w:p>
              </w:tc>
            </w:tr>
            <w:tr w14:paraId="6A6E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14:paraId="168B023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1350" w:type="dxa"/>
                  <w:shd w:val="clear" w:color="auto" w:fill="auto"/>
                  <w:vAlign w:val="center"/>
                </w:tcPr>
                <w:p w14:paraId="5F435D5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隽刻线条</w:t>
                  </w:r>
                </w:p>
              </w:tc>
              <w:tc>
                <w:tcPr>
                  <w:tcW w:w="1650" w:type="dxa"/>
                  <w:vAlign w:val="center"/>
                </w:tcPr>
                <w:p w14:paraId="38EB431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线条清晰，层次分明，不应有毛刺</w:t>
                  </w:r>
                </w:p>
              </w:tc>
              <w:tc>
                <w:tcPr>
                  <w:tcW w:w="2278" w:type="dxa"/>
                  <w:vMerge w:val="continue"/>
                  <w:vAlign w:val="center"/>
                </w:tcPr>
                <w:p w14:paraId="573E9F4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p>
              </w:tc>
              <w:tc>
                <w:tcPr>
                  <w:tcW w:w="1956" w:type="dxa"/>
                  <w:vMerge w:val="continue"/>
                  <w:vAlign w:val="center"/>
                </w:tcPr>
                <w:p w14:paraId="7B69B04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p>
              </w:tc>
            </w:tr>
            <w:tr w14:paraId="3959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01" w:type="dxa"/>
                  <w:vMerge w:val="restart"/>
                  <w:vAlign w:val="center"/>
                </w:tcPr>
                <w:p w14:paraId="464FE05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物理性能</w:t>
                  </w:r>
                </w:p>
              </w:tc>
              <w:tc>
                <w:tcPr>
                  <w:tcW w:w="1350" w:type="dxa"/>
                  <w:vAlign w:val="center"/>
                </w:tcPr>
                <w:p w14:paraId="320B54A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颜色稳定性</w:t>
                  </w:r>
                </w:p>
              </w:tc>
              <w:tc>
                <w:tcPr>
                  <w:tcW w:w="1650" w:type="dxa"/>
                  <w:vAlign w:val="center"/>
                </w:tcPr>
                <w:p w14:paraId="5D04FD7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8h辐照不变色</w:t>
                  </w:r>
                </w:p>
              </w:tc>
              <w:tc>
                <w:tcPr>
                  <w:tcW w:w="2278" w:type="dxa"/>
                  <w:vAlign w:val="center"/>
                </w:tcPr>
                <w:p w14:paraId="7F4BA01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无变色</w:t>
                  </w:r>
                </w:p>
              </w:tc>
              <w:tc>
                <w:tcPr>
                  <w:tcW w:w="1956" w:type="dxa"/>
                  <w:shd w:val="clear" w:color="auto" w:fill="auto"/>
                  <w:vAlign w:val="center"/>
                </w:tcPr>
                <w:p w14:paraId="58D5F83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无变色</w:t>
                  </w:r>
                </w:p>
              </w:tc>
            </w:tr>
            <w:tr w14:paraId="0BD8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01" w:type="dxa"/>
                  <w:vMerge w:val="continue"/>
                  <w:vAlign w:val="center"/>
                </w:tcPr>
                <w:p w14:paraId="1A21DBE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1350" w:type="dxa"/>
                  <w:vAlign w:val="center"/>
                </w:tcPr>
                <w:p w14:paraId="0855D11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色散系数</w:t>
                  </w:r>
                </w:p>
              </w:tc>
              <w:tc>
                <w:tcPr>
                  <w:tcW w:w="1650" w:type="dxa"/>
                  <w:vAlign w:val="center"/>
                </w:tcPr>
                <w:p w14:paraId="51C8813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c>
                <w:tcPr>
                  <w:tcW w:w="2278" w:type="dxa"/>
                  <w:vAlign w:val="center"/>
                </w:tcPr>
                <w:p w14:paraId="2BCF8AC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0.01</w:t>
                  </w:r>
                </w:p>
              </w:tc>
              <w:tc>
                <w:tcPr>
                  <w:tcW w:w="1956" w:type="dxa"/>
                  <w:shd w:val="clear" w:color="auto" w:fill="auto"/>
                  <w:vAlign w:val="center"/>
                </w:tcPr>
                <w:p w14:paraId="2A75988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0.01</w:t>
                  </w:r>
                </w:p>
              </w:tc>
            </w:tr>
            <w:tr w14:paraId="5679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14:paraId="6F70A2E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1350" w:type="dxa"/>
                  <w:vAlign w:val="center"/>
                </w:tcPr>
                <w:p w14:paraId="7EDF163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表面粗糙度</w:t>
                  </w:r>
                </w:p>
              </w:tc>
              <w:tc>
                <w:tcPr>
                  <w:tcW w:w="1650" w:type="dxa"/>
                  <w:vAlign w:val="center"/>
                </w:tcPr>
                <w:p w14:paraId="0EC1998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≤0.5μm</w:t>
                  </w:r>
                </w:p>
              </w:tc>
              <w:tc>
                <w:tcPr>
                  <w:tcW w:w="2278" w:type="dxa"/>
                  <w:vAlign w:val="center"/>
                </w:tcPr>
                <w:p w14:paraId="6D02384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c>
                <w:tcPr>
                  <w:tcW w:w="1956" w:type="dxa"/>
                  <w:vAlign w:val="center"/>
                </w:tcPr>
                <w:p w14:paraId="7E1EE26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≤0.5μm</w:t>
                  </w:r>
                </w:p>
              </w:tc>
            </w:tr>
            <w:tr w14:paraId="1954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14:paraId="000AE0F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1350" w:type="dxa"/>
                  <w:vAlign w:val="center"/>
                </w:tcPr>
                <w:p w14:paraId="285E3C2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透过率</w:t>
                  </w:r>
                </w:p>
              </w:tc>
              <w:tc>
                <w:tcPr>
                  <w:tcW w:w="1650" w:type="dxa"/>
                  <w:vAlign w:val="center"/>
                </w:tcPr>
                <w:p w14:paraId="3135E48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≥90.0%</w:t>
                  </w:r>
                </w:p>
              </w:tc>
              <w:tc>
                <w:tcPr>
                  <w:tcW w:w="2278" w:type="dxa"/>
                  <w:vAlign w:val="center"/>
                </w:tcPr>
                <w:p w14:paraId="662E3FE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0.91</w:t>
                  </w:r>
                </w:p>
              </w:tc>
              <w:tc>
                <w:tcPr>
                  <w:tcW w:w="1956" w:type="dxa"/>
                  <w:shd w:val="clear" w:color="auto" w:fill="auto"/>
                  <w:vAlign w:val="center"/>
                </w:tcPr>
                <w:p w14:paraId="107BD41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0.91</w:t>
                  </w:r>
                </w:p>
              </w:tc>
            </w:tr>
            <w:tr w14:paraId="557C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14:paraId="28D3622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p>
              </w:tc>
              <w:tc>
                <w:tcPr>
                  <w:tcW w:w="1350" w:type="dxa"/>
                  <w:vAlign w:val="center"/>
                </w:tcPr>
                <w:p w14:paraId="25FFE85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折射率</w:t>
                  </w:r>
                </w:p>
              </w:tc>
              <w:tc>
                <w:tcPr>
                  <w:tcW w:w="1650" w:type="dxa"/>
                  <w:vAlign w:val="center"/>
                </w:tcPr>
                <w:p w14:paraId="4EED217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≥1</w:t>
                  </w:r>
                  <w:r>
                    <w:rPr>
                      <w:rFonts w:hint="eastAsia"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47</w:t>
                  </w:r>
                </w:p>
              </w:tc>
              <w:tc>
                <w:tcPr>
                  <w:tcW w:w="2278" w:type="dxa"/>
                  <w:vAlign w:val="center"/>
                </w:tcPr>
                <w:p w14:paraId="455AFED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1.51</w:t>
                  </w:r>
                </w:p>
              </w:tc>
              <w:tc>
                <w:tcPr>
                  <w:tcW w:w="1956" w:type="dxa"/>
                  <w:shd w:val="clear" w:color="auto" w:fill="auto"/>
                  <w:vAlign w:val="center"/>
                </w:tcPr>
                <w:p w14:paraId="22D0832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w:t>
                  </w:r>
                  <w:r>
                    <w:rPr>
                      <w:rFonts w:hint="eastAsia" w:ascii="Times New Roman" w:hAnsi="Times New Roman" w:eastAsia="宋体" w:cs="Times New Roman"/>
                      <w:color w:val="auto"/>
                      <w:spacing w:val="6"/>
                      <w:sz w:val="21"/>
                      <w:szCs w:val="21"/>
                      <w:highlight w:val="none"/>
                      <w:lang w:val="en-US" w:eastAsia="zh-CN"/>
                    </w:rPr>
                    <w:t>1.51</w:t>
                  </w:r>
                </w:p>
              </w:tc>
            </w:tr>
            <w:tr w14:paraId="27DB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14:paraId="1B1641D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烫压牢度</w:t>
                  </w:r>
                </w:p>
              </w:tc>
              <w:tc>
                <w:tcPr>
                  <w:tcW w:w="1350" w:type="dxa"/>
                  <w:vAlign w:val="center"/>
                </w:tcPr>
                <w:p w14:paraId="6FA3F4A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c>
                <w:tcPr>
                  <w:tcW w:w="1650" w:type="dxa"/>
                  <w:vAlign w:val="center"/>
                </w:tcPr>
                <w:p w14:paraId="6BB6C21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w:t>
                  </w:r>
                </w:p>
              </w:tc>
              <w:tc>
                <w:tcPr>
                  <w:tcW w:w="2278" w:type="dxa"/>
                  <w:vAlign w:val="center"/>
                </w:tcPr>
                <w:p w14:paraId="0D102F3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带胶产品经耐水洗试验和耐摩擦试验后，应无脱落现象。</w:t>
                  </w:r>
                </w:p>
              </w:tc>
              <w:tc>
                <w:tcPr>
                  <w:tcW w:w="1956" w:type="dxa"/>
                  <w:vAlign w:val="center"/>
                </w:tcPr>
                <w:p w14:paraId="32765D4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带胶产品经耐水洗试验和耐摩擦试验后，应无脱落现象。</w:t>
                  </w:r>
                </w:p>
              </w:tc>
            </w:tr>
            <w:tr w14:paraId="4B1A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5" w:type="dxa"/>
                  <w:gridSpan w:val="5"/>
                  <w:vAlign w:val="center"/>
                </w:tcPr>
                <w:p w14:paraId="589C373A">
                  <w:pPr>
                    <w:pStyle w:val="28"/>
                    <w:ind w:left="0" w:leftChars="0" w:firstLine="0" w:firstLineChars="0"/>
                    <w:jc w:val="left"/>
                    <w:rPr>
                      <w:rFonts w:hint="default" w:ascii="Times New Roman" w:hAnsi="Times New Roman" w:eastAsia="宋体" w:cs="Times New Roman"/>
                      <w:color w:val="auto"/>
                      <w:spacing w:val="6"/>
                      <w:sz w:val="21"/>
                      <w:szCs w:val="21"/>
                      <w:highlight w:val="none"/>
                      <w:lang w:val="en-US" w:eastAsia="zh-CN"/>
                    </w:rPr>
                  </w:pPr>
                  <w:r>
                    <w:rPr>
                      <w:rFonts w:hint="default"/>
                      <w:color w:val="auto"/>
                      <w:sz w:val="21"/>
                      <w:szCs w:val="21"/>
                      <w:lang w:val="en-US" w:eastAsia="zh-CN"/>
                    </w:rPr>
                    <w:t>注：透过率、折射率</w:t>
                  </w:r>
                  <w:r>
                    <w:rPr>
                      <w:rFonts w:hint="eastAsia"/>
                      <w:color w:val="auto"/>
                      <w:sz w:val="21"/>
                      <w:szCs w:val="21"/>
                      <w:lang w:val="en-US" w:eastAsia="zh-CN"/>
                    </w:rPr>
                    <w:t>、</w:t>
                  </w:r>
                  <w:r>
                    <w:rPr>
                      <w:rFonts w:hint="eastAsia" w:ascii="Times New Roman" w:hAnsi="Times New Roman" w:eastAsia="宋体" w:cs="Times New Roman"/>
                      <w:color w:val="auto"/>
                      <w:spacing w:val="6"/>
                      <w:sz w:val="21"/>
                      <w:szCs w:val="21"/>
                      <w:highlight w:val="none"/>
                      <w:lang w:val="en-US" w:eastAsia="zh-CN"/>
                    </w:rPr>
                    <w:t>色散系数</w:t>
                  </w:r>
                  <w:r>
                    <w:rPr>
                      <w:rFonts w:hint="default"/>
                      <w:color w:val="auto"/>
                      <w:sz w:val="21"/>
                      <w:szCs w:val="21"/>
                      <w:lang w:val="en-US" w:eastAsia="zh-CN"/>
                    </w:rPr>
                    <w:t>仅适用于无色透明玻璃</w:t>
                  </w:r>
                  <w:r>
                    <w:rPr>
                      <w:rFonts w:hint="eastAsia"/>
                      <w:color w:val="auto"/>
                      <w:sz w:val="21"/>
                      <w:szCs w:val="21"/>
                      <w:lang w:val="en-US" w:eastAsia="zh-CN"/>
                    </w:rPr>
                    <w:t>或无色产品</w:t>
                  </w:r>
                  <w:r>
                    <w:rPr>
                      <w:rFonts w:hint="default"/>
                      <w:color w:val="auto"/>
                      <w:sz w:val="21"/>
                      <w:szCs w:val="21"/>
                      <w:lang w:val="en-US" w:eastAsia="zh-CN"/>
                    </w:rPr>
                    <w:t>。</w:t>
                  </w:r>
                </w:p>
              </w:tc>
            </w:tr>
          </w:tbl>
          <w:p w14:paraId="743768FF">
            <w:pPr>
              <w:keepNext w:val="0"/>
              <w:keepLines w:val="0"/>
              <w:pageBreakBefore w:val="0"/>
              <w:kinsoku/>
              <w:overflowPunct/>
              <w:topLinePunct/>
              <w:autoSpaceDE w:val="0"/>
              <w:bidi w:val="0"/>
              <w:adjustRightInd w:val="0"/>
              <w:snapToGrid w:val="0"/>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项目所生产产品性质均较稳定，无环境毒性，具有一定的清洁性；产品质量满足国家产品质量要求。</w:t>
            </w:r>
          </w:p>
          <w:p w14:paraId="0B527592">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5、</w:t>
            </w:r>
            <w:r>
              <w:rPr>
                <w:rFonts w:hint="default" w:ascii="Times New Roman" w:hAnsi="Times New Roman" w:eastAsia="宋体" w:cs="Times New Roman"/>
                <w:b/>
                <w:bCs w:val="0"/>
                <w:color w:val="auto"/>
                <w:sz w:val="24"/>
                <w:szCs w:val="24"/>
                <w:highlight w:val="none"/>
                <w:lang w:val="en-US" w:eastAsia="zh-CN"/>
              </w:rPr>
              <w:t>主要生产设备</w:t>
            </w:r>
          </w:p>
          <w:p w14:paraId="4A3F061F">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本项目主要生产设备见下表所示。</w:t>
            </w:r>
          </w:p>
          <w:p w14:paraId="6002CACE">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表2-</w:t>
            </w:r>
            <w:r>
              <w:rPr>
                <w:rFonts w:hint="eastAsia"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项目主要设备清单</w:t>
            </w:r>
            <w:r>
              <w:rPr>
                <w:rFonts w:hint="default" w:ascii="Times New Roman" w:hAnsi="Times New Roman" w:eastAsia="宋体" w:cs="Times New Roman"/>
                <w:b/>
                <w:color w:val="auto"/>
                <w:sz w:val="21"/>
                <w:szCs w:val="21"/>
                <w:highlight w:val="none"/>
                <w:lang w:val="en-US" w:eastAsia="zh-CN"/>
              </w:rPr>
              <w:t>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4"/>
              <w:gridCol w:w="1529"/>
              <w:gridCol w:w="2565"/>
              <w:gridCol w:w="911"/>
              <w:gridCol w:w="1739"/>
            </w:tblGrid>
            <w:tr w14:paraId="3B986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3969298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序</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b/>
                      <w:bCs/>
                      <w:color w:val="auto"/>
                      <w:spacing w:val="6"/>
                      <w:sz w:val="21"/>
                      <w:szCs w:val="21"/>
                      <w:highlight w:val="none"/>
                    </w:rPr>
                    <w:t>号</w:t>
                  </w:r>
                </w:p>
              </w:tc>
              <w:tc>
                <w:tcPr>
                  <w:tcW w:w="1533" w:type="dxa"/>
                  <w:gridSpan w:val="2"/>
                  <w:tcBorders>
                    <w:tl2br w:val="nil"/>
                    <w:tr2bl w:val="nil"/>
                  </w:tcBorders>
                  <w:vAlign w:val="center"/>
                </w:tcPr>
                <w:p w14:paraId="3602306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设备名称</w:t>
                  </w:r>
                </w:p>
              </w:tc>
              <w:tc>
                <w:tcPr>
                  <w:tcW w:w="2565" w:type="dxa"/>
                  <w:tcBorders>
                    <w:tl2br w:val="nil"/>
                    <w:tr2bl w:val="nil"/>
                  </w:tcBorders>
                  <w:vAlign w:val="center"/>
                </w:tcPr>
                <w:p w14:paraId="69C8CC6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911" w:type="dxa"/>
                  <w:tcBorders>
                    <w:tl2br w:val="nil"/>
                    <w:tr2bl w:val="nil"/>
                  </w:tcBorders>
                  <w:vAlign w:val="center"/>
                </w:tcPr>
                <w:p w14:paraId="415EA24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6"/>
                      <w:sz w:val="21"/>
                      <w:szCs w:val="21"/>
                      <w:highlight w:val="none"/>
                    </w:rPr>
                    <w:t>数</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b/>
                      <w:bCs/>
                      <w:color w:val="auto"/>
                      <w:spacing w:val="6"/>
                      <w:sz w:val="21"/>
                      <w:szCs w:val="21"/>
                      <w:highlight w:val="none"/>
                    </w:rPr>
                    <w:t>量</w:t>
                  </w:r>
                  <w:r>
                    <w:rPr>
                      <w:rFonts w:hint="default" w:ascii="Times New Roman" w:hAnsi="Times New Roman" w:eastAsia="宋体" w:cs="Times New Roman"/>
                      <w:b/>
                      <w:bCs/>
                      <w:color w:val="auto"/>
                      <w:spacing w:val="6"/>
                      <w:sz w:val="21"/>
                      <w:szCs w:val="21"/>
                      <w:highlight w:val="none"/>
                      <w:lang w:eastAsia="zh-CN"/>
                    </w:rPr>
                    <w:t>（</w:t>
                  </w:r>
                  <w:r>
                    <w:rPr>
                      <w:rFonts w:hint="default" w:ascii="Times New Roman" w:hAnsi="Times New Roman" w:eastAsia="宋体" w:cs="Times New Roman"/>
                      <w:b/>
                      <w:bCs/>
                      <w:color w:val="auto"/>
                      <w:spacing w:val="6"/>
                      <w:sz w:val="21"/>
                      <w:szCs w:val="21"/>
                      <w:highlight w:val="none"/>
                      <w:lang w:val="en-US" w:eastAsia="zh-CN"/>
                    </w:rPr>
                    <w:t>台</w:t>
                  </w:r>
                  <w:r>
                    <w:rPr>
                      <w:rFonts w:hint="default" w:ascii="Times New Roman" w:hAnsi="Times New Roman" w:eastAsia="宋体" w:cs="Times New Roman"/>
                      <w:b/>
                      <w:bCs/>
                      <w:color w:val="auto"/>
                      <w:spacing w:val="6"/>
                      <w:sz w:val="21"/>
                      <w:szCs w:val="21"/>
                      <w:highlight w:val="none"/>
                      <w:lang w:eastAsia="zh-CN"/>
                    </w:rPr>
                    <w:t>）</w:t>
                  </w:r>
                </w:p>
              </w:tc>
              <w:tc>
                <w:tcPr>
                  <w:tcW w:w="1739" w:type="dxa"/>
                  <w:tcBorders>
                    <w:tl2br w:val="nil"/>
                    <w:tr2bl w:val="nil"/>
                  </w:tcBorders>
                  <w:vAlign w:val="center"/>
                </w:tcPr>
                <w:p w14:paraId="0DE53A6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备注</w:t>
                  </w:r>
                </w:p>
              </w:tc>
            </w:tr>
            <w:tr w14:paraId="31BD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17A585E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position w:val="-4"/>
                      <w:sz w:val="21"/>
                      <w:szCs w:val="21"/>
                      <w:highlight w:val="none"/>
                    </w:rPr>
                    <w:t>一</w:t>
                  </w:r>
                </w:p>
              </w:tc>
              <w:tc>
                <w:tcPr>
                  <w:tcW w:w="6748" w:type="dxa"/>
                  <w:gridSpan w:val="5"/>
                  <w:tcBorders>
                    <w:tl2br w:val="nil"/>
                    <w:tr2bl w:val="nil"/>
                  </w:tcBorders>
                  <w:vAlign w:val="center"/>
                </w:tcPr>
                <w:p w14:paraId="00E8D36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pacing w:val="6"/>
                      <w:sz w:val="21"/>
                      <w:szCs w:val="21"/>
                      <w:highlight w:val="none"/>
                      <w:lang w:eastAsia="zh-CN"/>
                    </w:rPr>
                  </w:pPr>
                  <w:r>
                    <w:rPr>
                      <w:rFonts w:hint="eastAsia" w:ascii="Times New Roman" w:hAnsi="Times New Roman" w:eastAsia="宋体" w:cs="Times New Roman"/>
                      <w:b/>
                      <w:bCs/>
                      <w:color w:val="auto"/>
                      <w:spacing w:val="6"/>
                      <w:sz w:val="21"/>
                      <w:szCs w:val="21"/>
                      <w:highlight w:val="none"/>
                      <w:lang w:eastAsia="zh-CN"/>
                    </w:rPr>
                    <w:t>珠胚生产</w:t>
                  </w:r>
                </w:p>
              </w:tc>
            </w:tr>
            <w:tr w14:paraId="53222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751F728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3" w:type="dxa"/>
                  <w:gridSpan w:val="2"/>
                  <w:tcBorders>
                    <w:tl2br w:val="nil"/>
                    <w:tr2bl w:val="nil"/>
                  </w:tcBorders>
                  <w:vAlign w:val="center"/>
                </w:tcPr>
                <w:p w14:paraId="7642C46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拌料机</w:t>
                  </w:r>
                </w:p>
              </w:tc>
              <w:tc>
                <w:tcPr>
                  <w:tcW w:w="2565" w:type="dxa"/>
                  <w:tcBorders>
                    <w:tl2br w:val="nil"/>
                    <w:tr2bl w:val="nil"/>
                  </w:tcBorders>
                  <w:vAlign w:val="center"/>
                </w:tcPr>
                <w:p w14:paraId="697F4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非标，容积V=2m</w:t>
                  </w:r>
                  <w:r>
                    <w:rPr>
                      <w:rFonts w:hint="default" w:ascii="Times New Roman" w:hAnsi="Times New Roman" w:eastAsia="宋体" w:cs="Times New Roman"/>
                      <w:i w:val="0"/>
                      <w:iCs w:val="0"/>
                      <w:caps w:val="0"/>
                      <w:color w:val="auto"/>
                      <w:spacing w:val="0"/>
                      <w:sz w:val="21"/>
                      <w:szCs w:val="21"/>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shd w:val="clear" w:fill="FFFFFF"/>
                    </w:rPr>
                    <w:t>，常温常压</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额定生产能力：0.5t/h</w:t>
                  </w:r>
                </w:p>
              </w:tc>
              <w:tc>
                <w:tcPr>
                  <w:tcW w:w="911" w:type="dxa"/>
                  <w:tcBorders>
                    <w:tl2br w:val="nil"/>
                    <w:tr2bl w:val="nil"/>
                  </w:tcBorders>
                  <w:vAlign w:val="center"/>
                </w:tcPr>
                <w:p w14:paraId="6D4E7AEE">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7E06C12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配料</w:t>
                  </w:r>
                </w:p>
              </w:tc>
            </w:tr>
            <w:tr w14:paraId="20D29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4A9B676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33" w:type="dxa"/>
                  <w:gridSpan w:val="2"/>
                  <w:tcBorders>
                    <w:tl2br w:val="nil"/>
                    <w:tr2bl w:val="nil"/>
                  </w:tcBorders>
                  <w:vAlign w:val="center"/>
                </w:tcPr>
                <w:p w14:paraId="56F1F65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电熔炉</w:t>
                  </w:r>
                </w:p>
              </w:tc>
              <w:tc>
                <w:tcPr>
                  <w:tcW w:w="2565" w:type="dxa"/>
                  <w:tcBorders>
                    <w:tl2br w:val="nil"/>
                    <w:tr2bl w:val="nil"/>
                  </w:tcBorders>
                  <w:vAlign w:val="center"/>
                </w:tcPr>
                <w:p w14:paraId="62BFB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lang w:eastAsia="zh-CN"/>
                    </w:rPr>
                    <w:t>非标，电加热，工作温度1300℃，设备平均产能0.7t/h；热效率85%</w:t>
                  </w:r>
                </w:p>
              </w:tc>
              <w:tc>
                <w:tcPr>
                  <w:tcW w:w="911" w:type="dxa"/>
                  <w:tcBorders>
                    <w:tl2br w:val="nil"/>
                    <w:tr2bl w:val="nil"/>
                  </w:tcBorders>
                  <w:vAlign w:val="center"/>
                </w:tcPr>
                <w:p w14:paraId="5A820BE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7F2DE40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熔化</w:t>
                  </w:r>
                </w:p>
              </w:tc>
            </w:tr>
            <w:tr w14:paraId="6F2CA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2F85075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33" w:type="dxa"/>
                  <w:gridSpan w:val="2"/>
                  <w:tcBorders>
                    <w:tl2br w:val="nil"/>
                    <w:tr2bl w:val="nil"/>
                  </w:tcBorders>
                  <w:vAlign w:val="center"/>
                </w:tcPr>
                <w:p w14:paraId="34AB978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除角机</w:t>
                  </w:r>
                </w:p>
              </w:tc>
              <w:tc>
                <w:tcPr>
                  <w:tcW w:w="2565" w:type="dxa"/>
                  <w:tcBorders>
                    <w:tl2br w:val="nil"/>
                    <w:tr2bl w:val="nil"/>
                  </w:tcBorders>
                  <w:vAlign w:val="center"/>
                </w:tcPr>
                <w:p w14:paraId="3DBD4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非标，带式输送绞动</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额定生产能力：0.4t/h</w:t>
                  </w:r>
                </w:p>
              </w:tc>
              <w:tc>
                <w:tcPr>
                  <w:tcW w:w="911" w:type="dxa"/>
                  <w:tcBorders>
                    <w:tl2br w:val="nil"/>
                    <w:tr2bl w:val="nil"/>
                  </w:tcBorders>
                  <w:vAlign w:val="center"/>
                </w:tcPr>
                <w:p w14:paraId="64EC9A27">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51EBE97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7"/>
                      <w:sz w:val="21"/>
                      <w:szCs w:val="21"/>
                      <w:highlight w:val="none"/>
                    </w:rPr>
                    <w:t>机械除角</w:t>
                  </w:r>
                </w:p>
              </w:tc>
            </w:tr>
            <w:tr w14:paraId="34059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0EA9DB9F">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533" w:type="dxa"/>
                  <w:gridSpan w:val="2"/>
                  <w:tcBorders>
                    <w:tl2br w:val="nil"/>
                    <w:tr2bl w:val="nil"/>
                  </w:tcBorders>
                  <w:vAlign w:val="center"/>
                </w:tcPr>
                <w:p w14:paraId="5E6BB2E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火抛管</w:t>
                  </w:r>
                </w:p>
              </w:tc>
              <w:tc>
                <w:tcPr>
                  <w:tcW w:w="2565" w:type="dxa"/>
                  <w:tcBorders>
                    <w:tl2br w:val="nil"/>
                    <w:tr2bl w:val="nil"/>
                  </w:tcBorders>
                  <w:vAlign w:val="center"/>
                </w:tcPr>
                <w:p w14:paraId="0E281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非标，含火抛炉（电加热，700-800℃）与滚圆机</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额定生产能力：0.3t/h</w:t>
                  </w:r>
                </w:p>
              </w:tc>
              <w:tc>
                <w:tcPr>
                  <w:tcW w:w="911" w:type="dxa"/>
                  <w:tcBorders>
                    <w:tl2br w:val="nil"/>
                    <w:tr2bl w:val="nil"/>
                  </w:tcBorders>
                  <w:vAlign w:val="center"/>
                </w:tcPr>
                <w:p w14:paraId="35737301">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739" w:type="dxa"/>
                  <w:tcBorders>
                    <w:tl2br w:val="nil"/>
                    <w:tr2bl w:val="nil"/>
                  </w:tcBorders>
                  <w:shd w:val="clear" w:color="auto" w:fill="auto"/>
                  <w:vAlign w:val="center"/>
                </w:tcPr>
                <w:p w14:paraId="77BA34F4">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火抛</w:t>
                  </w:r>
                  <w:r>
                    <w:rPr>
                      <w:rFonts w:hint="default" w:ascii="Times New Roman" w:hAnsi="Times New Roman" w:eastAsia="宋体" w:cs="Times New Roman"/>
                      <w:color w:val="auto"/>
                      <w:kern w:val="2"/>
                      <w:sz w:val="21"/>
                      <w:szCs w:val="21"/>
                      <w:highlight w:val="none"/>
                      <w:lang w:val="en-US" w:eastAsia="zh-CN" w:bidi="ar-SA"/>
                    </w:rPr>
                    <w:t>滚圆</w:t>
                  </w:r>
                </w:p>
              </w:tc>
            </w:tr>
            <w:tr w14:paraId="6EB81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345EADF9">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33" w:type="dxa"/>
                  <w:gridSpan w:val="2"/>
                  <w:tcBorders>
                    <w:tl2br w:val="nil"/>
                    <w:tr2bl w:val="nil"/>
                  </w:tcBorders>
                  <w:vAlign w:val="center"/>
                </w:tcPr>
                <w:p w14:paraId="35EE137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分筛机</w:t>
                  </w:r>
                </w:p>
              </w:tc>
              <w:tc>
                <w:tcPr>
                  <w:tcW w:w="2565" w:type="dxa"/>
                  <w:tcBorders>
                    <w:tl2br w:val="nil"/>
                    <w:tr2bl w:val="nil"/>
                  </w:tcBorders>
                  <w:vAlign w:val="center"/>
                </w:tcPr>
                <w:p w14:paraId="3211D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非标，振动筛分</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额定生产能力：0.5t/h</w:t>
                  </w:r>
                </w:p>
              </w:tc>
              <w:tc>
                <w:tcPr>
                  <w:tcW w:w="911" w:type="dxa"/>
                  <w:tcBorders>
                    <w:tl2br w:val="nil"/>
                    <w:tr2bl w:val="nil"/>
                  </w:tcBorders>
                  <w:vAlign w:val="center"/>
                </w:tcPr>
                <w:p w14:paraId="27EB5DE1">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0FEDF92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分筛</w:t>
                  </w:r>
                </w:p>
              </w:tc>
            </w:tr>
            <w:tr w14:paraId="173BB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5F9954B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33" w:type="dxa"/>
                  <w:gridSpan w:val="2"/>
                  <w:tcBorders>
                    <w:tl2br w:val="nil"/>
                    <w:tr2bl w:val="nil"/>
                  </w:tcBorders>
                  <w:vAlign w:val="center"/>
                </w:tcPr>
                <w:p w14:paraId="2064D07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清洗机</w:t>
                  </w:r>
                </w:p>
              </w:tc>
              <w:tc>
                <w:tcPr>
                  <w:tcW w:w="2565" w:type="dxa"/>
                  <w:tcBorders>
                    <w:tl2br w:val="nil"/>
                    <w:tr2bl w:val="nil"/>
                  </w:tcBorders>
                  <w:vAlign w:val="center"/>
                </w:tcPr>
                <w:p w14:paraId="4E10D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非标，含清洗机、圆度分离机、烘干段</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额定生产能力：0.25t/h</w:t>
                  </w:r>
                </w:p>
              </w:tc>
              <w:tc>
                <w:tcPr>
                  <w:tcW w:w="911" w:type="dxa"/>
                  <w:tcBorders>
                    <w:tl2br w:val="nil"/>
                    <w:tr2bl w:val="nil"/>
                  </w:tcBorders>
                  <w:vAlign w:val="center"/>
                </w:tcPr>
                <w:p w14:paraId="1C4C746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79EFA5D2">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清洗</w:t>
                  </w:r>
                </w:p>
              </w:tc>
            </w:tr>
            <w:tr w14:paraId="57CF3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409D171E">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533" w:type="dxa"/>
                  <w:gridSpan w:val="2"/>
                  <w:tcBorders>
                    <w:tl2br w:val="nil"/>
                    <w:tr2bl w:val="nil"/>
                  </w:tcBorders>
                  <w:vAlign w:val="center"/>
                </w:tcPr>
                <w:p w14:paraId="3D57938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滚抛机</w:t>
                  </w:r>
                </w:p>
              </w:tc>
              <w:tc>
                <w:tcPr>
                  <w:tcW w:w="2565" w:type="dxa"/>
                  <w:tcBorders>
                    <w:tl2br w:val="nil"/>
                    <w:tr2bl w:val="nil"/>
                  </w:tcBorders>
                  <w:vAlign w:val="center"/>
                </w:tcPr>
                <w:p w14:paraId="3A8CE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rPr>
                    <w:t>非标，滚筒式，配减速机</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额定生产能力：0.2t/h</w:t>
                  </w:r>
                </w:p>
              </w:tc>
              <w:tc>
                <w:tcPr>
                  <w:tcW w:w="911" w:type="dxa"/>
                  <w:tcBorders>
                    <w:tl2br w:val="nil"/>
                    <w:tr2bl w:val="nil"/>
                  </w:tcBorders>
                  <w:vAlign w:val="center"/>
                </w:tcPr>
                <w:p w14:paraId="3FD41F34">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739" w:type="dxa"/>
                  <w:tcBorders>
                    <w:tl2br w:val="nil"/>
                    <w:tr2bl w:val="nil"/>
                  </w:tcBorders>
                  <w:shd w:val="clear" w:color="auto" w:fill="auto"/>
                  <w:vAlign w:val="center"/>
                </w:tcPr>
                <w:p w14:paraId="3838439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抛光</w:t>
                  </w:r>
                </w:p>
              </w:tc>
            </w:tr>
            <w:tr w14:paraId="3888E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7EBB61B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二</w:t>
                  </w:r>
                </w:p>
              </w:tc>
              <w:tc>
                <w:tcPr>
                  <w:tcW w:w="6748" w:type="dxa"/>
                  <w:gridSpan w:val="5"/>
                  <w:tcBorders>
                    <w:tl2br w:val="nil"/>
                    <w:tr2bl w:val="nil"/>
                  </w:tcBorders>
                  <w:vAlign w:val="center"/>
                </w:tcPr>
                <w:p w14:paraId="5C898D1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7"/>
                      <w:sz w:val="21"/>
                      <w:szCs w:val="21"/>
                      <w:highlight w:val="none"/>
                    </w:rPr>
                  </w:pPr>
                  <w:r>
                    <w:rPr>
                      <w:rFonts w:hint="default" w:ascii="Times New Roman" w:hAnsi="Times New Roman" w:eastAsia="宋体" w:cs="Times New Roman"/>
                      <w:b/>
                      <w:bCs/>
                      <w:color w:val="auto"/>
                      <w:spacing w:val="7"/>
                      <w:sz w:val="21"/>
                      <w:szCs w:val="21"/>
                      <w:highlight w:val="none"/>
                    </w:rPr>
                    <w:t>烫钻生产</w:t>
                  </w:r>
                </w:p>
              </w:tc>
            </w:tr>
            <w:tr w14:paraId="2AE1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textDirection w:val="tbRlV"/>
                  <w:vAlign w:val="center"/>
                </w:tcPr>
                <w:p w14:paraId="3DFE675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b/>
                      <w:bCs/>
                      <w:color w:val="auto"/>
                      <w:spacing w:val="6"/>
                      <w:sz w:val="21"/>
                      <w:szCs w:val="21"/>
                      <w:highlight w:val="none"/>
                    </w:rPr>
                    <w:t>序</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b/>
                      <w:bCs/>
                      <w:color w:val="auto"/>
                      <w:spacing w:val="6"/>
                      <w:sz w:val="21"/>
                      <w:szCs w:val="21"/>
                      <w:highlight w:val="none"/>
                    </w:rPr>
                    <w:t>号</w:t>
                  </w:r>
                </w:p>
              </w:tc>
              <w:tc>
                <w:tcPr>
                  <w:tcW w:w="1533" w:type="dxa"/>
                  <w:gridSpan w:val="2"/>
                  <w:tcBorders>
                    <w:tl2br w:val="nil"/>
                    <w:tr2bl w:val="nil"/>
                  </w:tcBorders>
                  <w:shd w:val="clear" w:color="auto" w:fill="auto"/>
                  <w:vAlign w:val="center"/>
                </w:tcPr>
                <w:p w14:paraId="7E2254C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b/>
                      <w:bCs/>
                      <w:color w:val="auto"/>
                      <w:spacing w:val="5"/>
                      <w:sz w:val="21"/>
                      <w:szCs w:val="21"/>
                      <w:highlight w:val="none"/>
                    </w:rPr>
                    <w:t>设备名称</w:t>
                  </w:r>
                </w:p>
              </w:tc>
              <w:tc>
                <w:tcPr>
                  <w:tcW w:w="2565" w:type="dxa"/>
                  <w:tcBorders>
                    <w:tl2br w:val="nil"/>
                    <w:tr2bl w:val="nil"/>
                  </w:tcBorders>
                  <w:shd w:val="clear" w:color="auto" w:fill="auto"/>
                  <w:vAlign w:val="center"/>
                </w:tcPr>
                <w:p w14:paraId="4836616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b/>
                      <w:bCs/>
                      <w:color w:val="auto"/>
                      <w:sz w:val="21"/>
                      <w:szCs w:val="21"/>
                      <w:highlight w:val="none"/>
                    </w:rPr>
                    <w:t>型号</w:t>
                  </w:r>
                </w:p>
              </w:tc>
              <w:tc>
                <w:tcPr>
                  <w:tcW w:w="911" w:type="dxa"/>
                  <w:tcBorders>
                    <w:tl2br w:val="nil"/>
                    <w:tr2bl w:val="nil"/>
                  </w:tcBorders>
                  <w:shd w:val="clear" w:color="auto" w:fill="auto"/>
                  <w:textDirection w:val="tbRlV"/>
                  <w:vAlign w:val="center"/>
                </w:tcPr>
                <w:p w14:paraId="679CA45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b/>
                      <w:bCs/>
                      <w:color w:val="auto"/>
                      <w:spacing w:val="6"/>
                      <w:sz w:val="21"/>
                      <w:szCs w:val="21"/>
                      <w:highlight w:val="none"/>
                    </w:rPr>
                    <w:t>数</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b/>
                      <w:bCs/>
                      <w:color w:val="auto"/>
                      <w:spacing w:val="6"/>
                      <w:sz w:val="21"/>
                      <w:szCs w:val="21"/>
                      <w:highlight w:val="none"/>
                    </w:rPr>
                    <w:t>量</w:t>
                  </w:r>
                </w:p>
              </w:tc>
              <w:tc>
                <w:tcPr>
                  <w:tcW w:w="1739" w:type="dxa"/>
                  <w:tcBorders>
                    <w:tl2br w:val="nil"/>
                    <w:tr2bl w:val="nil"/>
                  </w:tcBorders>
                  <w:shd w:val="clear" w:color="auto" w:fill="auto"/>
                  <w:vAlign w:val="center"/>
                </w:tcPr>
                <w:p w14:paraId="6A0E3CB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b/>
                      <w:bCs/>
                      <w:color w:val="auto"/>
                      <w:spacing w:val="2"/>
                      <w:sz w:val="21"/>
                      <w:szCs w:val="21"/>
                      <w:highlight w:val="none"/>
                    </w:rPr>
                    <w:t>备注</w:t>
                  </w:r>
                </w:p>
              </w:tc>
            </w:tr>
            <w:tr w14:paraId="129F3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605ED0E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3" w:type="dxa"/>
                  <w:gridSpan w:val="2"/>
                  <w:tcBorders>
                    <w:tl2br w:val="nil"/>
                    <w:tr2bl w:val="nil"/>
                  </w:tcBorders>
                  <w:vAlign w:val="center"/>
                </w:tcPr>
                <w:p w14:paraId="36154C6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全自动</w:t>
                  </w:r>
                  <w:r>
                    <w:rPr>
                      <w:rFonts w:hint="default" w:ascii="Times New Roman" w:hAnsi="Times New Roman" w:eastAsia="宋体" w:cs="Times New Roman"/>
                      <w:color w:val="auto"/>
                      <w:spacing w:val="8"/>
                      <w:sz w:val="21"/>
                      <w:szCs w:val="21"/>
                      <w:highlight w:val="none"/>
                      <w:lang w:val="en-US" w:eastAsia="zh-CN"/>
                    </w:rPr>
                    <w:t>磨抛机</w:t>
                  </w:r>
                </w:p>
              </w:tc>
              <w:tc>
                <w:tcPr>
                  <w:tcW w:w="2565" w:type="dxa"/>
                  <w:tcBorders>
                    <w:tl2br w:val="nil"/>
                    <w:tr2bl w:val="nil"/>
                  </w:tcBorders>
                  <w:vAlign w:val="center"/>
                </w:tcPr>
                <w:p w14:paraId="788FC874">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YMJ-11-Q-1A；额定生产能力：0.025t/h</w:t>
                  </w:r>
                </w:p>
              </w:tc>
              <w:tc>
                <w:tcPr>
                  <w:tcW w:w="911" w:type="dxa"/>
                  <w:tcBorders>
                    <w:tl2br w:val="nil"/>
                    <w:tr2bl w:val="nil"/>
                  </w:tcBorders>
                  <w:vAlign w:val="center"/>
                </w:tcPr>
                <w:p w14:paraId="17024EA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w:t>
                  </w:r>
                </w:p>
              </w:tc>
              <w:tc>
                <w:tcPr>
                  <w:tcW w:w="1739" w:type="dxa"/>
                  <w:tcBorders>
                    <w:tl2br w:val="nil"/>
                    <w:tr2bl w:val="nil"/>
                  </w:tcBorders>
                  <w:shd w:val="clear" w:color="auto" w:fill="auto"/>
                  <w:vAlign w:val="center"/>
                </w:tcPr>
                <w:p w14:paraId="4A74DC2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磨抛</w:t>
                  </w:r>
                  <w:r>
                    <w:rPr>
                      <w:rFonts w:hint="default" w:ascii="Times New Roman" w:hAnsi="Times New Roman" w:eastAsia="宋体" w:cs="Times New Roman"/>
                      <w:color w:val="auto"/>
                      <w:spacing w:val="8"/>
                      <w:sz w:val="21"/>
                      <w:szCs w:val="21"/>
                      <w:highlight w:val="none"/>
                      <w:lang w:val="en-US" w:eastAsia="zh-CN"/>
                    </w:rPr>
                    <w:t>（单尖设备），湿法磨抛</w:t>
                  </w:r>
                </w:p>
              </w:tc>
            </w:tr>
            <w:tr w14:paraId="289AA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447ABE6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533" w:type="dxa"/>
                  <w:gridSpan w:val="2"/>
                  <w:tcBorders>
                    <w:tl2br w:val="nil"/>
                    <w:tr2bl w:val="nil"/>
                  </w:tcBorders>
                  <w:vAlign w:val="center"/>
                </w:tcPr>
                <w:p w14:paraId="729BEAD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全自动洗钻机</w:t>
                  </w:r>
                </w:p>
              </w:tc>
              <w:tc>
                <w:tcPr>
                  <w:tcW w:w="2565" w:type="dxa"/>
                  <w:tcBorders>
                    <w:tl2br w:val="nil"/>
                    <w:tr2bl w:val="nil"/>
                  </w:tcBorders>
                  <w:vAlign w:val="center"/>
                </w:tcPr>
                <w:p w14:paraId="61B60B5A">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XZJ-100a</w:t>
                  </w:r>
                </w:p>
              </w:tc>
              <w:tc>
                <w:tcPr>
                  <w:tcW w:w="911" w:type="dxa"/>
                  <w:tcBorders>
                    <w:tl2br w:val="nil"/>
                    <w:tr2bl w:val="nil"/>
                  </w:tcBorders>
                  <w:vAlign w:val="center"/>
                </w:tcPr>
                <w:p w14:paraId="4586311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739" w:type="dxa"/>
                  <w:tcBorders>
                    <w:tl2br w:val="nil"/>
                    <w:tr2bl w:val="nil"/>
                  </w:tcBorders>
                  <w:shd w:val="clear" w:color="auto" w:fill="auto"/>
                  <w:vAlign w:val="center"/>
                </w:tcPr>
                <w:p w14:paraId="1A4C3B6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SA"/>
                    </w:rPr>
                    <w:t>清洗</w:t>
                  </w:r>
                </w:p>
              </w:tc>
            </w:tr>
            <w:tr w14:paraId="40337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0481E75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533" w:type="dxa"/>
                  <w:gridSpan w:val="2"/>
                  <w:tcBorders>
                    <w:tl2br w:val="nil"/>
                    <w:tr2bl w:val="nil"/>
                  </w:tcBorders>
                  <w:vAlign w:val="center"/>
                </w:tcPr>
                <w:p w14:paraId="3E1FAE37">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空压机</w:t>
                  </w:r>
                </w:p>
              </w:tc>
              <w:tc>
                <w:tcPr>
                  <w:tcW w:w="2565" w:type="dxa"/>
                  <w:tcBorders>
                    <w:tl2br w:val="nil"/>
                    <w:tr2bl w:val="nil"/>
                  </w:tcBorders>
                  <w:vAlign w:val="center"/>
                </w:tcPr>
                <w:p w14:paraId="41DE183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highlight w:val="none"/>
                      <w:shd w:val="clear" w:fill="FFFFFF"/>
                    </w:rPr>
                    <w:t>排气量：</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4</w:t>
                  </w:r>
                  <w:r>
                    <w:rPr>
                      <w:rFonts w:hint="default" w:ascii="Times New Roman" w:hAnsi="Times New Roman" w:eastAsia="宋体" w:cs="Times New Roman"/>
                      <w:i w:val="0"/>
                      <w:iCs w:val="0"/>
                      <w:caps w:val="0"/>
                      <w:color w:val="auto"/>
                      <w:spacing w:val="0"/>
                      <w:sz w:val="21"/>
                      <w:szCs w:val="21"/>
                      <w:highlight w:val="none"/>
                      <w:shd w:val="clear" w:fill="FFFFFF"/>
                    </w:rPr>
                    <w:t>5m</w:t>
                  </w:r>
                  <w:r>
                    <w:rPr>
                      <w:rFonts w:hint="default" w:ascii="Times New Roman" w:hAnsi="Times New Roman" w:eastAsia="宋体" w:cs="Times New Roman"/>
                      <w:i w:val="0"/>
                      <w:iCs w:val="0"/>
                      <w:caps w:val="0"/>
                      <w:color w:val="auto"/>
                      <w:spacing w:val="0"/>
                      <w:sz w:val="21"/>
                      <w:szCs w:val="21"/>
                      <w:highlight w:val="none"/>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highlight w:val="none"/>
                      <w:shd w:val="clear" w:fill="FFFFFF"/>
                    </w:rPr>
                    <w:t>/min，排气压力：0.8MPa</w:t>
                  </w:r>
                </w:p>
              </w:tc>
              <w:tc>
                <w:tcPr>
                  <w:tcW w:w="911" w:type="dxa"/>
                  <w:tcBorders>
                    <w:tl2br w:val="nil"/>
                    <w:tr2bl w:val="nil"/>
                  </w:tcBorders>
                  <w:vAlign w:val="center"/>
                </w:tcPr>
                <w:p w14:paraId="57538387">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739" w:type="dxa"/>
                  <w:tcBorders>
                    <w:tl2br w:val="nil"/>
                    <w:tr2bl w:val="nil"/>
                  </w:tcBorders>
                  <w:shd w:val="clear" w:color="auto" w:fill="auto"/>
                  <w:vAlign w:val="center"/>
                </w:tcPr>
                <w:p w14:paraId="49BDA08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p>
              </w:tc>
            </w:tr>
            <w:tr w14:paraId="50C9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7CBF8B1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4</w:t>
                  </w:r>
                </w:p>
              </w:tc>
              <w:tc>
                <w:tcPr>
                  <w:tcW w:w="1533" w:type="dxa"/>
                  <w:gridSpan w:val="2"/>
                  <w:tcBorders>
                    <w:tl2br w:val="nil"/>
                    <w:tr2bl w:val="nil"/>
                  </w:tcBorders>
                  <w:vAlign w:val="center"/>
                </w:tcPr>
                <w:p w14:paraId="7A755A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kern w:val="2"/>
                      <w:sz w:val="21"/>
                      <w:szCs w:val="21"/>
                      <w:highlight w:val="none"/>
                      <w:lang w:val="en-US" w:eastAsia="zh-CN" w:bidi="ar-SA"/>
                    </w:rPr>
                    <w:t>碱清洗槽系统</w:t>
                  </w:r>
                </w:p>
              </w:tc>
              <w:tc>
                <w:tcPr>
                  <w:tcW w:w="2565" w:type="dxa"/>
                  <w:tcBorders>
                    <w:tl2br w:val="nil"/>
                    <w:tr2bl w:val="nil"/>
                  </w:tcBorders>
                  <w:vAlign w:val="center"/>
                </w:tcPr>
                <w:p w14:paraId="7AE6E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非标，含配液、循环、清洗槽，常温</w:t>
                  </w:r>
                </w:p>
              </w:tc>
              <w:tc>
                <w:tcPr>
                  <w:tcW w:w="911" w:type="dxa"/>
                  <w:tcBorders>
                    <w:tl2br w:val="nil"/>
                    <w:tr2bl w:val="nil"/>
                  </w:tcBorders>
                  <w:vAlign w:val="center"/>
                </w:tcPr>
                <w:p w14:paraId="21E2E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1739" w:type="dxa"/>
                  <w:tcBorders>
                    <w:tl2br w:val="nil"/>
                    <w:tr2bl w:val="nil"/>
                  </w:tcBorders>
                  <w:shd w:val="clear" w:color="auto" w:fill="auto"/>
                  <w:vAlign w:val="center"/>
                </w:tcPr>
                <w:p w14:paraId="08C5719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碱洗</w:t>
                  </w:r>
                </w:p>
              </w:tc>
            </w:tr>
            <w:tr w14:paraId="0EC6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714F083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533" w:type="dxa"/>
                  <w:gridSpan w:val="2"/>
                  <w:tcBorders>
                    <w:tl2br w:val="nil"/>
                    <w:tr2bl w:val="nil"/>
                  </w:tcBorders>
                  <w:shd w:val="clear" w:color="auto" w:fill="auto"/>
                  <w:vAlign w:val="center"/>
                </w:tcPr>
                <w:p w14:paraId="04BB0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电烘干箱</w:t>
                  </w:r>
                </w:p>
              </w:tc>
              <w:tc>
                <w:tcPr>
                  <w:tcW w:w="2565" w:type="dxa"/>
                  <w:tcBorders>
                    <w:tl2br w:val="nil"/>
                    <w:tr2bl w:val="nil"/>
                  </w:tcBorders>
                  <w:shd w:val="clear" w:color="auto" w:fill="auto"/>
                  <w:vAlign w:val="center"/>
                </w:tcPr>
                <w:p w14:paraId="7889B7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非标，电加热，温度80-120℃</w:t>
                  </w:r>
                </w:p>
              </w:tc>
              <w:tc>
                <w:tcPr>
                  <w:tcW w:w="911" w:type="dxa"/>
                  <w:tcBorders>
                    <w:tl2br w:val="nil"/>
                    <w:tr2bl w:val="nil"/>
                  </w:tcBorders>
                  <w:shd w:val="clear" w:color="auto" w:fill="auto"/>
                  <w:vAlign w:val="center"/>
                </w:tcPr>
                <w:p w14:paraId="74316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739" w:type="dxa"/>
                  <w:tcBorders>
                    <w:tl2br w:val="nil"/>
                    <w:tr2bl w:val="nil"/>
                  </w:tcBorders>
                  <w:shd w:val="clear" w:color="auto" w:fill="auto"/>
                  <w:vAlign w:val="center"/>
                </w:tcPr>
                <w:p w14:paraId="16305FB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p>
              </w:tc>
            </w:tr>
            <w:tr w14:paraId="6C4C4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1BDB9E7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533" w:type="dxa"/>
                  <w:gridSpan w:val="2"/>
                  <w:tcBorders>
                    <w:tl2br w:val="nil"/>
                    <w:tr2bl w:val="nil"/>
                  </w:tcBorders>
                  <w:vAlign w:val="center"/>
                </w:tcPr>
                <w:p w14:paraId="08D8DE90">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冷干机</w:t>
                  </w:r>
                </w:p>
              </w:tc>
              <w:tc>
                <w:tcPr>
                  <w:tcW w:w="2565" w:type="dxa"/>
                  <w:tcBorders>
                    <w:tl2br w:val="nil"/>
                    <w:tr2bl w:val="nil"/>
                  </w:tcBorders>
                  <w:vAlign w:val="center"/>
                </w:tcPr>
                <w:p w14:paraId="1415A99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J2K-400GA，Q=65m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/min，入口温度5-80℃</w:t>
                  </w:r>
                </w:p>
              </w:tc>
              <w:tc>
                <w:tcPr>
                  <w:tcW w:w="911" w:type="dxa"/>
                  <w:tcBorders>
                    <w:tl2br w:val="nil"/>
                    <w:tr2bl w:val="nil"/>
                  </w:tcBorders>
                  <w:vAlign w:val="center"/>
                </w:tcPr>
                <w:p w14:paraId="3F3F57AF">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739" w:type="dxa"/>
                  <w:tcBorders>
                    <w:tl2br w:val="nil"/>
                    <w:tr2bl w:val="nil"/>
                  </w:tcBorders>
                  <w:shd w:val="clear" w:color="auto" w:fill="auto"/>
                  <w:vAlign w:val="center"/>
                </w:tcPr>
                <w:p w14:paraId="08F091A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lang w:val="en-US" w:eastAsia="zh-CN"/>
                    </w:rPr>
                    <w:t>压缩空气冷却</w:t>
                  </w:r>
                </w:p>
              </w:tc>
            </w:tr>
            <w:tr w14:paraId="36C2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7224D61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533" w:type="dxa"/>
                  <w:gridSpan w:val="2"/>
                  <w:tcBorders>
                    <w:tl2br w:val="nil"/>
                    <w:tr2bl w:val="nil"/>
                  </w:tcBorders>
                  <w:vAlign w:val="center"/>
                </w:tcPr>
                <w:p w14:paraId="285C85F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水泵</w:t>
                  </w:r>
                </w:p>
              </w:tc>
              <w:tc>
                <w:tcPr>
                  <w:tcW w:w="2565" w:type="dxa"/>
                  <w:tcBorders>
                    <w:tl2br w:val="nil"/>
                    <w:tr2bl w:val="nil"/>
                  </w:tcBorders>
                  <w:vAlign w:val="center"/>
                </w:tcPr>
                <w:p w14:paraId="7516423F">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Q=89m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/h，H=16m，n=2900r/min</w:t>
                  </w:r>
                </w:p>
              </w:tc>
              <w:tc>
                <w:tcPr>
                  <w:tcW w:w="911" w:type="dxa"/>
                  <w:tcBorders>
                    <w:tl2br w:val="nil"/>
                    <w:tr2bl w:val="nil"/>
                  </w:tcBorders>
                  <w:vAlign w:val="center"/>
                </w:tcPr>
                <w:p w14:paraId="2019638A">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739" w:type="dxa"/>
                  <w:tcBorders>
                    <w:tl2br w:val="nil"/>
                    <w:tr2bl w:val="nil"/>
                  </w:tcBorders>
                  <w:shd w:val="clear" w:color="auto" w:fill="auto"/>
                  <w:vAlign w:val="center"/>
                </w:tcPr>
                <w:p w14:paraId="3DCC847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rPr>
                  </w:pPr>
                  <w:r>
                    <w:rPr>
                      <w:rFonts w:hint="eastAsia" w:ascii="Times New Roman" w:hAnsi="Times New Roman" w:eastAsia="宋体" w:cs="Times New Roman"/>
                      <w:color w:val="auto"/>
                      <w:spacing w:val="7"/>
                      <w:sz w:val="21"/>
                      <w:szCs w:val="21"/>
                      <w:highlight w:val="none"/>
                      <w:lang w:val="en-US" w:eastAsia="zh-CN"/>
                    </w:rPr>
                    <w:t>一备一用，</w:t>
                  </w:r>
                  <w:r>
                    <w:rPr>
                      <w:rFonts w:hint="default" w:ascii="Times New Roman" w:hAnsi="Times New Roman" w:eastAsia="宋体" w:cs="Times New Roman"/>
                      <w:color w:val="auto"/>
                      <w:spacing w:val="7"/>
                      <w:sz w:val="21"/>
                      <w:szCs w:val="21"/>
                      <w:highlight w:val="none"/>
                      <w:lang w:val="en-US" w:eastAsia="zh-CN"/>
                    </w:rPr>
                    <w:t>圆磨、磨抛回用水抽用</w:t>
                  </w:r>
                </w:p>
              </w:tc>
            </w:tr>
            <w:tr w14:paraId="3A444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3D59044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533" w:type="dxa"/>
                  <w:gridSpan w:val="2"/>
                  <w:tcBorders>
                    <w:tl2br w:val="nil"/>
                    <w:tr2bl w:val="nil"/>
                  </w:tcBorders>
                  <w:shd w:val="clear" w:color="auto" w:fill="auto"/>
                  <w:vAlign w:val="center"/>
                </w:tcPr>
                <w:p w14:paraId="29263BB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7"/>
                      <w:sz w:val="21"/>
                      <w:szCs w:val="21"/>
                      <w:highlight w:val="none"/>
                      <w:lang w:val="en-US" w:eastAsia="zh-CN"/>
                    </w:rPr>
                    <w:t>去离子水</w:t>
                  </w:r>
                  <w:r>
                    <w:rPr>
                      <w:rFonts w:hint="default" w:ascii="Times New Roman" w:hAnsi="Times New Roman" w:eastAsia="宋体" w:cs="Times New Roman"/>
                      <w:color w:val="auto"/>
                      <w:spacing w:val="7"/>
                      <w:sz w:val="21"/>
                      <w:szCs w:val="21"/>
                      <w:highlight w:val="none"/>
                    </w:rPr>
                    <w:t>生产设备</w:t>
                  </w:r>
                </w:p>
              </w:tc>
              <w:tc>
                <w:tcPr>
                  <w:tcW w:w="2565" w:type="dxa"/>
                  <w:tcBorders>
                    <w:tl2br w:val="nil"/>
                    <w:tr2bl w:val="nil"/>
                  </w:tcBorders>
                  <w:shd w:val="clear" w:color="auto" w:fill="auto"/>
                  <w:vAlign w:val="center"/>
                </w:tcPr>
                <w:p w14:paraId="22A24CC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0.5t/h</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Q=2m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/h</w:t>
                  </w:r>
                </w:p>
              </w:tc>
              <w:tc>
                <w:tcPr>
                  <w:tcW w:w="911" w:type="dxa"/>
                  <w:tcBorders>
                    <w:tl2br w:val="nil"/>
                    <w:tr2bl w:val="nil"/>
                  </w:tcBorders>
                  <w:shd w:val="clear" w:color="auto" w:fill="auto"/>
                  <w:vAlign w:val="center"/>
                </w:tcPr>
                <w:p w14:paraId="75CAFA0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shd w:val="clear" w:color="auto" w:fill="auto"/>
                  <w:vAlign w:val="center"/>
                </w:tcPr>
                <w:p w14:paraId="628D692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磨抛</w:t>
                  </w:r>
                  <w:r>
                    <w:rPr>
                      <w:rFonts w:hint="default" w:ascii="Times New Roman" w:hAnsi="Times New Roman" w:eastAsia="宋体" w:cs="Times New Roman"/>
                      <w:color w:val="auto"/>
                      <w:kern w:val="2"/>
                      <w:sz w:val="21"/>
                      <w:szCs w:val="21"/>
                      <w:highlight w:val="none"/>
                      <w:lang w:val="en-US" w:eastAsia="zh-CN" w:bidi="ar-SA"/>
                    </w:rPr>
                    <w:t>设备冷却</w:t>
                  </w:r>
                </w:p>
              </w:tc>
            </w:tr>
            <w:tr w14:paraId="5127F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04F9325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533" w:type="dxa"/>
                  <w:gridSpan w:val="2"/>
                  <w:tcBorders>
                    <w:tl2br w:val="nil"/>
                    <w:tr2bl w:val="nil"/>
                  </w:tcBorders>
                  <w:shd w:val="clear" w:color="auto" w:fill="auto"/>
                  <w:vAlign w:val="center"/>
                </w:tcPr>
                <w:p w14:paraId="4E7BE9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大圆磨A组</w:t>
                  </w:r>
                </w:p>
              </w:tc>
              <w:tc>
                <w:tcPr>
                  <w:tcW w:w="2565" w:type="dxa"/>
                  <w:tcBorders>
                    <w:tl2br w:val="nil"/>
                    <w:tr2bl w:val="nil"/>
                  </w:tcBorders>
                  <w:shd w:val="clear" w:color="auto" w:fill="auto"/>
                  <w:vAlign w:val="center"/>
                </w:tcPr>
                <w:p w14:paraId="300A68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DYM-A</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额定生产能力：0.07t/h</w:t>
                  </w:r>
                </w:p>
              </w:tc>
              <w:tc>
                <w:tcPr>
                  <w:tcW w:w="911" w:type="dxa"/>
                  <w:tcBorders>
                    <w:tl2br w:val="nil"/>
                    <w:tr2bl w:val="nil"/>
                  </w:tcBorders>
                  <w:shd w:val="clear" w:color="auto" w:fill="auto"/>
                  <w:vAlign w:val="center"/>
                </w:tcPr>
                <w:p w14:paraId="77D56DA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20</w:t>
                  </w:r>
                </w:p>
              </w:tc>
              <w:tc>
                <w:tcPr>
                  <w:tcW w:w="1739" w:type="dxa"/>
                  <w:vMerge w:val="restart"/>
                  <w:tcBorders>
                    <w:tl2br w:val="nil"/>
                    <w:tr2bl w:val="nil"/>
                  </w:tcBorders>
                  <w:shd w:val="clear" w:color="auto" w:fill="auto"/>
                  <w:vAlign w:val="center"/>
                </w:tcPr>
                <w:p w14:paraId="3386121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圆磨机磨平面</w:t>
                  </w:r>
                  <w:r>
                    <w:rPr>
                      <w:rFonts w:hint="default" w:ascii="Times New Roman" w:hAnsi="Times New Roman" w:eastAsia="宋体" w:cs="Times New Roman"/>
                      <w:color w:val="auto"/>
                      <w:spacing w:val="8"/>
                      <w:sz w:val="21"/>
                      <w:szCs w:val="21"/>
                      <w:highlight w:val="none"/>
                      <w:lang w:val="en-US" w:eastAsia="zh-CN"/>
                    </w:rPr>
                    <w:t>，湿法圆磨</w:t>
                  </w:r>
                </w:p>
              </w:tc>
            </w:tr>
            <w:tr w14:paraId="40C71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0C95644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10</w:t>
                  </w:r>
                </w:p>
              </w:tc>
              <w:tc>
                <w:tcPr>
                  <w:tcW w:w="1533" w:type="dxa"/>
                  <w:gridSpan w:val="2"/>
                  <w:tcBorders>
                    <w:tl2br w:val="nil"/>
                    <w:tr2bl w:val="nil"/>
                  </w:tcBorders>
                  <w:shd w:val="clear" w:color="auto" w:fill="auto"/>
                  <w:vAlign w:val="center"/>
                </w:tcPr>
                <w:p w14:paraId="5C6923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大圆磨B组</w:t>
                  </w:r>
                </w:p>
              </w:tc>
              <w:tc>
                <w:tcPr>
                  <w:tcW w:w="2565" w:type="dxa"/>
                  <w:tcBorders>
                    <w:tl2br w:val="nil"/>
                    <w:tr2bl w:val="nil"/>
                  </w:tcBorders>
                  <w:shd w:val="clear" w:color="auto" w:fill="auto"/>
                  <w:vAlign w:val="center"/>
                </w:tcPr>
                <w:p w14:paraId="519726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DYM-B；</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额定生产能力：0.07t/h</w:t>
                  </w:r>
                </w:p>
              </w:tc>
              <w:tc>
                <w:tcPr>
                  <w:tcW w:w="911" w:type="dxa"/>
                  <w:tcBorders>
                    <w:bottom w:val="single" w:color="auto" w:sz="4" w:space="0"/>
                    <w:tl2br w:val="nil"/>
                    <w:tr2bl w:val="nil"/>
                  </w:tcBorders>
                  <w:shd w:val="clear" w:color="auto" w:fill="auto"/>
                  <w:vAlign w:val="center"/>
                </w:tcPr>
                <w:p w14:paraId="3BA0992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20</w:t>
                  </w:r>
                </w:p>
              </w:tc>
              <w:tc>
                <w:tcPr>
                  <w:tcW w:w="1739" w:type="dxa"/>
                  <w:vMerge w:val="continue"/>
                  <w:tcBorders>
                    <w:bottom w:val="single" w:color="auto" w:sz="4" w:space="0"/>
                    <w:tl2br w:val="nil"/>
                    <w:tr2bl w:val="nil"/>
                  </w:tcBorders>
                  <w:shd w:val="clear" w:color="auto" w:fill="auto"/>
                  <w:vAlign w:val="center"/>
                </w:tcPr>
                <w:p w14:paraId="7063248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p>
              </w:tc>
            </w:tr>
            <w:tr w14:paraId="6DDA3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62B7458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0"/>
                      <w:sz w:val="21"/>
                      <w:szCs w:val="21"/>
                      <w:highlight w:val="none"/>
                    </w:rPr>
                    <w:t>11</w:t>
                  </w:r>
                </w:p>
              </w:tc>
              <w:tc>
                <w:tcPr>
                  <w:tcW w:w="1533" w:type="dxa"/>
                  <w:gridSpan w:val="2"/>
                  <w:tcBorders>
                    <w:tl2br w:val="nil"/>
                    <w:tr2bl w:val="nil"/>
                  </w:tcBorders>
                  <w:shd w:val="clear" w:color="auto" w:fill="auto"/>
                  <w:vAlign w:val="center"/>
                </w:tcPr>
                <w:p w14:paraId="06F6E9B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剪</w:t>
                  </w:r>
                  <w:r>
                    <w:rPr>
                      <w:rFonts w:hint="default" w:ascii="Times New Roman" w:hAnsi="Times New Roman" w:eastAsia="宋体" w:cs="Times New Roman"/>
                      <w:color w:val="auto"/>
                      <w:spacing w:val="6"/>
                      <w:sz w:val="21"/>
                      <w:szCs w:val="21"/>
                      <w:highlight w:val="none"/>
                    </w:rPr>
                    <w:t>边机</w:t>
                  </w:r>
                </w:p>
              </w:tc>
              <w:tc>
                <w:tcPr>
                  <w:tcW w:w="2565" w:type="dxa"/>
                  <w:tcBorders>
                    <w:tl2br w:val="nil"/>
                    <w:tr2bl w:val="nil"/>
                  </w:tcBorders>
                  <w:shd w:val="clear" w:color="auto" w:fill="auto"/>
                  <w:vAlign w:val="center"/>
                </w:tcPr>
                <w:p w14:paraId="7D5CB85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w:t>
                  </w:r>
                </w:p>
              </w:tc>
              <w:tc>
                <w:tcPr>
                  <w:tcW w:w="911" w:type="dxa"/>
                  <w:tcBorders>
                    <w:top w:val="single" w:color="auto" w:sz="4" w:space="0"/>
                    <w:tl2br w:val="nil"/>
                    <w:tr2bl w:val="nil"/>
                  </w:tcBorders>
                  <w:shd w:val="clear" w:color="auto" w:fill="auto"/>
                  <w:vAlign w:val="center"/>
                </w:tcPr>
                <w:p w14:paraId="559B5CF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20</w:t>
                  </w:r>
                </w:p>
              </w:tc>
              <w:tc>
                <w:tcPr>
                  <w:tcW w:w="1739" w:type="dxa"/>
                  <w:tcBorders>
                    <w:top w:val="single" w:color="auto" w:sz="4" w:space="0"/>
                    <w:tl2br w:val="nil"/>
                    <w:tr2bl w:val="nil"/>
                  </w:tcBorders>
                  <w:shd w:val="clear" w:color="auto" w:fill="auto"/>
                  <w:vAlign w:val="center"/>
                </w:tcPr>
                <w:p w14:paraId="5F0F436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切边</w:t>
                  </w:r>
                </w:p>
              </w:tc>
            </w:tr>
            <w:tr w14:paraId="4B621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7796884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1</w:t>
                  </w:r>
                  <w:r>
                    <w:rPr>
                      <w:rFonts w:hint="default" w:ascii="Times New Roman" w:hAnsi="Times New Roman" w:eastAsia="宋体" w:cs="Times New Roman"/>
                      <w:color w:val="auto"/>
                      <w:spacing w:val="-8"/>
                      <w:sz w:val="21"/>
                      <w:szCs w:val="21"/>
                      <w:highlight w:val="none"/>
                      <w:lang w:val="en-US" w:eastAsia="zh-CN"/>
                    </w:rPr>
                    <w:t>2</w:t>
                  </w:r>
                </w:p>
              </w:tc>
              <w:tc>
                <w:tcPr>
                  <w:tcW w:w="1533" w:type="dxa"/>
                  <w:gridSpan w:val="2"/>
                  <w:tcBorders>
                    <w:tl2br w:val="nil"/>
                    <w:tr2bl w:val="nil"/>
                  </w:tcBorders>
                  <w:shd w:val="clear" w:color="auto" w:fill="auto"/>
                  <w:vAlign w:val="center"/>
                </w:tcPr>
                <w:p w14:paraId="22802C8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自动吸塑机</w:t>
                  </w:r>
                </w:p>
              </w:tc>
              <w:tc>
                <w:tcPr>
                  <w:tcW w:w="2565" w:type="dxa"/>
                  <w:tcBorders>
                    <w:tl2br w:val="nil"/>
                    <w:tr2bl w:val="nil"/>
                  </w:tcBorders>
                  <w:shd w:val="clear" w:color="auto" w:fill="auto"/>
                  <w:vAlign w:val="center"/>
                </w:tcPr>
                <w:p w14:paraId="1A82BF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Q503，电加热，温度：120℃；额定生产能力：0.05t/h</w:t>
                  </w:r>
                </w:p>
              </w:tc>
              <w:tc>
                <w:tcPr>
                  <w:tcW w:w="911" w:type="dxa"/>
                  <w:tcBorders>
                    <w:tl2br w:val="nil"/>
                    <w:tr2bl w:val="nil"/>
                  </w:tcBorders>
                  <w:shd w:val="clear" w:color="auto" w:fill="auto"/>
                  <w:vAlign w:val="center"/>
                </w:tcPr>
                <w:p w14:paraId="5C90004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28</w:t>
                  </w:r>
                </w:p>
              </w:tc>
              <w:tc>
                <w:tcPr>
                  <w:tcW w:w="1739" w:type="dxa"/>
                  <w:tcBorders>
                    <w:tl2br w:val="nil"/>
                    <w:tr2bl w:val="nil"/>
                  </w:tcBorders>
                  <w:shd w:val="clear" w:color="auto" w:fill="auto"/>
                  <w:vAlign w:val="center"/>
                </w:tcPr>
                <w:p w14:paraId="390193B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吸塑</w:t>
                  </w:r>
                </w:p>
              </w:tc>
            </w:tr>
            <w:tr w14:paraId="316D3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5735A2A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w:t>
                  </w:r>
                </w:p>
              </w:tc>
              <w:tc>
                <w:tcPr>
                  <w:tcW w:w="1533" w:type="dxa"/>
                  <w:gridSpan w:val="2"/>
                  <w:tcBorders>
                    <w:tl2br w:val="nil"/>
                    <w:tr2bl w:val="nil"/>
                  </w:tcBorders>
                  <w:shd w:val="clear" w:color="auto" w:fill="auto"/>
                  <w:vAlign w:val="center"/>
                </w:tcPr>
                <w:p w14:paraId="6CFF6C2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自动卸钻机</w:t>
                  </w:r>
                </w:p>
              </w:tc>
              <w:tc>
                <w:tcPr>
                  <w:tcW w:w="2565" w:type="dxa"/>
                  <w:tcBorders>
                    <w:tl2br w:val="nil"/>
                    <w:tr2bl w:val="nil"/>
                  </w:tcBorders>
                  <w:shd w:val="clear" w:color="auto" w:fill="auto"/>
                  <w:vAlign w:val="center"/>
                </w:tcPr>
                <w:p w14:paraId="5DF80AC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lang w:val="en-US" w:eastAsia="zh-CN"/>
                    </w:rPr>
                    <w:t>/</w:t>
                  </w:r>
                </w:p>
              </w:tc>
              <w:tc>
                <w:tcPr>
                  <w:tcW w:w="911" w:type="dxa"/>
                  <w:tcBorders>
                    <w:tl2br w:val="nil"/>
                    <w:tr2bl w:val="nil"/>
                  </w:tcBorders>
                  <w:shd w:val="clear" w:color="auto" w:fill="auto"/>
                  <w:vAlign w:val="center"/>
                </w:tcPr>
                <w:p w14:paraId="7279FAF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5</w:t>
                  </w:r>
                </w:p>
              </w:tc>
              <w:tc>
                <w:tcPr>
                  <w:tcW w:w="1739" w:type="dxa"/>
                  <w:tcBorders>
                    <w:tl2br w:val="nil"/>
                    <w:tr2bl w:val="nil"/>
                  </w:tcBorders>
                  <w:shd w:val="clear" w:color="auto" w:fill="auto"/>
                  <w:vAlign w:val="center"/>
                </w:tcPr>
                <w:p w14:paraId="594A03A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卸钻</w:t>
                  </w:r>
                </w:p>
              </w:tc>
            </w:tr>
            <w:tr w14:paraId="1F965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746F18E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533" w:type="dxa"/>
                  <w:gridSpan w:val="2"/>
                  <w:tcBorders>
                    <w:tl2br w:val="nil"/>
                    <w:tr2bl w:val="nil"/>
                  </w:tcBorders>
                  <w:shd w:val="clear" w:color="auto" w:fill="auto"/>
                  <w:vAlign w:val="center"/>
                </w:tcPr>
                <w:p w14:paraId="4F7A20F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烘</w:t>
                  </w:r>
                  <w:r>
                    <w:rPr>
                      <w:rFonts w:hint="default" w:ascii="Times New Roman" w:hAnsi="Times New Roman" w:eastAsia="宋体" w:cs="Times New Roman"/>
                      <w:color w:val="auto"/>
                      <w:spacing w:val="6"/>
                      <w:sz w:val="21"/>
                      <w:szCs w:val="21"/>
                      <w:highlight w:val="none"/>
                      <w:lang w:val="en-US" w:eastAsia="zh-CN"/>
                    </w:rPr>
                    <w:t>箱/烘道</w:t>
                  </w:r>
                </w:p>
              </w:tc>
              <w:tc>
                <w:tcPr>
                  <w:tcW w:w="2565" w:type="dxa"/>
                  <w:tcBorders>
                    <w:tl2br w:val="nil"/>
                    <w:tr2bl w:val="nil"/>
                  </w:tcBorders>
                  <w:shd w:val="clear" w:color="auto" w:fill="auto"/>
                  <w:vAlign w:val="center"/>
                </w:tcPr>
                <w:p w14:paraId="51AA8E3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lang w:val="en-US" w:eastAsia="zh-CN"/>
                    </w:rPr>
                    <w:t>/</w:t>
                  </w:r>
                </w:p>
              </w:tc>
              <w:tc>
                <w:tcPr>
                  <w:tcW w:w="911" w:type="dxa"/>
                  <w:tcBorders>
                    <w:tl2br w:val="nil"/>
                    <w:tr2bl w:val="nil"/>
                  </w:tcBorders>
                  <w:shd w:val="clear" w:color="auto" w:fill="auto"/>
                  <w:vAlign w:val="center"/>
                </w:tcPr>
                <w:p w14:paraId="58D1832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10</w:t>
                  </w:r>
                </w:p>
              </w:tc>
              <w:tc>
                <w:tcPr>
                  <w:tcW w:w="1739" w:type="dxa"/>
                  <w:tcBorders>
                    <w:tl2br w:val="nil"/>
                    <w:tr2bl w:val="nil"/>
                  </w:tcBorders>
                  <w:shd w:val="clear" w:color="auto" w:fill="auto"/>
                  <w:vAlign w:val="center"/>
                </w:tcPr>
                <w:p w14:paraId="692C13F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烘干</w:t>
                  </w:r>
                </w:p>
              </w:tc>
            </w:tr>
            <w:tr w14:paraId="3E94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shd w:val="clear" w:color="auto" w:fill="auto"/>
                  <w:vAlign w:val="center"/>
                </w:tcPr>
                <w:p w14:paraId="03EE1D0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533" w:type="dxa"/>
                  <w:gridSpan w:val="2"/>
                  <w:tcBorders>
                    <w:tl2br w:val="nil"/>
                    <w:tr2bl w:val="nil"/>
                  </w:tcBorders>
                  <w:shd w:val="clear" w:color="auto" w:fill="auto"/>
                  <w:vAlign w:val="center"/>
                </w:tcPr>
                <w:p w14:paraId="3209F92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分筛机</w:t>
                  </w:r>
                </w:p>
              </w:tc>
              <w:tc>
                <w:tcPr>
                  <w:tcW w:w="2565" w:type="dxa"/>
                  <w:tcBorders>
                    <w:tl2br w:val="nil"/>
                    <w:tr2bl w:val="nil"/>
                  </w:tcBorders>
                  <w:shd w:val="clear" w:color="auto" w:fill="auto"/>
                  <w:vAlign w:val="center"/>
                </w:tcPr>
                <w:p w14:paraId="5A1267C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i w:val="0"/>
                      <w:iCs w:val="0"/>
                      <w:caps w:val="0"/>
                      <w:color w:val="auto"/>
                      <w:spacing w:val="0"/>
                      <w:sz w:val="21"/>
                      <w:szCs w:val="21"/>
                      <w:shd w:val="clear" w:fill="FFFFFF"/>
                    </w:rPr>
                    <w:t>非标，振动筛分</w:t>
                  </w:r>
                </w:p>
              </w:tc>
              <w:tc>
                <w:tcPr>
                  <w:tcW w:w="911" w:type="dxa"/>
                  <w:tcBorders>
                    <w:tl2br w:val="nil"/>
                    <w:tr2bl w:val="nil"/>
                  </w:tcBorders>
                  <w:shd w:val="clear" w:color="auto" w:fill="auto"/>
                  <w:vAlign w:val="center"/>
                </w:tcPr>
                <w:p w14:paraId="6F28254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20</w:t>
                  </w:r>
                </w:p>
              </w:tc>
              <w:tc>
                <w:tcPr>
                  <w:tcW w:w="1739" w:type="dxa"/>
                  <w:tcBorders>
                    <w:tl2br w:val="nil"/>
                    <w:tr2bl w:val="nil"/>
                  </w:tcBorders>
                  <w:shd w:val="clear" w:color="auto" w:fill="auto"/>
                  <w:vAlign w:val="center"/>
                </w:tcPr>
                <w:p w14:paraId="1F3D2E5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分筛</w:t>
                  </w:r>
                </w:p>
              </w:tc>
            </w:tr>
            <w:tr w14:paraId="20258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46C6AB7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三</w:t>
                  </w:r>
                </w:p>
              </w:tc>
              <w:tc>
                <w:tcPr>
                  <w:tcW w:w="6748" w:type="dxa"/>
                  <w:gridSpan w:val="5"/>
                  <w:tcBorders>
                    <w:tl2br w:val="nil"/>
                    <w:tr2bl w:val="nil"/>
                  </w:tcBorders>
                  <w:vAlign w:val="center"/>
                </w:tcPr>
                <w:p w14:paraId="67DA3CB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PVC</w:t>
                  </w:r>
                  <w:r>
                    <w:rPr>
                      <w:rFonts w:hint="default" w:ascii="Times New Roman" w:hAnsi="Times New Roman" w:eastAsia="宋体" w:cs="Times New Roman"/>
                      <w:b/>
                      <w:bCs/>
                      <w:color w:val="auto"/>
                      <w:spacing w:val="8"/>
                      <w:sz w:val="21"/>
                      <w:szCs w:val="21"/>
                      <w:highlight w:val="none"/>
                    </w:rPr>
                    <w:t>塑片</w:t>
                  </w:r>
                </w:p>
              </w:tc>
            </w:tr>
            <w:tr w14:paraId="159A9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1108F05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3" w:type="dxa"/>
                  <w:gridSpan w:val="2"/>
                  <w:tcBorders>
                    <w:tl2br w:val="nil"/>
                    <w:tr2bl w:val="nil"/>
                  </w:tcBorders>
                  <w:vAlign w:val="center"/>
                </w:tcPr>
                <w:p w14:paraId="6E1E11D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混料机</w:t>
                  </w:r>
                </w:p>
              </w:tc>
              <w:tc>
                <w:tcPr>
                  <w:tcW w:w="2565" w:type="dxa"/>
                  <w:tcBorders>
                    <w:tl2br w:val="nil"/>
                    <w:tr2bl w:val="nil"/>
                  </w:tcBorders>
                  <w:vAlign w:val="center"/>
                </w:tcPr>
                <w:p w14:paraId="6DC57E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sz w:val="21"/>
                      <w:szCs w:val="21"/>
                      <w:shd w:val="clear" w:fill="FFFFFF"/>
                    </w:rPr>
                    <w:t>非标，容积V=1m</w:t>
                  </w:r>
                  <w:r>
                    <w:rPr>
                      <w:rFonts w:hint="default" w:ascii="Times New Roman" w:hAnsi="Times New Roman" w:eastAsia="宋体" w:cs="Times New Roman"/>
                      <w:i w:val="0"/>
                      <w:iCs w:val="0"/>
                      <w:caps w:val="0"/>
                      <w:color w:val="auto"/>
                      <w:spacing w:val="0"/>
                      <w:sz w:val="21"/>
                      <w:szCs w:val="21"/>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shd w:val="clear" w:fill="FFFFFF"/>
                    </w:rPr>
                    <w:t>，电加热80-120℃，带水冷夹套</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额定生产能力：0.7t/h</w:t>
                  </w:r>
                </w:p>
              </w:tc>
              <w:tc>
                <w:tcPr>
                  <w:tcW w:w="911" w:type="dxa"/>
                  <w:tcBorders>
                    <w:tl2br w:val="nil"/>
                    <w:tr2bl w:val="nil"/>
                  </w:tcBorders>
                  <w:vAlign w:val="center"/>
                </w:tcPr>
                <w:p w14:paraId="77FA4E6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2063534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配料</w:t>
                  </w:r>
                  <w:r>
                    <w:rPr>
                      <w:rFonts w:hint="default" w:ascii="Times New Roman" w:hAnsi="Times New Roman" w:eastAsia="宋体" w:cs="Times New Roman"/>
                      <w:color w:val="auto"/>
                      <w:spacing w:val="4"/>
                      <w:sz w:val="21"/>
                      <w:szCs w:val="21"/>
                      <w:highlight w:val="none"/>
                      <w:lang w:val="en-US" w:eastAsia="zh-CN"/>
                    </w:rPr>
                    <w:t>搅拌</w:t>
                  </w:r>
                </w:p>
              </w:tc>
            </w:tr>
            <w:tr w14:paraId="26984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09947D1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33" w:type="dxa"/>
                  <w:gridSpan w:val="2"/>
                  <w:tcBorders>
                    <w:tl2br w:val="nil"/>
                    <w:tr2bl w:val="nil"/>
                  </w:tcBorders>
                  <w:vAlign w:val="center"/>
                </w:tcPr>
                <w:p w14:paraId="59FDCE9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挤出机</w:t>
                  </w:r>
                </w:p>
              </w:tc>
              <w:tc>
                <w:tcPr>
                  <w:tcW w:w="2565" w:type="dxa"/>
                  <w:tcBorders>
                    <w:tl2br w:val="nil"/>
                    <w:tr2bl w:val="nil"/>
                  </w:tcBorders>
                  <w:vAlign w:val="center"/>
                </w:tcPr>
                <w:p w14:paraId="754BF6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sz w:val="21"/>
                      <w:szCs w:val="21"/>
                      <w:shd w:val="clear" w:fill="FFFFFF"/>
                    </w:rPr>
                    <w:t>非标，螺杆式，电加热160-200℃</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额定生产能力：0.7t/h</w:t>
                  </w:r>
                </w:p>
              </w:tc>
              <w:tc>
                <w:tcPr>
                  <w:tcW w:w="911" w:type="dxa"/>
                  <w:tcBorders>
                    <w:tl2br w:val="nil"/>
                    <w:tr2bl w:val="nil"/>
                  </w:tcBorders>
                  <w:vAlign w:val="center"/>
                </w:tcPr>
                <w:p w14:paraId="454AF8A3">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15DE6E5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挤出</w:t>
                  </w:r>
                </w:p>
              </w:tc>
            </w:tr>
            <w:tr w14:paraId="726C9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0039E972">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33" w:type="dxa"/>
                  <w:gridSpan w:val="2"/>
                  <w:tcBorders>
                    <w:tl2br w:val="nil"/>
                    <w:tr2bl w:val="nil"/>
                  </w:tcBorders>
                  <w:vAlign w:val="center"/>
                </w:tcPr>
                <w:p w14:paraId="1BB5127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空压机</w:t>
                  </w:r>
                </w:p>
              </w:tc>
              <w:tc>
                <w:tcPr>
                  <w:tcW w:w="2565" w:type="dxa"/>
                  <w:tcBorders>
                    <w:tl2br w:val="nil"/>
                    <w:tr2bl w:val="nil"/>
                  </w:tcBorders>
                  <w:vAlign w:val="center"/>
                </w:tcPr>
                <w:p w14:paraId="090D109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en-US" w:bidi="ar-SA"/>
                    </w:rPr>
                    <w:t>APML250A-2S-0.55</w:t>
                  </w:r>
                  <w:r>
                    <w:rPr>
                      <w:rFonts w:hint="default" w:ascii="Times New Roman" w:hAnsi="Times New Roman" w:eastAsia="宋体" w:cs="Times New Roman"/>
                      <w:color w:val="auto"/>
                      <w:spacing w:val="4"/>
                      <w:kern w:val="2"/>
                      <w:sz w:val="21"/>
                      <w:szCs w:val="21"/>
                      <w:highlight w:val="none"/>
                      <w:lang w:val="en-US" w:eastAsia="zh-CN" w:bidi="ar-SA"/>
                    </w:rPr>
                    <w:t>，</w:t>
                  </w:r>
                  <w:r>
                    <w:rPr>
                      <w:rFonts w:hint="default" w:ascii="Times New Roman" w:hAnsi="Times New Roman" w:eastAsia="宋体" w:cs="Times New Roman"/>
                      <w:i w:val="0"/>
                      <w:iCs w:val="0"/>
                      <w:caps w:val="0"/>
                      <w:color w:val="auto"/>
                      <w:spacing w:val="0"/>
                      <w:sz w:val="21"/>
                      <w:szCs w:val="21"/>
                      <w:highlight w:val="none"/>
                      <w:shd w:val="clear" w:fill="FFFFFF"/>
                    </w:rPr>
                    <w:t>排气量：</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14</w:t>
                  </w:r>
                  <w:r>
                    <w:rPr>
                      <w:rFonts w:hint="default" w:ascii="Times New Roman" w:hAnsi="Times New Roman" w:eastAsia="宋体" w:cs="Times New Roman"/>
                      <w:i w:val="0"/>
                      <w:iCs w:val="0"/>
                      <w:caps w:val="0"/>
                      <w:color w:val="auto"/>
                      <w:spacing w:val="0"/>
                      <w:sz w:val="21"/>
                      <w:szCs w:val="21"/>
                      <w:highlight w:val="none"/>
                      <w:shd w:val="clear" w:fill="FFFFFF"/>
                    </w:rPr>
                    <w:t>m</w:t>
                  </w:r>
                  <w:r>
                    <w:rPr>
                      <w:rFonts w:hint="default" w:ascii="Times New Roman" w:hAnsi="Times New Roman" w:eastAsia="宋体" w:cs="Times New Roman"/>
                      <w:i w:val="0"/>
                      <w:iCs w:val="0"/>
                      <w:caps w:val="0"/>
                      <w:color w:val="auto"/>
                      <w:spacing w:val="0"/>
                      <w:sz w:val="21"/>
                      <w:szCs w:val="21"/>
                      <w:highlight w:val="none"/>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highlight w:val="none"/>
                      <w:shd w:val="clear" w:fill="FFFFFF"/>
                    </w:rPr>
                    <w:t>/min，排气压力：0.8MPa</w:t>
                  </w:r>
                </w:p>
              </w:tc>
              <w:tc>
                <w:tcPr>
                  <w:tcW w:w="911" w:type="dxa"/>
                  <w:tcBorders>
                    <w:tl2br w:val="nil"/>
                    <w:tr2bl w:val="nil"/>
                  </w:tcBorders>
                  <w:vAlign w:val="center"/>
                </w:tcPr>
                <w:p w14:paraId="37A34801">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054CDE0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67902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59DF9C1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533" w:type="dxa"/>
                  <w:gridSpan w:val="2"/>
                  <w:tcBorders>
                    <w:tl2br w:val="nil"/>
                    <w:tr2bl w:val="nil"/>
                  </w:tcBorders>
                  <w:vAlign w:val="center"/>
                </w:tcPr>
                <w:p w14:paraId="6737A35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水平辊筒</w:t>
                  </w:r>
                </w:p>
              </w:tc>
              <w:tc>
                <w:tcPr>
                  <w:tcW w:w="2565" w:type="dxa"/>
                  <w:tcBorders>
                    <w:tl2br w:val="nil"/>
                    <w:tr2bl w:val="nil"/>
                  </w:tcBorders>
                  <w:vAlign w:val="center"/>
                </w:tcPr>
                <w:p w14:paraId="066CB2A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kern w:val="2"/>
                      <w:sz w:val="21"/>
                      <w:szCs w:val="21"/>
                      <w:highlight w:val="none"/>
                      <w:lang w:val="en-US" w:eastAsia="zh-CN" w:bidi="ar-SA"/>
                    </w:rPr>
                    <w:t>/</w:t>
                  </w:r>
                </w:p>
              </w:tc>
              <w:tc>
                <w:tcPr>
                  <w:tcW w:w="911" w:type="dxa"/>
                  <w:tcBorders>
                    <w:tl2br w:val="nil"/>
                    <w:tr2bl w:val="nil"/>
                  </w:tcBorders>
                  <w:shd w:val="clear" w:color="auto" w:fill="auto"/>
                  <w:vAlign w:val="center"/>
                </w:tcPr>
                <w:p w14:paraId="6D5B293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3966436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压延</w:t>
                  </w:r>
                </w:p>
              </w:tc>
            </w:tr>
            <w:tr w14:paraId="6ED2B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191E71A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533" w:type="dxa"/>
                  <w:gridSpan w:val="2"/>
                  <w:tcBorders>
                    <w:tl2br w:val="nil"/>
                    <w:tr2bl w:val="nil"/>
                  </w:tcBorders>
                  <w:vAlign w:val="center"/>
                </w:tcPr>
                <w:p w14:paraId="7B57E58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切片机</w:t>
                  </w:r>
                </w:p>
              </w:tc>
              <w:tc>
                <w:tcPr>
                  <w:tcW w:w="2565" w:type="dxa"/>
                  <w:tcBorders>
                    <w:tl2br w:val="nil"/>
                    <w:tr2bl w:val="nil"/>
                  </w:tcBorders>
                  <w:vAlign w:val="center"/>
                </w:tcPr>
                <w:p w14:paraId="4AB748C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911" w:type="dxa"/>
                  <w:tcBorders>
                    <w:tl2br w:val="nil"/>
                    <w:tr2bl w:val="nil"/>
                  </w:tcBorders>
                  <w:shd w:val="clear" w:color="auto" w:fill="auto"/>
                  <w:vAlign w:val="center"/>
                </w:tcPr>
                <w:p w14:paraId="17C7D13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0F98DD5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切边切角</w:t>
                  </w:r>
                </w:p>
              </w:tc>
            </w:tr>
            <w:tr w14:paraId="328F7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3110D72E">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533" w:type="dxa"/>
                  <w:gridSpan w:val="2"/>
                  <w:tcBorders>
                    <w:tl2br w:val="nil"/>
                    <w:tr2bl w:val="nil"/>
                  </w:tcBorders>
                  <w:vAlign w:val="center"/>
                </w:tcPr>
                <w:p w14:paraId="6BA8F00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循环水冷却装置</w:t>
                  </w:r>
                </w:p>
              </w:tc>
              <w:tc>
                <w:tcPr>
                  <w:tcW w:w="2565" w:type="dxa"/>
                  <w:tcBorders>
                    <w:tl2br w:val="nil"/>
                    <w:tr2bl w:val="nil"/>
                  </w:tcBorders>
                  <w:vAlign w:val="center"/>
                </w:tcPr>
                <w:p w14:paraId="2850351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冷</w:t>
                  </w:r>
                  <w:r>
                    <w:rPr>
                      <w:rFonts w:hint="default" w:ascii="Times New Roman" w:hAnsi="Times New Roman" w:eastAsia="宋体" w:cs="Times New Roman"/>
                      <w:color w:val="auto"/>
                      <w:spacing w:val="8"/>
                      <w:kern w:val="2"/>
                      <w:sz w:val="21"/>
                      <w:szCs w:val="21"/>
                      <w:highlight w:val="none"/>
                      <w:lang w:val="en-US" w:eastAsia="zh-CN" w:bidi="ar-SA"/>
                    </w:rPr>
                    <w:t>却塔+水泵</w:t>
                  </w:r>
                </w:p>
              </w:tc>
              <w:tc>
                <w:tcPr>
                  <w:tcW w:w="911" w:type="dxa"/>
                  <w:tcBorders>
                    <w:tl2br w:val="nil"/>
                    <w:tr2bl w:val="nil"/>
                  </w:tcBorders>
                  <w:vAlign w:val="center"/>
                </w:tcPr>
                <w:p w14:paraId="51A50FC1">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1ED8B28A">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8t/h</w:t>
                  </w:r>
                </w:p>
              </w:tc>
            </w:tr>
            <w:tr w14:paraId="640AA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41F6930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四</w:t>
                  </w:r>
                </w:p>
              </w:tc>
              <w:tc>
                <w:tcPr>
                  <w:tcW w:w="6748" w:type="dxa"/>
                  <w:gridSpan w:val="5"/>
                  <w:tcBorders>
                    <w:tl2br w:val="nil"/>
                    <w:tr2bl w:val="nil"/>
                  </w:tcBorders>
                  <w:vAlign w:val="center"/>
                </w:tcPr>
                <w:p w14:paraId="43A22B80">
                  <w:pPr>
                    <w:pStyle w:val="57"/>
                    <w:keepNext w:val="0"/>
                    <w:keepLines w:val="0"/>
                    <w:pageBreakBefore w:val="0"/>
                    <w:widowControl w:val="0"/>
                    <w:tabs>
                      <w:tab w:val="left" w:pos="5040"/>
                    </w:tabs>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抛轮修复</w:t>
                  </w:r>
                </w:p>
              </w:tc>
            </w:tr>
            <w:tr w14:paraId="28195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0CDF322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3" w:type="dxa"/>
                  <w:gridSpan w:val="2"/>
                  <w:tcBorders>
                    <w:tl2br w:val="nil"/>
                    <w:tr2bl w:val="nil"/>
                  </w:tcBorders>
                  <w:vAlign w:val="center"/>
                </w:tcPr>
                <w:p w14:paraId="4A010FD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拌料机</w:t>
                  </w:r>
                </w:p>
              </w:tc>
              <w:tc>
                <w:tcPr>
                  <w:tcW w:w="2565" w:type="dxa"/>
                  <w:tcBorders>
                    <w:tl2br w:val="nil"/>
                    <w:tr2bl w:val="nil"/>
                  </w:tcBorders>
                  <w:vAlign w:val="center"/>
                </w:tcPr>
                <w:p w14:paraId="5EF9E51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sz w:val="21"/>
                      <w:szCs w:val="21"/>
                      <w:shd w:val="clear" w:fill="FFFFFF"/>
                    </w:rPr>
                    <w:t>非标，容积V=0.5m</w:t>
                  </w:r>
                  <w:r>
                    <w:rPr>
                      <w:rFonts w:hint="default" w:ascii="Times New Roman" w:hAnsi="Times New Roman" w:eastAsia="宋体" w:cs="Times New Roman"/>
                      <w:i w:val="0"/>
                      <w:iCs w:val="0"/>
                      <w:caps w:val="0"/>
                      <w:color w:val="auto"/>
                      <w:spacing w:val="0"/>
                      <w:sz w:val="21"/>
                      <w:szCs w:val="21"/>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shd w:val="clear" w:fill="FFFFFF"/>
                    </w:rPr>
                    <w:t>，密闭，常温</w:t>
                  </w:r>
                </w:p>
              </w:tc>
              <w:tc>
                <w:tcPr>
                  <w:tcW w:w="911" w:type="dxa"/>
                  <w:tcBorders>
                    <w:tl2br w:val="nil"/>
                    <w:tr2bl w:val="nil"/>
                  </w:tcBorders>
                  <w:vAlign w:val="center"/>
                </w:tcPr>
                <w:p w14:paraId="76F543BF">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tcBorders>
                    <w:tl2br w:val="nil"/>
                    <w:tr2bl w:val="nil"/>
                  </w:tcBorders>
                  <w:vAlign w:val="center"/>
                </w:tcPr>
                <w:p w14:paraId="1EB68A35">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搅拌</w:t>
                  </w:r>
                </w:p>
              </w:tc>
            </w:tr>
            <w:tr w14:paraId="06F4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2B664E8A">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33" w:type="dxa"/>
                  <w:gridSpan w:val="2"/>
                  <w:tcBorders>
                    <w:tl2br w:val="nil"/>
                    <w:tr2bl w:val="nil"/>
                  </w:tcBorders>
                  <w:vAlign w:val="center"/>
                </w:tcPr>
                <w:p w14:paraId="7901ED6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抛轮生产机</w:t>
                  </w:r>
                </w:p>
              </w:tc>
              <w:tc>
                <w:tcPr>
                  <w:tcW w:w="2565" w:type="dxa"/>
                  <w:tcBorders>
                    <w:tl2br w:val="nil"/>
                    <w:tr2bl w:val="nil"/>
                  </w:tcBorders>
                  <w:vAlign w:val="center"/>
                </w:tcPr>
                <w:p w14:paraId="0F7C669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911" w:type="dxa"/>
                  <w:tcBorders>
                    <w:tl2br w:val="nil"/>
                    <w:tr2bl w:val="nil"/>
                  </w:tcBorders>
                  <w:vAlign w:val="center"/>
                </w:tcPr>
                <w:p w14:paraId="4A5362E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vMerge w:val="restart"/>
                  <w:tcBorders>
                    <w:tl2br w:val="nil"/>
                    <w:tr2bl w:val="nil"/>
                  </w:tcBorders>
                  <w:vAlign w:val="center"/>
                </w:tcPr>
                <w:p w14:paraId="32F4AB6E">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模具成型</w:t>
                  </w:r>
                </w:p>
              </w:tc>
            </w:tr>
            <w:tr w14:paraId="20C92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5C284B75">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33" w:type="dxa"/>
                  <w:gridSpan w:val="2"/>
                  <w:tcBorders>
                    <w:tl2br w:val="nil"/>
                    <w:tr2bl w:val="nil"/>
                  </w:tcBorders>
                  <w:vAlign w:val="center"/>
                </w:tcPr>
                <w:p w14:paraId="01589D0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电烘箱</w:t>
                  </w:r>
                </w:p>
              </w:tc>
              <w:tc>
                <w:tcPr>
                  <w:tcW w:w="2565" w:type="dxa"/>
                  <w:tcBorders>
                    <w:tl2br w:val="nil"/>
                    <w:tr2bl w:val="nil"/>
                  </w:tcBorders>
                  <w:vAlign w:val="center"/>
                </w:tcPr>
                <w:p w14:paraId="147EDAE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aps w:val="0"/>
                      <w:color w:val="auto"/>
                      <w:spacing w:val="0"/>
                      <w:sz w:val="21"/>
                      <w:szCs w:val="21"/>
                      <w:shd w:val="clear" w:fill="FFFFFF"/>
                    </w:rPr>
                    <w:t>非标，电加热，用于原料熔融涂覆</w:t>
                  </w:r>
                </w:p>
              </w:tc>
              <w:tc>
                <w:tcPr>
                  <w:tcW w:w="911" w:type="dxa"/>
                  <w:tcBorders>
                    <w:tl2br w:val="nil"/>
                    <w:tr2bl w:val="nil"/>
                  </w:tcBorders>
                  <w:vAlign w:val="center"/>
                </w:tcPr>
                <w:p w14:paraId="6322F2D2">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vMerge w:val="continue"/>
                  <w:tcBorders>
                    <w:tl2br w:val="nil"/>
                    <w:tr2bl w:val="nil"/>
                  </w:tcBorders>
                  <w:vAlign w:val="center"/>
                </w:tcPr>
                <w:p w14:paraId="64795BA4">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2611A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tl2br w:val="nil"/>
                    <w:tr2bl w:val="nil"/>
                  </w:tcBorders>
                  <w:vAlign w:val="center"/>
                </w:tcPr>
                <w:p w14:paraId="0CD0392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533" w:type="dxa"/>
                  <w:gridSpan w:val="2"/>
                  <w:tcBorders>
                    <w:tl2br w:val="nil"/>
                    <w:tr2bl w:val="nil"/>
                  </w:tcBorders>
                  <w:vAlign w:val="center"/>
                </w:tcPr>
                <w:p w14:paraId="1982AEB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车床</w:t>
                  </w:r>
                </w:p>
              </w:tc>
              <w:tc>
                <w:tcPr>
                  <w:tcW w:w="2565" w:type="dxa"/>
                  <w:tcBorders>
                    <w:tl2br w:val="nil"/>
                    <w:tr2bl w:val="nil"/>
                  </w:tcBorders>
                  <w:vAlign w:val="center"/>
                </w:tcPr>
                <w:p w14:paraId="1D946D7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tl2br w:val="nil"/>
                    <w:tr2bl w:val="nil"/>
                  </w:tcBorders>
                  <w:vAlign w:val="center"/>
                </w:tcPr>
                <w:p w14:paraId="6F14FA55">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vMerge w:val="restart"/>
                  <w:tcBorders>
                    <w:tl2br w:val="nil"/>
                    <w:tr2bl w:val="nil"/>
                  </w:tcBorders>
                  <w:vAlign w:val="center"/>
                </w:tcPr>
                <w:p w14:paraId="57DDC1A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车外圆</w:t>
                  </w:r>
                </w:p>
              </w:tc>
            </w:tr>
            <w:tr w14:paraId="215EB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18A38EEE">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33" w:type="dxa"/>
                  <w:gridSpan w:val="2"/>
                  <w:tcBorders>
                    <w:left w:val="single" w:color="auto" w:sz="4" w:space="0"/>
                    <w:tl2br w:val="nil"/>
                    <w:tr2bl w:val="nil"/>
                  </w:tcBorders>
                  <w:vAlign w:val="center"/>
                </w:tcPr>
                <w:p w14:paraId="02EB446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磨床</w:t>
                  </w:r>
                </w:p>
              </w:tc>
              <w:tc>
                <w:tcPr>
                  <w:tcW w:w="2565" w:type="dxa"/>
                  <w:tcBorders>
                    <w:tl2br w:val="nil"/>
                    <w:tr2bl w:val="nil"/>
                  </w:tcBorders>
                  <w:vAlign w:val="center"/>
                </w:tcPr>
                <w:p w14:paraId="031F646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SKM/360</w:t>
                  </w:r>
                </w:p>
              </w:tc>
              <w:tc>
                <w:tcPr>
                  <w:tcW w:w="911" w:type="dxa"/>
                  <w:tcBorders>
                    <w:right w:val="single" w:color="auto" w:sz="4" w:space="0"/>
                    <w:tl2br w:val="nil"/>
                    <w:tr2bl w:val="nil"/>
                  </w:tcBorders>
                  <w:vAlign w:val="center"/>
                </w:tcPr>
                <w:p w14:paraId="2EA42DD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39" w:type="dxa"/>
                  <w:vMerge w:val="continue"/>
                  <w:tcBorders>
                    <w:left w:val="single" w:color="auto" w:sz="4" w:space="0"/>
                    <w:tl2br w:val="nil"/>
                    <w:tr2bl w:val="nil"/>
                  </w:tcBorders>
                  <w:vAlign w:val="center"/>
                </w:tcPr>
                <w:p w14:paraId="09F916C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48ACD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7203BE60">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533" w:type="dxa"/>
                  <w:gridSpan w:val="2"/>
                  <w:tcBorders>
                    <w:left w:val="single" w:color="auto" w:sz="4" w:space="0"/>
                    <w:tl2br w:val="nil"/>
                    <w:tr2bl w:val="nil"/>
                  </w:tcBorders>
                  <w:vAlign w:val="center"/>
                </w:tcPr>
                <w:p w14:paraId="09029AB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破碎机</w:t>
                  </w:r>
                </w:p>
              </w:tc>
              <w:tc>
                <w:tcPr>
                  <w:tcW w:w="2565" w:type="dxa"/>
                  <w:tcBorders>
                    <w:tl2br w:val="nil"/>
                    <w:tr2bl w:val="nil"/>
                  </w:tcBorders>
                  <w:shd w:val="clear" w:color="auto" w:fill="auto"/>
                  <w:vAlign w:val="center"/>
                </w:tcPr>
                <w:p w14:paraId="5CF16F7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shd w:val="clear" w:color="auto" w:fill="auto"/>
                  <w:vAlign w:val="center"/>
                </w:tcPr>
                <w:p w14:paraId="09200E0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739" w:type="dxa"/>
                  <w:tcBorders>
                    <w:left w:val="single" w:color="auto" w:sz="4" w:space="0"/>
                    <w:tl2br w:val="nil"/>
                    <w:tr2bl w:val="nil"/>
                  </w:tcBorders>
                  <w:vAlign w:val="center"/>
                </w:tcPr>
                <w:p w14:paraId="467412F2">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破碎</w:t>
                  </w:r>
                </w:p>
              </w:tc>
            </w:tr>
            <w:tr w14:paraId="0DDEA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91" w:type="dxa"/>
                  <w:gridSpan w:val="2"/>
                  <w:tcBorders>
                    <w:right w:val="single" w:color="auto" w:sz="4" w:space="0"/>
                    <w:tl2br w:val="nil"/>
                    <w:tr2bl w:val="nil"/>
                  </w:tcBorders>
                  <w:vAlign w:val="center"/>
                </w:tcPr>
                <w:p w14:paraId="59D19E05">
                  <w:pPr>
                    <w:pStyle w:val="57"/>
                    <w:keepNext w:val="0"/>
                    <w:keepLines w:val="0"/>
                    <w:pageBreakBefore w:val="0"/>
                    <w:widowControl w:val="0"/>
                    <w:tabs>
                      <w:tab w:val="left" w:pos="5040"/>
                    </w:tabs>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五</w:t>
                  </w:r>
                </w:p>
              </w:tc>
              <w:tc>
                <w:tcPr>
                  <w:tcW w:w="6744" w:type="dxa"/>
                  <w:gridSpan w:val="4"/>
                  <w:tcBorders>
                    <w:left w:val="single" w:color="auto" w:sz="4" w:space="0"/>
                    <w:tl2br w:val="nil"/>
                    <w:tr2bl w:val="nil"/>
                  </w:tcBorders>
                  <w:vAlign w:val="center"/>
                </w:tcPr>
                <w:p w14:paraId="120E5E45">
                  <w:pPr>
                    <w:pStyle w:val="57"/>
                    <w:keepNext w:val="0"/>
                    <w:keepLines w:val="0"/>
                    <w:pageBreakBefore w:val="0"/>
                    <w:widowControl w:val="0"/>
                    <w:tabs>
                      <w:tab w:val="left" w:pos="5040"/>
                    </w:tabs>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其他公用设备</w:t>
                  </w:r>
                </w:p>
              </w:tc>
            </w:tr>
            <w:tr w14:paraId="40C25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7FB1A8E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533" w:type="dxa"/>
                  <w:gridSpan w:val="2"/>
                  <w:tcBorders>
                    <w:left w:val="single" w:color="auto" w:sz="4" w:space="0"/>
                    <w:tl2br w:val="nil"/>
                    <w:tr2bl w:val="nil"/>
                  </w:tcBorders>
                  <w:vAlign w:val="center"/>
                </w:tcPr>
                <w:p w14:paraId="77B3C7A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污水处理系统风机</w:t>
                  </w:r>
                </w:p>
              </w:tc>
              <w:tc>
                <w:tcPr>
                  <w:tcW w:w="2565" w:type="dxa"/>
                  <w:tcBorders>
                    <w:tl2br w:val="nil"/>
                    <w:tr2bl w:val="nil"/>
                  </w:tcBorders>
                  <w:vAlign w:val="center"/>
                </w:tcPr>
                <w:p w14:paraId="11BA8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罗茨风机，Q=50m</w:t>
                  </w:r>
                  <w:r>
                    <w:rPr>
                      <w:rFonts w:hint="default" w:ascii="Times New Roman" w:hAnsi="Times New Roman" w:eastAsia="宋体" w:cs="Times New Roman"/>
                      <w:i w:val="0"/>
                      <w:iCs w:val="0"/>
                      <w:caps w:val="0"/>
                      <w:color w:val="auto"/>
                      <w:spacing w:val="0"/>
                      <w:sz w:val="21"/>
                      <w:szCs w:val="21"/>
                      <w:shd w:val="clear" w:fill="FFFFFF"/>
                      <w:vertAlign w:val="superscript"/>
                      <w:lang w:val="en-US" w:eastAsia="zh-CN"/>
                    </w:rPr>
                    <w:t>3</w:t>
                  </w:r>
                  <w:r>
                    <w:rPr>
                      <w:rFonts w:hint="default" w:ascii="Times New Roman" w:hAnsi="Times New Roman" w:eastAsia="宋体" w:cs="Times New Roman"/>
                      <w:i w:val="0"/>
                      <w:iCs w:val="0"/>
                      <w:caps w:val="0"/>
                      <w:color w:val="auto"/>
                      <w:spacing w:val="0"/>
                      <w:sz w:val="21"/>
                      <w:szCs w:val="21"/>
                      <w:shd w:val="clear" w:fill="FFFFFF"/>
                    </w:rPr>
                    <w:t>/min，P=68.6kPa，n=980r/min</w:t>
                  </w:r>
                </w:p>
              </w:tc>
              <w:tc>
                <w:tcPr>
                  <w:tcW w:w="911" w:type="dxa"/>
                  <w:tcBorders>
                    <w:right w:val="single" w:color="auto" w:sz="4" w:space="0"/>
                    <w:tl2br w:val="nil"/>
                    <w:tr2bl w:val="nil"/>
                  </w:tcBorders>
                  <w:vAlign w:val="center"/>
                </w:tcPr>
                <w:p w14:paraId="64F69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1739" w:type="dxa"/>
                  <w:tcBorders>
                    <w:left w:val="single" w:color="auto" w:sz="4" w:space="0"/>
                    <w:tl2br w:val="nil"/>
                    <w:tr2bl w:val="nil"/>
                  </w:tcBorders>
                  <w:vAlign w:val="center"/>
                </w:tcPr>
                <w:p w14:paraId="110F7C22">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废气处理装置</w:t>
                  </w:r>
                </w:p>
              </w:tc>
            </w:tr>
            <w:tr w14:paraId="2376C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10A4391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533" w:type="dxa"/>
                  <w:gridSpan w:val="2"/>
                  <w:tcBorders>
                    <w:left w:val="single" w:color="auto" w:sz="4" w:space="0"/>
                    <w:tl2br w:val="nil"/>
                    <w:tr2bl w:val="nil"/>
                  </w:tcBorders>
                  <w:vAlign w:val="center"/>
                </w:tcPr>
                <w:p w14:paraId="6E4F053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压滤机</w:t>
                  </w:r>
                </w:p>
              </w:tc>
              <w:tc>
                <w:tcPr>
                  <w:tcW w:w="2565" w:type="dxa"/>
                  <w:tcBorders>
                    <w:tl2br w:val="nil"/>
                    <w:tr2bl w:val="nil"/>
                  </w:tcBorders>
                  <w:vAlign w:val="center"/>
                </w:tcPr>
                <w:p w14:paraId="62C54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color w:val="auto"/>
                      <w:spacing w:val="0"/>
                      <w:sz w:val="21"/>
                      <w:szCs w:val="21"/>
                      <w:shd w:val="clear" w:fill="FFFFFF"/>
                    </w:rPr>
                    <w:t>厢式压滤机，过滤面积200m²，工作压力1.0MPa</w:t>
                  </w:r>
                </w:p>
              </w:tc>
              <w:tc>
                <w:tcPr>
                  <w:tcW w:w="911" w:type="dxa"/>
                  <w:tcBorders>
                    <w:right w:val="single" w:color="auto" w:sz="4" w:space="0"/>
                    <w:tl2br w:val="nil"/>
                    <w:tr2bl w:val="nil"/>
                  </w:tcBorders>
                  <w:vAlign w:val="center"/>
                </w:tcPr>
                <w:p w14:paraId="567E9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1739" w:type="dxa"/>
                  <w:tcBorders>
                    <w:left w:val="single" w:color="auto" w:sz="4" w:space="0"/>
                    <w:tl2br w:val="nil"/>
                    <w:tr2bl w:val="nil"/>
                  </w:tcBorders>
                  <w:vAlign w:val="center"/>
                </w:tcPr>
                <w:p w14:paraId="02D7CDB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废水处理池</w:t>
                  </w:r>
                </w:p>
              </w:tc>
            </w:tr>
            <w:tr w14:paraId="4A5EF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shd w:val="clear" w:color="auto" w:fill="auto"/>
                  <w:vAlign w:val="center"/>
                </w:tcPr>
                <w:p w14:paraId="16141FA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533" w:type="dxa"/>
                  <w:gridSpan w:val="2"/>
                  <w:tcBorders>
                    <w:left w:val="single" w:color="auto" w:sz="4" w:space="0"/>
                    <w:tl2br w:val="nil"/>
                    <w:tr2bl w:val="nil"/>
                  </w:tcBorders>
                  <w:shd w:val="clear" w:color="auto" w:fill="auto"/>
                  <w:vAlign w:val="center"/>
                </w:tcPr>
                <w:p w14:paraId="2EF6F6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变压器</w:t>
                  </w:r>
                </w:p>
              </w:tc>
              <w:tc>
                <w:tcPr>
                  <w:tcW w:w="2565" w:type="dxa"/>
                  <w:tcBorders>
                    <w:tl2br w:val="nil"/>
                    <w:tr2bl w:val="nil"/>
                  </w:tcBorders>
                  <w:shd w:val="clear" w:color="auto" w:fill="auto"/>
                  <w:vAlign w:val="center"/>
                </w:tcPr>
                <w:p w14:paraId="47FD9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SCB14-315</w:t>
                  </w:r>
                </w:p>
              </w:tc>
              <w:tc>
                <w:tcPr>
                  <w:tcW w:w="911" w:type="dxa"/>
                  <w:tcBorders>
                    <w:right w:val="single" w:color="auto" w:sz="4" w:space="0"/>
                    <w:tl2br w:val="nil"/>
                    <w:tr2bl w:val="nil"/>
                  </w:tcBorders>
                  <w:shd w:val="clear" w:color="auto" w:fill="auto"/>
                  <w:vAlign w:val="center"/>
                </w:tcPr>
                <w:p w14:paraId="271C2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739" w:type="dxa"/>
                  <w:vMerge w:val="restart"/>
                  <w:tcBorders>
                    <w:left w:val="single" w:color="auto" w:sz="4" w:space="0"/>
                    <w:tl2br w:val="nil"/>
                    <w:tr2bl w:val="nil"/>
                  </w:tcBorders>
                  <w:vAlign w:val="center"/>
                </w:tcPr>
                <w:p w14:paraId="6344DA8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配电设备</w:t>
                  </w:r>
                </w:p>
              </w:tc>
            </w:tr>
            <w:tr w14:paraId="0AE15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shd w:val="clear" w:color="auto" w:fill="auto"/>
                  <w:vAlign w:val="center"/>
                </w:tcPr>
                <w:p w14:paraId="1DF553B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533" w:type="dxa"/>
                  <w:gridSpan w:val="2"/>
                  <w:tcBorders>
                    <w:left w:val="single" w:color="auto" w:sz="4" w:space="0"/>
                    <w:tl2br w:val="nil"/>
                    <w:tr2bl w:val="nil"/>
                  </w:tcBorders>
                  <w:shd w:val="clear" w:color="auto" w:fill="auto"/>
                  <w:vAlign w:val="center"/>
                </w:tcPr>
                <w:p w14:paraId="066FF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变压器</w:t>
                  </w:r>
                </w:p>
              </w:tc>
              <w:tc>
                <w:tcPr>
                  <w:tcW w:w="2565" w:type="dxa"/>
                  <w:tcBorders>
                    <w:tl2br w:val="nil"/>
                    <w:tr2bl w:val="nil"/>
                  </w:tcBorders>
                  <w:shd w:val="clear" w:color="auto" w:fill="auto"/>
                  <w:vAlign w:val="center"/>
                </w:tcPr>
                <w:p w14:paraId="04517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SCB14-2500</w:t>
                  </w:r>
                </w:p>
              </w:tc>
              <w:tc>
                <w:tcPr>
                  <w:tcW w:w="911" w:type="dxa"/>
                  <w:tcBorders>
                    <w:right w:val="single" w:color="auto" w:sz="4" w:space="0"/>
                    <w:tl2br w:val="nil"/>
                    <w:tr2bl w:val="nil"/>
                  </w:tcBorders>
                  <w:shd w:val="clear" w:color="auto" w:fill="auto"/>
                  <w:vAlign w:val="center"/>
                </w:tcPr>
                <w:p w14:paraId="3CA79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739" w:type="dxa"/>
                  <w:vMerge w:val="continue"/>
                  <w:tcBorders>
                    <w:left w:val="single" w:color="auto" w:sz="4" w:space="0"/>
                    <w:tl2br w:val="nil"/>
                    <w:tr2bl w:val="nil"/>
                  </w:tcBorders>
                  <w:vAlign w:val="center"/>
                </w:tcPr>
                <w:p w14:paraId="62248AA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B29E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1CD302D3">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533" w:type="dxa"/>
                  <w:gridSpan w:val="2"/>
                  <w:tcBorders>
                    <w:left w:val="single" w:color="auto" w:sz="4" w:space="0"/>
                    <w:tl2br w:val="nil"/>
                    <w:tr2bl w:val="nil"/>
                  </w:tcBorders>
                  <w:shd w:val="clear" w:color="auto" w:fill="auto"/>
                  <w:vAlign w:val="center"/>
                </w:tcPr>
                <w:p w14:paraId="43AF6D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SA"/>
                    </w:rPr>
                    <w:t>变压器</w:t>
                  </w:r>
                </w:p>
              </w:tc>
              <w:tc>
                <w:tcPr>
                  <w:tcW w:w="2565" w:type="dxa"/>
                  <w:tcBorders>
                    <w:tl2br w:val="nil"/>
                    <w:tr2bl w:val="nil"/>
                  </w:tcBorders>
                  <w:shd w:val="clear" w:color="auto" w:fill="auto"/>
                  <w:vAlign w:val="center"/>
                </w:tcPr>
                <w:p w14:paraId="7E1352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SA"/>
                    </w:rPr>
                    <w:t>SCB14-2500</w:t>
                  </w:r>
                </w:p>
              </w:tc>
              <w:tc>
                <w:tcPr>
                  <w:tcW w:w="911" w:type="dxa"/>
                  <w:tcBorders>
                    <w:right w:val="single" w:color="auto" w:sz="4" w:space="0"/>
                    <w:tl2br w:val="nil"/>
                    <w:tr2bl w:val="nil"/>
                  </w:tcBorders>
                  <w:shd w:val="clear" w:color="auto" w:fill="auto"/>
                  <w:vAlign w:val="center"/>
                </w:tcPr>
                <w:p w14:paraId="6B611E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739" w:type="dxa"/>
                  <w:vMerge w:val="continue"/>
                  <w:tcBorders>
                    <w:left w:val="single" w:color="auto" w:sz="4" w:space="0"/>
                    <w:tl2br w:val="nil"/>
                    <w:tr2bl w:val="nil"/>
                  </w:tcBorders>
                  <w:vAlign w:val="center"/>
                </w:tcPr>
                <w:p w14:paraId="4973176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2332E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7D4B16D5">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533" w:type="dxa"/>
                  <w:gridSpan w:val="2"/>
                  <w:tcBorders>
                    <w:left w:val="single" w:color="auto" w:sz="4" w:space="0"/>
                    <w:tl2br w:val="nil"/>
                    <w:tr2bl w:val="nil"/>
                  </w:tcBorders>
                  <w:shd w:val="clear" w:color="auto" w:fill="auto"/>
                  <w:vAlign w:val="center"/>
                </w:tcPr>
                <w:p w14:paraId="6705D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SA"/>
                    </w:rPr>
                    <w:t>变压器</w:t>
                  </w:r>
                </w:p>
              </w:tc>
              <w:tc>
                <w:tcPr>
                  <w:tcW w:w="2565" w:type="dxa"/>
                  <w:tcBorders>
                    <w:tl2br w:val="nil"/>
                    <w:tr2bl w:val="nil"/>
                  </w:tcBorders>
                  <w:shd w:val="clear" w:color="auto" w:fill="auto"/>
                  <w:vAlign w:val="center"/>
                </w:tcPr>
                <w:p w14:paraId="3D960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SA"/>
                    </w:rPr>
                    <w:t>SCB14-2000</w:t>
                  </w:r>
                </w:p>
              </w:tc>
              <w:tc>
                <w:tcPr>
                  <w:tcW w:w="911" w:type="dxa"/>
                  <w:tcBorders>
                    <w:right w:val="single" w:color="auto" w:sz="4" w:space="0"/>
                    <w:tl2br w:val="nil"/>
                    <w:tr2bl w:val="nil"/>
                  </w:tcBorders>
                  <w:shd w:val="clear" w:color="auto" w:fill="auto"/>
                  <w:vAlign w:val="center"/>
                </w:tcPr>
                <w:p w14:paraId="3BE9F0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739" w:type="dxa"/>
                  <w:vMerge w:val="continue"/>
                  <w:tcBorders>
                    <w:left w:val="single" w:color="auto" w:sz="4" w:space="0"/>
                    <w:tl2br w:val="nil"/>
                    <w:tr2bl w:val="nil"/>
                  </w:tcBorders>
                  <w:vAlign w:val="center"/>
                </w:tcPr>
                <w:p w14:paraId="408C747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32E61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494BD2C3">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六</w:t>
                  </w:r>
                </w:p>
              </w:tc>
              <w:tc>
                <w:tcPr>
                  <w:tcW w:w="6748" w:type="dxa"/>
                  <w:gridSpan w:val="5"/>
                  <w:tcBorders>
                    <w:left w:val="single" w:color="auto" w:sz="4" w:space="0"/>
                    <w:tl2br w:val="nil"/>
                    <w:tr2bl w:val="nil"/>
                  </w:tcBorders>
                  <w:vAlign w:val="center"/>
                </w:tcPr>
                <w:p w14:paraId="1D7325D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4"/>
                      <w:sz w:val="21"/>
                      <w:szCs w:val="21"/>
                      <w:highlight w:val="none"/>
                      <w:lang w:val="en-US" w:eastAsia="zh-CN"/>
                    </w:rPr>
                  </w:pPr>
                  <w:r>
                    <w:rPr>
                      <w:rFonts w:hint="default" w:ascii="Times New Roman" w:hAnsi="Times New Roman" w:eastAsia="宋体" w:cs="Times New Roman"/>
                      <w:b/>
                      <w:bCs/>
                      <w:color w:val="auto"/>
                      <w:spacing w:val="4"/>
                      <w:sz w:val="21"/>
                      <w:szCs w:val="21"/>
                      <w:highlight w:val="none"/>
                      <w:lang w:val="en-US" w:eastAsia="zh-CN"/>
                    </w:rPr>
                    <w:t>检测设备</w:t>
                  </w:r>
                </w:p>
              </w:tc>
            </w:tr>
            <w:tr w14:paraId="03646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427C5CC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533" w:type="dxa"/>
                  <w:gridSpan w:val="2"/>
                  <w:tcBorders>
                    <w:left w:val="single" w:color="auto" w:sz="4" w:space="0"/>
                    <w:tl2br w:val="nil"/>
                    <w:tr2bl w:val="nil"/>
                  </w:tcBorders>
                  <w:vAlign w:val="center"/>
                </w:tcPr>
                <w:p w14:paraId="1128C16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8"/>
                      <w:sz w:val="21"/>
                      <w:szCs w:val="21"/>
                      <w:highlight w:val="none"/>
                    </w:rPr>
                    <w:t>电子天平</w:t>
                  </w:r>
                </w:p>
              </w:tc>
              <w:tc>
                <w:tcPr>
                  <w:tcW w:w="2565" w:type="dxa"/>
                  <w:tcBorders>
                    <w:tl2br w:val="nil"/>
                    <w:tr2bl w:val="nil"/>
                  </w:tcBorders>
                  <w:vAlign w:val="center"/>
                </w:tcPr>
                <w:p w14:paraId="6944C9F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vAlign w:val="center"/>
                </w:tcPr>
                <w:p w14:paraId="463BA5EC">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39" w:type="dxa"/>
                  <w:vMerge w:val="restart"/>
                  <w:tcBorders>
                    <w:left w:val="single" w:color="auto" w:sz="4" w:space="0"/>
                    <w:tl2br w:val="nil"/>
                    <w:tr2bl w:val="nil"/>
                  </w:tcBorders>
                  <w:vAlign w:val="center"/>
                </w:tcPr>
                <w:p w14:paraId="11F6DD4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9"/>
                      <w:sz w:val="21"/>
                      <w:szCs w:val="21"/>
                      <w:highlight w:val="none"/>
                    </w:rPr>
                    <w:t>产品检验</w:t>
                  </w:r>
                </w:p>
              </w:tc>
            </w:tr>
            <w:tr w14:paraId="1EC77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7050F04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533" w:type="dxa"/>
                  <w:gridSpan w:val="2"/>
                  <w:tcBorders>
                    <w:left w:val="single" w:color="auto" w:sz="4" w:space="0"/>
                    <w:tl2br w:val="nil"/>
                    <w:tr2bl w:val="nil"/>
                  </w:tcBorders>
                  <w:vAlign w:val="center"/>
                </w:tcPr>
                <w:p w14:paraId="3241FB9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放大镜</w:t>
                  </w:r>
                </w:p>
              </w:tc>
              <w:tc>
                <w:tcPr>
                  <w:tcW w:w="2565" w:type="dxa"/>
                  <w:tcBorders>
                    <w:tl2br w:val="nil"/>
                    <w:tr2bl w:val="nil"/>
                  </w:tcBorders>
                  <w:vAlign w:val="center"/>
                </w:tcPr>
                <w:p w14:paraId="06C02A62">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vAlign w:val="center"/>
                </w:tcPr>
                <w:p w14:paraId="0F828DF0">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39" w:type="dxa"/>
                  <w:vMerge w:val="continue"/>
                  <w:tcBorders>
                    <w:left w:val="single" w:color="auto" w:sz="4" w:space="0"/>
                    <w:tl2br w:val="nil"/>
                    <w:tr2bl w:val="nil"/>
                  </w:tcBorders>
                  <w:vAlign w:val="center"/>
                </w:tcPr>
                <w:p w14:paraId="3EAF7E1F">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0C309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218E25B7">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33" w:type="dxa"/>
                  <w:gridSpan w:val="2"/>
                  <w:tcBorders>
                    <w:left w:val="single" w:color="auto" w:sz="4" w:space="0"/>
                    <w:tl2br w:val="nil"/>
                    <w:tr2bl w:val="nil"/>
                  </w:tcBorders>
                  <w:vAlign w:val="center"/>
                </w:tcPr>
                <w:p w14:paraId="6DA30EE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8"/>
                      <w:sz w:val="21"/>
                      <w:szCs w:val="21"/>
                      <w:highlight w:val="none"/>
                    </w:rPr>
                    <w:t>箱式电阻炉</w:t>
                  </w:r>
                </w:p>
              </w:tc>
              <w:tc>
                <w:tcPr>
                  <w:tcW w:w="2565" w:type="dxa"/>
                  <w:tcBorders>
                    <w:tl2br w:val="nil"/>
                    <w:tr2bl w:val="nil"/>
                  </w:tcBorders>
                  <w:vAlign w:val="center"/>
                </w:tcPr>
                <w:p w14:paraId="59A2B22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vAlign w:val="center"/>
                </w:tcPr>
                <w:p w14:paraId="0776AFA6">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39" w:type="dxa"/>
                  <w:vMerge w:val="continue"/>
                  <w:tcBorders>
                    <w:left w:val="single" w:color="auto" w:sz="4" w:space="0"/>
                    <w:tl2br w:val="nil"/>
                    <w:tr2bl w:val="nil"/>
                  </w:tcBorders>
                  <w:vAlign w:val="center"/>
                </w:tcPr>
                <w:p w14:paraId="19EEE0E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201A3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709A967A">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533" w:type="dxa"/>
                  <w:gridSpan w:val="2"/>
                  <w:tcBorders>
                    <w:left w:val="single" w:color="auto" w:sz="4" w:space="0"/>
                    <w:tl2br w:val="nil"/>
                    <w:tr2bl w:val="nil"/>
                  </w:tcBorders>
                  <w:vAlign w:val="center"/>
                </w:tcPr>
                <w:p w14:paraId="117253C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电热鼓风干燥箱</w:t>
                  </w:r>
                </w:p>
              </w:tc>
              <w:tc>
                <w:tcPr>
                  <w:tcW w:w="2565" w:type="dxa"/>
                  <w:tcBorders>
                    <w:tl2br w:val="nil"/>
                    <w:tr2bl w:val="nil"/>
                  </w:tcBorders>
                  <w:vAlign w:val="center"/>
                </w:tcPr>
                <w:p w14:paraId="17A2505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vAlign w:val="center"/>
                </w:tcPr>
                <w:p w14:paraId="6D403D1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39" w:type="dxa"/>
                  <w:vMerge w:val="continue"/>
                  <w:tcBorders>
                    <w:left w:val="single" w:color="auto" w:sz="4" w:space="0"/>
                    <w:tl2br w:val="nil"/>
                    <w:tr2bl w:val="nil"/>
                  </w:tcBorders>
                  <w:vAlign w:val="center"/>
                </w:tcPr>
                <w:p w14:paraId="48A45DE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403C0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87" w:type="dxa"/>
                  <w:tcBorders>
                    <w:right w:val="single" w:color="auto" w:sz="4" w:space="0"/>
                    <w:tl2br w:val="nil"/>
                    <w:tr2bl w:val="nil"/>
                  </w:tcBorders>
                  <w:vAlign w:val="center"/>
                </w:tcPr>
                <w:p w14:paraId="172E1A7B">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533" w:type="dxa"/>
                  <w:gridSpan w:val="2"/>
                  <w:tcBorders>
                    <w:left w:val="single" w:color="auto" w:sz="4" w:space="0"/>
                    <w:tl2br w:val="nil"/>
                    <w:tr2bl w:val="nil"/>
                  </w:tcBorders>
                  <w:vAlign w:val="center"/>
                </w:tcPr>
                <w:p w14:paraId="397F3C3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玻璃器皿</w:t>
                  </w:r>
                </w:p>
              </w:tc>
              <w:tc>
                <w:tcPr>
                  <w:tcW w:w="2565" w:type="dxa"/>
                  <w:tcBorders>
                    <w:tl2br w:val="nil"/>
                    <w:tr2bl w:val="nil"/>
                  </w:tcBorders>
                  <w:vAlign w:val="center"/>
                </w:tcPr>
                <w:p w14:paraId="51ED671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11" w:type="dxa"/>
                  <w:tcBorders>
                    <w:right w:val="single" w:color="auto" w:sz="4" w:space="0"/>
                    <w:tl2br w:val="nil"/>
                    <w:tr2bl w:val="nil"/>
                  </w:tcBorders>
                  <w:vAlign w:val="center"/>
                </w:tcPr>
                <w:p w14:paraId="3663B25D">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739" w:type="dxa"/>
                  <w:vMerge w:val="continue"/>
                  <w:tcBorders>
                    <w:left w:val="single" w:color="auto" w:sz="4" w:space="0"/>
                    <w:tl2br w:val="nil"/>
                    <w:tr2bl w:val="nil"/>
                  </w:tcBorders>
                  <w:vAlign w:val="center"/>
                </w:tcPr>
                <w:p w14:paraId="425B0868">
                  <w:pPr>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bl>
          <w:p w14:paraId="430F8E91">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主要设备电熔炉指标见下表。</w:t>
            </w:r>
          </w:p>
          <w:p w14:paraId="646B9D08">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ascii="Times New Roman" w:hAnsi="Times New Roman" w:eastAsia="宋体" w:cs="Times New Roman"/>
                <w:b/>
                <w:color w:val="auto"/>
                <w:sz w:val="21"/>
                <w:szCs w:val="21"/>
                <w:highlight w:val="none"/>
                <w:lang w:val="en-US" w:eastAsia="zh-CN"/>
              </w:rPr>
              <w:t>7</w:t>
            </w:r>
            <w:r>
              <w:rPr>
                <w:rFonts w:hint="eastAsia" w:cs="Times New Roman"/>
                <w:b/>
                <w:color w:val="auto"/>
                <w:sz w:val="21"/>
                <w:szCs w:val="21"/>
                <w:highlight w:val="none"/>
                <w:lang w:val="en-US" w:eastAsia="zh-CN"/>
              </w:rPr>
              <w:t xml:space="preserve">  </w:t>
            </w:r>
            <w:r>
              <w:rPr>
                <w:rFonts w:hint="eastAsia" w:ascii="Times New Roman" w:hAnsi="Times New Roman" w:eastAsia="宋体" w:cs="Times New Roman"/>
                <w:b/>
                <w:color w:val="auto"/>
                <w:sz w:val="21"/>
                <w:szCs w:val="21"/>
                <w:highlight w:val="none"/>
                <w:lang w:val="en-US" w:eastAsia="zh-CN"/>
              </w:rPr>
              <w:t>电熔炉指标一览表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6716"/>
            </w:tblGrid>
            <w:tr w14:paraId="0232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301FAFAB">
                  <w:pPr>
                    <w:pStyle w:val="2"/>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项目内容</w:t>
                  </w:r>
                </w:p>
              </w:tc>
              <w:tc>
                <w:tcPr>
                  <w:tcW w:w="6725" w:type="dxa"/>
                  <w:vAlign w:val="center"/>
                </w:tcPr>
                <w:p w14:paraId="79CA6065">
                  <w:pPr>
                    <w:pStyle w:val="2"/>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电熔炉</w:t>
                  </w:r>
                </w:p>
              </w:tc>
            </w:tr>
            <w:tr w14:paraId="2DF8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06DD150A">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废气污染</w:t>
                  </w:r>
                </w:p>
              </w:tc>
              <w:tc>
                <w:tcPr>
                  <w:tcW w:w="6725" w:type="dxa"/>
                  <w:vAlign w:val="center"/>
                </w:tcPr>
                <w:p w14:paraId="55E9C701">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电窑炉全密闭，冷顶垂直熔化，废气产生较少，主要为烟尘。</w:t>
                  </w:r>
                </w:p>
              </w:tc>
            </w:tr>
            <w:tr w14:paraId="5076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573DD9F5">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原料挥发</w:t>
                  </w:r>
                </w:p>
              </w:tc>
              <w:tc>
                <w:tcPr>
                  <w:tcW w:w="6725" w:type="dxa"/>
                  <w:vAlign w:val="center"/>
                </w:tcPr>
                <w:p w14:paraId="7E2221BD">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冷顶垂直熔化，在熔化过程中易挥发组分被凝聚在生料层中，当生料熔化时又重新转移到玻璃液中去，减少原料的挥发。节省原料。</w:t>
                  </w:r>
                </w:p>
              </w:tc>
            </w:tr>
            <w:tr w14:paraId="11DE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3C4023FE">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玻璃品质</w:t>
                  </w:r>
                </w:p>
              </w:tc>
              <w:tc>
                <w:tcPr>
                  <w:tcW w:w="6725" w:type="dxa"/>
                  <w:vAlign w:val="center"/>
                </w:tcPr>
                <w:p w14:paraId="0E03A6E6">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熔化池温度热点均布在整个熔化池水平断面中，全部玻璃都经历相同的热历史，玻璃得到均匀的高温熔化，避免了玻璃的不均匀及气泡、结石的产生。</w:t>
                  </w:r>
                </w:p>
              </w:tc>
            </w:tr>
            <w:tr w14:paraId="3872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0D6820CE">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占地面积</w:t>
                  </w:r>
                </w:p>
              </w:tc>
              <w:tc>
                <w:tcPr>
                  <w:tcW w:w="6725" w:type="dxa"/>
                  <w:vAlign w:val="center"/>
                </w:tcPr>
                <w:p w14:paraId="78469B4F">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占地面积小，窑炉占地面积只有池炉的1/6，节省大量的面积。</w:t>
                  </w:r>
                </w:p>
              </w:tc>
            </w:tr>
            <w:tr w14:paraId="26EE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122F921B">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停产恢复</w:t>
                  </w:r>
                </w:p>
              </w:tc>
              <w:tc>
                <w:tcPr>
                  <w:tcW w:w="6725" w:type="dxa"/>
                  <w:vAlign w:val="center"/>
                </w:tcPr>
                <w:p w14:paraId="00559FDC">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适当供给熔化池、流液洞、上升道一定的电功率进行保温，可以不加料、不出料，恢复生产8～24小时。</w:t>
                  </w:r>
                </w:p>
              </w:tc>
            </w:tr>
            <w:tr w14:paraId="033F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1A258059">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大修时间</w:t>
                  </w:r>
                </w:p>
              </w:tc>
              <w:tc>
                <w:tcPr>
                  <w:tcW w:w="6725" w:type="dxa"/>
                  <w:vAlign w:val="center"/>
                </w:tcPr>
                <w:p w14:paraId="5D900F10">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拆炉到出料需20～30天。</w:t>
                  </w:r>
                </w:p>
              </w:tc>
            </w:tr>
            <w:tr w14:paraId="5211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1C6B744E">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日常维护</w:t>
                  </w:r>
                </w:p>
              </w:tc>
              <w:tc>
                <w:tcPr>
                  <w:tcW w:w="6725" w:type="dxa"/>
                  <w:vAlign w:val="center"/>
                </w:tcPr>
                <w:p w14:paraId="16CDA739">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运行中不需要更换耐火材料、电极组件、电气等，没有费用产生。</w:t>
                  </w:r>
                </w:p>
              </w:tc>
            </w:tr>
            <w:tr w14:paraId="231C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0" w:type="dxa"/>
                  <w:vAlign w:val="center"/>
                </w:tcPr>
                <w:p w14:paraId="29F41A45">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操作控制</w:t>
                  </w:r>
                </w:p>
              </w:tc>
              <w:tc>
                <w:tcPr>
                  <w:tcW w:w="6725" w:type="dxa"/>
                  <w:vAlign w:val="center"/>
                </w:tcPr>
                <w:p w14:paraId="67969623">
                  <w:pPr>
                    <w:pStyle w:val="2"/>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易于调节控制，操作方便，可实现自动控制，热工制度比池炉稳定。</w:t>
                  </w:r>
                </w:p>
              </w:tc>
            </w:tr>
          </w:tbl>
          <w:p w14:paraId="6F4F36C4">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6、</w:t>
            </w:r>
            <w:r>
              <w:rPr>
                <w:rFonts w:hint="default" w:ascii="Times New Roman" w:hAnsi="Times New Roman" w:eastAsia="宋体" w:cs="Times New Roman"/>
                <w:b/>
                <w:bCs w:val="0"/>
                <w:color w:val="auto"/>
                <w:sz w:val="24"/>
                <w:szCs w:val="24"/>
                <w:highlight w:val="none"/>
                <w:lang w:val="en-US" w:eastAsia="zh-CN"/>
              </w:rPr>
              <w:t>主要原辅材料及理化特性</w:t>
            </w:r>
          </w:p>
          <w:p w14:paraId="3498CDA7">
            <w:pPr>
              <w:pStyle w:val="19"/>
              <w:keepNext w:val="0"/>
              <w:keepLines w:val="0"/>
              <w:pageBreakBefore w:val="0"/>
              <w:widowControl w:val="0"/>
              <w:kinsoku/>
              <w:wordWrap/>
              <w:overflowPunct/>
              <w:topLinePunct/>
              <w:autoSpaceDE w:val="0"/>
              <w:autoSpaceDN/>
              <w:bidi w:val="0"/>
              <w:adjustRightInd/>
              <w:snapToGrid/>
              <w:spacing w:before="0" w:after="0" w:line="360" w:lineRule="auto"/>
              <w:ind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（1）主要原辅材料消耗</w:t>
            </w:r>
          </w:p>
          <w:p w14:paraId="5DBF8CE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项目主要原辅用料情况详见下表。</w:t>
            </w:r>
          </w:p>
          <w:p w14:paraId="18853C6F">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 xml:space="preserve">  项目原辅材料消耗一览表</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0"/>
              <w:gridCol w:w="18"/>
              <w:gridCol w:w="1785"/>
              <w:gridCol w:w="764"/>
              <w:gridCol w:w="634"/>
              <w:gridCol w:w="1316"/>
              <w:gridCol w:w="1050"/>
              <w:gridCol w:w="949"/>
              <w:gridCol w:w="1039"/>
            </w:tblGrid>
            <w:tr w14:paraId="4139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textDirection w:val="tbRlV"/>
                  <w:vAlign w:val="center"/>
                </w:tcPr>
                <w:p w14:paraId="7F0F2B3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序号</w:t>
                  </w:r>
                </w:p>
              </w:tc>
              <w:tc>
                <w:tcPr>
                  <w:tcW w:w="1785" w:type="dxa"/>
                  <w:tcBorders>
                    <w:tl2br w:val="nil"/>
                    <w:tr2bl w:val="nil"/>
                  </w:tcBorders>
                  <w:vAlign w:val="center"/>
                </w:tcPr>
                <w:p w14:paraId="53B7E55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名称</w:t>
                  </w:r>
                </w:p>
              </w:tc>
              <w:tc>
                <w:tcPr>
                  <w:tcW w:w="764" w:type="dxa"/>
                  <w:tcBorders>
                    <w:tl2br w:val="nil"/>
                    <w:tr2bl w:val="nil"/>
                  </w:tcBorders>
                  <w:vAlign w:val="center"/>
                </w:tcPr>
                <w:p w14:paraId="502EADC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3"/>
                      <w:sz w:val="21"/>
                      <w:szCs w:val="21"/>
                      <w:highlight w:val="none"/>
                    </w:rPr>
                    <w:t>年用量（t）</w:t>
                  </w:r>
                </w:p>
              </w:tc>
              <w:tc>
                <w:tcPr>
                  <w:tcW w:w="634" w:type="dxa"/>
                  <w:tcBorders>
                    <w:tl2br w:val="nil"/>
                    <w:tr2bl w:val="nil"/>
                  </w:tcBorders>
                  <w:vAlign w:val="center"/>
                </w:tcPr>
                <w:p w14:paraId="4AC1A75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储存方</w:t>
                  </w:r>
                  <w:r>
                    <w:rPr>
                      <w:rFonts w:hint="default" w:ascii="Times New Roman" w:hAnsi="Times New Roman" w:eastAsia="宋体" w:cs="Times New Roman"/>
                      <w:b/>
                      <w:bCs/>
                      <w:color w:val="auto"/>
                      <w:spacing w:val="-3"/>
                      <w:sz w:val="21"/>
                      <w:szCs w:val="21"/>
                      <w:highlight w:val="none"/>
                    </w:rPr>
                    <w:t>式</w:t>
                  </w:r>
                </w:p>
              </w:tc>
              <w:tc>
                <w:tcPr>
                  <w:tcW w:w="1316" w:type="dxa"/>
                  <w:tcBorders>
                    <w:tl2br w:val="nil"/>
                    <w:tr2bl w:val="nil"/>
                  </w:tcBorders>
                  <w:vAlign w:val="center"/>
                </w:tcPr>
                <w:p w14:paraId="12CCFFD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3"/>
                      <w:sz w:val="21"/>
                      <w:szCs w:val="21"/>
                      <w:highlight w:val="none"/>
                    </w:rPr>
                    <w:t>规格</w:t>
                  </w:r>
                  <w:r>
                    <w:rPr>
                      <w:rFonts w:hint="default" w:ascii="Times New Roman" w:hAnsi="Times New Roman" w:eastAsia="宋体" w:cs="Times New Roman"/>
                      <w:b/>
                      <w:bCs/>
                      <w:color w:val="auto"/>
                      <w:spacing w:val="5"/>
                      <w:sz w:val="21"/>
                      <w:szCs w:val="21"/>
                      <w:highlight w:val="none"/>
                      <w:lang w:val="en-US" w:eastAsia="zh-CN"/>
                    </w:rPr>
                    <w:t>及形态</w:t>
                  </w:r>
                </w:p>
              </w:tc>
              <w:tc>
                <w:tcPr>
                  <w:tcW w:w="1050" w:type="dxa"/>
                  <w:tcBorders>
                    <w:tl2br w:val="nil"/>
                    <w:tr2bl w:val="nil"/>
                  </w:tcBorders>
                  <w:vAlign w:val="center"/>
                </w:tcPr>
                <w:p w14:paraId="25BC8B2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最大暂存量</w:t>
                  </w:r>
                  <w:r>
                    <w:rPr>
                      <w:rFonts w:hint="default" w:ascii="Times New Roman" w:hAnsi="Times New Roman" w:eastAsia="宋体" w:cs="Times New Roman"/>
                      <w:b/>
                      <w:bCs/>
                      <w:color w:val="auto"/>
                      <w:spacing w:val="-3"/>
                      <w:sz w:val="21"/>
                      <w:szCs w:val="21"/>
                      <w:highlight w:val="none"/>
                    </w:rPr>
                    <w:t>（t）</w:t>
                  </w:r>
                </w:p>
              </w:tc>
              <w:tc>
                <w:tcPr>
                  <w:tcW w:w="949" w:type="dxa"/>
                  <w:tcBorders>
                    <w:tl2br w:val="nil"/>
                    <w:tr2bl w:val="nil"/>
                  </w:tcBorders>
                  <w:vAlign w:val="center"/>
                </w:tcPr>
                <w:p w14:paraId="6C3CF94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储存位置</w:t>
                  </w:r>
                </w:p>
              </w:tc>
              <w:tc>
                <w:tcPr>
                  <w:tcW w:w="1039" w:type="dxa"/>
                  <w:tcBorders>
                    <w:tl2br w:val="nil"/>
                    <w:tr2bl w:val="nil"/>
                  </w:tcBorders>
                  <w:vAlign w:val="center"/>
                </w:tcPr>
                <w:p w14:paraId="35C0B95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备注</w:t>
                  </w:r>
                </w:p>
              </w:tc>
            </w:tr>
            <w:tr w14:paraId="7515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549BBFA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一、</w:t>
                  </w:r>
                  <w:r>
                    <w:rPr>
                      <w:rFonts w:hint="eastAsia" w:ascii="Times New Roman" w:hAnsi="Times New Roman" w:eastAsia="宋体" w:cs="Times New Roman"/>
                      <w:b/>
                      <w:bCs/>
                      <w:color w:val="auto"/>
                      <w:spacing w:val="6"/>
                      <w:sz w:val="21"/>
                      <w:szCs w:val="21"/>
                      <w:highlight w:val="none"/>
                      <w:lang w:val="en-US" w:eastAsia="zh-CN"/>
                    </w:rPr>
                    <w:t>珠胚生产</w:t>
                  </w:r>
                </w:p>
              </w:tc>
              <w:tc>
                <w:tcPr>
                  <w:tcW w:w="1039" w:type="dxa"/>
                  <w:tcBorders>
                    <w:tl2br w:val="nil"/>
                    <w:tr2bl w:val="nil"/>
                  </w:tcBorders>
                  <w:vAlign w:val="center"/>
                </w:tcPr>
                <w:p w14:paraId="0909ACE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658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8" w:type="dxa"/>
                  <w:gridSpan w:val="2"/>
                  <w:tcBorders>
                    <w:tl2br w:val="nil"/>
                    <w:tr2bl w:val="nil"/>
                  </w:tcBorders>
                  <w:vAlign w:val="center"/>
                </w:tcPr>
                <w:p w14:paraId="004B1AD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85" w:type="dxa"/>
                  <w:tcBorders>
                    <w:tl2br w:val="nil"/>
                    <w:tr2bl w:val="nil"/>
                  </w:tcBorders>
                  <w:vAlign w:val="center"/>
                </w:tcPr>
                <w:p w14:paraId="12D8D8D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石英砂</w:t>
                  </w:r>
                </w:p>
              </w:tc>
              <w:tc>
                <w:tcPr>
                  <w:tcW w:w="764" w:type="dxa"/>
                  <w:tcBorders>
                    <w:tl2br w:val="nil"/>
                    <w:tr2bl w:val="nil"/>
                  </w:tcBorders>
                  <w:vAlign w:val="center"/>
                </w:tcPr>
                <w:p w14:paraId="67C5A76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9119.36</w:t>
                  </w:r>
                </w:p>
              </w:tc>
              <w:tc>
                <w:tcPr>
                  <w:tcW w:w="634" w:type="dxa"/>
                  <w:tcBorders>
                    <w:tl2br w:val="nil"/>
                    <w:tr2bl w:val="nil"/>
                  </w:tcBorders>
                  <w:vAlign w:val="center"/>
                </w:tcPr>
                <w:p w14:paraId="78A3CDD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17C0335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25kg，颗粒</w:t>
                  </w:r>
                </w:p>
              </w:tc>
              <w:tc>
                <w:tcPr>
                  <w:tcW w:w="1050" w:type="dxa"/>
                  <w:tcBorders>
                    <w:tl2br w:val="nil"/>
                    <w:tr2bl w:val="nil"/>
                  </w:tcBorders>
                  <w:vAlign w:val="center"/>
                </w:tcPr>
                <w:p w14:paraId="0AF78A8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949" w:type="dxa"/>
                  <w:tcBorders>
                    <w:tl2br w:val="nil"/>
                    <w:tr2bl w:val="nil"/>
                  </w:tcBorders>
                  <w:vAlign w:val="center"/>
                </w:tcPr>
                <w:p w14:paraId="4A0F91F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石英砂</w:t>
                  </w:r>
                  <w:r>
                    <w:rPr>
                      <w:rFonts w:hint="default" w:ascii="Times New Roman" w:hAnsi="Times New Roman" w:eastAsia="宋体" w:cs="Times New Roman"/>
                      <w:color w:val="auto"/>
                      <w:spacing w:val="5"/>
                      <w:sz w:val="21"/>
                      <w:szCs w:val="21"/>
                      <w:highlight w:val="none"/>
                    </w:rPr>
                    <w:t>原料</w:t>
                  </w:r>
                  <w:r>
                    <w:rPr>
                      <w:rFonts w:hint="default" w:ascii="Times New Roman" w:hAnsi="Times New Roman" w:eastAsia="宋体" w:cs="Times New Roman"/>
                      <w:color w:val="auto"/>
                      <w:spacing w:val="5"/>
                      <w:sz w:val="21"/>
                      <w:szCs w:val="21"/>
                      <w:highlight w:val="none"/>
                      <w:lang w:val="en-US" w:eastAsia="zh-CN"/>
                    </w:rPr>
                    <w:t>仓库</w:t>
                  </w:r>
                </w:p>
              </w:tc>
              <w:tc>
                <w:tcPr>
                  <w:tcW w:w="1039" w:type="dxa"/>
                  <w:tcBorders>
                    <w:tl2br w:val="nil"/>
                    <w:tr2bl w:val="nil"/>
                  </w:tcBorders>
                  <w:vAlign w:val="center"/>
                </w:tcPr>
                <w:p w14:paraId="4FC962B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7"/>
                      <w:sz w:val="21"/>
                      <w:szCs w:val="21"/>
                      <w:highlight w:val="none"/>
                      <w:lang w:eastAsia="zh-CN"/>
                    </w:rPr>
                    <w:t>珠胚生产</w:t>
                  </w:r>
                  <w:r>
                    <w:rPr>
                      <w:rFonts w:hint="default" w:ascii="Times New Roman" w:hAnsi="Times New Roman" w:eastAsia="宋体" w:cs="Times New Roman"/>
                      <w:color w:val="auto"/>
                      <w:sz w:val="21"/>
                      <w:szCs w:val="21"/>
                      <w:highlight w:val="none"/>
                      <w:lang w:val="en-US" w:eastAsia="zh-CN"/>
                    </w:rPr>
                    <w:t>原料，外购</w:t>
                  </w:r>
                </w:p>
              </w:tc>
            </w:tr>
            <w:tr w14:paraId="651F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2AE1CB5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85" w:type="dxa"/>
                  <w:tcBorders>
                    <w:tl2br w:val="nil"/>
                    <w:tr2bl w:val="nil"/>
                  </w:tcBorders>
                  <w:vAlign w:val="center"/>
                </w:tcPr>
                <w:p w14:paraId="5F9619F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碳酸钾</w:t>
                  </w:r>
                </w:p>
              </w:tc>
              <w:tc>
                <w:tcPr>
                  <w:tcW w:w="764" w:type="dxa"/>
                  <w:tcBorders>
                    <w:tl2br w:val="nil"/>
                    <w:tr2bl w:val="nil"/>
                  </w:tcBorders>
                  <w:vAlign w:val="center"/>
                </w:tcPr>
                <w:p w14:paraId="33445B7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270</w:t>
                  </w:r>
                </w:p>
              </w:tc>
              <w:tc>
                <w:tcPr>
                  <w:tcW w:w="634" w:type="dxa"/>
                  <w:tcBorders>
                    <w:tl2br w:val="nil"/>
                    <w:tr2bl w:val="nil"/>
                  </w:tcBorders>
                  <w:vAlign w:val="center"/>
                </w:tcPr>
                <w:p w14:paraId="779D80A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745581B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2E01736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49" w:type="dxa"/>
                  <w:vMerge w:val="restart"/>
                  <w:tcBorders>
                    <w:tl2br w:val="nil"/>
                    <w:tr2bl w:val="nil"/>
                  </w:tcBorders>
                  <w:vAlign w:val="center"/>
                </w:tcPr>
                <w:p w14:paraId="1D7146A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color w:val="auto"/>
                      <w:spacing w:val="6"/>
                      <w:sz w:val="21"/>
                      <w:szCs w:val="21"/>
                      <w:highlight w:val="none"/>
                      <w:lang w:val="en-US" w:eastAsia="zh-CN"/>
                    </w:rPr>
                    <w:t>珠胚</w:t>
                  </w:r>
                  <w:r>
                    <w:rPr>
                      <w:rFonts w:hint="default" w:ascii="Times New Roman" w:hAnsi="Times New Roman" w:eastAsia="宋体" w:cs="Times New Roman"/>
                      <w:color w:val="auto"/>
                      <w:spacing w:val="6"/>
                      <w:sz w:val="21"/>
                      <w:szCs w:val="21"/>
                      <w:highlight w:val="none"/>
                      <w:lang w:val="en-US" w:eastAsia="zh-CN"/>
                    </w:rPr>
                    <w:t>辅料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vMerge w:val="restart"/>
                  <w:tcBorders>
                    <w:tl2br w:val="nil"/>
                    <w:tr2bl w:val="nil"/>
                  </w:tcBorders>
                  <w:vAlign w:val="center"/>
                </w:tcPr>
                <w:p w14:paraId="0E76ECA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7"/>
                      <w:sz w:val="21"/>
                      <w:szCs w:val="21"/>
                      <w:highlight w:val="none"/>
                      <w:lang w:eastAsia="zh-CN"/>
                    </w:rPr>
                    <w:t>珠胚生产</w:t>
                  </w:r>
                  <w:r>
                    <w:rPr>
                      <w:rFonts w:hint="default" w:ascii="Times New Roman" w:hAnsi="Times New Roman" w:eastAsia="宋体" w:cs="Times New Roman"/>
                      <w:color w:val="auto"/>
                      <w:sz w:val="21"/>
                      <w:szCs w:val="21"/>
                      <w:highlight w:val="none"/>
                      <w:lang w:val="en-US" w:eastAsia="zh-CN"/>
                    </w:rPr>
                    <w:t>原辅料，外购</w:t>
                  </w:r>
                </w:p>
              </w:tc>
            </w:tr>
            <w:tr w14:paraId="2A8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1820081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85" w:type="dxa"/>
                  <w:tcBorders>
                    <w:tl2br w:val="nil"/>
                    <w:tr2bl w:val="nil"/>
                  </w:tcBorders>
                  <w:vAlign w:val="center"/>
                </w:tcPr>
                <w:p w14:paraId="28CADDC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碳酸钡</w:t>
                  </w:r>
                </w:p>
              </w:tc>
              <w:tc>
                <w:tcPr>
                  <w:tcW w:w="764" w:type="dxa"/>
                  <w:tcBorders>
                    <w:tl2br w:val="nil"/>
                    <w:tr2bl w:val="nil"/>
                  </w:tcBorders>
                  <w:vAlign w:val="center"/>
                </w:tcPr>
                <w:p w14:paraId="2510097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340</w:t>
                  </w:r>
                </w:p>
              </w:tc>
              <w:tc>
                <w:tcPr>
                  <w:tcW w:w="634" w:type="dxa"/>
                  <w:tcBorders>
                    <w:tl2br w:val="nil"/>
                    <w:tr2bl w:val="nil"/>
                  </w:tcBorders>
                  <w:vAlign w:val="center"/>
                </w:tcPr>
                <w:p w14:paraId="213A2BD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72BB162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53F5FBE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49" w:type="dxa"/>
                  <w:vMerge w:val="continue"/>
                  <w:tcBorders>
                    <w:tl2br w:val="nil"/>
                    <w:tr2bl w:val="nil"/>
                  </w:tcBorders>
                  <w:vAlign w:val="center"/>
                </w:tcPr>
                <w:p w14:paraId="4A07E4A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6AEDAB8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794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6003B35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85" w:type="dxa"/>
                  <w:tcBorders>
                    <w:tl2br w:val="nil"/>
                    <w:tr2bl w:val="nil"/>
                  </w:tcBorders>
                  <w:vAlign w:val="center"/>
                </w:tcPr>
                <w:p w14:paraId="1208302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纯碱（碳酸钠）</w:t>
                  </w:r>
                </w:p>
              </w:tc>
              <w:tc>
                <w:tcPr>
                  <w:tcW w:w="764" w:type="dxa"/>
                  <w:tcBorders>
                    <w:tl2br w:val="nil"/>
                    <w:tr2bl w:val="nil"/>
                  </w:tcBorders>
                  <w:vAlign w:val="center"/>
                </w:tcPr>
                <w:p w14:paraId="040C6DA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2398</w:t>
                  </w:r>
                </w:p>
              </w:tc>
              <w:tc>
                <w:tcPr>
                  <w:tcW w:w="634" w:type="dxa"/>
                  <w:tcBorders>
                    <w:tl2br w:val="nil"/>
                    <w:tr2bl w:val="nil"/>
                  </w:tcBorders>
                  <w:vAlign w:val="center"/>
                </w:tcPr>
                <w:p w14:paraId="2C23644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06F11B7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4F5C6A1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949" w:type="dxa"/>
                  <w:vMerge w:val="continue"/>
                  <w:tcBorders>
                    <w:tl2br w:val="nil"/>
                    <w:tr2bl w:val="nil"/>
                  </w:tcBorders>
                  <w:vAlign w:val="center"/>
                </w:tcPr>
                <w:p w14:paraId="1B2C1AC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1464A25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A2B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8" w:type="dxa"/>
                  <w:gridSpan w:val="2"/>
                  <w:tcBorders>
                    <w:tl2br w:val="nil"/>
                    <w:tr2bl w:val="nil"/>
                  </w:tcBorders>
                  <w:vAlign w:val="center"/>
                </w:tcPr>
                <w:p w14:paraId="562419C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85" w:type="dxa"/>
                  <w:tcBorders>
                    <w:tl2br w:val="nil"/>
                    <w:tr2bl w:val="nil"/>
                  </w:tcBorders>
                  <w:vAlign w:val="center"/>
                </w:tcPr>
                <w:p w14:paraId="605E679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硼砂</w:t>
                  </w:r>
                </w:p>
              </w:tc>
              <w:tc>
                <w:tcPr>
                  <w:tcW w:w="764" w:type="dxa"/>
                  <w:tcBorders>
                    <w:tl2br w:val="nil"/>
                    <w:tr2bl w:val="nil"/>
                  </w:tcBorders>
                  <w:vAlign w:val="center"/>
                </w:tcPr>
                <w:p w14:paraId="32955B8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350</w:t>
                  </w:r>
                </w:p>
              </w:tc>
              <w:tc>
                <w:tcPr>
                  <w:tcW w:w="634" w:type="dxa"/>
                  <w:tcBorders>
                    <w:tl2br w:val="nil"/>
                    <w:tr2bl w:val="nil"/>
                  </w:tcBorders>
                  <w:vAlign w:val="center"/>
                </w:tcPr>
                <w:p w14:paraId="11DC6C7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6D09FBF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2FB041B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49" w:type="dxa"/>
                  <w:vMerge w:val="continue"/>
                  <w:tcBorders>
                    <w:tl2br w:val="nil"/>
                    <w:tr2bl w:val="nil"/>
                  </w:tcBorders>
                  <w:vAlign w:val="center"/>
                </w:tcPr>
                <w:p w14:paraId="3802E35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15FBA73A">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D72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7BF1F36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785" w:type="dxa"/>
                  <w:tcBorders>
                    <w:tl2br w:val="nil"/>
                    <w:tr2bl w:val="nil"/>
                  </w:tcBorders>
                  <w:vAlign w:val="center"/>
                </w:tcPr>
                <w:p w14:paraId="446BA4C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碳酸钙</w:t>
                  </w:r>
                </w:p>
              </w:tc>
              <w:tc>
                <w:tcPr>
                  <w:tcW w:w="764" w:type="dxa"/>
                  <w:tcBorders>
                    <w:tl2br w:val="nil"/>
                    <w:tr2bl w:val="nil"/>
                  </w:tcBorders>
                  <w:vAlign w:val="center"/>
                </w:tcPr>
                <w:p w14:paraId="1C22742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905</w:t>
                  </w:r>
                </w:p>
              </w:tc>
              <w:tc>
                <w:tcPr>
                  <w:tcW w:w="634" w:type="dxa"/>
                  <w:tcBorders>
                    <w:tl2br w:val="nil"/>
                    <w:tr2bl w:val="nil"/>
                  </w:tcBorders>
                  <w:vAlign w:val="center"/>
                </w:tcPr>
                <w:p w14:paraId="5582466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1C8314E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25kg，晶体</w:t>
                  </w:r>
                </w:p>
              </w:tc>
              <w:tc>
                <w:tcPr>
                  <w:tcW w:w="1050" w:type="dxa"/>
                  <w:tcBorders>
                    <w:tl2br w:val="nil"/>
                    <w:tr2bl w:val="nil"/>
                  </w:tcBorders>
                  <w:vAlign w:val="center"/>
                </w:tcPr>
                <w:p w14:paraId="1EE2A58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949" w:type="dxa"/>
                  <w:vMerge w:val="continue"/>
                  <w:tcBorders>
                    <w:tl2br w:val="nil"/>
                    <w:tr2bl w:val="nil"/>
                  </w:tcBorders>
                  <w:vAlign w:val="center"/>
                </w:tcPr>
                <w:p w14:paraId="7CAEF9D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68D70EB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CF0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2D501F9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785" w:type="dxa"/>
                  <w:tcBorders>
                    <w:tl2br w:val="nil"/>
                    <w:tr2bl w:val="nil"/>
                  </w:tcBorders>
                  <w:vAlign w:val="center"/>
                </w:tcPr>
                <w:p w14:paraId="13D7CFB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氧化镁</w:t>
                  </w:r>
                </w:p>
              </w:tc>
              <w:tc>
                <w:tcPr>
                  <w:tcW w:w="764" w:type="dxa"/>
                  <w:tcBorders>
                    <w:tl2br w:val="nil"/>
                    <w:tr2bl w:val="nil"/>
                  </w:tcBorders>
                  <w:vAlign w:val="center"/>
                </w:tcPr>
                <w:p w14:paraId="78382DE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185</w:t>
                  </w:r>
                </w:p>
              </w:tc>
              <w:tc>
                <w:tcPr>
                  <w:tcW w:w="634" w:type="dxa"/>
                  <w:tcBorders>
                    <w:tl2br w:val="nil"/>
                    <w:tr2bl w:val="nil"/>
                  </w:tcBorders>
                  <w:vAlign w:val="center"/>
                </w:tcPr>
                <w:p w14:paraId="43CCD21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6D1AC91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76E9ECB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49" w:type="dxa"/>
                  <w:vMerge w:val="continue"/>
                  <w:tcBorders>
                    <w:tl2br w:val="nil"/>
                    <w:tr2bl w:val="nil"/>
                  </w:tcBorders>
                  <w:vAlign w:val="center"/>
                </w:tcPr>
                <w:p w14:paraId="52C85E4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08ECB6E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45F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751E3EE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785" w:type="dxa"/>
                  <w:tcBorders>
                    <w:tl2br w:val="nil"/>
                    <w:tr2bl w:val="nil"/>
                  </w:tcBorders>
                  <w:vAlign w:val="center"/>
                </w:tcPr>
                <w:p w14:paraId="26C04DF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钛白粉</w:t>
                  </w:r>
                </w:p>
              </w:tc>
              <w:tc>
                <w:tcPr>
                  <w:tcW w:w="764" w:type="dxa"/>
                  <w:tcBorders>
                    <w:tl2br w:val="nil"/>
                    <w:tr2bl w:val="nil"/>
                  </w:tcBorders>
                  <w:vAlign w:val="center"/>
                </w:tcPr>
                <w:p w14:paraId="259B0F0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185</w:t>
                  </w:r>
                </w:p>
              </w:tc>
              <w:tc>
                <w:tcPr>
                  <w:tcW w:w="634" w:type="dxa"/>
                  <w:tcBorders>
                    <w:tl2br w:val="nil"/>
                    <w:tr2bl w:val="nil"/>
                  </w:tcBorders>
                  <w:vAlign w:val="center"/>
                </w:tcPr>
                <w:p w14:paraId="6D71BFF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67B3254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54016E8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49" w:type="dxa"/>
                  <w:vMerge w:val="continue"/>
                  <w:tcBorders>
                    <w:tl2br w:val="nil"/>
                    <w:tr2bl w:val="nil"/>
                  </w:tcBorders>
                  <w:vAlign w:val="center"/>
                </w:tcPr>
                <w:p w14:paraId="4FC2F6ED">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047DAD7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7BF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5EDF6EF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lang w:val="en-US" w:eastAsia="zh-CN"/>
                    </w:rPr>
                    <w:t>9</w:t>
                  </w:r>
                </w:p>
              </w:tc>
              <w:tc>
                <w:tcPr>
                  <w:tcW w:w="1785" w:type="dxa"/>
                  <w:tcBorders>
                    <w:tl2br w:val="nil"/>
                    <w:tr2bl w:val="nil"/>
                  </w:tcBorders>
                  <w:shd w:val="clear" w:color="auto" w:fill="auto"/>
                  <w:vAlign w:val="center"/>
                </w:tcPr>
                <w:p w14:paraId="1AB9602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金刚砂</w:t>
                  </w:r>
                </w:p>
              </w:tc>
              <w:tc>
                <w:tcPr>
                  <w:tcW w:w="764" w:type="dxa"/>
                  <w:tcBorders>
                    <w:tl2br w:val="nil"/>
                    <w:tr2bl w:val="nil"/>
                  </w:tcBorders>
                  <w:shd w:val="clear" w:color="auto" w:fill="auto"/>
                  <w:vAlign w:val="center"/>
                </w:tcPr>
                <w:p w14:paraId="772CB80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w:t>
                  </w:r>
                </w:p>
              </w:tc>
              <w:tc>
                <w:tcPr>
                  <w:tcW w:w="634" w:type="dxa"/>
                  <w:tcBorders>
                    <w:tl2br w:val="nil"/>
                    <w:tr2bl w:val="nil"/>
                  </w:tcBorders>
                  <w:shd w:val="clear" w:color="auto" w:fill="auto"/>
                  <w:vAlign w:val="center"/>
                </w:tcPr>
                <w:p w14:paraId="7F401B8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39B7AD1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25kg，颗粒</w:t>
                  </w:r>
                </w:p>
              </w:tc>
              <w:tc>
                <w:tcPr>
                  <w:tcW w:w="1050" w:type="dxa"/>
                  <w:tcBorders>
                    <w:tl2br w:val="nil"/>
                    <w:tr2bl w:val="nil"/>
                  </w:tcBorders>
                  <w:shd w:val="clear" w:color="auto" w:fill="auto"/>
                  <w:vAlign w:val="center"/>
                </w:tcPr>
                <w:p w14:paraId="5909F46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w:t>
                  </w:r>
                </w:p>
              </w:tc>
              <w:tc>
                <w:tcPr>
                  <w:tcW w:w="949" w:type="dxa"/>
                  <w:vMerge w:val="continue"/>
                  <w:tcBorders>
                    <w:tl2br w:val="nil"/>
                    <w:tr2bl w:val="nil"/>
                  </w:tcBorders>
                  <w:shd w:val="clear" w:color="auto" w:fill="auto"/>
                  <w:vAlign w:val="center"/>
                </w:tcPr>
                <w:p w14:paraId="051E94A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p>
              </w:tc>
              <w:tc>
                <w:tcPr>
                  <w:tcW w:w="1039" w:type="dxa"/>
                  <w:vMerge w:val="continue"/>
                  <w:tcBorders>
                    <w:tl2br w:val="nil"/>
                    <w:tr2bl w:val="nil"/>
                  </w:tcBorders>
                  <w:vAlign w:val="center"/>
                </w:tcPr>
                <w:p w14:paraId="290947A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37F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shd w:val="clear" w:color="auto" w:fill="auto"/>
                  <w:vAlign w:val="center"/>
                </w:tcPr>
                <w:p w14:paraId="3A7370B8">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1</w:t>
                  </w:r>
                  <w:r>
                    <w:rPr>
                      <w:rFonts w:hint="default" w:ascii="Times New Roman" w:hAnsi="Times New Roman" w:eastAsia="宋体" w:cs="Times New Roman"/>
                      <w:color w:val="auto"/>
                      <w:spacing w:val="-8"/>
                      <w:sz w:val="21"/>
                      <w:szCs w:val="21"/>
                      <w:highlight w:val="none"/>
                      <w:lang w:val="en-US" w:eastAsia="zh-CN"/>
                    </w:rPr>
                    <w:t>0</w:t>
                  </w:r>
                </w:p>
              </w:tc>
              <w:tc>
                <w:tcPr>
                  <w:tcW w:w="1785" w:type="dxa"/>
                  <w:tcBorders>
                    <w:tl2br w:val="nil"/>
                    <w:tr2bl w:val="nil"/>
                  </w:tcBorders>
                  <w:shd w:val="clear" w:color="auto" w:fill="auto"/>
                  <w:vAlign w:val="center"/>
                </w:tcPr>
                <w:p w14:paraId="0F5C48D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氧化铈</w:t>
                  </w:r>
                </w:p>
              </w:tc>
              <w:tc>
                <w:tcPr>
                  <w:tcW w:w="764" w:type="dxa"/>
                  <w:tcBorders>
                    <w:tl2br w:val="nil"/>
                    <w:tr2bl w:val="nil"/>
                  </w:tcBorders>
                  <w:shd w:val="clear" w:color="auto" w:fill="auto"/>
                  <w:vAlign w:val="center"/>
                </w:tcPr>
                <w:p w14:paraId="7B091F0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327</w:t>
                  </w:r>
                </w:p>
              </w:tc>
              <w:tc>
                <w:tcPr>
                  <w:tcW w:w="634" w:type="dxa"/>
                  <w:tcBorders>
                    <w:tl2br w:val="nil"/>
                    <w:tr2bl w:val="nil"/>
                  </w:tcBorders>
                  <w:shd w:val="clear" w:color="auto" w:fill="auto"/>
                  <w:vAlign w:val="center"/>
                </w:tcPr>
                <w:p w14:paraId="306028D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6F26CD7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shd w:val="clear" w:color="auto" w:fill="auto"/>
                  <w:vAlign w:val="center"/>
                </w:tcPr>
                <w:p w14:paraId="28DDC3B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rPr>
                    <w:t>10</w:t>
                  </w:r>
                </w:p>
              </w:tc>
              <w:tc>
                <w:tcPr>
                  <w:tcW w:w="949" w:type="dxa"/>
                  <w:vMerge w:val="continue"/>
                  <w:tcBorders>
                    <w:tl2br w:val="nil"/>
                    <w:tr2bl w:val="nil"/>
                  </w:tcBorders>
                  <w:shd w:val="clear" w:color="auto" w:fill="auto"/>
                  <w:vAlign w:val="center"/>
                </w:tcPr>
                <w:p w14:paraId="76C82FE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p>
              </w:tc>
              <w:tc>
                <w:tcPr>
                  <w:tcW w:w="1039" w:type="dxa"/>
                  <w:vMerge w:val="continue"/>
                  <w:tcBorders>
                    <w:tl2br w:val="nil"/>
                    <w:tr2bl w:val="nil"/>
                  </w:tcBorders>
                  <w:shd w:val="clear" w:color="auto" w:fill="auto"/>
                  <w:vAlign w:val="center"/>
                </w:tcPr>
                <w:p w14:paraId="060829C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p>
              </w:tc>
            </w:tr>
            <w:tr w14:paraId="2C76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4630F0A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bookmarkStart w:id="7" w:name="bookmark575"/>
                  <w:bookmarkEnd w:id="7"/>
                  <w:r>
                    <w:rPr>
                      <w:rFonts w:hint="default" w:ascii="Times New Roman" w:hAnsi="Times New Roman" w:eastAsia="宋体" w:cs="Times New Roman"/>
                      <w:b/>
                      <w:bCs/>
                      <w:color w:val="auto"/>
                      <w:spacing w:val="4"/>
                      <w:sz w:val="21"/>
                      <w:szCs w:val="21"/>
                      <w:highlight w:val="none"/>
                      <w:lang w:val="en-US" w:eastAsia="zh-CN"/>
                    </w:rPr>
                    <w:t>二</w:t>
                  </w:r>
                  <w:r>
                    <w:rPr>
                      <w:rFonts w:hint="default" w:ascii="Times New Roman" w:hAnsi="Times New Roman" w:eastAsia="宋体" w:cs="Times New Roman"/>
                      <w:b/>
                      <w:bCs/>
                      <w:color w:val="auto"/>
                      <w:spacing w:val="4"/>
                      <w:sz w:val="21"/>
                      <w:szCs w:val="21"/>
                      <w:highlight w:val="none"/>
                    </w:rPr>
                    <w:t>、吸塑片生产</w:t>
                  </w:r>
                </w:p>
              </w:tc>
              <w:tc>
                <w:tcPr>
                  <w:tcW w:w="1039" w:type="dxa"/>
                  <w:tcBorders>
                    <w:tl2br w:val="nil"/>
                    <w:tr2bl w:val="nil"/>
                  </w:tcBorders>
                  <w:vAlign w:val="center"/>
                </w:tcPr>
                <w:p w14:paraId="4215CD3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D18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0044BBA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03" w:type="dxa"/>
                  <w:gridSpan w:val="2"/>
                  <w:tcBorders>
                    <w:tl2br w:val="nil"/>
                    <w:tr2bl w:val="nil"/>
                  </w:tcBorders>
                  <w:vAlign w:val="center"/>
                </w:tcPr>
                <w:p w14:paraId="2565451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1"/>
                      <w:sz w:val="21"/>
                      <w:szCs w:val="21"/>
                      <w:highlight w:val="none"/>
                      <w:lang w:eastAsia="zh-CN"/>
                    </w:rPr>
                    <w:t>聚氯乙烯</w:t>
                  </w:r>
                  <w:r>
                    <w:rPr>
                      <w:rFonts w:hint="eastAsia" w:ascii="Times New Roman" w:hAnsi="Times New Roman" w:eastAsia="宋体" w:cs="Times New Roman"/>
                      <w:color w:val="auto"/>
                      <w:spacing w:val="-11"/>
                      <w:sz w:val="21"/>
                      <w:szCs w:val="21"/>
                      <w:highlight w:val="none"/>
                      <w:lang w:val="en-US" w:eastAsia="zh-CN"/>
                    </w:rPr>
                    <w:t>树脂</w:t>
                  </w:r>
                </w:p>
              </w:tc>
              <w:tc>
                <w:tcPr>
                  <w:tcW w:w="764" w:type="dxa"/>
                  <w:tcBorders>
                    <w:tl2br w:val="nil"/>
                    <w:tr2bl w:val="nil"/>
                  </w:tcBorders>
                  <w:vAlign w:val="center"/>
                </w:tcPr>
                <w:p w14:paraId="3BCFBCE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3669.74</w:t>
                  </w:r>
                </w:p>
              </w:tc>
              <w:tc>
                <w:tcPr>
                  <w:tcW w:w="634" w:type="dxa"/>
                  <w:tcBorders>
                    <w:tl2br w:val="nil"/>
                    <w:tr2bl w:val="nil"/>
                  </w:tcBorders>
                  <w:vAlign w:val="center"/>
                </w:tcPr>
                <w:p w14:paraId="64787E9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2C0D29F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50kg，粉状</w:t>
                  </w:r>
                </w:p>
              </w:tc>
              <w:tc>
                <w:tcPr>
                  <w:tcW w:w="1050" w:type="dxa"/>
                  <w:tcBorders>
                    <w:tl2br w:val="nil"/>
                    <w:tr2bl w:val="nil"/>
                  </w:tcBorders>
                  <w:vAlign w:val="center"/>
                </w:tcPr>
                <w:p w14:paraId="46A38E4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49" w:type="dxa"/>
                  <w:tcBorders>
                    <w:tl2br w:val="nil"/>
                    <w:tr2bl w:val="nil"/>
                  </w:tcBorders>
                  <w:vAlign w:val="center"/>
                </w:tcPr>
                <w:p w14:paraId="6F3FF45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吸塑片原料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vMerge w:val="restart"/>
                  <w:tcBorders>
                    <w:tl2br w:val="nil"/>
                    <w:tr2bl w:val="nil"/>
                  </w:tcBorders>
                  <w:vAlign w:val="center"/>
                </w:tcPr>
                <w:p w14:paraId="2D97B32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吸塑片生产原辅料，</w:t>
                  </w:r>
                  <w:r>
                    <w:rPr>
                      <w:rFonts w:hint="default" w:ascii="Times New Roman" w:hAnsi="Times New Roman" w:eastAsia="宋体" w:cs="Times New Roman"/>
                      <w:color w:val="auto"/>
                      <w:spacing w:val="3"/>
                      <w:sz w:val="21"/>
                      <w:szCs w:val="21"/>
                      <w:highlight w:val="none"/>
                    </w:rPr>
                    <w:t>投料</w:t>
                  </w:r>
                  <w:r>
                    <w:rPr>
                      <w:rFonts w:hint="default" w:ascii="Times New Roman" w:hAnsi="Times New Roman" w:eastAsia="宋体" w:cs="Times New Roman"/>
                      <w:color w:val="auto"/>
                      <w:spacing w:val="3"/>
                      <w:sz w:val="21"/>
                      <w:szCs w:val="21"/>
                      <w:highlight w:val="none"/>
                      <w:lang w:val="en-US" w:eastAsia="zh-CN"/>
                    </w:rPr>
                    <w:t>工序</w:t>
                  </w:r>
                  <w:r>
                    <w:rPr>
                      <w:rFonts w:hint="default" w:ascii="Times New Roman" w:hAnsi="Times New Roman" w:eastAsia="宋体" w:cs="Times New Roman"/>
                      <w:color w:val="auto"/>
                      <w:sz w:val="21"/>
                      <w:szCs w:val="21"/>
                      <w:highlight w:val="none"/>
                      <w:lang w:val="en-US" w:eastAsia="zh-CN"/>
                    </w:rPr>
                    <w:t>，外购</w:t>
                  </w:r>
                </w:p>
              </w:tc>
            </w:tr>
            <w:tr w14:paraId="1939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3B1928D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03" w:type="dxa"/>
                  <w:gridSpan w:val="2"/>
                  <w:tcBorders>
                    <w:tl2br w:val="nil"/>
                    <w:tr2bl w:val="nil"/>
                  </w:tcBorders>
                  <w:vAlign w:val="center"/>
                </w:tcPr>
                <w:p w14:paraId="6790230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3"/>
                      <w:sz w:val="21"/>
                      <w:szCs w:val="21"/>
                      <w:highlight w:val="none"/>
                      <w:lang w:eastAsia="zh-CN"/>
                    </w:rPr>
                    <w:t>甲基锡稳定剂（</w:t>
                  </w:r>
                  <w:r>
                    <w:rPr>
                      <w:rFonts w:hint="default" w:ascii="Times New Roman" w:hAnsi="Times New Roman" w:eastAsia="宋体" w:cs="Times New Roman"/>
                      <w:color w:val="auto"/>
                      <w:sz w:val="21"/>
                      <w:szCs w:val="21"/>
                      <w:highlight w:val="none"/>
                      <w:lang w:eastAsia="zh-CN"/>
                    </w:rPr>
                    <w:t>RS</w:t>
                  </w:r>
                  <w:r>
                    <w:rPr>
                      <w:rFonts w:hint="default" w:ascii="Times New Roman" w:hAnsi="Times New Roman" w:eastAsia="宋体" w:cs="Times New Roman"/>
                      <w:color w:val="auto"/>
                      <w:spacing w:val="3"/>
                      <w:sz w:val="21"/>
                      <w:szCs w:val="21"/>
                      <w:highlight w:val="none"/>
                      <w:lang w:eastAsia="zh-CN"/>
                    </w:rPr>
                    <w:t>-181）</w:t>
                  </w:r>
                </w:p>
              </w:tc>
              <w:tc>
                <w:tcPr>
                  <w:tcW w:w="764" w:type="dxa"/>
                  <w:tcBorders>
                    <w:tl2br w:val="nil"/>
                    <w:tr2bl w:val="nil"/>
                  </w:tcBorders>
                  <w:vAlign w:val="center"/>
                </w:tcPr>
                <w:p w14:paraId="63858D2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634" w:type="dxa"/>
                  <w:tcBorders>
                    <w:tl2br w:val="nil"/>
                    <w:tr2bl w:val="nil"/>
                  </w:tcBorders>
                  <w:vAlign w:val="center"/>
                </w:tcPr>
                <w:p w14:paraId="1CE3401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03162B3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50kg，液体</w:t>
                  </w:r>
                </w:p>
              </w:tc>
              <w:tc>
                <w:tcPr>
                  <w:tcW w:w="1050" w:type="dxa"/>
                  <w:tcBorders>
                    <w:tl2br w:val="nil"/>
                    <w:tr2bl w:val="nil"/>
                  </w:tcBorders>
                  <w:vAlign w:val="center"/>
                </w:tcPr>
                <w:p w14:paraId="4E86806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49" w:type="dxa"/>
                  <w:vMerge w:val="restart"/>
                  <w:tcBorders>
                    <w:tl2br w:val="nil"/>
                    <w:tr2bl w:val="nil"/>
                  </w:tcBorders>
                  <w:vAlign w:val="center"/>
                </w:tcPr>
                <w:p w14:paraId="035337B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吸塑片辅料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vMerge w:val="continue"/>
                  <w:tcBorders>
                    <w:tl2br w:val="nil"/>
                    <w:tr2bl w:val="nil"/>
                  </w:tcBorders>
                  <w:vAlign w:val="center"/>
                </w:tcPr>
                <w:p w14:paraId="105FCD0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7C9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28015BB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803" w:type="dxa"/>
                  <w:gridSpan w:val="2"/>
                  <w:tcBorders>
                    <w:tl2br w:val="nil"/>
                    <w:tr2bl w:val="nil"/>
                  </w:tcBorders>
                  <w:vAlign w:val="center"/>
                </w:tcPr>
                <w:p w14:paraId="1712F50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增强剂M-41</w:t>
                  </w:r>
                </w:p>
              </w:tc>
              <w:tc>
                <w:tcPr>
                  <w:tcW w:w="764" w:type="dxa"/>
                  <w:tcBorders>
                    <w:tl2br w:val="nil"/>
                    <w:tr2bl w:val="nil"/>
                  </w:tcBorders>
                  <w:vAlign w:val="center"/>
                </w:tcPr>
                <w:p w14:paraId="64395F0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634" w:type="dxa"/>
                  <w:tcBorders>
                    <w:tl2br w:val="nil"/>
                    <w:tr2bl w:val="nil"/>
                  </w:tcBorders>
                  <w:vAlign w:val="center"/>
                </w:tcPr>
                <w:p w14:paraId="1D2A716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26B2C17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50kg，粉状</w:t>
                  </w:r>
                </w:p>
              </w:tc>
              <w:tc>
                <w:tcPr>
                  <w:tcW w:w="1050" w:type="dxa"/>
                  <w:tcBorders>
                    <w:tl2br w:val="nil"/>
                    <w:tr2bl w:val="nil"/>
                  </w:tcBorders>
                  <w:vAlign w:val="center"/>
                </w:tcPr>
                <w:p w14:paraId="236556F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49" w:type="dxa"/>
                  <w:vMerge w:val="continue"/>
                  <w:tcBorders>
                    <w:tl2br w:val="nil"/>
                    <w:tr2bl w:val="nil"/>
                  </w:tcBorders>
                  <w:vAlign w:val="center"/>
                </w:tcPr>
                <w:p w14:paraId="1C51798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0F3962F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616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43EAC63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803" w:type="dxa"/>
                  <w:gridSpan w:val="2"/>
                  <w:tcBorders>
                    <w:tl2br w:val="nil"/>
                    <w:tr2bl w:val="nil"/>
                  </w:tcBorders>
                  <w:vAlign w:val="center"/>
                </w:tcPr>
                <w:p w14:paraId="199A800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加工助剂P-201</w:t>
                  </w:r>
                </w:p>
              </w:tc>
              <w:tc>
                <w:tcPr>
                  <w:tcW w:w="764" w:type="dxa"/>
                  <w:tcBorders>
                    <w:tl2br w:val="nil"/>
                    <w:tr2bl w:val="nil"/>
                  </w:tcBorders>
                  <w:vAlign w:val="center"/>
                </w:tcPr>
                <w:p w14:paraId="1B87EEB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40.07</w:t>
                  </w:r>
                </w:p>
              </w:tc>
              <w:tc>
                <w:tcPr>
                  <w:tcW w:w="634" w:type="dxa"/>
                  <w:tcBorders>
                    <w:tl2br w:val="nil"/>
                    <w:tr2bl w:val="nil"/>
                  </w:tcBorders>
                  <w:vAlign w:val="center"/>
                </w:tcPr>
                <w:p w14:paraId="3BFA349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4B2BFC3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50kg，粉状</w:t>
                  </w:r>
                </w:p>
              </w:tc>
              <w:tc>
                <w:tcPr>
                  <w:tcW w:w="1050" w:type="dxa"/>
                  <w:tcBorders>
                    <w:tl2br w:val="nil"/>
                    <w:tr2bl w:val="nil"/>
                  </w:tcBorders>
                  <w:vAlign w:val="center"/>
                </w:tcPr>
                <w:p w14:paraId="10B1F41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49" w:type="dxa"/>
                  <w:vMerge w:val="continue"/>
                  <w:tcBorders>
                    <w:tl2br w:val="nil"/>
                    <w:tr2bl w:val="nil"/>
                  </w:tcBorders>
                  <w:vAlign w:val="center"/>
                </w:tcPr>
                <w:p w14:paraId="64EF27D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37B3D3E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E3A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02C6A4E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803" w:type="dxa"/>
                  <w:gridSpan w:val="2"/>
                  <w:tcBorders>
                    <w:tl2br w:val="nil"/>
                    <w:tr2bl w:val="nil"/>
                  </w:tcBorders>
                  <w:vAlign w:val="center"/>
                </w:tcPr>
                <w:p w14:paraId="48127FE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内润滑剂</w:t>
                  </w:r>
                  <w:r>
                    <w:rPr>
                      <w:rFonts w:hint="default" w:ascii="Times New Roman" w:hAnsi="Times New Roman" w:eastAsia="宋体" w:cs="Times New Roman"/>
                      <w:color w:val="auto"/>
                      <w:sz w:val="21"/>
                      <w:szCs w:val="21"/>
                      <w:highlight w:val="none"/>
                    </w:rPr>
                    <w:t>OK</w:t>
                  </w:r>
                  <w:r>
                    <w:rPr>
                      <w:rFonts w:hint="default" w:ascii="Times New Roman" w:hAnsi="Times New Roman" w:eastAsia="宋体" w:cs="Times New Roman"/>
                      <w:color w:val="auto"/>
                      <w:spacing w:val="3"/>
                      <w:sz w:val="21"/>
                      <w:szCs w:val="21"/>
                      <w:highlight w:val="none"/>
                    </w:rPr>
                    <w:t>-60</w:t>
                  </w:r>
                </w:p>
              </w:tc>
              <w:tc>
                <w:tcPr>
                  <w:tcW w:w="764" w:type="dxa"/>
                  <w:tcBorders>
                    <w:tl2br w:val="nil"/>
                    <w:tr2bl w:val="nil"/>
                  </w:tcBorders>
                  <w:vAlign w:val="center"/>
                </w:tcPr>
                <w:p w14:paraId="107BA98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634" w:type="dxa"/>
                  <w:tcBorders>
                    <w:tl2br w:val="nil"/>
                    <w:tr2bl w:val="nil"/>
                  </w:tcBorders>
                  <w:vAlign w:val="center"/>
                </w:tcPr>
                <w:p w14:paraId="7B7DDE0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2EF199B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50kg，粉状</w:t>
                  </w:r>
                </w:p>
              </w:tc>
              <w:tc>
                <w:tcPr>
                  <w:tcW w:w="1050" w:type="dxa"/>
                  <w:tcBorders>
                    <w:tl2br w:val="nil"/>
                    <w:tr2bl w:val="nil"/>
                  </w:tcBorders>
                  <w:vAlign w:val="center"/>
                </w:tcPr>
                <w:p w14:paraId="0B020C0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49" w:type="dxa"/>
                  <w:vMerge w:val="continue"/>
                  <w:tcBorders>
                    <w:tl2br w:val="nil"/>
                    <w:tr2bl w:val="nil"/>
                  </w:tcBorders>
                  <w:vAlign w:val="center"/>
                </w:tcPr>
                <w:p w14:paraId="65A0FBC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0FB587D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D0B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017E47B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803" w:type="dxa"/>
                  <w:gridSpan w:val="2"/>
                  <w:tcBorders>
                    <w:tl2br w:val="nil"/>
                    <w:tr2bl w:val="nil"/>
                  </w:tcBorders>
                  <w:vAlign w:val="center"/>
                </w:tcPr>
                <w:p w14:paraId="7DF7FD1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外润滑剂</w:t>
                  </w:r>
                  <w:r>
                    <w:rPr>
                      <w:rFonts w:hint="default" w:ascii="Times New Roman" w:hAnsi="Times New Roman" w:eastAsia="宋体" w:cs="Times New Roman"/>
                      <w:color w:val="auto"/>
                      <w:sz w:val="21"/>
                      <w:szCs w:val="21"/>
                      <w:highlight w:val="none"/>
                    </w:rPr>
                    <w:t>OK</w:t>
                  </w:r>
                  <w:r>
                    <w:rPr>
                      <w:rFonts w:hint="default" w:ascii="Times New Roman" w:hAnsi="Times New Roman" w:eastAsia="宋体" w:cs="Times New Roman"/>
                      <w:color w:val="auto"/>
                      <w:spacing w:val="6"/>
                      <w:sz w:val="21"/>
                      <w:szCs w:val="21"/>
                      <w:highlight w:val="none"/>
                    </w:rPr>
                    <w:t>-70S</w:t>
                  </w:r>
                </w:p>
              </w:tc>
              <w:tc>
                <w:tcPr>
                  <w:tcW w:w="764" w:type="dxa"/>
                  <w:tcBorders>
                    <w:tl2br w:val="nil"/>
                    <w:tr2bl w:val="nil"/>
                  </w:tcBorders>
                  <w:vAlign w:val="center"/>
                </w:tcPr>
                <w:p w14:paraId="4B00EA3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634" w:type="dxa"/>
                  <w:tcBorders>
                    <w:tl2br w:val="nil"/>
                    <w:tr2bl w:val="nil"/>
                  </w:tcBorders>
                  <w:vAlign w:val="center"/>
                </w:tcPr>
                <w:p w14:paraId="1348DCA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7EBA087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50kg，粉状</w:t>
                  </w:r>
                </w:p>
              </w:tc>
              <w:tc>
                <w:tcPr>
                  <w:tcW w:w="1050" w:type="dxa"/>
                  <w:tcBorders>
                    <w:tl2br w:val="nil"/>
                    <w:tr2bl w:val="nil"/>
                  </w:tcBorders>
                  <w:vAlign w:val="center"/>
                </w:tcPr>
                <w:p w14:paraId="0B96457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49" w:type="dxa"/>
                  <w:vMerge w:val="continue"/>
                  <w:tcBorders>
                    <w:tl2br w:val="nil"/>
                    <w:tr2bl w:val="nil"/>
                  </w:tcBorders>
                  <w:vAlign w:val="center"/>
                </w:tcPr>
                <w:p w14:paraId="7ABA483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128F60B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C38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77D763B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三</w:t>
                  </w:r>
                  <w:r>
                    <w:rPr>
                      <w:rFonts w:hint="default" w:ascii="Times New Roman" w:hAnsi="Times New Roman" w:eastAsia="宋体" w:cs="Times New Roman"/>
                      <w:b/>
                      <w:bCs/>
                      <w:color w:val="auto"/>
                      <w:spacing w:val="6"/>
                      <w:sz w:val="21"/>
                      <w:szCs w:val="21"/>
                      <w:highlight w:val="none"/>
                    </w:rPr>
                    <w:t>、烫钻生产</w:t>
                  </w:r>
                </w:p>
              </w:tc>
              <w:tc>
                <w:tcPr>
                  <w:tcW w:w="1039" w:type="dxa"/>
                  <w:tcBorders>
                    <w:tl2br w:val="nil"/>
                    <w:tr2bl w:val="nil"/>
                  </w:tcBorders>
                  <w:vAlign w:val="center"/>
                </w:tcPr>
                <w:p w14:paraId="1406E7C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AE4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vAlign w:val="center"/>
                </w:tcPr>
                <w:p w14:paraId="0E39589A">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03" w:type="dxa"/>
                  <w:gridSpan w:val="2"/>
                  <w:tcBorders>
                    <w:tl2br w:val="nil"/>
                    <w:tr2bl w:val="nil"/>
                  </w:tcBorders>
                  <w:vAlign w:val="center"/>
                </w:tcPr>
                <w:p w14:paraId="26496C6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rPr>
                  </w:pPr>
                  <w:r>
                    <w:rPr>
                      <w:rFonts w:hint="eastAsia" w:ascii="Times New Roman" w:hAnsi="Times New Roman" w:eastAsia="宋体" w:cs="Times New Roman"/>
                      <w:color w:val="auto"/>
                      <w:spacing w:val="6"/>
                      <w:sz w:val="21"/>
                      <w:szCs w:val="21"/>
                      <w:highlight w:val="none"/>
                      <w:lang w:eastAsia="zh-CN"/>
                    </w:rPr>
                    <w:t>珠胚</w:t>
                  </w:r>
                </w:p>
              </w:tc>
              <w:tc>
                <w:tcPr>
                  <w:tcW w:w="764" w:type="dxa"/>
                  <w:tcBorders>
                    <w:tl2br w:val="nil"/>
                    <w:tr2bl w:val="nil"/>
                  </w:tcBorders>
                  <w:vAlign w:val="center"/>
                </w:tcPr>
                <w:p w14:paraId="7748E9E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13000</w:t>
                  </w:r>
                </w:p>
              </w:tc>
              <w:tc>
                <w:tcPr>
                  <w:tcW w:w="634" w:type="dxa"/>
                  <w:tcBorders>
                    <w:tl2br w:val="nil"/>
                    <w:tr2bl w:val="nil"/>
                  </w:tcBorders>
                  <w:vAlign w:val="center"/>
                </w:tcPr>
                <w:p w14:paraId="40F7575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0DA7F9C1">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rPr>
                    <w:t>10kg，颗粒</w:t>
                  </w:r>
                </w:p>
              </w:tc>
              <w:tc>
                <w:tcPr>
                  <w:tcW w:w="1050" w:type="dxa"/>
                  <w:tcBorders>
                    <w:tl2br w:val="nil"/>
                    <w:tr2bl w:val="nil"/>
                  </w:tcBorders>
                  <w:vAlign w:val="center"/>
                </w:tcPr>
                <w:p w14:paraId="1125B36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949" w:type="dxa"/>
                  <w:tcBorders>
                    <w:tl2br w:val="nil"/>
                    <w:tr2bl w:val="nil"/>
                  </w:tcBorders>
                  <w:vAlign w:val="center"/>
                </w:tcPr>
                <w:p w14:paraId="0609722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6"/>
                      <w:sz w:val="21"/>
                      <w:szCs w:val="21"/>
                      <w:highlight w:val="none"/>
                      <w:lang w:val="en-US" w:eastAsia="zh-CN"/>
                    </w:rPr>
                    <w:t>珠胚</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即圆珠仓</w:t>
                  </w:r>
                  <w:r>
                    <w:rPr>
                      <w:rFonts w:hint="default" w:ascii="Times New Roman" w:hAnsi="Times New Roman" w:eastAsia="宋体" w:cs="Times New Roman"/>
                      <w:color w:val="auto"/>
                      <w:spacing w:val="-1"/>
                      <w:sz w:val="21"/>
                      <w:szCs w:val="21"/>
                      <w:highlight w:val="none"/>
                      <w:lang w:eastAsia="zh-CN"/>
                    </w:rPr>
                    <w:t>）</w:t>
                  </w:r>
                </w:p>
              </w:tc>
              <w:tc>
                <w:tcPr>
                  <w:tcW w:w="1039" w:type="dxa"/>
                  <w:tcBorders>
                    <w:tl2br w:val="nil"/>
                    <w:tr2bl w:val="nil"/>
                  </w:tcBorders>
                  <w:vAlign w:val="center"/>
                </w:tcPr>
                <w:p w14:paraId="187EF9A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全自动磨抛工</w:t>
                  </w:r>
                  <w:r>
                    <w:rPr>
                      <w:rFonts w:hint="default" w:ascii="Times New Roman" w:hAnsi="Times New Roman" w:eastAsia="宋体" w:cs="Times New Roman"/>
                      <w:color w:val="auto"/>
                      <w:spacing w:val="1"/>
                      <w:sz w:val="21"/>
                      <w:szCs w:val="21"/>
                      <w:highlight w:val="none"/>
                    </w:rPr>
                    <w:t>序</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自产</w:t>
                  </w:r>
                  <w:r>
                    <w:rPr>
                      <w:rFonts w:hint="default" w:ascii="Times New Roman" w:hAnsi="Times New Roman" w:eastAsia="宋体" w:cs="Times New Roman"/>
                      <w:color w:val="auto"/>
                      <w:sz w:val="21"/>
                      <w:szCs w:val="21"/>
                      <w:lang w:val="en-US" w:eastAsia="zh-CN"/>
                    </w:rPr>
                    <w:t>中间产品</w:t>
                  </w:r>
                </w:p>
              </w:tc>
            </w:tr>
            <w:tr w14:paraId="7F68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shd w:val="clear" w:color="auto" w:fill="auto"/>
                  <w:vAlign w:val="center"/>
                </w:tcPr>
                <w:p w14:paraId="36AC5CC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803" w:type="dxa"/>
                  <w:gridSpan w:val="2"/>
                  <w:tcBorders>
                    <w:tl2br w:val="nil"/>
                    <w:tr2bl w:val="nil"/>
                  </w:tcBorders>
                  <w:vAlign w:val="center"/>
                </w:tcPr>
                <w:p w14:paraId="23591BC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黏胶粉</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lang w:val="en-US" w:eastAsia="zh-CN"/>
                    </w:rPr>
                    <w:t>虫胶</w:t>
                  </w:r>
                  <w:r>
                    <w:rPr>
                      <w:rFonts w:hint="default" w:ascii="Times New Roman" w:hAnsi="Times New Roman" w:eastAsia="宋体" w:cs="Times New Roman"/>
                      <w:color w:val="auto"/>
                      <w:spacing w:val="6"/>
                      <w:sz w:val="21"/>
                      <w:szCs w:val="21"/>
                      <w:highlight w:val="none"/>
                      <w:lang w:eastAsia="zh-CN"/>
                    </w:rPr>
                    <w:t>）</w:t>
                  </w:r>
                </w:p>
              </w:tc>
              <w:tc>
                <w:tcPr>
                  <w:tcW w:w="764" w:type="dxa"/>
                  <w:tcBorders>
                    <w:tl2br w:val="nil"/>
                    <w:tr2bl w:val="nil"/>
                  </w:tcBorders>
                  <w:vAlign w:val="center"/>
                </w:tcPr>
                <w:p w14:paraId="4917F7A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634" w:type="dxa"/>
                  <w:tcBorders>
                    <w:tl2br w:val="nil"/>
                    <w:tr2bl w:val="nil"/>
                  </w:tcBorders>
                  <w:vAlign w:val="center"/>
                </w:tcPr>
                <w:p w14:paraId="226ECAC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6B54126B">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10kg，粉状</w:t>
                  </w:r>
                </w:p>
              </w:tc>
              <w:tc>
                <w:tcPr>
                  <w:tcW w:w="1050" w:type="dxa"/>
                  <w:tcBorders>
                    <w:tl2br w:val="nil"/>
                    <w:tr2bl w:val="nil"/>
                  </w:tcBorders>
                  <w:vAlign w:val="center"/>
                </w:tcPr>
                <w:p w14:paraId="4D025AB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49" w:type="dxa"/>
                  <w:tcBorders>
                    <w:tl2br w:val="nil"/>
                    <w:tr2bl w:val="nil"/>
                  </w:tcBorders>
                  <w:vAlign w:val="center"/>
                </w:tcPr>
                <w:p w14:paraId="5817D68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lang w:val="en-US" w:eastAsia="zh-CN"/>
                    </w:rPr>
                    <w:t>虫胶车间（即单尖仓）</w:t>
                  </w:r>
                </w:p>
              </w:tc>
              <w:tc>
                <w:tcPr>
                  <w:tcW w:w="1039" w:type="dxa"/>
                  <w:tcBorders>
                    <w:tl2br w:val="nil"/>
                    <w:tr2bl w:val="nil"/>
                  </w:tcBorders>
                  <w:vAlign w:val="center"/>
                </w:tcPr>
                <w:p w14:paraId="2107E96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全自动磨抛工</w:t>
                  </w:r>
                  <w:r>
                    <w:rPr>
                      <w:rFonts w:hint="default" w:ascii="Times New Roman" w:hAnsi="Times New Roman" w:eastAsia="宋体" w:cs="Times New Roman"/>
                      <w:color w:val="auto"/>
                      <w:spacing w:val="1"/>
                      <w:sz w:val="21"/>
                      <w:szCs w:val="21"/>
                      <w:highlight w:val="none"/>
                    </w:rPr>
                    <w:t>序</w:t>
                  </w:r>
                  <w:r>
                    <w:rPr>
                      <w:rFonts w:hint="default" w:ascii="Times New Roman" w:hAnsi="Times New Roman" w:eastAsia="宋体" w:cs="Times New Roman"/>
                      <w:color w:val="auto"/>
                      <w:sz w:val="21"/>
                      <w:szCs w:val="21"/>
                      <w:highlight w:val="none"/>
                      <w:lang w:val="en-US" w:eastAsia="zh-CN"/>
                    </w:rPr>
                    <w:t>，外购</w:t>
                  </w:r>
                </w:p>
              </w:tc>
            </w:tr>
            <w:tr w14:paraId="372B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shd w:val="clear" w:color="auto" w:fill="auto"/>
                  <w:vAlign w:val="center"/>
                </w:tcPr>
                <w:p w14:paraId="5A47803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803" w:type="dxa"/>
                  <w:gridSpan w:val="2"/>
                  <w:tcBorders>
                    <w:tl2br w:val="nil"/>
                    <w:tr2bl w:val="nil"/>
                  </w:tcBorders>
                  <w:vAlign w:val="center"/>
                </w:tcPr>
                <w:p w14:paraId="0B9F926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5"/>
                      <w:sz w:val="21"/>
                      <w:szCs w:val="21"/>
                      <w:highlight w:val="none"/>
                    </w:rPr>
                    <w:t>片碱</w:t>
                  </w:r>
                  <w:r>
                    <w:rPr>
                      <w:rFonts w:hint="default" w:ascii="Times New Roman" w:hAnsi="Times New Roman" w:eastAsia="宋体" w:cs="Times New Roman"/>
                      <w:color w:val="auto"/>
                      <w:sz w:val="21"/>
                      <w:szCs w:val="21"/>
                      <w:highlight w:val="none"/>
                    </w:rPr>
                    <w:t>NaOH</w:t>
                  </w:r>
                </w:p>
              </w:tc>
              <w:tc>
                <w:tcPr>
                  <w:tcW w:w="764" w:type="dxa"/>
                  <w:tcBorders>
                    <w:tl2br w:val="nil"/>
                    <w:tr2bl w:val="nil"/>
                  </w:tcBorders>
                  <w:vAlign w:val="center"/>
                </w:tcPr>
                <w:p w14:paraId="5506E29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34" w:type="dxa"/>
                  <w:tcBorders>
                    <w:tl2br w:val="nil"/>
                    <w:tr2bl w:val="nil"/>
                  </w:tcBorders>
                  <w:vAlign w:val="center"/>
                </w:tcPr>
                <w:p w14:paraId="03C616C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5E00A977">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25kg，块状、粒状</w:t>
                  </w:r>
                </w:p>
              </w:tc>
              <w:tc>
                <w:tcPr>
                  <w:tcW w:w="1050" w:type="dxa"/>
                  <w:tcBorders>
                    <w:tl2br w:val="nil"/>
                    <w:tr2bl w:val="nil"/>
                  </w:tcBorders>
                  <w:vAlign w:val="center"/>
                </w:tcPr>
                <w:p w14:paraId="2F44128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949" w:type="dxa"/>
                  <w:tcBorders>
                    <w:tl2br w:val="nil"/>
                    <w:tr2bl w:val="nil"/>
                  </w:tcBorders>
                  <w:vAlign w:val="center"/>
                </w:tcPr>
                <w:p w14:paraId="5A04E85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碱库</w:t>
                  </w:r>
                </w:p>
              </w:tc>
              <w:tc>
                <w:tcPr>
                  <w:tcW w:w="1039" w:type="dxa"/>
                  <w:tcBorders>
                    <w:tl2br w:val="nil"/>
                    <w:tr2bl w:val="nil"/>
                  </w:tcBorders>
                  <w:vAlign w:val="center"/>
                </w:tcPr>
                <w:p w14:paraId="1233A8AD">
                  <w:pPr>
                    <w:pStyle w:val="57"/>
                    <w:keepNext w:val="0"/>
                    <w:keepLines w:val="0"/>
                    <w:pageBreakBefore w:val="0"/>
                    <w:widowControl w:val="0"/>
                    <w:numPr>
                      <w:ilvl w:val="0"/>
                      <w:numId w:val="0"/>
                    </w:numPr>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清洗工序</w:t>
                  </w:r>
                  <w:r>
                    <w:rPr>
                      <w:rFonts w:hint="default" w:ascii="Times New Roman" w:hAnsi="Times New Roman" w:eastAsia="宋体" w:cs="Times New Roman"/>
                      <w:color w:val="auto"/>
                      <w:sz w:val="21"/>
                      <w:szCs w:val="21"/>
                      <w:highlight w:val="none"/>
                      <w:lang w:val="en-US" w:eastAsia="zh-CN"/>
                    </w:rPr>
                    <w:t>，外购</w:t>
                  </w:r>
                </w:p>
              </w:tc>
            </w:tr>
            <w:tr w14:paraId="56A8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shd w:val="clear" w:color="auto" w:fill="auto"/>
                  <w:vAlign w:val="center"/>
                </w:tcPr>
                <w:p w14:paraId="79DBB2D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4</w:t>
                  </w:r>
                </w:p>
              </w:tc>
              <w:tc>
                <w:tcPr>
                  <w:tcW w:w="1803" w:type="dxa"/>
                  <w:gridSpan w:val="2"/>
                  <w:tcBorders>
                    <w:tl2br w:val="nil"/>
                    <w:tr2bl w:val="nil"/>
                  </w:tcBorders>
                  <w:shd w:val="clear" w:color="auto" w:fill="auto"/>
                  <w:vAlign w:val="center"/>
                </w:tcPr>
                <w:p w14:paraId="60391C2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吸塑片</w:t>
                  </w:r>
                  <w:r>
                    <w:rPr>
                      <w:rFonts w:hint="default" w:ascii="Times New Roman" w:hAnsi="Times New Roman" w:eastAsia="宋体" w:cs="Times New Roman"/>
                      <w:color w:val="auto"/>
                      <w:sz w:val="21"/>
                      <w:szCs w:val="21"/>
                      <w:highlight w:val="none"/>
                    </w:rPr>
                    <w:t>PVC</w:t>
                  </w:r>
                </w:p>
              </w:tc>
              <w:tc>
                <w:tcPr>
                  <w:tcW w:w="764" w:type="dxa"/>
                  <w:tcBorders>
                    <w:tl2br w:val="nil"/>
                    <w:tr2bl w:val="nil"/>
                  </w:tcBorders>
                  <w:shd w:val="clear" w:color="auto" w:fill="auto"/>
                  <w:vAlign w:val="center"/>
                </w:tcPr>
                <w:p w14:paraId="5F9AEB5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4000</w:t>
                  </w:r>
                </w:p>
              </w:tc>
              <w:tc>
                <w:tcPr>
                  <w:tcW w:w="634" w:type="dxa"/>
                  <w:tcBorders>
                    <w:tl2br w:val="nil"/>
                    <w:tr2bl w:val="nil"/>
                  </w:tcBorders>
                  <w:shd w:val="clear" w:color="auto" w:fill="auto"/>
                  <w:vAlign w:val="center"/>
                </w:tcPr>
                <w:p w14:paraId="11E392E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305A599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50kg，片状</w:t>
                  </w:r>
                </w:p>
              </w:tc>
              <w:tc>
                <w:tcPr>
                  <w:tcW w:w="1050" w:type="dxa"/>
                  <w:tcBorders>
                    <w:tl2br w:val="nil"/>
                    <w:tr2bl w:val="nil"/>
                  </w:tcBorders>
                  <w:shd w:val="clear" w:color="auto" w:fill="auto"/>
                  <w:vAlign w:val="center"/>
                </w:tcPr>
                <w:p w14:paraId="63B0AE2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w:t>
                  </w:r>
                </w:p>
              </w:tc>
              <w:tc>
                <w:tcPr>
                  <w:tcW w:w="949" w:type="dxa"/>
                  <w:tcBorders>
                    <w:tl2br w:val="nil"/>
                    <w:tr2bl w:val="nil"/>
                  </w:tcBorders>
                  <w:shd w:val="clear" w:color="auto" w:fill="auto"/>
                  <w:vAlign w:val="center"/>
                </w:tcPr>
                <w:p w14:paraId="086F825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lang w:val="en-US" w:eastAsia="zh-CN"/>
                    </w:rPr>
                    <w:t>吸塑片</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tcBorders>
                    <w:tl2br w:val="nil"/>
                    <w:tr2bl w:val="nil"/>
                  </w:tcBorders>
                  <w:shd w:val="clear" w:color="auto" w:fill="auto"/>
                  <w:vAlign w:val="center"/>
                </w:tcPr>
                <w:p w14:paraId="472ED2F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吸塑工序</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品</w:t>
                  </w:r>
                </w:p>
              </w:tc>
            </w:tr>
            <w:tr w14:paraId="260D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0" w:type="dxa"/>
                  <w:tcBorders>
                    <w:tl2br w:val="nil"/>
                    <w:tr2bl w:val="nil"/>
                  </w:tcBorders>
                  <w:shd w:val="clear" w:color="auto" w:fill="auto"/>
                  <w:vAlign w:val="center"/>
                </w:tcPr>
                <w:p w14:paraId="5327F1D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803" w:type="dxa"/>
                  <w:gridSpan w:val="2"/>
                  <w:tcBorders>
                    <w:tl2br w:val="nil"/>
                    <w:tr2bl w:val="nil"/>
                  </w:tcBorders>
                  <w:shd w:val="clear" w:color="auto" w:fill="auto"/>
                  <w:vAlign w:val="center"/>
                </w:tcPr>
                <w:p w14:paraId="57B2283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金刚砂</w:t>
                  </w:r>
                </w:p>
              </w:tc>
              <w:tc>
                <w:tcPr>
                  <w:tcW w:w="764" w:type="dxa"/>
                  <w:tcBorders>
                    <w:tl2br w:val="nil"/>
                    <w:tr2bl w:val="nil"/>
                  </w:tcBorders>
                  <w:shd w:val="clear" w:color="auto" w:fill="auto"/>
                  <w:vAlign w:val="center"/>
                </w:tcPr>
                <w:p w14:paraId="4C76F1E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634" w:type="dxa"/>
                  <w:tcBorders>
                    <w:tl2br w:val="nil"/>
                    <w:tr2bl w:val="nil"/>
                  </w:tcBorders>
                  <w:shd w:val="clear" w:color="auto" w:fill="auto"/>
                  <w:vAlign w:val="center"/>
                </w:tcPr>
                <w:p w14:paraId="429DBEC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1C53308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25kg，晶体</w:t>
                  </w:r>
                </w:p>
              </w:tc>
              <w:tc>
                <w:tcPr>
                  <w:tcW w:w="1050" w:type="dxa"/>
                  <w:tcBorders>
                    <w:tl2br w:val="nil"/>
                    <w:tr2bl w:val="nil"/>
                  </w:tcBorders>
                  <w:shd w:val="clear" w:color="auto" w:fill="auto"/>
                  <w:vAlign w:val="center"/>
                </w:tcPr>
                <w:p w14:paraId="617E224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0.5</w:t>
                  </w:r>
                </w:p>
              </w:tc>
              <w:tc>
                <w:tcPr>
                  <w:tcW w:w="949" w:type="dxa"/>
                  <w:tcBorders>
                    <w:tl2br w:val="nil"/>
                    <w:tr2bl w:val="nil"/>
                  </w:tcBorders>
                  <w:shd w:val="clear" w:color="auto" w:fill="auto"/>
                  <w:vAlign w:val="center"/>
                </w:tcPr>
                <w:p w14:paraId="3BADC7F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lang w:val="en-US" w:eastAsia="zh-CN"/>
                    </w:rPr>
                    <w:t>辅料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tcBorders>
                    <w:tl2br w:val="nil"/>
                    <w:tr2bl w:val="nil"/>
                  </w:tcBorders>
                  <w:shd w:val="clear" w:color="auto" w:fill="auto"/>
                  <w:vAlign w:val="center"/>
                </w:tcPr>
                <w:p w14:paraId="7676452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7"/>
                      <w:sz w:val="21"/>
                      <w:szCs w:val="21"/>
                      <w:highlight w:val="none"/>
                      <w:lang w:val="en-US" w:eastAsia="zh-CN"/>
                    </w:rPr>
                    <w:t>烫钻</w:t>
                  </w:r>
                  <w:r>
                    <w:rPr>
                      <w:rFonts w:hint="default" w:ascii="Times New Roman" w:hAnsi="Times New Roman" w:eastAsia="宋体" w:cs="Times New Roman"/>
                      <w:color w:val="auto"/>
                      <w:spacing w:val="7"/>
                      <w:sz w:val="21"/>
                      <w:szCs w:val="21"/>
                      <w:highlight w:val="none"/>
                    </w:rPr>
                    <w:t>生</w:t>
                  </w:r>
                  <w:r>
                    <w:rPr>
                      <w:rFonts w:hint="default" w:ascii="Times New Roman" w:hAnsi="Times New Roman" w:eastAsia="宋体" w:cs="Times New Roman"/>
                      <w:color w:val="auto"/>
                      <w:sz w:val="21"/>
                      <w:szCs w:val="21"/>
                      <w:highlight w:val="none"/>
                    </w:rPr>
                    <w:t>产</w:t>
                  </w:r>
                  <w:r>
                    <w:rPr>
                      <w:rFonts w:hint="default" w:ascii="Times New Roman" w:hAnsi="Times New Roman" w:eastAsia="宋体" w:cs="Times New Roman"/>
                      <w:color w:val="auto"/>
                      <w:sz w:val="21"/>
                      <w:szCs w:val="21"/>
                      <w:highlight w:val="none"/>
                      <w:lang w:val="en-US" w:eastAsia="zh-CN"/>
                    </w:rPr>
                    <w:t>辅料，外购</w:t>
                  </w:r>
                </w:p>
              </w:tc>
            </w:tr>
            <w:tr w14:paraId="6445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3F4CBC7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en-US" w:eastAsia="zh-CN"/>
                    </w:rPr>
                    <w:t>四</w:t>
                  </w:r>
                  <w:r>
                    <w:rPr>
                      <w:rFonts w:hint="default" w:ascii="Times New Roman" w:hAnsi="Times New Roman" w:eastAsia="宋体" w:cs="Times New Roman"/>
                      <w:b/>
                      <w:bCs/>
                      <w:color w:val="auto"/>
                      <w:spacing w:val="7"/>
                      <w:sz w:val="21"/>
                      <w:szCs w:val="21"/>
                      <w:highlight w:val="none"/>
                    </w:rPr>
                    <w:t>、抛轮</w:t>
                  </w:r>
                  <w:r>
                    <w:rPr>
                      <w:rFonts w:hint="default" w:ascii="Times New Roman" w:hAnsi="Times New Roman" w:eastAsia="宋体" w:cs="Times New Roman"/>
                      <w:b/>
                      <w:bCs/>
                      <w:color w:val="auto"/>
                      <w:spacing w:val="7"/>
                      <w:sz w:val="21"/>
                      <w:szCs w:val="21"/>
                      <w:highlight w:val="none"/>
                      <w:lang w:val="en-US" w:eastAsia="zh-CN"/>
                    </w:rPr>
                    <w:t>修复</w:t>
                  </w:r>
                </w:p>
              </w:tc>
              <w:tc>
                <w:tcPr>
                  <w:tcW w:w="1039" w:type="dxa"/>
                  <w:tcBorders>
                    <w:tl2br w:val="nil"/>
                    <w:tr2bl w:val="nil"/>
                  </w:tcBorders>
                  <w:vAlign w:val="center"/>
                </w:tcPr>
                <w:p w14:paraId="26C60E1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C15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65C19D9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85" w:type="dxa"/>
                  <w:tcBorders>
                    <w:tl2br w:val="nil"/>
                    <w:tr2bl w:val="nil"/>
                  </w:tcBorders>
                  <w:vAlign w:val="center"/>
                </w:tcPr>
                <w:p w14:paraId="7DE6FA9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抛光粉</w:t>
                  </w:r>
                </w:p>
              </w:tc>
              <w:tc>
                <w:tcPr>
                  <w:tcW w:w="764" w:type="dxa"/>
                  <w:tcBorders>
                    <w:tl2br w:val="nil"/>
                    <w:tr2bl w:val="nil"/>
                  </w:tcBorders>
                  <w:vAlign w:val="center"/>
                </w:tcPr>
                <w:p w14:paraId="34D75B0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34" w:type="dxa"/>
                  <w:tcBorders>
                    <w:tl2br w:val="nil"/>
                    <w:tr2bl w:val="nil"/>
                  </w:tcBorders>
                  <w:vAlign w:val="center"/>
                </w:tcPr>
                <w:p w14:paraId="010260E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24BA5B9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4D32A68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49" w:type="dxa"/>
                  <w:vMerge w:val="restart"/>
                  <w:tcBorders>
                    <w:tl2br w:val="nil"/>
                    <w:tr2bl w:val="nil"/>
                  </w:tcBorders>
                  <w:vAlign w:val="center"/>
                </w:tcPr>
                <w:p w14:paraId="5FCAF138">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3"/>
                      <w:sz w:val="21"/>
                      <w:szCs w:val="21"/>
                      <w:highlight w:val="none"/>
                      <w:lang w:val="en-US" w:eastAsia="zh-CN"/>
                    </w:rPr>
                    <w:t>修复材料</w:t>
                  </w:r>
                  <w:r>
                    <w:rPr>
                      <w:rFonts w:hint="default" w:ascii="Times New Roman" w:hAnsi="Times New Roman" w:eastAsia="宋体" w:cs="Times New Roman"/>
                      <w:color w:val="auto"/>
                      <w:spacing w:val="6"/>
                      <w:sz w:val="21"/>
                      <w:szCs w:val="21"/>
                      <w:highlight w:val="none"/>
                    </w:rPr>
                    <w:t>仓</w:t>
                  </w:r>
                  <w:r>
                    <w:rPr>
                      <w:rFonts w:hint="default" w:ascii="Times New Roman" w:hAnsi="Times New Roman" w:eastAsia="宋体" w:cs="Times New Roman"/>
                      <w:color w:val="auto"/>
                      <w:sz w:val="21"/>
                      <w:szCs w:val="21"/>
                      <w:highlight w:val="none"/>
                    </w:rPr>
                    <w:t>库</w:t>
                  </w:r>
                </w:p>
              </w:tc>
              <w:tc>
                <w:tcPr>
                  <w:tcW w:w="1039" w:type="dxa"/>
                  <w:vMerge w:val="restart"/>
                  <w:tcBorders>
                    <w:tl2br w:val="nil"/>
                    <w:tr2bl w:val="nil"/>
                  </w:tcBorders>
                  <w:vAlign w:val="center"/>
                </w:tcPr>
                <w:p w14:paraId="463F72C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抛轮</w:t>
                  </w:r>
                  <w:r>
                    <w:rPr>
                      <w:rFonts w:hint="default" w:ascii="Times New Roman" w:hAnsi="Times New Roman" w:eastAsia="宋体" w:cs="Times New Roman"/>
                      <w:b w:val="0"/>
                      <w:bCs w:val="0"/>
                      <w:color w:val="auto"/>
                      <w:spacing w:val="7"/>
                      <w:sz w:val="21"/>
                      <w:szCs w:val="21"/>
                      <w:highlight w:val="none"/>
                      <w:lang w:val="en-US" w:eastAsia="zh-CN"/>
                    </w:rPr>
                    <w:t>修复</w:t>
                  </w:r>
                  <w:r>
                    <w:rPr>
                      <w:rFonts w:hint="default" w:ascii="Times New Roman" w:hAnsi="Times New Roman" w:eastAsia="宋体" w:cs="Times New Roman"/>
                      <w:color w:val="auto"/>
                      <w:spacing w:val="4"/>
                      <w:sz w:val="21"/>
                      <w:szCs w:val="21"/>
                      <w:highlight w:val="none"/>
                      <w:lang w:val="en-US" w:eastAsia="zh-CN"/>
                    </w:rPr>
                    <w:t>辅料</w:t>
                  </w:r>
                  <w:r>
                    <w:rPr>
                      <w:rFonts w:hint="default" w:ascii="Times New Roman" w:hAnsi="Times New Roman" w:eastAsia="宋体" w:cs="Times New Roman"/>
                      <w:color w:val="auto"/>
                      <w:sz w:val="21"/>
                      <w:szCs w:val="21"/>
                      <w:highlight w:val="none"/>
                      <w:lang w:val="en-US" w:eastAsia="zh-CN"/>
                    </w:rPr>
                    <w:t>，外购</w:t>
                  </w:r>
                </w:p>
              </w:tc>
            </w:tr>
            <w:tr w14:paraId="44A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790BE951">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85" w:type="dxa"/>
                  <w:tcBorders>
                    <w:tl2br w:val="nil"/>
                    <w:tr2bl w:val="nil"/>
                  </w:tcBorders>
                  <w:vAlign w:val="center"/>
                </w:tcPr>
                <w:p w14:paraId="1A0414C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不饱和聚酯树脂</w:t>
                  </w:r>
                </w:p>
              </w:tc>
              <w:tc>
                <w:tcPr>
                  <w:tcW w:w="764" w:type="dxa"/>
                  <w:tcBorders>
                    <w:tl2br w:val="nil"/>
                    <w:tr2bl w:val="nil"/>
                  </w:tcBorders>
                  <w:vAlign w:val="center"/>
                </w:tcPr>
                <w:p w14:paraId="4AE0581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634" w:type="dxa"/>
                  <w:tcBorders>
                    <w:tl2br w:val="nil"/>
                    <w:tr2bl w:val="nil"/>
                  </w:tcBorders>
                  <w:vAlign w:val="center"/>
                </w:tcPr>
                <w:p w14:paraId="49362BB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324DC0E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25kg，液体</w:t>
                  </w:r>
                </w:p>
              </w:tc>
              <w:tc>
                <w:tcPr>
                  <w:tcW w:w="1050" w:type="dxa"/>
                  <w:tcBorders>
                    <w:tl2br w:val="nil"/>
                    <w:tr2bl w:val="nil"/>
                  </w:tcBorders>
                  <w:vAlign w:val="center"/>
                </w:tcPr>
                <w:p w14:paraId="09D763A5">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49" w:type="dxa"/>
                  <w:vMerge w:val="continue"/>
                  <w:tcBorders>
                    <w:tl2br w:val="nil"/>
                    <w:tr2bl w:val="nil"/>
                  </w:tcBorders>
                  <w:vAlign w:val="center"/>
                </w:tcPr>
                <w:p w14:paraId="70F988D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58C9F24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7ED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68A0B27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85" w:type="dxa"/>
                  <w:tcBorders>
                    <w:tl2br w:val="nil"/>
                    <w:tr2bl w:val="nil"/>
                  </w:tcBorders>
                  <w:vAlign w:val="center"/>
                </w:tcPr>
                <w:p w14:paraId="0BE95C0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白糖</w:t>
                  </w:r>
                </w:p>
              </w:tc>
              <w:tc>
                <w:tcPr>
                  <w:tcW w:w="764" w:type="dxa"/>
                  <w:tcBorders>
                    <w:tl2br w:val="nil"/>
                    <w:tr2bl w:val="nil"/>
                  </w:tcBorders>
                  <w:vAlign w:val="center"/>
                </w:tcPr>
                <w:p w14:paraId="4AA6A52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r>
                    <w:rPr>
                      <w:rFonts w:hint="eastAsia" w:cs="Times New Roman"/>
                      <w:color w:val="auto"/>
                      <w:sz w:val="21"/>
                      <w:szCs w:val="21"/>
                      <w:highlight w:val="none"/>
                      <w:lang w:val="en-US" w:eastAsia="zh-CN"/>
                    </w:rPr>
                    <w:t>48</w:t>
                  </w:r>
                </w:p>
              </w:tc>
              <w:tc>
                <w:tcPr>
                  <w:tcW w:w="634" w:type="dxa"/>
                  <w:tcBorders>
                    <w:tl2br w:val="nil"/>
                    <w:tr2bl w:val="nil"/>
                  </w:tcBorders>
                  <w:vAlign w:val="center"/>
                </w:tcPr>
                <w:p w14:paraId="076FA72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vAlign w:val="center"/>
                </w:tcPr>
                <w:p w14:paraId="64D3D50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25kg，颗粒状晶体</w:t>
                  </w:r>
                </w:p>
              </w:tc>
              <w:tc>
                <w:tcPr>
                  <w:tcW w:w="1050" w:type="dxa"/>
                  <w:tcBorders>
                    <w:tl2br w:val="nil"/>
                    <w:tr2bl w:val="nil"/>
                  </w:tcBorders>
                  <w:vAlign w:val="center"/>
                </w:tcPr>
                <w:p w14:paraId="2E11E19A">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49" w:type="dxa"/>
                  <w:vMerge w:val="continue"/>
                  <w:tcBorders>
                    <w:tl2br w:val="nil"/>
                    <w:tr2bl w:val="nil"/>
                  </w:tcBorders>
                  <w:vAlign w:val="center"/>
                </w:tcPr>
                <w:p w14:paraId="3937BFC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39" w:type="dxa"/>
                  <w:vMerge w:val="continue"/>
                  <w:tcBorders>
                    <w:tl2br w:val="nil"/>
                    <w:tr2bl w:val="nil"/>
                  </w:tcBorders>
                  <w:vAlign w:val="center"/>
                </w:tcPr>
                <w:p w14:paraId="7EEC685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2D4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0C471E3D">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85" w:type="dxa"/>
                  <w:tcBorders>
                    <w:tl2br w:val="nil"/>
                    <w:tr2bl w:val="nil"/>
                  </w:tcBorders>
                  <w:vAlign w:val="center"/>
                </w:tcPr>
                <w:p w14:paraId="4C12595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lang w:val="en-US" w:eastAsia="zh-CN"/>
                    </w:rPr>
                    <w:t>固化剂</w:t>
                  </w:r>
                </w:p>
              </w:tc>
              <w:tc>
                <w:tcPr>
                  <w:tcW w:w="764" w:type="dxa"/>
                  <w:tcBorders>
                    <w:tl2br w:val="nil"/>
                    <w:tr2bl w:val="nil"/>
                  </w:tcBorders>
                  <w:vAlign w:val="center"/>
                </w:tcPr>
                <w:p w14:paraId="49BD2FD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634" w:type="dxa"/>
                  <w:tcBorders>
                    <w:tl2br w:val="nil"/>
                    <w:tr2bl w:val="nil"/>
                  </w:tcBorders>
                  <w:shd w:val="clear" w:color="auto" w:fill="auto"/>
                  <w:vAlign w:val="center"/>
                </w:tcPr>
                <w:p w14:paraId="67B4C00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282B645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25kg，粉状</w:t>
                  </w:r>
                </w:p>
              </w:tc>
              <w:tc>
                <w:tcPr>
                  <w:tcW w:w="1050" w:type="dxa"/>
                  <w:tcBorders>
                    <w:tl2br w:val="nil"/>
                    <w:tr2bl w:val="nil"/>
                  </w:tcBorders>
                  <w:vAlign w:val="center"/>
                </w:tcPr>
                <w:p w14:paraId="5C10B13F">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949" w:type="dxa"/>
                  <w:vMerge w:val="continue"/>
                  <w:tcBorders>
                    <w:tl2br w:val="nil"/>
                    <w:tr2bl w:val="nil"/>
                  </w:tcBorders>
                  <w:vAlign w:val="center"/>
                </w:tcPr>
                <w:p w14:paraId="090B622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rPr>
                  </w:pPr>
                </w:p>
              </w:tc>
              <w:tc>
                <w:tcPr>
                  <w:tcW w:w="1039" w:type="dxa"/>
                  <w:vMerge w:val="continue"/>
                  <w:tcBorders>
                    <w:tl2br w:val="nil"/>
                    <w:tr2bl w:val="nil"/>
                  </w:tcBorders>
                  <w:vAlign w:val="center"/>
                </w:tcPr>
                <w:p w14:paraId="3AAF4103">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2D5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5C33EC60">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785" w:type="dxa"/>
                  <w:tcBorders>
                    <w:tl2br w:val="nil"/>
                    <w:tr2bl w:val="nil"/>
                  </w:tcBorders>
                  <w:vAlign w:val="center"/>
                </w:tcPr>
                <w:p w14:paraId="2471A06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废抛轮</w:t>
                  </w:r>
                </w:p>
              </w:tc>
              <w:tc>
                <w:tcPr>
                  <w:tcW w:w="764" w:type="dxa"/>
                  <w:tcBorders>
                    <w:tl2br w:val="nil"/>
                    <w:tr2bl w:val="nil"/>
                  </w:tcBorders>
                  <w:vAlign w:val="center"/>
                </w:tcPr>
                <w:p w14:paraId="64D37B39">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634" w:type="dxa"/>
                  <w:tcBorders>
                    <w:tl2br w:val="nil"/>
                    <w:tr2bl w:val="nil"/>
                  </w:tcBorders>
                  <w:vAlign w:val="center"/>
                </w:tcPr>
                <w:p w14:paraId="61CB06C4">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w:t>
                  </w:r>
                </w:p>
              </w:tc>
              <w:tc>
                <w:tcPr>
                  <w:tcW w:w="1316" w:type="dxa"/>
                  <w:tcBorders>
                    <w:tl2br w:val="nil"/>
                    <w:tr2bl w:val="nil"/>
                  </w:tcBorders>
                  <w:vAlign w:val="center"/>
                </w:tcPr>
                <w:p w14:paraId="6F298DB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固态</w:t>
                  </w:r>
                </w:p>
              </w:tc>
              <w:tc>
                <w:tcPr>
                  <w:tcW w:w="1050" w:type="dxa"/>
                  <w:tcBorders>
                    <w:tl2br w:val="nil"/>
                    <w:tr2bl w:val="nil"/>
                  </w:tcBorders>
                  <w:vAlign w:val="center"/>
                </w:tcPr>
                <w:p w14:paraId="79146B2B">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w:t>
                  </w:r>
                </w:p>
              </w:tc>
              <w:tc>
                <w:tcPr>
                  <w:tcW w:w="949" w:type="dxa"/>
                  <w:tcBorders>
                    <w:tl2br w:val="nil"/>
                    <w:tr2bl w:val="nil"/>
                  </w:tcBorders>
                  <w:vAlign w:val="center"/>
                </w:tcPr>
                <w:p w14:paraId="13904BA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5"/>
                      <w:sz w:val="21"/>
                      <w:szCs w:val="21"/>
                      <w:highlight w:val="none"/>
                      <w:lang w:val="en-US" w:eastAsia="zh-CN"/>
                    </w:rPr>
                    <w:t>抛轮仓</w:t>
                  </w:r>
                </w:p>
              </w:tc>
              <w:tc>
                <w:tcPr>
                  <w:tcW w:w="1039" w:type="dxa"/>
                  <w:tcBorders>
                    <w:tl2br w:val="nil"/>
                    <w:tr2bl w:val="nil"/>
                  </w:tcBorders>
                  <w:vAlign w:val="center"/>
                </w:tcPr>
                <w:p w14:paraId="232DE12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rPr>
                    <w:t>废抛轮</w:t>
                  </w:r>
                  <w:r>
                    <w:rPr>
                      <w:rFonts w:hint="default" w:ascii="Times New Roman" w:hAnsi="Times New Roman" w:eastAsia="宋体" w:cs="Times New Roman"/>
                      <w:color w:val="auto"/>
                      <w:spacing w:val="4"/>
                      <w:sz w:val="21"/>
                      <w:szCs w:val="21"/>
                      <w:highlight w:val="none"/>
                    </w:rPr>
                    <w:t>修复</w:t>
                  </w:r>
                  <w:r>
                    <w:rPr>
                      <w:rFonts w:hint="eastAsia" w:ascii="Times New Roman" w:hAnsi="Times New Roman" w:eastAsia="宋体" w:cs="Times New Roman"/>
                      <w:color w:val="auto"/>
                      <w:spacing w:val="4"/>
                      <w:sz w:val="21"/>
                      <w:szCs w:val="21"/>
                      <w:highlight w:val="none"/>
                      <w:lang w:eastAsia="zh-CN"/>
                    </w:rPr>
                    <w:t>，</w:t>
                  </w:r>
                  <w:r>
                    <w:rPr>
                      <w:rFonts w:hint="eastAsia" w:ascii="Times New Roman" w:hAnsi="Times New Roman" w:eastAsia="宋体" w:cs="Times New Roman"/>
                      <w:color w:val="auto"/>
                      <w:spacing w:val="4"/>
                      <w:sz w:val="21"/>
                      <w:szCs w:val="21"/>
                      <w:highlight w:val="none"/>
                      <w:lang w:val="en-US" w:eastAsia="zh-CN"/>
                    </w:rPr>
                    <w:t>项目产生</w:t>
                  </w:r>
                </w:p>
              </w:tc>
            </w:tr>
            <w:tr w14:paraId="0623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69AE299A">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en-US" w:eastAsia="zh-CN"/>
                    </w:rPr>
                    <w:t>五</w:t>
                  </w:r>
                  <w:r>
                    <w:rPr>
                      <w:rFonts w:hint="default" w:ascii="Times New Roman" w:hAnsi="Times New Roman" w:eastAsia="宋体" w:cs="Times New Roman"/>
                      <w:b/>
                      <w:bCs/>
                      <w:color w:val="auto"/>
                      <w:spacing w:val="7"/>
                      <w:sz w:val="21"/>
                      <w:szCs w:val="21"/>
                      <w:highlight w:val="none"/>
                    </w:rPr>
                    <w:t>、</w:t>
                  </w:r>
                  <w:r>
                    <w:rPr>
                      <w:rFonts w:hint="default" w:ascii="Times New Roman" w:hAnsi="Times New Roman" w:eastAsia="宋体" w:cs="Times New Roman"/>
                      <w:b/>
                      <w:bCs/>
                      <w:color w:val="auto"/>
                      <w:spacing w:val="7"/>
                      <w:sz w:val="21"/>
                      <w:szCs w:val="21"/>
                      <w:highlight w:val="none"/>
                      <w:lang w:val="en-US" w:eastAsia="zh-CN"/>
                    </w:rPr>
                    <w:t>其他公用设施</w:t>
                  </w:r>
                </w:p>
              </w:tc>
              <w:tc>
                <w:tcPr>
                  <w:tcW w:w="1039" w:type="dxa"/>
                  <w:tcBorders>
                    <w:tl2br w:val="nil"/>
                    <w:tr2bl w:val="nil"/>
                  </w:tcBorders>
                  <w:vAlign w:val="center"/>
                </w:tcPr>
                <w:p w14:paraId="7557504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highlight w:val="none"/>
                      <w:lang w:val="en-US" w:eastAsia="zh-CN"/>
                    </w:rPr>
                  </w:pPr>
                </w:p>
              </w:tc>
            </w:tr>
            <w:tr w14:paraId="340D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6D5062F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w:t>
                  </w:r>
                </w:p>
              </w:tc>
              <w:tc>
                <w:tcPr>
                  <w:tcW w:w="1785" w:type="dxa"/>
                  <w:tcBorders>
                    <w:tl2br w:val="nil"/>
                    <w:tr2bl w:val="nil"/>
                  </w:tcBorders>
                  <w:shd w:val="clear" w:color="auto" w:fill="auto"/>
                  <w:vAlign w:val="center"/>
                </w:tcPr>
                <w:p w14:paraId="22B7313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1"/>
                      <w:sz w:val="21"/>
                      <w:szCs w:val="21"/>
                      <w:highlight w:val="none"/>
                    </w:rPr>
                    <w:t>白糖</w:t>
                  </w:r>
                </w:p>
              </w:tc>
              <w:tc>
                <w:tcPr>
                  <w:tcW w:w="764" w:type="dxa"/>
                  <w:tcBorders>
                    <w:tl2br w:val="nil"/>
                    <w:tr2bl w:val="nil"/>
                  </w:tcBorders>
                  <w:shd w:val="clear" w:color="auto" w:fill="auto"/>
                  <w:vAlign w:val="center"/>
                </w:tcPr>
                <w:p w14:paraId="24A4180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p>
              </w:tc>
              <w:tc>
                <w:tcPr>
                  <w:tcW w:w="634" w:type="dxa"/>
                  <w:tcBorders>
                    <w:tl2br w:val="nil"/>
                    <w:tr2bl w:val="nil"/>
                  </w:tcBorders>
                  <w:shd w:val="clear" w:color="auto" w:fill="auto"/>
                  <w:vAlign w:val="center"/>
                </w:tcPr>
                <w:p w14:paraId="7C07411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袋装</w:t>
                  </w:r>
                </w:p>
              </w:tc>
              <w:tc>
                <w:tcPr>
                  <w:tcW w:w="1316" w:type="dxa"/>
                  <w:tcBorders>
                    <w:tl2br w:val="nil"/>
                    <w:tr2bl w:val="nil"/>
                  </w:tcBorders>
                  <w:shd w:val="clear" w:color="auto" w:fill="auto"/>
                  <w:vAlign w:val="center"/>
                </w:tcPr>
                <w:p w14:paraId="6D2593A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25kg，颗粒状晶体</w:t>
                  </w:r>
                </w:p>
              </w:tc>
              <w:tc>
                <w:tcPr>
                  <w:tcW w:w="1050" w:type="dxa"/>
                  <w:tcBorders>
                    <w:tl2br w:val="nil"/>
                    <w:tr2bl w:val="nil"/>
                  </w:tcBorders>
                  <w:shd w:val="clear" w:color="auto" w:fill="auto"/>
                  <w:vAlign w:val="center"/>
                </w:tcPr>
                <w:p w14:paraId="05F12A3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949" w:type="dxa"/>
                  <w:vMerge w:val="restart"/>
                  <w:tcBorders>
                    <w:tl2br w:val="nil"/>
                    <w:tr2bl w:val="nil"/>
                  </w:tcBorders>
                  <w:shd w:val="clear" w:color="auto" w:fill="auto"/>
                  <w:vAlign w:val="center"/>
                </w:tcPr>
                <w:p w14:paraId="6A2CBB9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rPr>
                  </w:pPr>
                  <w:r>
                    <w:rPr>
                      <w:rFonts w:hint="default" w:ascii="Times New Roman" w:hAnsi="Times New Roman" w:eastAsia="宋体" w:cs="Times New Roman"/>
                      <w:color w:val="auto"/>
                      <w:spacing w:val="4"/>
                      <w:sz w:val="21"/>
                      <w:szCs w:val="21"/>
                      <w:highlight w:val="none"/>
                      <w:lang w:val="en-US" w:eastAsia="zh-CN"/>
                    </w:rPr>
                    <w:t>污水处理站材料仓</w:t>
                  </w:r>
                </w:p>
              </w:tc>
              <w:tc>
                <w:tcPr>
                  <w:tcW w:w="1039" w:type="dxa"/>
                  <w:tcBorders>
                    <w:tl2br w:val="nil"/>
                    <w:tr2bl w:val="nil"/>
                  </w:tcBorders>
                  <w:vAlign w:val="center"/>
                </w:tcPr>
                <w:p w14:paraId="22A4C51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废水可生化性调节</w:t>
                  </w:r>
                  <w:r>
                    <w:rPr>
                      <w:rFonts w:hint="default" w:ascii="Times New Roman" w:hAnsi="Times New Roman" w:eastAsia="宋体" w:cs="Times New Roman"/>
                      <w:color w:val="auto"/>
                      <w:sz w:val="21"/>
                      <w:szCs w:val="21"/>
                      <w:highlight w:val="none"/>
                      <w:lang w:val="en-US" w:eastAsia="zh-CN"/>
                    </w:rPr>
                    <w:t>，外购</w:t>
                  </w:r>
                </w:p>
              </w:tc>
            </w:tr>
            <w:tr w14:paraId="63B9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398" w:type="dxa"/>
                  <w:gridSpan w:val="2"/>
                  <w:tcBorders>
                    <w:tl2br w:val="nil"/>
                    <w:tr2bl w:val="nil"/>
                  </w:tcBorders>
                  <w:shd w:val="clear" w:color="auto" w:fill="auto"/>
                  <w:vAlign w:val="center"/>
                </w:tcPr>
                <w:p w14:paraId="0CEA211E">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2</w:t>
                  </w:r>
                </w:p>
              </w:tc>
              <w:tc>
                <w:tcPr>
                  <w:tcW w:w="1785" w:type="dxa"/>
                  <w:tcBorders>
                    <w:tl2br w:val="nil"/>
                    <w:tr2bl w:val="nil"/>
                  </w:tcBorders>
                  <w:shd w:val="clear" w:color="auto" w:fill="auto"/>
                  <w:vAlign w:val="center"/>
                </w:tcPr>
                <w:p w14:paraId="3B00B73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稀硫酸（10%）</w:t>
                  </w:r>
                </w:p>
              </w:tc>
              <w:tc>
                <w:tcPr>
                  <w:tcW w:w="764" w:type="dxa"/>
                  <w:tcBorders>
                    <w:tl2br w:val="nil"/>
                    <w:tr2bl w:val="nil"/>
                  </w:tcBorders>
                  <w:shd w:val="clear" w:color="auto" w:fill="auto"/>
                  <w:vAlign w:val="center"/>
                </w:tcPr>
                <w:p w14:paraId="7077878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634" w:type="dxa"/>
                  <w:tcBorders>
                    <w:tl2br w:val="nil"/>
                    <w:tr2bl w:val="nil"/>
                  </w:tcBorders>
                  <w:shd w:val="clear" w:color="auto" w:fill="auto"/>
                  <w:vAlign w:val="center"/>
                </w:tcPr>
                <w:p w14:paraId="3655955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桶装</w:t>
                  </w:r>
                </w:p>
              </w:tc>
              <w:tc>
                <w:tcPr>
                  <w:tcW w:w="1316" w:type="dxa"/>
                  <w:tcBorders>
                    <w:tl2br w:val="nil"/>
                    <w:tr2bl w:val="nil"/>
                  </w:tcBorders>
                  <w:shd w:val="clear" w:color="auto" w:fill="auto"/>
                  <w:vAlign w:val="center"/>
                </w:tcPr>
                <w:p w14:paraId="4526E34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w:t>
                  </w:r>
                  <w:r>
                    <w:rPr>
                      <w:rFonts w:hint="eastAsia" w:cs="Times New Roman"/>
                      <w:color w:val="auto"/>
                      <w:sz w:val="21"/>
                      <w:szCs w:val="21"/>
                      <w:highlight w:val="none"/>
                      <w:lang w:val="en-US" w:eastAsia="zh-CN"/>
                    </w:rPr>
                    <w:t>液体</w:t>
                  </w:r>
                </w:p>
              </w:tc>
              <w:tc>
                <w:tcPr>
                  <w:tcW w:w="1050" w:type="dxa"/>
                  <w:tcBorders>
                    <w:tl2br w:val="nil"/>
                    <w:tr2bl w:val="nil"/>
                  </w:tcBorders>
                  <w:shd w:val="clear" w:color="auto" w:fill="auto"/>
                  <w:vAlign w:val="center"/>
                </w:tcPr>
                <w:p w14:paraId="4A20490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949" w:type="dxa"/>
                  <w:vMerge w:val="continue"/>
                  <w:tcBorders>
                    <w:tl2br w:val="nil"/>
                    <w:tr2bl w:val="nil"/>
                  </w:tcBorders>
                  <w:shd w:val="clear" w:color="auto" w:fill="auto"/>
                  <w:vAlign w:val="center"/>
                </w:tcPr>
                <w:p w14:paraId="042484C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1039" w:type="dxa"/>
                  <w:tcBorders>
                    <w:tl2br w:val="nil"/>
                    <w:tr2bl w:val="nil"/>
                  </w:tcBorders>
                  <w:vAlign w:val="center"/>
                </w:tcPr>
                <w:p w14:paraId="31E62083">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酸碱中和</w:t>
                  </w:r>
                </w:p>
              </w:tc>
            </w:tr>
            <w:tr w14:paraId="727D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8" w:type="dxa"/>
                  <w:gridSpan w:val="2"/>
                  <w:tcBorders>
                    <w:tl2br w:val="nil"/>
                    <w:tr2bl w:val="nil"/>
                  </w:tcBorders>
                  <w:shd w:val="clear" w:color="auto" w:fill="auto"/>
                  <w:vAlign w:val="center"/>
                </w:tcPr>
                <w:p w14:paraId="259FB21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3</w:t>
                  </w:r>
                </w:p>
              </w:tc>
              <w:tc>
                <w:tcPr>
                  <w:tcW w:w="1785" w:type="dxa"/>
                  <w:tcBorders>
                    <w:tl2br w:val="nil"/>
                    <w:tr2bl w:val="nil"/>
                  </w:tcBorders>
                  <w:vAlign w:val="center"/>
                </w:tcPr>
                <w:p w14:paraId="4BEE321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聚丙烯酰胺</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lang w:val="en-US" w:eastAsia="zh-CN"/>
                    </w:rPr>
                    <w:t>PAM</w:t>
                  </w:r>
                  <w:r>
                    <w:rPr>
                      <w:rFonts w:hint="default" w:ascii="Times New Roman" w:hAnsi="Times New Roman" w:eastAsia="宋体" w:cs="Times New Roman"/>
                      <w:color w:val="auto"/>
                      <w:spacing w:val="-11"/>
                      <w:sz w:val="21"/>
                      <w:szCs w:val="21"/>
                      <w:highlight w:val="none"/>
                      <w:lang w:eastAsia="zh-CN"/>
                    </w:rPr>
                    <w:t>）</w:t>
                  </w:r>
                </w:p>
              </w:tc>
              <w:tc>
                <w:tcPr>
                  <w:tcW w:w="764" w:type="dxa"/>
                  <w:tcBorders>
                    <w:tl2br w:val="nil"/>
                    <w:tr2bl w:val="nil"/>
                  </w:tcBorders>
                  <w:vAlign w:val="center"/>
                </w:tcPr>
                <w:p w14:paraId="13EE4662">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634" w:type="dxa"/>
                  <w:tcBorders>
                    <w:tl2br w:val="nil"/>
                    <w:tr2bl w:val="nil"/>
                  </w:tcBorders>
                  <w:vAlign w:val="center"/>
                </w:tcPr>
                <w:p w14:paraId="1A0241B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桶装</w:t>
                  </w:r>
                </w:p>
              </w:tc>
              <w:tc>
                <w:tcPr>
                  <w:tcW w:w="1316" w:type="dxa"/>
                  <w:tcBorders>
                    <w:tl2br w:val="nil"/>
                    <w:tr2bl w:val="nil"/>
                  </w:tcBorders>
                  <w:vAlign w:val="center"/>
                </w:tcPr>
                <w:p w14:paraId="3A8DFFF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w:t>
                  </w:r>
                  <w:r>
                    <w:rPr>
                      <w:rFonts w:hint="eastAsia" w:cs="Times New Roman"/>
                      <w:color w:val="auto"/>
                      <w:sz w:val="21"/>
                      <w:szCs w:val="21"/>
                      <w:highlight w:val="none"/>
                      <w:lang w:val="en-US" w:eastAsia="zh-CN"/>
                    </w:rPr>
                    <w:t>粉状</w:t>
                  </w:r>
                </w:p>
              </w:tc>
              <w:tc>
                <w:tcPr>
                  <w:tcW w:w="1050" w:type="dxa"/>
                  <w:tcBorders>
                    <w:tl2br w:val="nil"/>
                    <w:tr2bl w:val="nil"/>
                  </w:tcBorders>
                  <w:vAlign w:val="center"/>
                </w:tcPr>
                <w:p w14:paraId="423DB1FC">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949" w:type="dxa"/>
                  <w:vMerge w:val="continue"/>
                  <w:tcBorders>
                    <w:tl2br w:val="nil"/>
                    <w:tr2bl w:val="nil"/>
                  </w:tcBorders>
                  <w:vAlign w:val="center"/>
                </w:tcPr>
                <w:p w14:paraId="77E80DD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c>
                <w:tcPr>
                  <w:tcW w:w="1039" w:type="dxa"/>
                  <w:vMerge w:val="restart"/>
                  <w:tcBorders>
                    <w:tl2br w:val="nil"/>
                    <w:tr2bl w:val="nil"/>
                  </w:tcBorders>
                  <w:vAlign w:val="center"/>
                </w:tcPr>
                <w:p w14:paraId="7132050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废水絮凝沉淀</w:t>
                  </w:r>
                  <w:r>
                    <w:rPr>
                      <w:rFonts w:hint="default" w:ascii="Times New Roman" w:hAnsi="Times New Roman" w:eastAsia="宋体" w:cs="Times New Roman"/>
                      <w:color w:val="auto"/>
                      <w:spacing w:val="4"/>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外购</w:t>
                  </w:r>
                </w:p>
              </w:tc>
            </w:tr>
            <w:tr w14:paraId="488D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shd w:val="clear" w:color="auto" w:fill="auto"/>
                  <w:vAlign w:val="center"/>
                </w:tcPr>
                <w:p w14:paraId="6FDD33D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4</w:t>
                  </w:r>
                </w:p>
              </w:tc>
              <w:tc>
                <w:tcPr>
                  <w:tcW w:w="1785" w:type="dxa"/>
                  <w:tcBorders>
                    <w:tl2br w:val="nil"/>
                    <w:tr2bl w:val="nil"/>
                  </w:tcBorders>
                  <w:vAlign w:val="center"/>
                </w:tcPr>
                <w:p w14:paraId="50E3686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聚合氯化铝</w:t>
                  </w:r>
                  <w:r>
                    <w:rPr>
                      <w:rFonts w:hint="default" w:ascii="Times New Roman" w:hAnsi="Times New Roman" w:eastAsia="宋体" w:cs="Times New Roman"/>
                      <w:color w:val="auto"/>
                      <w:spacing w:val="-11"/>
                      <w:sz w:val="21"/>
                      <w:szCs w:val="21"/>
                      <w:highlight w:val="none"/>
                      <w:lang w:val="en-US" w:eastAsia="zh-CN"/>
                    </w:rPr>
                    <w:t>（PAC）</w:t>
                  </w:r>
                </w:p>
              </w:tc>
              <w:tc>
                <w:tcPr>
                  <w:tcW w:w="764" w:type="dxa"/>
                  <w:tcBorders>
                    <w:tl2br w:val="nil"/>
                    <w:tr2bl w:val="nil"/>
                  </w:tcBorders>
                  <w:vAlign w:val="center"/>
                </w:tcPr>
                <w:p w14:paraId="2CE8FD18">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w:t>
                  </w:r>
                </w:p>
              </w:tc>
              <w:tc>
                <w:tcPr>
                  <w:tcW w:w="634" w:type="dxa"/>
                  <w:tcBorders>
                    <w:tl2br w:val="nil"/>
                    <w:tr2bl w:val="nil"/>
                  </w:tcBorders>
                  <w:vAlign w:val="center"/>
                </w:tcPr>
                <w:p w14:paraId="2BD1DD4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lang w:val="en-US" w:eastAsia="zh-CN"/>
                    </w:rPr>
                    <w:t>桶装</w:t>
                  </w:r>
                </w:p>
              </w:tc>
              <w:tc>
                <w:tcPr>
                  <w:tcW w:w="1316" w:type="dxa"/>
                  <w:tcBorders>
                    <w:tl2br w:val="nil"/>
                    <w:tr2bl w:val="nil"/>
                  </w:tcBorders>
                  <w:vAlign w:val="center"/>
                </w:tcPr>
                <w:p w14:paraId="2EC2B37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25kg，</w:t>
                  </w:r>
                  <w:r>
                    <w:rPr>
                      <w:rFonts w:hint="eastAsia" w:cs="Times New Roman"/>
                      <w:color w:val="auto"/>
                      <w:sz w:val="21"/>
                      <w:szCs w:val="21"/>
                      <w:highlight w:val="none"/>
                      <w:lang w:val="en-US" w:eastAsia="zh-CN"/>
                    </w:rPr>
                    <w:t>粉状</w:t>
                  </w:r>
                </w:p>
              </w:tc>
              <w:tc>
                <w:tcPr>
                  <w:tcW w:w="1050" w:type="dxa"/>
                  <w:tcBorders>
                    <w:tl2br w:val="nil"/>
                    <w:tr2bl w:val="nil"/>
                  </w:tcBorders>
                  <w:vAlign w:val="center"/>
                </w:tcPr>
                <w:p w14:paraId="6C8ECD9A">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49" w:type="dxa"/>
                  <w:vMerge w:val="continue"/>
                  <w:tcBorders>
                    <w:tl2br w:val="nil"/>
                    <w:tr2bl w:val="nil"/>
                  </w:tcBorders>
                  <w:vAlign w:val="center"/>
                </w:tcPr>
                <w:p w14:paraId="385C71B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rPr>
                  </w:pPr>
                </w:p>
              </w:tc>
              <w:tc>
                <w:tcPr>
                  <w:tcW w:w="1039" w:type="dxa"/>
                  <w:vMerge w:val="continue"/>
                  <w:tcBorders>
                    <w:tl2br w:val="nil"/>
                    <w:tr2bl w:val="nil"/>
                  </w:tcBorders>
                  <w:vAlign w:val="center"/>
                </w:tcPr>
                <w:p w14:paraId="5C373659">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p>
              </w:tc>
            </w:tr>
            <w:tr w14:paraId="5B27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650E65C7">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5</w:t>
                  </w:r>
                </w:p>
              </w:tc>
              <w:tc>
                <w:tcPr>
                  <w:tcW w:w="1785" w:type="dxa"/>
                  <w:tcBorders>
                    <w:tl2br w:val="nil"/>
                    <w:tr2bl w:val="nil"/>
                  </w:tcBorders>
                  <w:shd w:val="clear" w:color="auto" w:fill="auto"/>
                  <w:vAlign w:val="center"/>
                </w:tcPr>
                <w:p w14:paraId="7C2179A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润滑油</w:t>
                  </w:r>
                </w:p>
              </w:tc>
              <w:tc>
                <w:tcPr>
                  <w:tcW w:w="764" w:type="dxa"/>
                  <w:tcBorders>
                    <w:tl2br w:val="nil"/>
                    <w:tr2bl w:val="nil"/>
                  </w:tcBorders>
                  <w:shd w:val="clear" w:color="auto" w:fill="auto"/>
                  <w:vAlign w:val="center"/>
                </w:tcPr>
                <w:p w14:paraId="2522090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634" w:type="dxa"/>
                  <w:tcBorders>
                    <w:tl2br w:val="nil"/>
                    <w:tr2bl w:val="nil"/>
                  </w:tcBorders>
                  <w:shd w:val="clear" w:color="auto" w:fill="auto"/>
                  <w:vAlign w:val="center"/>
                </w:tcPr>
                <w:p w14:paraId="0F91539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val="en-US" w:eastAsia="zh-CN"/>
                    </w:rPr>
                    <w:t>桶装</w:t>
                  </w:r>
                </w:p>
              </w:tc>
              <w:tc>
                <w:tcPr>
                  <w:tcW w:w="1316" w:type="dxa"/>
                  <w:tcBorders>
                    <w:tl2br w:val="nil"/>
                    <w:tr2bl w:val="nil"/>
                  </w:tcBorders>
                  <w:shd w:val="clear" w:color="auto" w:fill="auto"/>
                  <w:vAlign w:val="center"/>
                </w:tcPr>
                <w:p w14:paraId="4AB83E6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25kg，液体</w:t>
                  </w:r>
                </w:p>
              </w:tc>
              <w:tc>
                <w:tcPr>
                  <w:tcW w:w="1050" w:type="dxa"/>
                  <w:tcBorders>
                    <w:tl2br w:val="nil"/>
                    <w:tr2bl w:val="nil"/>
                  </w:tcBorders>
                  <w:shd w:val="clear" w:color="auto" w:fill="auto"/>
                  <w:vAlign w:val="center"/>
                </w:tcPr>
                <w:p w14:paraId="04A521B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w:t>
                  </w:r>
                </w:p>
              </w:tc>
              <w:tc>
                <w:tcPr>
                  <w:tcW w:w="949" w:type="dxa"/>
                  <w:tcBorders>
                    <w:tl2br w:val="nil"/>
                    <w:tr2bl w:val="nil"/>
                  </w:tcBorders>
                  <w:shd w:val="clear" w:color="auto" w:fill="auto"/>
                  <w:vAlign w:val="center"/>
                </w:tcPr>
                <w:p w14:paraId="61913E9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ascii="Times New Roman" w:hAnsi="Times New Roman" w:eastAsia="宋体" w:cs="Times New Roman"/>
                      <w:color w:val="auto"/>
                      <w:spacing w:val="5"/>
                      <w:sz w:val="21"/>
                      <w:szCs w:val="21"/>
                      <w:highlight w:val="none"/>
                      <w:lang w:val="en-US" w:eastAsia="zh-CN"/>
                    </w:rPr>
                    <w:t>后勤</w:t>
                  </w:r>
                  <w:r>
                    <w:rPr>
                      <w:rFonts w:hint="default" w:ascii="Times New Roman" w:hAnsi="Times New Roman" w:eastAsia="宋体" w:cs="Times New Roman"/>
                      <w:color w:val="auto"/>
                      <w:spacing w:val="5"/>
                      <w:sz w:val="21"/>
                      <w:szCs w:val="21"/>
                      <w:highlight w:val="none"/>
                      <w:lang w:val="en-US" w:eastAsia="zh-CN"/>
                    </w:rPr>
                    <w:t>车间</w:t>
                  </w:r>
                </w:p>
              </w:tc>
              <w:tc>
                <w:tcPr>
                  <w:tcW w:w="1039" w:type="dxa"/>
                  <w:tcBorders>
                    <w:tl2br w:val="nil"/>
                    <w:tr2bl w:val="nil"/>
                  </w:tcBorders>
                  <w:shd w:val="clear" w:color="auto" w:fill="auto"/>
                  <w:vAlign w:val="center"/>
                </w:tcPr>
                <w:p w14:paraId="197742D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设备润滑</w:t>
                  </w:r>
                  <w:r>
                    <w:rPr>
                      <w:rFonts w:hint="default" w:ascii="Times New Roman" w:hAnsi="Times New Roman" w:eastAsia="宋体" w:cs="Times New Roman"/>
                      <w:color w:val="auto"/>
                      <w:sz w:val="21"/>
                      <w:szCs w:val="21"/>
                      <w:highlight w:val="none"/>
                      <w:lang w:val="en-US" w:eastAsia="zh-CN"/>
                    </w:rPr>
                    <w:t>，外购</w:t>
                  </w:r>
                </w:p>
              </w:tc>
            </w:tr>
            <w:tr w14:paraId="7546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96" w:type="dxa"/>
                  <w:gridSpan w:val="8"/>
                  <w:tcBorders>
                    <w:tl2br w:val="nil"/>
                    <w:tr2bl w:val="nil"/>
                  </w:tcBorders>
                  <w:vAlign w:val="center"/>
                </w:tcPr>
                <w:p w14:paraId="4A25CDF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en-US" w:eastAsia="zh-CN"/>
                    </w:rPr>
                    <w:t>六、其他能源消耗</w:t>
                  </w:r>
                </w:p>
              </w:tc>
              <w:tc>
                <w:tcPr>
                  <w:tcW w:w="1039" w:type="dxa"/>
                  <w:tcBorders>
                    <w:tl2br w:val="nil"/>
                    <w:tr2bl w:val="nil"/>
                  </w:tcBorders>
                  <w:shd w:val="clear" w:color="auto" w:fill="auto"/>
                  <w:vAlign w:val="center"/>
                </w:tcPr>
                <w:p w14:paraId="517BA09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0F2A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13889B86">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w:t>
                  </w:r>
                </w:p>
              </w:tc>
              <w:tc>
                <w:tcPr>
                  <w:tcW w:w="1785" w:type="dxa"/>
                  <w:tcBorders>
                    <w:tl2br w:val="nil"/>
                    <w:tr2bl w:val="nil"/>
                  </w:tcBorders>
                  <w:shd w:val="clear" w:color="auto" w:fill="auto"/>
                  <w:vAlign w:val="center"/>
                </w:tcPr>
                <w:p w14:paraId="2A86B52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电力</w:t>
                  </w:r>
                </w:p>
              </w:tc>
              <w:tc>
                <w:tcPr>
                  <w:tcW w:w="764" w:type="dxa"/>
                  <w:tcBorders>
                    <w:tl2br w:val="nil"/>
                    <w:tr2bl w:val="nil"/>
                  </w:tcBorders>
                  <w:shd w:val="clear" w:color="auto" w:fill="auto"/>
                  <w:vAlign w:val="center"/>
                </w:tcPr>
                <w:p w14:paraId="305FAF1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10000</w:t>
                  </w:r>
                  <w:r>
                    <w:rPr>
                      <w:rFonts w:hint="default" w:ascii="Times New Roman" w:hAnsi="Times New Roman" w:eastAsia="宋体" w:cs="Times New Roman"/>
                      <w:color w:val="auto"/>
                      <w:spacing w:val="7"/>
                      <w:sz w:val="21"/>
                      <w:szCs w:val="21"/>
                      <w:highlight w:val="none"/>
                    </w:rPr>
                    <w:t>万kWh/a</w:t>
                  </w:r>
                </w:p>
              </w:tc>
              <w:tc>
                <w:tcPr>
                  <w:tcW w:w="634" w:type="dxa"/>
                  <w:tcBorders>
                    <w:tl2br w:val="nil"/>
                    <w:tr2bl w:val="nil"/>
                  </w:tcBorders>
                  <w:shd w:val="clear" w:color="auto" w:fill="auto"/>
                  <w:vAlign w:val="center"/>
                </w:tcPr>
                <w:p w14:paraId="3EFFE26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1316" w:type="dxa"/>
                  <w:tcBorders>
                    <w:tl2br w:val="nil"/>
                    <w:tr2bl w:val="nil"/>
                  </w:tcBorders>
                  <w:shd w:val="clear" w:color="auto" w:fill="auto"/>
                  <w:vAlign w:val="center"/>
                </w:tcPr>
                <w:p w14:paraId="0C81AE3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1050" w:type="dxa"/>
                  <w:tcBorders>
                    <w:tl2br w:val="nil"/>
                    <w:tr2bl w:val="nil"/>
                  </w:tcBorders>
                  <w:shd w:val="clear" w:color="auto" w:fill="auto"/>
                  <w:vAlign w:val="center"/>
                </w:tcPr>
                <w:p w14:paraId="0F377C6B">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949" w:type="dxa"/>
                  <w:tcBorders>
                    <w:tl2br w:val="nil"/>
                    <w:tr2bl w:val="nil"/>
                  </w:tcBorders>
                  <w:shd w:val="clear" w:color="auto" w:fill="auto"/>
                  <w:vAlign w:val="center"/>
                </w:tcPr>
                <w:p w14:paraId="68C6107F">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w:t>
                  </w:r>
                </w:p>
              </w:tc>
              <w:tc>
                <w:tcPr>
                  <w:tcW w:w="1039" w:type="dxa"/>
                  <w:tcBorders>
                    <w:tl2br w:val="nil"/>
                    <w:tr2bl w:val="nil"/>
                  </w:tcBorders>
                  <w:shd w:val="clear" w:color="auto" w:fill="auto"/>
                  <w:vAlign w:val="center"/>
                </w:tcPr>
                <w:p w14:paraId="6D3AB98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供电系统</w:t>
                  </w:r>
                </w:p>
              </w:tc>
            </w:tr>
            <w:tr w14:paraId="2F71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dxa"/>
                  <w:gridSpan w:val="2"/>
                  <w:tcBorders>
                    <w:tl2br w:val="nil"/>
                    <w:tr2bl w:val="nil"/>
                  </w:tcBorders>
                  <w:vAlign w:val="center"/>
                </w:tcPr>
                <w:p w14:paraId="2DC4DBCE">
                  <w:pPr>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2</w:t>
                  </w:r>
                </w:p>
              </w:tc>
              <w:tc>
                <w:tcPr>
                  <w:tcW w:w="1785" w:type="dxa"/>
                  <w:tcBorders>
                    <w:tl2br w:val="nil"/>
                    <w:tr2bl w:val="nil"/>
                  </w:tcBorders>
                  <w:shd w:val="clear" w:color="auto" w:fill="auto"/>
                  <w:vAlign w:val="center"/>
                </w:tcPr>
                <w:p w14:paraId="413A63B4">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新水用量</w:t>
                  </w:r>
                </w:p>
              </w:tc>
              <w:tc>
                <w:tcPr>
                  <w:tcW w:w="764" w:type="dxa"/>
                  <w:tcBorders>
                    <w:tl2br w:val="nil"/>
                    <w:tr2bl w:val="nil"/>
                  </w:tcBorders>
                  <w:shd w:val="clear" w:color="auto" w:fill="auto"/>
                  <w:vAlign w:val="center"/>
                </w:tcPr>
                <w:p w14:paraId="32A6F31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eastAsia" w:ascii="Times New Roman" w:hAnsi="Times New Roman" w:eastAsia="宋体" w:cs="Times New Roman"/>
                      <w:color w:val="auto"/>
                      <w:spacing w:val="7"/>
                      <w:sz w:val="21"/>
                      <w:szCs w:val="21"/>
                      <w:highlight w:val="none"/>
                      <w:lang w:val="en-US" w:eastAsia="zh-CN"/>
                    </w:rPr>
                    <w:t>78.8</w:t>
                  </w:r>
                  <w:r>
                    <w:rPr>
                      <w:rFonts w:hint="default" w:ascii="Times New Roman" w:hAnsi="Times New Roman" w:eastAsia="宋体" w:cs="Times New Roman"/>
                      <w:color w:val="auto"/>
                      <w:spacing w:val="7"/>
                      <w:sz w:val="21"/>
                      <w:szCs w:val="21"/>
                      <w:highlight w:val="none"/>
                      <w:lang w:val="en-US" w:eastAsia="zh-CN"/>
                    </w:rPr>
                    <w:t>万</w:t>
                  </w:r>
                  <w:r>
                    <w:rPr>
                      <w:rFonts w:hint="default" w:ascii="Times New Roman" w:hAnsi="Times New Roman" w:eastAsia="宋体" w:cs="Times New Roman"/>
                      <w:color w:val="auto"/>
                      <w:spacing w:val="7"/>
                      <w:sz w:val="21"/>
                      <w:szCs w:val="21"/>
                      <w:highlight w:val="none"/>
                    </w:rPr>
                    <w:t>m</w:t>
                  </w:r>
                  <w:r>
                    <w:rPr>
                      <w:rFonts w:hint="default" w:ascii="Times New Roman" w:hAnsi="Times New Roman" w:eastAsia="宋体" w:cs="Times New Roman"/>
                      <w:color w:val="auto"/>
                      <w:spacing w:val="7"/>
                      <w:sz w:val="21"/>
                      <w:szCs w:val="21"/>
                      <w:highlight w:val="none"/>
                      <w:vertAlign w:val="superscript"/>
                    </w:rPr>
                    <w:t>3</w:t>
                  </w:r>
                  <w:r>
                    <w:rPr>
                      <w:rFonts w:hint="default" w:ascii="Times New Roman" w:hAnsi="Times New Roman" w:eastAsia="宋体" w:cs="Times New Roman"/>
                      <w:color w:val="auto"/>
                      <w:spacing w:val="7"/>
                      <w:sz w:val="21"/>
                      <w:szCs w:val="21"/>
                      <w:highlight w:val="none"/>
                    </w:rPr>
                    <w:t>/a</w:t>
                  </w:r>
                </w:p>
              </w:tc>
              <w:tc>
                <w:tcPr>
                  <w:tcW w:w="634" w:type="dxa"/>
                  <w:tcBorders>
                    <w:tl2br w:val="nil"/>
                    <w:tr2bl w:val="nil"/>
                  </w:tcBorders>
                  <w:shd w:val="clear" w:color="auto" w:fill="auto"/>
                  <w:vAlign w:val="center"/>
                </w:tcPr>
                <w:p w14:paraId="27143B1E">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1316" w:type="dxa"/>
                  <w:tcBorders>
                    <w:tl2br w:val="nil"/>
                    <w:tr2bl w:val="nil"/>
                  </w:tcBorders>
                  <w:shd w:val="clear" w:color="auto" w:fill="auto"/>
                  <w:vAlign w:val="center"/>
                </w:tcPr>
                <w:p w14:paraId="74DFB9C6">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1050" w:type="dxa"/>
                  <w:tcBorders>
                    <w:tl2br w:val="nil"/>
                    <w:tr2bl w:val="nil"/>
                  </w:tcBorders>
                  <w:shd w:val="clear" w:color="auto" w:fill="auto"/>
                  <w:vAlign w:val="center"/>
                </w:tcPr>
                <w:p w14:paraId="49FBB611">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rPr>
                    <w:t>/</w:t>
                  </w:r>
                </w:p>
              </w:tc>
              <w:tc>
                <w:tcPr>
                  <w:tcW w:w="949" w:type="dxa"/>
                  <w:tcBorders>
                    <w:tl2br w:val="nil"/>
                    <w:tr2bl w:val="nil"/>
                  </w:tcBorders>
                  <w:shd w:val="clear" w:color="auto" w:fill="auto"/>
                  <w:vAlign w:val="center"/>
                </w:tcPr>
                <w:p w14:paraId="11709A9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7"/>
                      <w:sz w:val="21"/>
                      <w:szCs w:val="21"/>
                      <w:highlight w:val="none"/>
                    </w:rPr>
                    <w:t>/</w:t>
                  </w:r>
                </w:p>
              </w:tc>
              <w:tc>
                <w:tcPr>
                  <w:tcW w:w="1039" w:type="dxa"/>
                  <w:tcBorders>
                    <w:tl2br w:val="nil"/>
                    <w:tr2bl w:val="nil"/>
                  </w:tcBorders>
                  <w:shd w:val="clear" w:color="auto" w:fill="auto"/>
                  <w:vAlign w:val="center"/>
                </w:tcPr>
                <w:p w14:paraId="4AB05C3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供水系统</w:t>
                  </w:r>
                </w:p>
              </w:tc>
            </w:tr>
          </w:tbl>
          <w:p w14:paraId="487C330A">
            <w:pPr>
              <w:pStyle w:val="19"/>
              <w:keepNext w:val="0"/>
              <w:keepLines w:val="0"/>
              <w:pageBreakBefore w:val="0"/>
              <w:widowControl w:val="0"/>
              <w:kinsoku/>
              <w:wordWrap/>
              <w:overflowPunct/>
              <w:topLinePunct/>
              <w:autoSpaceDE w:val="0"/>
              <w:autoSpaceDN/>
              <w:bidi w:val="0"/>
              <w:adjustRightInd/>
              <w:snapToGrid/>
              <w:spacing w:before="0" w:after="0" w:line="360" w:lineRule="auto"/>
              <w:ind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（2）主要原辅材料理化性质</w:t>
            </w:r>
          </w:p>
          <w:p w14:paraId="0886C9AF">
            <w:pPr>
              <w:keepNext w:val="0"/>
              <w:keepLines w:val="0"/>
              <w:pageBreakBefore w:val="0"/>
              <w:widowControl/>
              <w:kinsoku/>
              <w:wordWrap/>
              <w:overflowPunct/>
              <w:topLinePunct/>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项目主要原辅材料理化性质</w:t>
            </w:r>
            <w:r>
              <w:rPr>
                <w:rFonts w:hint="default" w:ascii="Times New Roman" w:hAnsi="Times New Roman" w:eastAsia="宋体" w:cs="Times New Roman"/>
                <w:b/>
                <w:color w:val="auto"/>
                <w:sz w:val="21"/>
                <w:szCs w:val="21"/>
                <w:highlight w:val="none"/>
                <w:lang w:val="en-US" w:eastAsia="zh-CN"/>
              </w:rPr>
              <w:t>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4036"/>
              <w:gridCol w:w="1159"/>
              <w:gridCol w:w="1846"/>
            </w:tblGrid>
            <w:tr w14:paraId="090A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Align w:val="center"/>
                </w:tcPr>
                <w:p w14:paraId="1962878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名称</w:t>
                  </w:r>
                </w:p>
              </w:tc>
              <w:tc>
                <w:tcPr>
                  <w:tcW w:w="4036" w:type="dxa"/>
                  <w:vAlign w:val="center"/>
                </w:tcPr>
                <w:p w14:paraId="2F64F347">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理化性质</w:t>
                  </w:r>
                </w:p>
              </w:tc>
              <w:tc>
                <w:tcPr>
                  <w:tcW w:w="1159" w:type="dxa"/>
                  <w:vAlign w:val="center"/>
                </w:tcPr>
                <w:p w14:paraId="279C87B2">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危险特性</w:t>
                  </w:r>
                </w:p>
              </w:tc>
              <w:tc>
                <w:tcPr>
                  <w:tcW w:w="1846" w:type="dxa"/>
                  <w:vAlign w:val="center"/>
                </w:tcPr>
                <w:p w14:paraId="4E053710">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rPr>
                    <w:t>毒性毒理</w:t>
                  </w:r>
                </w:p>
              </w:tc>
            </w:tr>
            <w:tr w14:paraId="562F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Align w:val="center"/>
                </w:tcPr>
                <w:p w14:paraId="441D80B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5"/>
                      <w:sz w:val="21"/>
                      <w:szCs w:val="21"/>
                      <w:highlight w:val="none"/>
                    </w:rPr>
                    <w:t>石英砂</w:t>
                  </w:r>
                </w:p>
              </w:tc>
              <w:tc>
                <w:tcPr>
                  <w:tcW w:w="4036" w:type="dxa"/>
                  <w:vAlign w:val="center"/>
                </w:tcPr>
                <w:p w14:paraId="4F6E3F8C">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7"/>
                      <w:sz w:val="21"/>
                      <w:szCs w:val="21"/>
                      <w:highlight w:val="none"/>
                    </w:rPr>
                    <w:t>石英砂是一种坚硬、耐磨、化学性能稳定的硅酸盐</w:t>
                  </w:r>
                  <w:r>
                    <w:rPr>
                      <w:rFonts w:hint="default" w:ascii="Times New Roman" w:hAnsi="Times New Roman" w:eastAsia="宋体" w:cs="Times New Roman"/>
                      <w:color w:val="auto"/>
                      <w:spacing w:val="6"/>
                      <w:sz w:val="21"/>
                      <w:szCs w:val="21"/>
                      <w:highlight w:val="none"/>
                    </w:rPr>
                    <w:t>矿物，其主要矿物成分</w:t>
                  </w:r>
                  <w:r>
                    <w:rPr>
                      <w:rFonts w:hint="default" w:ascii="Times New Roman" w:hAnsi="Times New Roman" w:eastAsia="宋体" w:cs="Times New Roman"/>
                      <w:color w:val="auto"/>
                      <w:spacing w:val="3"/>
                      <w:sz w:val="21"/>
                      <w:szCs w:val="21"/>
                      <w:highlight w:val="none"/>
                    </w:rPr>
                    <w:t>是</w:t>
                  </w:r>
                  <w:r>
                    <w:rPr>
                      <w:rFonts w:hint="default" w:ascii="Times New Roman" w:hAnsi="Times New Roman" w:eastAsia="宋体" w:cs="Times New Roman"/>
                      <w:color w:val="auto"/>
                      <w:sz w:val="21"/>
                      <w:szCs w:val="21"/>
                      <w:highlight w:val="none"/>
                    </w:rPr>
                    <w:t>SiO</w:t>
                  </w:r>
                  <w:r>
                    <w:rPr>
                      <w:rFonts w:hint="default" w:ascii="Times New Roman" w:hAnsi="Times New Roman" w:eastAsia="宋体" w:cs="Times New Roman"/>
                      <w:color w:val="auto"/>
                      <w:spacing w:val="3"/>
                      <w:position w:val="-1"/>
                      <w:sz w:val="21"/>
                      <w:szCs w:val="21"/>
                      <w:highlight w:val="none"/>
                      <w:vertAlign w:val="subscript"/>
                    </w:rPr>
                    <w:t>2</w:t>
                  </w:r>
                  <w:r>
                    <w:rPr>
                      <w:rFonts w:hint="default" w:ascii="Times New Roman" w:hAnsi="Times New Roman" w:eastAsia="宋体" w:cs="Times New Roman"/>
                      <w:color w:val="auto"/>
                      <w:spacing w:val="3"/>
                      <w:sz w:val="21"/>
                      <w:szCs w:val="21"/>
                      <w:highlight w:val="none"/>
                    </w:rPr>
                    <w:t>，石英砂的颜色为乳白色</w:t>
                  </w:r>
                  <w:r>
                    <w:rPr>
                      <w:rFonts w:hint="default" w:ascii="Times New Roman" w:hAnsi="Times New Roman" w:eastAsia="宋体" w:cs="Times New Roman"/>
                      <w:color w:val="auto"/>
                      <w:spacing w:val="3"/>
                      <w:sz w:val="21"/>
                      <w:szCs w:val="21"/>
                      <w:highlight w:val="none"/>
                      <w:lang w:eastAsia="zh-CN"/>
                    </w:rPr>
                    <w:t>或</w:t>
                  </w:r>
                  <w:r>
                    <w:rPr>
                      <w:rFonts w:hint="default" w:ascii="Times New Roman" w:hAnsi="Times New Roman" w:eastAsia="宋体" w:cs="Times New Roman"/>
                      <w:color w:val="auto"/>
                      <w:spacing w:val="3"/>
                      <w:sz w:val="21"/>
                      <w:szCs w:val="21"/>
                      <w:highlight w:val="none"/>
                    </w:rPr>
                    <w:t>无色半透明状，硬度7，性脆无解理，</w:t>
                  </w:r>
                  <w:r>
                    <w:rPr>
                      <w:rFonts w:hint="default" w:ascii="Times New Roman" w:hAnsi="Times New Roman" w:eastAsia="宋体" w:cs="Times New Roman"/>
                      <w:color w:val="auto"/>
                      <w:spacing w:val="2"/>
                      <w:sz w:val="21"/>
                      <w:szCs w:val="21"/>
                      <w:highlight w:val="none"/>
                    </w:rPr>
                    <w:t>贝壳状断口，油脂光泽，密度为2.65，堆积密度（1-20目为1.6~1.8</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3"/>
                      <w:sz w:val="21"/>
                      <w:szCs w:val="21"/>
                      <w:highlight w:val="none"/>
                    </w:rPr>
                    <w:t>20-200目为1.5，其化学、热学和机械性能具有明显的异向性，不溶于酸，</w:t>
                  </w:r>
                  <w:r>
                    <w:rPr>
                      <w:rFonts w:hint="default" w:ascii="Times New Roman" w:hAnsi="Times New Roman" w:eastAsia="宋体" w:cs="Times New Roman"/>
                      <w:color w:val="auto"/>
                      <w:spacing w:val="6"/>
                      <w:sz w:val="21"/>
                      <w:szCs w:val="21"/>
                      <w:highlight w:val="none"/>
                    </w:rPr>
                    <w:t>微溶于</w:t>
                  </w:r>
                  <w:r>
                    <w:rPr>
                      <w:rFonts w:hint="default" w:ascii="Times New Roman" w:hAnsi="Times New Roman" w:eastAsia="宋体" w:cs="Times New Roman"/>
                      <w:color w:val="auto"/>
                      <w:sz w:val="21"/>
                      <w:szCs w:val="21"/>
                      <w:highlight w:val="none"/>
                    </w:rPr>
                    <w:t>KOH</w:t>
                  </w:r>
                  <w:r>
                    <w:rPr>
                      <w:rFonts w:hint="default" w:ascii="Times New Roman" w:hAnsi="Times New Roman" w:eastAsia="宋体" w:cs="Times New Roman"/>
                      <w:color w:val="auto"/>
                      <w:spacing w:val="6"/>
                      <w:sz w:val="21"/>
                      <w:szCs w:val="21"/>
                      <w:highlight w:val="none"/>
                    </w:rPr>
                    <w:t>溶液，熔点1750℃。</w:t>
                  </w:r>
                </w:p>
              </w:tc>
              <w:tc>
                <w:tcPr>
                  <w:tcW w:w="1159" w:type="dxa"/>
                  <w:vAlign w:val="center"/>
                </w:tcPr>
                <w:p w14:paraId="7BD716A6">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3"/>
                      <w:sz w:val="21"/>
                      <w:szCs w:val="21"/>
                      <w:highlight w:val="none"/>
                    </w:rPr>
                    <w:t>不燃</w:t>
                  </w:r>
                </w:p>
              </w:tc>
              <w:tc>
                <w:tcPr>
                  <w:tcW w:w="1846" w:type="dxa"/>
                  <w:vAlign w:val="center"/>
                </w:tcPr>
                <w:p w14:paraId="0C7B580F">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w:t>
                  </w:r>
                </w:p>
              </w:tc>
            </w:tr>
            <w:tr w14:paraId="7E63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Align w:val="center"/>
                </w:tcPr>
                <w:p w14:paraId="623A8EC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碳酸钾</w:t>
                  </w:r>
                </w:p>
              </w:tc>
              <w:tc>
                <w:tcPr>
                  <w:tcW w:w="4036" w:type="dxa"/>
                  <w:vAlign w:val="center"/>
                </w:tcPr>
                <w:p w14:paraId="4EA2E13D">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6"/>
                      <w:sz w:val="21"/>
                      <w:szCs w:val="21"/>
                      <w:highlight w:val="none"/>
                    </w:rPr>
                    <w:t>碳酸钾是一种无机物，化学式为K</w:t>
                  </w:r>
                  <w:r>
                    <w:rPr>
                      <w:rFonts w:hint="default" w:ascii="Times New Roman" w:hAnsi="Times New Roman" w:eastAsia="宋体" w:cs="Times New Roman"/>
                      <w:color w:val="auto"/>
                      <w:spacing w:val="6"/>
                      <w:position w:val="-1"/>
                      <w:sz w:val="21"/>
                      <w:szCs w:val="21"/>
                      <w:highlight w:val="none"/>
                      <w:vertAlign w:val="subscript"/>
                    </w:rPr>
                    <w:t>2</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pacing w:val="6"/>
                      <w:position w:val="-1"/>
                      <w:sz w:val="21"/>
                      <w:szCs w:val="21"/>
                      <w:highlight w:val="none"/>
                      <w:vertAlign w:val="subscript"/>
                    </w:rPr>
                    <w:t>3</w:t>
                  </w:r>
                  <w:r>
                    <w:rPr>
                      <w:rFonts w:hint="default" w:ascii="Times New Roman" w:hAnsi="Times New Roman" w:eastAsia="宋体" w:cs="Times New Roman"/>
                      <w:color w:val="auto"/>
                      <w:spacing w:val="6"/>
                      <w:sz w:val="21"/>
                      <w:szCs w:val="21"/>
                      <w:highlight w:val="none"/>
                    </w:rPr>
                    <w:t>，分子量为138.206，呈白色结晶粉末，密度2.428g/</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6"/>
                      <w:sz w:val="21"/>
                      <w:szCs w:val="21"/>
                      <w:highlight w:val="none"/>
                    </w:rPr>
                    <w:t>，熔点891℃。易溶于水，水溶液呈碱</w:t>
                  </w:r>
                  <w:r>
                    <w:rPr>
                      <w:rFonts w:hint="default" w:ascii="Times New Roman" w:hAnsi="Times New Roman" w:eastAsia="宋体" w:cs="Times New Roman"/>
                      <w:color w:val="auto"/>
                      <w:spacing w:val="5"/>
                      <w:sz w:val="21"/>
                      <w:szCs w:val="21"/>
                      <w:highlight w:val="none"/>
                    </w:rPr>
                    <w:t>性，不溶于</w:t>
                  </w:r>
                  <w:r>
                    <w:rPr>
                      <w:rFonts w:hint="default" w:ascii="Times New Roman" w:hAnsi="Times New Roman" w:eastAsia="宋体" w:cs="Times New Roman"/>
                      <w:color w:val="auto"/>
                      <w:spacing w:val="6"/>
                      <w:sz w:val="21"/>
                      <w:szCs w:val="21"/>
                      <w:highlight w:val="none"/>
                    </w:rPr>
                    <w:t>乙醇、丙酮和乙醚。吸湿性强，暴露在空气中能吸收二氧化碳和水分，转</w:t>
                  </w:r>
                  <w:r>
                    <w:rPr>
                      <w:rFonts w:hint="default" w:ascii="Times New Roman" w:hAnsi="Times New Roman" w:eastAsia="宋体" w:cs="Times New Roman"/>
                      <w:color w:val="auto"/>
                      <w:spacing w:val="8"/>
                      <w:sz w:val="21"/>
                      <w:szCs w:val="21"/>
                      <w:highlight w:val="none"/>
                    </w:rPr>
                    <w:t>变为碳酸氢钾，应密封包装。</w:t>
                  </w:r>
                </w:p>
              </w:tc>
              <w:tc>
                <w:tcPr>
                  <w:tcW w:w="1159" w:type="dxa"/>
                  <w:vAlign w:val="center"/>
                </w:tcPr>
                <w:p w14:paraId="5117D7FF">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3"/>
                      <w:sz w:val="21"/>
                      <w:szCs w:val="21"/>
                      <w:highlight w:val="none"/>
                    </w:rPr>
                    <w:t>不燃</w:t>
                  </w:r>
                </w:p>
              </w:tc>
              <w:tc>
                <w:tcPr>
                  <w:tcW w:w="1846" w:type="dxa"/>
                  <w:vAlign w:val="center"/>
                </w:tcPr>
                <w:p w14:paraId="13C10EEE">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5"/>
                      <w:sz w:val="21"/>
                      <w:szCs w:val="21"/>
                      <w:highlight w:val="none"/>
                    </w:rPr>
                    <w:t>大鼠经口</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5"/>
                      <w:sz w:val="21"/>
                      <w:szCs w:val="21"/>
                      <w:highlight w:val="none"/>
                    </w:rPr>
                    <w:t>50为1870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宋体" w:cs="Times New Roman"/>
                      <w:color w:val="auto"/>
                      <w:sz w:val="21"/>
                      <w:szCs w:val="21"/>
                      <w:highlight w:val="none"/>
                    </w:rPr>
                    <w:t>kg</w:t>
                  </w:r>
                </w:p>
              </w:tc>
            </w:tr>
            <w:tr w14:paraId="6E8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Align w:val="center"/>
                </w:tcPr>
                <w:p w14:paraId="6EF238A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碳酸钡</w:t>
                  </w:r>
                </w:p>
              </w:tc>
              <w:tc>
                <w:tcPr>
                  <w:tcW w:w="4036" w:type="dxa"/>
                  <w:vAlign w:val="center"/>
                </w:tcPr>
                <w:p w14:paraId="44345ABB">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rPr>
                    <w:t>碳酸钡（</w:t>
                  </w:r>
                  <w:r>
                    <w:rPr>
                      <w:rFonts w:hint="default" w:ascii="Times New Roman" w:hAnsi="Times New Roman" w:eastAsia="宋体" w:cs="Times New Roman"/>
                      <w:color w:val="auto"/>
                      <w:sz w:val="21"/>
                      <w:szCs w:val="21"/>
                      <w:highlight w:val="none"/>
                    </w:rPr>
                    <w:t>Barium</w:t>
                  </w:r>
                  <w:r>
                    <w:rPr>
                      <w:rFonts w:hint="default" w:ascii="Times New Roman" w:hAnsi="Times New Roman" w:eastAsia="宋体" w:cs="Times New Roman"/>
                      <w:color w:val="auto"/>
                      <w:spacing w:val="11"/>
                      <w:sz w:val="21"/>
                      <w:szCs w:val="21"/>
                      <w:highlight w:val="none"/>
                    </w:rPr>
                    <w:t xml:space="preserve"> </w:t>
                  </w:r>
                  <w:r>
                    <w:rPr>
                      <w:rFonts w:hint="default" w:ascii="Times New Roman" w:hAnsi="Times New Roman" w:eastAsia="宋体" w:cs="Times New Roman"/>
                      <w:color w:val="auto"/>
                      <w:sz w:val="21"/>
                      <w:szCs w:val="21"/>
                      <w:highlight w:val="none"/>
                    </w:rPr>
                    <w:t>carbonate</w:t>
                  </w:r>
                  <w:r>
                    <w:rPr>
                      <w:rFonts w:hint="default" w:ascii="Times New Roman" w:hAnsi="Times New Roman" w:eastAsia="宋体" w:cs="Times New Roman"/>
                      <w:color w:val="auto"/>
                      <w:spacing w:val="18"/>
                      <w:sz w:val="21"/>
                      <w:szCs w:val="21"/>
                      <w:highlight w:val="none"/>
                    </w:rPr>
                    <w:t>），</w:t>
                  </w:r>
                  <w:r>
                    <w:rPr>
                      <w:rFonts w:hint="default" w:ascii="Times New Roman" w:hAnsi="Times New Roman" w:eastAsia="宋体" w:cs="Times New Roman"/>
                      <w:color w:val="auto"/>
                      <w:spacing w:val="11"/>
                      <w:sz w:val="21"/>
                      <w:szCs w:val="21"/>
                      <w:highlight w:val="none"/>
                    </w:rPr>
                    <w:t>是一种无机化合物，化学式</w:t>
                  </w:r>
                  <w:r>
                    <w:rPr>
                      <w:rFonts w:hint="default" w:ascii="Times New Roman" w:hAnsi="Times New Roman" w:eastAsia="宋体" w:cs="Times New Roman"/>
                      <w:color w:val="auto"/>
                      <w:sz w:val="21"/>
                      <w:szCs w:val="21"/>
                      <w:highlight w:val="none"/>
                    </w:rPr>
                    <w:t>BaCO</w:t>
                  </w:r>
                  <w:r>
                    <w:rPr>
                      <w:rFonts w:hint="default" w:ascii="Times New Roman" w:hAnsi="Times New Roman" w:eastAsia="宋体" w:cs="Times New Roman"/>
                      <w:color w:val="auto"/>
                      <w:spacing w:val="11"/>
                      <w:position w:val="-1"/>
                      <w:sz w:val="21"/>
                      <w:szCs w:val="21"/>
                      <w:highlight w:val="none"/>
                      <w:vertAlign w:val="subscript"/>
                    </w:rPr>
                    <w:t>3</w:t>
                  </w:r>
                  <w:r>
                    <w:rPr>
                      <w:rFonts w:hint="default" w:ascii="Times New Roman" w:hAnsi="Times New Roman" w:eastAsia="宋体" w:cs="Times New Roman"/>
                      <w:color w:val="auto"/>
                      <w:spacing w:val="11"/>
                      <w:sz w:val="21"/>
                      <w:szCs w:val="21"/>
                      <w:highlight w:val="none"/>
                    </w:rPr>
                    <w:t>，分子</w:t>
                  </w:r>
                  <w:r>
                    <w:rPr>
                      <w:rFonts w:hint="default" w:ascii="Times New Roman" w:hAnsi="Times New Roman" w:eastAsia="宋体" w:cs="Times New Roman"/>
                      <w:color w:val="auto"/>
                      <w:spacing w:val="3"/>
                      <w:sz w:val="21"/>
                      <w:szCs w:val="21"/>
                      <w:highlight w:val="none"/>
                    </w:rPr>
                    <w:t>量197.336。白色粉末。难溶于水，密度4.4</w:t>
                  </w:r>
                  <w:r>
                    <w:rPr>
                      <w:rFonts w:hint="default" w:ascii="Times New Roman" w:hAnsi="Times New Roman" w:eastAsia="宋体" w:cs="Times New Roman"/>
                      <w:color w:val="auto"/>
                      <w:spacing w:val="2"/>
                      <w:sz w:val="21"/>
                      <w:szCs w:val="21"/>
                      <w:highlight w:val="none"/>
                    </w:rPr>
                    <w:t>3g/</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，熔点881℃。1450℃</w:t>
                  </w:r>
                  <w:r>
                    <w:rPr>
                      <w:rFonts w:hint="default" w:ascii="Times New Roman" w:hAnsi="Times New Roman" w:eastAsia="宋体" w:cs="Times New Roman"/>
                      <w:color w:val="auto"/>
                      <w:spacing w:val="6"/>
                      <w:sz w:val="21"/>
                      <w:szCs w:val="21"/>
                      <w:highlight w:val="none"/>
                    </w:rPr>
                    <w:t>分解，放出二氧化碳。微溶于含有二氧化碳的水，也溶于氯化铵或硝酸铵</w:t>
                  </w:r>
                  <w:r>
                    <w:rPr>
                      <w:rFonts w:hint="default" w:ascii="Times New Roman" w:hAnsi="Times New Roman" w:eastAsia="宋体" w:cs="Times New Roman"/>
                      <w:color w:val="auto"/>
                      <w:spacing w:val="3"/>
                      <w:sz w:val="21"/>
                      <w:szCs w:val="21"/>
                      <w:highlight w:val="none"/>
                    </w:rPr>
                    <w:t>溶液生成络合物，溶于盐酸、硝酸放出二氧化碳。有毒。用于电子、仪表、</w:t>
                  </w:r>
                  <w:r>
                    <w:rPr>
                      <w:rFonts w:hint="default" w:ascii="Times New Roman" w:hAnsi="Times New Roman" w:eastAsia="宋体" w:cs="Times New Roman"/>
                      <w:color w:val="auto"/>
                      <w:spacing w:val="6"/>
                      <w:sz w:val="21"/>
                      <w:szCs w:val="21"/>
                      <w:highlight w:val="none"/>
                    </w:rPr>
                    <w:t>冶金工业。配制焰火，制信号弹，陶瓷涂料，制光学玻璃的辅料。还用作</w:t>
                  </w:r>
                  <w:r>
                    <w:rPr>
                      <w:rFonts w:hint="default" w:ascii="Times New Roman" w:hAnsi="Times New Roman" w:eastAsia="宋体" w:cs="Times New Roman"/>
                      <w:color w:val="auto"/>
                      <w:spacing w:val="8"/>
                      <w:sz w:val="21"/>
                      <w:szCs w:val="21"/>
                      <w:highlight w:val="none"/>
                    </w:rPr>
                    <w:t>杀鼠药、水澄清剂和填料。</w:t>
                  </w:r>
                </w:p>
              </w:tc>
              <w:tc>
                <w:tcPr>
                  <w:tcW w:w="1159" w:type="dxa"/>
                  <w:vAlign w:val="center"/>
                </w:tcPr>
                <w:p w14:paraId="57EDB763">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7"/>
                      <w:sz w:val="21"/>
                      <w:szCs w:val="21"/>
                      <w:highlight w:val="none"/>
                    </w:rPr>
                    <w:t>有很强毒性</w:t>
                  </w:r>
                </w:p>
              </w:tc>
              <w:tc>
                <w:tcPr>
                  <w:tcW w:w="1846" w:type="dxa"/>
                  <w:vAlign w:val="center"/>
                </w:tcPr>
                <w:p w14:paraId="30A81222">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9"/>
                      <w:sz w:val="21"/>
                      <w:szCs w:val="21"/>
                      <w:highlight w:val="none"/>
                    </w:rPr>
                    <w:t>急性毒性：</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9"/>
                      <w:sz w:val="21"/>
                      <w:szCs w:val="21"/>
                      <w:highlight w:val="none"/>
                    </w:rPr>
                    <w:t>50：418</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9"/>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7"/>
                      <w:sz w:val="21"/>
                      <w:szCs w:val="21"/>
                      <w:highlight w:val="none"/>
                    </w:rPr>
                    <w:t>（大鼠经口</w:t>
                  </w:r>
                  <w:r>
                    <w:rPr>
                      <w:rFonts w:hint="default" w:ascii="Times New Roman" w:hAnsi="Times New Roman" w:eastAsia="宋体" w:cs="Times New Roman"/>
                      <w:color w:val="auto"/>
                      <w:spacing w:val="15"/>
                      <w:sz w:val="21"/>
                      <w:szCs w:val="21"/>
                      <w:highlight w:val="none"/>
                    </w:rPr>
                    <w:t>）；</w:t>
                  </w:r>
                  <w:r>
                    <w:rPr>
                      <w:rFonts w:hint="default" w:ascii="Times New Roman" w:hAnsi="Times New Roman" w:eastAsia="宋体" w:cs="Times New Roman"/>
                      <w:color w:val="auto"/>
                      <w:spacing w:val="7"/>
                      <w:sz w:val="21"/>
                      <w:szCs w:val="21"/>
                      <w:highlight w:val="none"/>
                    </w:rPr>
                    <w:t>200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7"/>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7"/>
                      <w:sz w:val="21"/>
                      <w:szCs w:val="21"/>
                      <w:highlight w:val="none"/>
                    </w:rPr>
                    <w:t>（小</w:t>
                  </w:r>
                  <w:r>
                    <w:rPr>
                      <w:rFonts w:hint="default" w:ascii="Times New Roman" w:hAnsi="Times New Roman" w:eastAsia="宋体" w:cs="Times New Roman"/>
                      <w:color w:val="auto"/>
                      <w:spacing w:val="6"/>
                      <w:sz w:val="21"/>
                      <w:szCs w:val="21"/>
                      <w:highlight w:val="none"/>
                    </w:rPr>
                    <w:t>鼠经口）亚急性与慢性毒性：</w:t>
                  </w:r>
                  <w:r>
                    <w:rPr>
                      <w:rFonts w:hint="default" w:ascii="Times New Roman" w:hAnsi="Times New Roman" w:eastAsia="宋体" w:cs="Times New Roman"/>
                      <w:color w:val="auto"/>
                      <w:spacing w:val="5"/>
                      <w:sz w:val="21"/>
                      <w:szCs w:val="21"/>
                      <w:highlight w:val="none"/>
                    </w:rPr>
                    <w:t>大鼠吸入碳酸钡粉尘1个月，</w:t>
                  </w:r>
                  <w:r>
                    <w:rPr>
                      <w:rFonts w:hint="default" w:ascii="Times New Roman" w:hAnsi="Times New Roman" w:eastAsia="宋体" w:cs="Times New Roman"/>
                      <w:color w:val="auto"/>
                      <w:spacing w:val="7"/>
                      <w:sz w:val="21"/>
                      <w:szCs w:val="21"/>
                      <w:highlight w:val="none"/>
                    </w:rPr>
                    <w:t>出现血压升高，红细胞和白细</w:t>
                  </w:r>
                  <w:r>
                    <w:rPr>
                      <w:rFonts w:hint="default" w:ascii="Times New Roman" w:hAnsi="Times New Roman" w:eastAsia="宋体" w:cs="Times New Roman"/>
                      <w:color w:val="auto"/>
                      <w:spacing w:val="9"/>
                      <w:sz w:val="21"/>
                      <w:szCs w:val="21"/>
                      <w:highlight w:val="none"/>
                    </w:rPr>
                    <w:t>胞数改变，体重减轻，还有生</w:t>
                  </w:r>
                  <w:r>
                    <w:rPr>
                      <w:rFonts w:hint="default" w:ascii="Times New Roman" w:hAnsi="Times New Roman" w:eastAsia="宋体" w:cs="Times New Roman"/>
                      <w:color w:val="auto"/>
                      <w:spacing w:val="7"/>
                      <w:sz w:val="21"/>
                      <w:szCs w:val="21"/>
                      <w:highlight w:val="none"/>
                    </w:rPr>
                    <w:t>殖毒性和胚胎毒性。</w:t>
                  </w:r>
                </w:p>
              </w:tc>
            </w:tr>
            <w:tr w14:paraId="60CA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Align w:val="center"/>
                </w:tcPr>
                <w:p w14:paraId="565B347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纯碱</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碳酸钠</w:t>
                  </w:r>
                  <w:r>
                    <w:rPr>
                      <w:rFonts w:hint="default" w:ascii="Times New Roman" w:hAnsi="Times New Roman" w:eastAsia="宋体" w:cs="Times New Roman"/>
                      <w:color w:val="auto"/>
                      <w:spacing w:val="5"/>
                      <w:sz w:val="21"/>
                      <w:szCs w:val="21"/>
                      <w:highlight w:val="none"/>
                      <w:lang w:eastAsia="zh-CN"/>
                    </w:rPr>
                    <w:t>）</w:t>
                  </w:r>
                </w:p>
              </w:tc>
              <w:tc>
                <w:tcPr>
                  <w:tcW w:w="4036" w:type="dxa"/>
                  <w:vAlign w:val="center"/>
                </w:tcPr>
                <w:p w14:paraId="4FDCF030">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spacing w:val="11"/>
                      <w:sz w:val="21"/>
                      <w:szCs w:val="21"/>
                      <w:highlight w:val="none"/>
                    </w:rPr>
                  </w:pPr>
                  <w:r>
                    <w:rPr>
                      <w:rFonts w:hint="default" w:ascii="Times New Roman" w:hAnsi="Times New Roman" w:eastAsia="宋体" w:cs="Times New Roman"/>
                      <w:color w:val="auto"/>
                      <w:spacing w:val="11"/>
                      <w:sz w:val="21"/>
                      <w:szCs w:val="21"/>
                      <w:highlight w:val="none"/>
                    </w:rPr>
                    <w:t>化学式为NaCO</w:t>
                  </w:r>
                  <w:r>
                    <w:rPr>
                      <w:rFonts w:hint="default" w:ascii="Times New Roman" w:hAnsi="Times New Roman" w:eastAsia="宋体" w:cs="Times New Roman"/>
                      <w:color w:val="auto"/>
                      <w:spacing w:val="11"/>
                      <w:sz w:val="21"/>
                      <w:szCs w:val="21"/>
                      <w:highlight w:val="none"/>
                      <w:vertAlign w:val="subscript"/>
                    </w:rPr>
                    <w:t>3</w:t>
                  </w:r>
                  <w:r>
                    <w:rPr>
                      <w:rFonts w:hint="default" w:ascii="Times New Roman" w:hAnsi="Times New Roman" w:eastAsia="宋体" w:cs="Times New Roman"/>
                      <w:color w:val="auto"/>
                      <w:spacing w:val="11"/>
                      <w:sz w:val="21"/>
                      <w:szCs w:val="21"/>
                      <w:highlight w:val="none"/>
                    </w:rPr>
                    <w:t>，是一种无机化合物，通常称为纯碱、苏打或天然碱。</w:t>
                  </w:r>
                </w:p>
                <w:p w14:paraId="2700E12F">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碳酸钠是一种白色粉末，具有吸湿性，易溶于水，形成无色透明的溶液，其熔点为851°C，沸点为1600°C，密度为2.53g/cm</w:t>
                  </w:r>
                  <w:r>
                    <w:rPr>
                      <w:rFonts w:hint="default" w:ascii="Times New Roman" w:hAnsi="Times New Roman" w:eastAsia="宋体" w:cs="Times New Roman"/>
                      <w:color w:val="auto"/>
                      <w:spacing w:val="11"/>
                      <w:sz w:val="21"/>
                      <w:szCs w:val="21"/>
                      <w:highlight w:val="none"/>
                      <w:vertAlign w:val="superscript"/>
                      <w:lang w:val="en-US" w:eastAsia="zh-CN"/>
                    </w:rPr>
                    <w:t>3</w:t>
                  </w:r>
                  <w:r>
                    <w:rPr>
                      <w:rFonts w:hint="default" w:ascii="Times New Roman" w:hAnsi="Times New Roman" w:eastAsia="宋体" w:cs="Times New Roman"/>
                      <w:color w:val="auto"/>
                      <w:spacing w:val="11"/>
                      <w:sz w:val="21"/>
                      <w:szCs w:val="21"/>
                      <w:highlight w:val="none"/>
                      <w:vertAlign w:val="baseline"/>
                      <w:lang w:val="en-US" w:eastAsia="zh-CN"/>
                    </w:rPr>
                    <w:t>，具</w:t>
                  </w:r>
                  <w:r>
                    <w:rPr>
                      <w:rFonts w:hint="default" w:ascii="Times New Roman" w:hAnsi="Times New Roman" w:eastAsia="宋体" w:cs="Times New Roman"/>
                      <w:color w:val="auto"/>
                      <w:spacing w:val="11"/>
                      <w:sz w:val="21"/>
                      <w:szCs w:val="21"/>
                      <w:highlight w:val="none"/>
                    </w:rPr>
                    <w:t>有吸水性；CAS登录号497-19-8。</w:t>
                  </w:r>
                </w:p>
              </w:tc>
              <w:tc>
                <w:tcPr>
                  <w:tcW w:w="1159" w:type="dxa"/>
                  <w:vAlign w:val="center"/>
                </w:tcPr>
                <w:p w14:paraId="3620883F">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不燃，弱</w:t>
                  </w:r>
                  <w:r>
                    <w:rPr>
                      <w:rFonts w:hint="default" w:ascii="Times New Roman" w:hAnsi="Times New Roman" w:eastAsia="宋体" w:cs="Times New Roman"/>
                      <w:color w:val="auto"/>
                      <w:spacing w:val="3"/>
                      <w:sz w:val="21"/>
                      <w:szCs w:val="21"/>
                      <w:highlight w:val="none"/>
                    </w:rPr>
                    <w:fldChar w:fldCharType="begin"/>
                  </w:r>
                  <w:r>
                    <w:rPr>
                      <w:rFonts w:hint="default" w:ascii="Times New Roman" w:hAnsi="Times New Roman" w:eastAsia="宋体" w:cs="Times New Roman"/>
                      <w:color w:val="auto"/>
                      <w:spacing w:val="3"/>
                      <w:sz w:val="21"/>
                      <w:szCs w:val="21"/>
                      <w:highlight w:val="none"/>
                    </w:rPr>
                    <w:instrText xml:space="preserve"> HYPERLINK "http://baike.baidu.com/item/%E5%88%BA%E6%BF%80%E6%80%A7" </w:instrText>
                  </w:r>
                  <w:r>
                    <w:rPr>
                      <w:rFonts w:hint="default" w:ascii="Times New Roman" w:hAnsi="Times New Roman" w:eastAsia="宋体" w:cs="Times New Roman"/>
                      <w:color w:val="auto"/>
                      <w:spacing w:val="3"/>
                      <w:sz w:val="21"/>
                      <w:szCs w:val="21"/>
                      <w:highlight w:val="none"/>
                    </w:rPr>
                    <w:fldChar w:fldCharType="separate"/>
                  </w:r>
                  <w:r>
                    <w:rPr>
                      <w:rFonts w:hint="default" w:ascii="Times New Roman" w:hAnsi="Times New Roman" w:eastAsia="宋体" w:cs="Times New Roman"/>
                      <w:color w:val="auto"/>
                      <w:spacing w:val="3"/>
                      <w:sz w:val="21"/>
                      <w:szCs w:val="21"/>
                      <w:highlight w:val="none"/>
                    </w:rPr>
                    <w:t>刺激性</w:t>
                  </w:r>
                  <w:r>
                    <w:rPr>
                      <w:rFonts w:hint="default" w:ascii="Times New Roman" w:hAnsi="Times New Roman" w:eastAsia="宋体" w:cs="Times New Roman"/>
                      <w:color w:val="auto"/>
                      <w:spacing w:val="3"/>
                      <w:sz w:val="21"/>
                      <w:szCs w:val="21"/>
                      <w:highlight w:val="none"/>
                    </w:rPr>
                    <w:fldChar w:fldCharType="end"/>
                  </w:r>
                  <w:r>
                    <w:rPr>
                      <w:rFonts w:hint="default" w:ascii="Times New Roman" w:hAnsi="Times New Roman" w:eastAsia="宋体" w:cs="Times New Roman"/>
                      <w:color w:val="auto"/>
                      <w:spacing w:val="3"/>
                      <w:sz w:val="21"/>
                      <w:szCs w:val="21"/>
                      <w:highlight w:val="none"/>
                    </w:rPr>
                    <w:t>和弱</w:t>
                  </w:r>
                  <w:r>
                    <w:rPr>
                      <w:rFonts w:hint="default" w:ascii="Times New Roman" w:hAnsi="Times New Roman" w:eastAsia="宋体" w:cs="Times New Roman"/>
                      <w:color w:val="auto"/>
                      <w:spacing w:val="3"/>
                      <w:sz w:val="21"/>
                      <w:szCs w:val="21"/>
                      <w:highlight w:val="none"/>
                    </w:rPr>
                    <w:fldChar w:fldCharType="begin"/>
                  </w:r>
                  <w:r>
                    <w:rPr>
                      <w:rFonts w:hint="default" w:ascii="Times New Roman" w:hAnsi="Times New Roman" w:eastAsia="宋体" w:cs="Times New Roman"/>
                      <w:color w:val="auto"/>
                      <w:spacing w:val="3"/>
                      <w:sz w:val="21"/>
                      <w:szCs w:val="21"/>
                      <w:highlight w:val="none"/>
                    </w:rPr>
                    <w:instrText xml:space="preserve"> HYPERLINK "http://baike.baidu.com/item/%E8%85%90%E8%9A%80%E6%80%A7" </w:instrText>
                  </w:r>
                  <w:r>
                    <w:rPr>
                      <w:rFonts w:hint="default" w:ascii="Times New Roman" w:hAnsi="Times New Roman" w:eastAsia="宋体" w:cs="Times New Roman"/>
                      <w:color w:val="auto"/>
                      <w:spacing w:val="3"/>
                      <w:sz w:val="21"/>
                      <w:szCs w:val="21"/>
                      <w:highlight w:val="none"/>
                    </w:rPr>
                    <w:fldChar w:fldCharType="separate"/>
                  </w:r>
                  <w:r>
                    <w:rPr>
                      <w:rFonts w:hint="default" w:ascii="Times New Roman" w:hAnsi="Times New Roman" w:eastAsia="宋体" w:cs="Times New Roman"/>
                      <w:color w:val="auto"/>
                      <w:spacing w:val="3"/>
                      <w:sz w:val="21"/>
                      <w:szCs w:val="21"/>
                      <w:highlight w:val="none"/>
                    </w:rPr>
                    <w:t>腐蚀</w:t>
                  </w:r>
                  <w:r>
                    <w:rPr>
                      <w:rFonts w:hint="default" w:ascii="Times New Roman" w:hAnsi="Times New Roman" w:eastAsia="宋体" w:cs="Times New Roman"/>
                      <w:color w:val="auto"/>
                      <w:spacing w:val="3"/>
                      <w:sz w:val="21"/>
                      <w:szCs w:val="21"/>
                      <w:highlight w:val="none"/>
                    </w:rPr>
                    <w:fldChar w:fldCharType="end"/>
                  </w:r>
                  <w:r>
                    <w:rPr>
                      <w:rFonts w:hint="default" w:ascii="Times New Roman" w:hAnsi="Times New Roman" w:eastAsia="宋体" w:cs="Times New Roman"/>
                      <w:color w:val="auto"/>
                      <w:spacing w:val="3"/>
                      <w:sz w:val="21"/>
                      <w:szCs w:val="21"/>
                      <w:highlight w:val="none"/>
                    </w:rPr>
                    <w:t>性，直接接触可引起皮肤和眼灼伤</w:t>
                  </w:r>
                  <w:r>
                    <w:rPr>
                      <w:rFonts w:hint="default" w:ascii="Times New Roman" w:hAnsi="Times New Roman" w:eastAsia="宋体" w:cs="Times New Roman"/>
                      <w:color w:val="auto"/>
                      <w:spacing w:val="3"/>
                      <w:sz w:val="21"/>
                      <w:szCs w:val="21"/>
                      <w:highlight w:val="none"/>
                      <w:lang w:eastAsia="zh-CN"/>
                    </w:rPr>
                    <w:t>。</w:t>
                  </w:r>
                </w:p>
              </w:tc>
              <w:tc>
                <w:tcPr>
                  <w:tcW w:w="1846" w:type="dxa"/>
                  <w:vAlign w:val="center"/>
                </w:tcPr>
                <w:p w14:paraId="01A8E98E">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8"/>
                      <w:sz w:val="21"/>
                      <w:szCs w:val="21"/>
                      <w:highlight w:val="none"/>
                    </w:rPr>
                    <w:t>急性毒性：</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8"/>
                      <w:sz w:val="21"/>
                      <w:szCs w:val="21"/>
                      <w:highlight w:val="none"/>
                    </w:rPr>
                    <w:t>50：</w:t>
                  </w:r>
                  <w:r>
                    <w:rPr>
                      <w:rFonts w:hint="default" w:ascii="Times New Roman" w:hAnsi="Times New Roman" w:eastAsia="宋体" w:cs="Times New Roman"/>
                      <w:color w:val="auto"/>
                      <w:spacing w:val="11"/>
                      <w:sz w:val="21"/>
                      <w:szCs w:val="21"/>
                      <w:highlight w:val="none"/>
                    </w:rPr>
                    <w:t>4090mg/kg</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大鼠经口</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LC50：2300mg/m</w:t>
                  </w:r>
                  <w:r>
                    <w:rPr>
                      <w:rFonts w:hint="default" w:ascii="Times New Roman" w:hAnsi="Times New Roman" w:eastAsia="宋体" w:cs="Times New Roman"/>
                      <w:color w:val="auto"/>
                      <w:spacing w:val="11"/>
                      <w:sz w:val="21"/>
                      <w:szCs w:val="21"/>
                      <w:highlight w:val="none"/>
                      <w:vertAlign w:val="superscript"/>
                    </w:rPr>
                    <w:t>3</w:t>
                  </w:r>
                  <w:r>
                    <w:rPr>
                      <w:rFonts w:hint="default" w:ascii="Times New Roman" w:hAnsi="Times New Roman" w:eastAsia="宋体" w:cs="Times New Roman"/>
                      <w:color w:val="auto"/>
                      <w:spacing w:val="11"/>
                      <w:sz w:val="21"/>
                      <w:szCs w:val="21"/>
                      <w:highlight w:val="none"/>
                    </w:rPr>
                    <w:t>，2小时</w:t>
                  </w:r>
                  <w:r>
                    <w:rPr>
                      <w:rFonts w:hint="default" w:ascii="Times New Roman" w:hAnsi="Times New Roman" w:eastAsia="宋体" w:cs="Times New Roman"/>
                      <w:color w:val="auto"/>
                      <w:spacing w:val="11"/>
                      <w:sz w:val="21"/>
                      <w:szCs w:val="21"/>
                      <w:highlight w:val="none"/>
                      <w:lang w:eastAsia="zh-CN"/>
                    </w:rPr>
                    <w:t>（</w:t>
                  </w:r>
                  <w:r>
                    <w:rPr>
                      <w:rFonts w:hint="default" w:ascii="Times New Roman" w:hAnsi="Times New Roman" w:eastAsia="宋体" w:cs="Times New Roman"/>
                      <w:color w:val="auto"/>
                      <w:spacing w:val="11"/>
                      <w:sz w:val="21"/>
                      <w:szCs w:val="21"/>
                      <w:highlight w:val="none"/>
                    </w:rPr>
                    <w:t>大鼠吸入</w:t>
                  </w:r>
                  <w:r>
                    <w:rPr>
                      <w:rFonts w:hint="default" w:ascii="Times New Roman" w:hAnsi="Times New Roman" w:eastAsia="宋体" w:cs="Times New Roman"/>
                      <w:color w:val="auto"/>
                      <w:spacing w:val="11"/>
                      <w:sz w:val="21"/>
                      <w:szCs w:val="21"/>
                      <w:highlight w:val="none"/>
                      <w:lang w:eastAsia="zh-CN"/>
                    </w:rPr>
                    <w:t>）</w:t>
                  </w:r>
                </w:p>
              </w:tc>
            </w:tr>
            <w:tr w14:paraId="2A64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56EE726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硼砂</w:t>
                  </w:r>
                </w:p>
              </w:tc>
              <w:tc>
                <w:tcPr>
                  <w:tcW w:w="4036" w:type="dxa"/>
                  <w:shd w:val="clear" w:color="auto" w:fill="auto"/>
                  <w:vAlign w:val="center"/>
                </w:tcPr>
                <w:p w14:paraId="51009BB0">
                  <w:pPr>
                    <w:pStyle w:val="57"/>
                    <w:keepNext w:val="0"/>
                    <w:keepLines w:val="0"/>
                    <w:pageBreakBefore w:val="0"/>
                    <w:kinsoku/>
                    <w:wordWrap/>
                    <w:overflowPunct/>
                    <w:topLinePunct/>
                    <w:autoSpaceDE w:val="0"/>
                    <w:bidi w:val="0"/>
                    <w:spacing w:line="240" w:lineRule="auto"/>
                    <w:ind w:left="0" w:leftChars="0" w:right="0" w:rightChars="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硼砂、四硼酸钠，别称月石，分子式：</w:t>
                  </w:r>
                  <w:r>
                    <w:rPr>
                      <w:rFonts w:hint="default" w:ascii="Times New Roman" w:hAnsi="Times New Roman" w:eastAsia="宋体" w:cs="Times New Roman"/>
                      <w:color w:val="auto"/>
                      <w:sz w:val="21"/>
                      <w:szCs w:val="21"/>
                      <w:highlight w:val="none"/>
                    </w:rPr>
                    <w:t>Na</w:t>
                  </w:r>
                  <w:r>
                    <w:rPr>
                      <w:rFonts w:hint="default" w:ascii="Times New Roman" w:hAnsi="Times New Roman" w:eastAsia="宋体" w:cs="Times New Roman"/>
                      <w:color w:val="auto"/>
                      <w:spacing w:val="6"/>
                      <w:sz w:val="21"/>
                      <w:szCs w:val="21"/>
                      <w:highlight w:val="none"/>
                      <w:vertAlign w:val="subscript"/>
                    </w:rPr>
                    <w:t>2</w:t>
                  </w:r>
                  <w:r>
                    <w:rPr>
                      <w:rFonts w:hint="default" w:ascii="Times New Roman" w:hAnsi="Times New Roman" w:eastAsia="宋体" w:cs="Times New Roman"/>
                      <w:color w:val="auto"/>
                      <w:spacing w:val="6"/>
                      <w:sz w:val="21"/>
                      <w:szCs w:val="21"/>
                      <w:highlight w:val="none"/>
                    </w:rPr>
                    <w:t>B</w:t>
                  </w:r>
                  <w:r>
                    <w:rPr>
                      <w:rFonts w:hint="default" w:ascii="Times New Roman" w:hAnsi="Times New Roman" w:eastAsia="宋体" w:cs="Times New Roman"/>
                      <w:color w:val="auto"/>
                      <w:spacing w:val="6"/>
                      <w:position w:val="-1"/>
                      <w:sz w:val="21"/>
                      <w:szCs w:val="21"/>
                      <w:highlight w:val="none"/>
                      <w:vertAlign w:val="subscript"/>
                    </w:rPr>
                    <w:t>4</w:t>
                  </w:r>
                  <w:r>
                    <w:rPr>
                      <w:rFonts w:hint="default" w:ascii="Times New Roman" w:hAnsi="Times New Roman" w:eastAsia="宋体" w:cs="Times New Roman"/>
                      <w:color w:val="auto"/>
                      <w:spacing w:val="6"/>
                      <w:sz w:val="21"/>
                      <w:szCs w:val="21"/>
                      <w:highlight w:val="none"/>
                    </w:rPr>
                    <w:t>O</w:t>
                  </w:r>
                  <w:r>
                    <w:rPr>
                      <w:rFonts w:hint="default" w:ascii="Times New Roman" w:hAnsi="Times New Roman" w:eastAsia="宋体" w:cs="Times New Roman"/>
                      <w:color w:val="auto"/>
                      <w:spacing w:val="6"/>
                      <w:position w:val="-1"/>
                      <w:sz w:val="21"/>
                      <w:szCs w:val="21"/>
                      <w:highlight w:val="none"/>
                      <w:vertAlign w:val="subscript"/>
                    </w:rPr>
                    <w:t>7</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z w:val="21"/>
                      <w:szCs w:val="21"/>
                      <w:highlight w:val="none"/>
                    </w:rPr>
                    <w:t>CAS</w:t>
                  </w:r>
                  <w:r>
                    <w:rPr>
                      <w:rFonts w:hint="default" w:ascii="Times New Roman" w:hAnsi="Times New Roman" w:eastAsia="宋体" w:cs="Times New Roman"/>
                      <w:color w:val="auto"/>
                      <w:spacing w:val="6"/>
                      <w:sz w:val="21"/>
                      <w:szCs w:val="21"/>
                      <w:highlight w:val="none"/>
                    </w:rPr>
                    <w:t>：1303-96-4，分子量为201.22，系无色半透明结晶体或白色结晶粉末，单斜晶系。它无臭，</w:t>
                  </w:r>
                  <w:r>
                    <w:rPr>
                      <w:rFonts w:hint="default" w:ascii="Times New Roman" w:hAnsi="Times New Roman" w:eastAsia="宋体" w:cs="Times New Roman"/>
                      <w:color w:val="auto"/>
                      <w:spacing w:val="11"/>
                      <w:sz w:val="21"/>
                      <w:szCs w:val="21"/>
                      <w:highlight w:val="none"/>
                    </w:rPr>
                    <w:t>味咸，易溶于水和甘油，不溶于乙醇和酸，水溶液呈弱碱性。其密度为</w:t>
                  </w:r>
                  <w:r>
                    <w:rPr>
                      <w:rFonts w:hint="default" w:ascii="Times New Roman" w:hAnsi="Times New Roman" w:eastAsia="宋体" w:cs="Times New Roman"/>
                      <w:color w:val="auto"/>
                      <w:spacing w:val="5"/>
                      <w:sz w:val="21"/>
                      <w:szCs w:val="21"/>
                      <w:highlight w:val="none"/>
                    </w:rPr>
                    <w:t>1.73g/</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，在干燥空气中风化。在高于56℃时，自溶液中析出五水盐；</w:t>
                  </w:r>
                  <w:r>
                    <w:rPr>
                      <w:rFonts w:hint="default" w:ascii="Times New Roman" w:hAnsi="Times New Roman" w:eastAsia="宋体" w:cs="Times New Roman"/>
                      <w:color w:val="auto"/>
                      <w:spacing w:val="2"/>
                      <w:sz w:val="21"/>
                      <w:szCs w:val="21"/>
                      <w:highlight w:val="none"/>
                    </w:rPr>
                    <w:t>低于56℃时，则析出十水盐；加热至350～400℃</w:t>
                  </w:r>
                  <w:r>
                    <w:rPr>
                      <w:rFonts w:hint="default" w:ascii="Times New Roman" w:hAnsi="Times New Roman" w:eastAsia="宋体" w:cs="Times New Roman"/>
                      <w:color w:val="auto"/>
                      <w:spacing w:val="-25"/>
                      <w:sz w:val="21"/>
                      <w:szCs w:val="21"/>
                      <w:highlight w:val="none"/>
                      <w:lang w:eastAsia="zh-CN"/>
                    </w:rPr>
                    <w:t>，</w:t>
                  </w:r>
                  <w:r>
                    <w:rPr>
                      <w:rFonts w:hint="default" w:ascii="Times New Roman" w:hAnsi="Times New Roman" w:eastAsia="宋体" w:cs="Times New Roman"/>
                      <w:color w:val="auto"/>
                      <w:spacing w:val="2"/>
                      <w:sz w:val="21"/>
                      <w:szCs w:val="21"/>
                      <w:highlight w:val="none"/>
                    </w:rPr>
                    <w:t>完全失水成为无水盐；</w:t>
                  </w:r>
                  <w:r>
                    <w:rPr>
                      <w:rFonts w:hint="default" w:ascii="Times New Roman" w:hAnsi="Times New Roman" w:eastAsia="宋体" w:cs="Times New Roman"/>
                      <w:color w:val="auto"/>
                      <w:spacing w:val="5"/>
                      <w:sz w:val="21"/>
                      <w:szCs w:val="21"/>
                      <w:highlight w:val="none"/>
                    </w:rPr>
                    <w:t>加热至878℃</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熔化为玻璃状物。熔化的硼砂能溶解许多金属氧化物，生</w:t>
                  </w:r>
                  <w:r>
                    <w:rPr>
                      <w:rFonts w:hint="default" w:ascii="Times New Roman" w:hAnsi="Times New Roman" w:eastAsia="宋体" w:cs="Times New Roman"/>
                      <w:color w:val="auto"/>
                      <w:spacing w:val="8"/>
                      <w:sz w:val="21"/>
                      <w:szCs w:val="21"/>
                      <w:highlight w:val="none"/>
                    </w:rPr>
                    <w:t>成具有特征颜色的偏硼酸的复盐，硼砂的这一性质被称为“硼砂珠试验”</w:t>
                  </w:r>
                  <w:r>
                    <w:rPr>
                      <w:rFonts w:hint="default" w:ascii="Times New Roman" w:hAnsi="Times New Roman" w:eastAsia="宋体" w:cs="Times New Roman"/>
                      <w:color w:val="auto"/>
                      <w:spacing w:val="8"/>
                      <w:sz w:val="21"/>
                      <w:szCs w:val="21"/>
                      <w:highlight w:val="none"/>
                      <w:lang w:eastAsia="zh-CN"/>
                    </w:rPr>
                    <w:t>。</w:t>
                  </w:r>
                </w:p>
              </w:tc>
              <w:tc>
                <w:tcPr>
                  <w:tcW w:w="1159" w:type="dxa"/>
                  <w:shd w:val="clear" w:color="auto" w:fill="auto"/>
                  <w:vAlign w:val="center"/>
                </w:tcPr>
                <w:p w14:paraId="218B86B8">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不燃</w:t>
                  </w:r>
                </w:p>
              </w:tc>
              <w:tc>
                <w:tcPr>
                  <w:tcW w:w="1846" w:type="dxa"/>
                  <w:shd w:val="clear" w:color="auto" w:fill="auto"/>
                  <w:vAlign w:val="center"/>
                </w:tcPr>
                <w:p w14:paraId="5169C193">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r>
            <w:tr w14:paraId="2C88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45672EB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碳酸钙</w:t>
                  </w:r>
                </w:p>
              </w:tc>
              <w:tc>
                <w:tcPr>
                  <w:tcW w:w="4036" w:type="dxa"/>
                  <w:shd w:val="clear" w:color="auto" w:fill="auto"/>
                  <w:vAlign w:val="center"/>
                </w:tcPr>
                <w:p w14:paraId="0BEC1C41">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position w:val="1"/>
                      <w:sz w:val="21"/>
                      <w:szCs w:val="21"/>
                      <w:highlight w:val="none"/>
                    </w:rPr>
                    <w:t>碳酸钙是一种</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"https://baike.baidu.com/item/%E6%97%A0%E6%9C%BA%E5%8C%96%E5%90%88%E7%89%A9/10716655?fromModule=lemma_inlink"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position w:val="1"/>
                      <w:sz w:val="21"/>
                      <w:szCs w:val="21"/>
                      <w:highlight w:val="none"/>
                    </w:rPr>
                    <w:t>无机化合物</w:t>
                  </w:r>
                  <w:r>
                    <w:rPr>
                      <w:rFonts w:hint="default" w:ascii="Times New Roman" w:hAnsi="Times New Roman" w:eastAsia="宋体" w:cs="Times New Roman"/>
                      <w:color w:val="auto"/>
                      <w:spacing w:val="7"/>
                      <w:position w:val="1"/>
                      <w:sz w:val="21"/>
                      <w:szCs w:val="21"/>
                      <w:highlight w:val="none"/>
                    </w:rPr>
                    <w:fldChar w:fldCharType="end"/>
                  </w:r>
                  <w:r>
                    <w:rPr>
                      <w:rFonts w:hint="default" w:ascii="Times New Roman" w:hAnsi="Times New Roman" w:eastAsia="宋体" w:cs="Times New Roman"/>
                      <w:color w:val="auto"/>
                      <w:spacing w:val="7"/>
                      <w:position w:val="1"/>
                      <w:sz w:val="21"/>
                      <w:szCs w:val="21"/>
                      <w:highlight w:val="none"/>
                    </w:rPr>
                    <w:t>，化学式为</w:t>
                  </w:r>
                  <w:r>
                    <w:rPr>
                      <w:rFonts w:hint="default" w:ascii="Times New Roman" w:hAnsi="Times New Roman" w:eastAsia="宋体" w:cs="Times New Roman"/>
                      <w:color w:val="auto"/>
                      <w:position w:val="1"/>
                      <w:sz w:val="21"/>
                      <w:szCs w:val="21"/>
                      <w:highlight w:val="none"/>
                    </w:rPr>
                    <w:t>CaCO</w:t>
                  </w:r>
                  <w:r>
                    <w:rPr>
                      <w:rFonts w:hint="default" w:ascii="Times New Roman" w:hAnsi="Times New Roman" w:eastAsia="宋体" w:cs="Times New Roman"/>
                      <w:color w:val="auto"/>
                      <w:spacing w:val="7"/>
                      <w:position w:val="1"/>
                      <w:sz w:val="21"/>
                      <w:szCs w:val="21"/>
                      <w:highlight w:val="none"/>
                    </w:rPr>
                    <w:t>₃</w:t>
                  </w:r>
                  <w:r>
                    <w:rPr>
                      <w:rFonts w:hint="default" w:ascii="Times New Roman" w:hAnsi="Times New Roman" w:eastAsia="宋体" w:cs="Times New Roman"/>
                      <w:color w:val="auto"/>
                      <w:spacing w:val="7"/>
                      <w:position w:val="1"/>
                      <w:sz w:val="21"/>
                      <w:szCs w:val="21"/>
                      <w:highlight w:val="none"/>
                      <w:lang w:eastAsia="zh-CN"/>
                    </w:rPr>
                    <w:t>，</w:t>
                  </w:r>
                  <w:r>
                    <w:rPr>
                      <w:rFonts w:hint="default" w:ascii="Times New Roman" w:hAnsi="Times New Roman" w:eastAsia="宋体" w:cs="Times New Roman"/>
                      <w:color w:val="auto"/>
                      <w:spacing w:val="7"/>
                      <w:position w:val="1"/>
                      <w:sz w:val="21"/>
                      <w:szCs w:val="21"/>
                      <w:highlight w:val="none"/>
                    </w:rPr>
                    <w:t>是石灰石、大理</w:t>
                  </w:r>
                  <w:r>
                    <w:rPr>
                      <w:rFonts w:hint="default" w:ascii="Times New Roman" w:hAnsi="Times New Roman" w:eastAsia="宋体" w:cs="Times New Roman"/>
                      <w:color w:val="auto"/>
                      <w:spacing w:val="6"/>
                      <w:position w:val="1"/>
                      <w:sz w:val="21"/>
                      <w:szCs w:val="21"/>
                      <w:highlight w:val="none"/>
                    </w:rPr>
                    <w:t>石等的主</w:t>
                  </w:r>
                  <w:r>
                    <w:rPr>
                      <w:rFonts w:hint="default" w:ascii="Times New Roman" w:hAnsi="Times New Roman" w:eastAsia="宋体" w:cs="Times New Roman"/>
                      <w:color w:val="auto"/>
                      <w:spacing w:val="7"/>
                      <w:sz w:val="21"/>
                      <w:szCs w:val="21"/>
                      <w:highlight w:val="none"/>
                    </w:rPr>
                    <w:t>要成分。碳酸钙通常为白色晶体，无味，基</w:t>
                  </w:r>
                  <w:r>
                    <w:rPr>
                      <w:rFonts w:hint="default" w:ascii="Times New Roman" w:hAnsi="Times New Roman" w:eastAsia="宋体" w:cs="Times New Roman"/>
                      <w:color w:val="auto"/>
                      <w:spacing w:val="6"/>
                      <w:sz w:val="21"/>
                      <w:szCs w:val="21"/>
                      <w:highlight w:val="none"/>
                    </w:rPr>
                    <w:t>本上不溶于水，易与酸反应放</w:t>
                  </w:r>
                  <w:r>
                    <w:rPr>
                      <w:rFonts w:hint="default" w:ascii="Times New Roman" w:hAnsi="Times New Roman" w:eastAsia="宋体" w:cs="Times New Roman"/>
                      <w:color w:val="auto"/>
                      <w:spacing w:val="5"/>
                      <w:sz w:val="21"/>
                      <w:szCs w:val="21"/>
                      <w:highlight w:val="none"/>
                    </w:rPr>
                    <w:t>出二氧化碳。密度为2.93g/</w:t>
                  </w:r>
                  <w:r>
                    <w:rPr>
                      <w:rFonts w:hint="default" w:ascii="Times New Roman" w:hAnsi="Times New Roman" w:eastAsia="宋体" w:cs="Times New Roman"/>
                      <w:color w:val="auto"/>
                      <w:sz w:val="21"/>
                      <w:szCs w:val="21"/>
                      <w:highlight w:val="none"/>
                    </w:rPr>
                    <w:t>cm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5"/>
                      <w:sz w:val="21"/>
                      <w:szCs w:val="21"/>
                      <w:highlight w:val="none"/>
                    </w:rPr>
                    <w:t>。熔点1339℃（825-896.6℃时已</w:t>
                  </w:r>
                  <w:r>
                    <w:rPr>
                      <w:rFonts w:hint="default" w:ascii="Times New Roman" w:hAnsi="Times New Roman" w:eastAsia="宋体" w:cs="Times New Roman"/>
                      <w:color w:val="auto"/>
                      <w:spacing w:val="4"/>
                      <w:sz w:val="21"/>
                      <w:szCs w:val="21"/>
                      <w:highlight w:val="none"/>
                    </w:rPr>
                    <w:t>分解</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6"/>
                      <w:sz w:val="21"/>
                      <w:szCs w:val="21"/>
                      <w:highlight w:val="none"/>
                    </w:rPr>
                    <w:t>10.7</w:t>
                  </w:r>
                  <w:r>
                    <w:rPr>
                      <w:rFonts w:hint="default" w:ascii="Times New Roman" w:hAnsi="Times New Roman" w:eastAsia="宋体" w:cs="Times New Roman"/>
                      <w:color w:val="auto"/>
                      <w:sz w:val="21"/>
                      <w:szCs w:val="21"/>
                      <w:highlight w:val="none"/>
                    </w:rPr>
                    <w:t>MPa</w:t>
                  </w:r>
                  <w:r>
                    <w:rPr>
                      <w:rFonts w:hint="default" w:ascii="Times New Roman" w:hAnsi="Times New Roman" w:eastAsia="宋体" w:cs="Times New Roman"/>
                      <w:color w:val="auto"/>
                      <w:spacing w:val="6"/>
                      <w:sz w:val="21"/>
                      <w:szCs w:val="21"/>
                      <w:highlight w:val="none"/>
                    </w:rPr>
                    <w:t>下熔点为1289℃。几乎不溶于水，在含有铵盐或三氧化二铁的</w:t>
                  </w:r>
                  <w:r>
                    <w:rPr>
                      <w:rFonts w:hint="default" w:ascii="Times New Roman" w:hAnsi="Times New Roman" w:eastAsia="宋体" w:cs="Times New Roman"/>
                      <w:color w:val="auto"/>
                      <w:spacing w:val="7"/>
                      <w:sz w:val="21"/>
                      <w:szCs w:val="21"/>
                      <w:highlight w:val="none"/>
                    </w:rPr>
                    <w:t>水中溶解，不溶于醇。</w:t>
                  </w:r>
                </w:p>
              </w:tc>
              <w:tc>
                <w:tcPr>
                  <w:tcW w:w="1159" w:type="dxa"/>
                  <w:shd w:val="clear" w:color="auto" w:fill="auto"/>
                  <w:vAlign w:val="center"/>
                </w:tcPr>
                <w:p w14:paraId="7C743A65">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不燃、稳定</w:t>
                  </w:r>
                </w:p>
              </w:tc>
              <w:tc>
                <w:tcPr>
                  <w:tcW w:w="1846" w:type="dxa"/>
                  <w:shd w:val="clear" w:color="auto" w:fill="auto"/>
                  <w:vAlign w:val="center"/>
                </w:tcPr>
                <w:p w14:paraId="322FE5E4">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急性毒性：</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8"/>
                      <w:sz w:val="21"/>
                      <w:szCs w:val="21"/>
                      <w:highlight w:val="none"/>
                    </w:rPr>
                    <w:t>50：6450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z w:val="21"/>
                      <w:szCs w:val="21"/>
                      <w:highlight w:val="none"/>
                    </w:rPr>
                    <w:t>kg</w:t>
                  </w:r>
                </w:p>
                <w:p w14:paraId="649E6F92">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（大白鼠经口</w:t>
                  </w:r>
                  <w:r>
                    <w:rPr>
                      <w:rFonts w:hint="default" w:ascii="Times New Roman" w:hAnsi="Times New Roman" w:eastAsia="宋体" w:cs="Times New Roman"/>
                      <w:color w:val="auto"/>
                      <w:spacing w:val="16"/>
                      <w:sz w:val="21"/>
                      <w:szCs w:val="21"/>
                      <w:highlight w:val="none"/>
                    </w:rPr>
                    <w:t>），</w:t>
                  </w:r>
                  <w:r>
                    <w:rPr>
                      <w:rFonts w:hint="default" w:ascii="Times New Roman" w:hAnsi="Times New Roman" w:eastAsia="宋体" w:cs="Times New Roman"/>
                      <w:color w:val="auto"/>
                      <w:spacing w:val="7"/>
                      <w:sz w:val="21"/>
                      <w:szCs w:val="21"/>
                      <w:highlight w:val="none"/>
                    </w:rPr>
                    <w:t>对眼睛有强</w:t>
                  </w:r>
                </w:p>
                <w:p w14:paraId="5C368F05">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烈刺激作用，对皮肤有中度刺</w:t>
                  </w:r>
                </w:p>
                <w:p w14:paraId="59900694">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激作用。</w:t>
                  </w:r>
                </w:p>
              </w:tc>
            </w:tr>
            <w:tr w14:paraId="763F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7383CFA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氧化镁</w:t>
                  </w:r>
                </w:p>
              </w:tc>
              <w:tc>
                <w:tcPr>
                  <w:tcW w:w="4036" w:type="dxa"/>
                  <w:shd w:val="clear" w:color="auto" w:fill="auto"/>
                  <w:vAlign w:val="center"/>
                </w:tcPr>
                <w:p w14:paraId="42294BB5">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俗称苦土，也称镁氧，氧化镁是碱性氧化物，具有碱</w:t>
                  </w:r>
                  <w:r>
                    <w:rPr>
                      <w:rFonts w:hint="default" w:ascii="Times New Roman" w:hAnsi="Times New Roman" w:eastAsia="宋体" w:cs="Times New Roman"/>
                      <w:color w:val="auto"/>
                      <w:spacing w:val="6"/>
                      <w:sz w:val="21"/>
                      <w:szCs w:val="21"/>
                      <w:highlight w:val="none"/>
                    </w:rPr>
                    <w:t>性氧化物的通性，属</w:t>
                  </w:r>
                  <w:r>
                    <w:rPr>
                      <w:rFonts w:hint="default" w:ascii="Times New Roman" w:hAnsi="Times New Roman" w:eastAsia="宋体" w:cs="Times New Roman"/>
                      <w:color w:val="auto"/>
                      <w:spacing w:val="7"/>
                      <w:sz w:val="21"/>
                      <w:szCs w:val="21"/>
                      <w:highlight w:val="none"/>
                    </w:rPr>
                    <w:t>于胶凝材料。白色粉末（淡黄色为氮化镁</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7"/>
                      <w:sz w:val="21"/>
                      <w:szCs w:val="21"/>
                      <w:highlight w:val="none"/>
                    </w:rPr>
                    <w:t>无臭、无味、无毒，是</w:t>
                  </w:r>
                  <w:r>
                    <w:rPr>
                      <w:rFonts w:hint="default" w:ascii="Times New Roman" w:hAnsi="Times New Roman" w:eastAsia="宋体" w:cs="Times New Roman"/>
                      <w:color w:val="auto"/>
                      <w:spacing w:val="6"/>
                      <w:sz w:val="21"/>
                      <w:szCs w:val="21"/>
                      <w:highlight w:val="none"/>
                    </w:rPr>
                    <w:t>典型</w:t>
                  </w:r>
                  <w:r>
                    <w:rPr>
                      <w:rFonts w:hint="default" w:ascii="Times New Roman" w:hAnsi="Times New Roman" w:eastAsia="宋体" w:cs="Times New Roman"/>
                      <w:color w:val="auto"/>
                      <w:spacing w:val="3"/>
                      <w:sz w:val="21"/>
                      <w:szCs w:val="21"/>
                      <w:highlight w:val="none"/>
                    </w:rPr>
                    <w:t>的碱土金属氧化物，化学式</w:t>
                  </w:r>
                  <w:r>
                    <w:rPr>
                      <w:rFonts w:hint="default" w:ascii="Times New Roman" w:hAnsi="Times New Roman" w:eastAsia="宋体" w:cs="Times New Roman"/>
                      <w:color w:val="auto"/>
                      <w:sz w:val="21"/>
                      <w:szCs w:val="21"/>
                      <w:highlight w:val="none"/>
                    </w:rPr>
                    <w:t>MgO</w:t>
                  </w:r>
                  <w:r>
                    <w:rPr>
                      <w:rFonts w:hint="default" w:ascii="Times New Roman" w:hAnsi="Times New Roman" w:eastAsia="宋体" w:cs="Times New Roman"/>
                      <w:color w:val="auto"/>
                      <w:spacing w:val="3"/>
                      <w:sz w:val="21"/>
                      <w:szCs w:val="21"/>
                      <w:highlight w:val="none"/>
                    </w:rPr>
                    <w:t>。白色粉末，熔点为2852℃</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rPr>
                    <w:t>沸点为</w:t>
                  </w:r>
                  <w:r>
                    <w:rPr>
                      <w:rFonts w:hint="default" w:ascii="Times New Roman" w:hAnsi="Times New Roman" w:eastAsia="宋体" w:cs="Times New Roman"/>
                      <w:color w:val="auto"/>
                      <w:spacing w:val="4"/>
                      <w:sz w:val="21"/>
                      <w:szCs w:val="21"/>
                      <w:highlight w:val="none"/>
                    </w:rPr>
                    <w:t>3600℃</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相对密度为3.58</w:t>
                  </w:r>
                  <w:r>
                    <w:rPr>
                      <w:rFonts w:hint="eastAsia"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25℃</w:t>
                  </w:r>
                  <w:r>
                    <w:rPr>
                      <w:rFonts w:hint="eastAsia"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。溶于酸和铵盐溶液，不溶于酒精。</w:t>
                  </w:r>
                  <w:r>
                    <w:rPr>
                      <w:rFonts w:hint="default" w:ascii="Times New Roman" w:hAnsi="Times New Roman" w:eastAsia="宋体" w:cs="Times New Roman"/>
                      <w:color w:val="auto"/>
                      <w:spacing w:val="3"/>
                      <w:sz w:val="21"/>
                      <w:szCs w:val="21"/>
                      <w:highlight w:val="none"/>
                    </w:rPr>
                    <w:t>在水</w:t>
                  </w:r>
                  <w:r>
                    <w:rPr>
                      <w:rFonts w:hint="default" w:ascii="Times New Roman" w:hAnsi="Times New Roman" w:eastAsia="宋体" w:cs="Times New Roman"/>
                      <w:color w:val="auto"/>
                      <w:spacing w:val="4"/>
                      <w:sz w:val="21"/>
                      <w:szCs w:val="21"/>
                      <w:highlight w:val="none"/>
                    </w:rPr>
                    <w:t>中溶解度为0.00062g/100</w:t>
                  </w:r>
                  <w:r>
                    <w:rPr>
                      <w:rFonts w:hint="default" w:ascii="Times New Roman" w:hAnsi="Times New Roman" w:eastAsia="宋体" w:cs="Times New Roman"/>
                      <w:color w:val="auto"/>
                      <w:sz w:val="21"/>
                      <w:szCs w:val="21"/>
                      <w:highlight w:val="none"/>
                    </w:rPr>
                    <w:t>mL</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z w:val="21"/>
                      <w:szCs w:val="21"/>
                      <w:highlight w:val="none"/>
                    </w:rPr>
                    <w:t>CAS</w:t>
                  </w:r>
                  <w:r>
                    <w:rPr>
                      <w:rFonts w:hint="default" w:ascii="Times New Roman" w:hAnsi="Times New Roman" w:eastAsia="宋体" w:cs="Times New Roman"/>
                      <w:color w:val="auto"/>
                      <w:spacing w:val="4"/>
                      <w:sz w:val="21"/>
                      <w:szCs w:val="21"/>
                      <w:highlight w:val="none"/>
                    </w:rPr>
                    <w:t>：1309-48-4</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分子量40.304；</w:t>
                  </w:r>
                </w:p>
              </w:tc>
              <w:tc>
                <w:tcPr>
                  <w:tcW w:w="1159" w:type="dxa"/>
                  <w:shd w:val="clear" w:color="auto" w:fill="auto"/>
                  <w:vAlign w:val="center"/>
                </w:tcPr>
                <w:p w14:paraId="3A4D4E6E">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c>
                <w:tcPr>
                  <w:tcW w:w="1846" w:type="dxa"/>
                  <w:shd w:val="clear" w:color="auto" w:fill="auto"/>
                  <w:vAlign w:val="center"/>
                </w:tcPr>
                <w:p w14:paraId="1BEEAAA2">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r>
            <w:tr w14:paraId="5DE2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5EA5B46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钛白粉</w:t>
                  </w:r>
                </w:p>
              </w:tc>
              <w:tc>
                <w:tcPr>
                  <w:tcW w:w="4036" w:type="dxa"/>
                  <w:shd w:val="clear" w:color="auto" w:fill="auto"/>
                  <w:vAlign w:val="center"/>
                </w:tcPr>
                <w:p w14:paraId="6CB5A5EB">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钛白粉（</w:t>
                  </w:r>
                  <w:r>
                    <w:rPr>
                      <w:rFonts w:hint="default" w:ascii="Times New Roman" w:hAnsi="Times New Roman" w:eastAsia="宋体" w:cs="Times New Roman"/>
                      <w:color w:val="auto"/>
                      <w:sz w:val="21"/>
                      <w:szCs w:val="21"/>
                      <w:highlight w:val="none"/>
                    </w:rPr>
                    <w:t>titanium</w:t>
                  </w:r>
                  <w:r>
                    <w:rPr>
                      <w:rFonts w:hint="default" w:ascii="Times New Roman" w:hAnsi="Times New Roman" w:eastAsia="宋体" w:cs="Times New Roman"/>
                      <w:color w:val="auto"/>
                      <w:spacing w:val="11"/>
                      <w:sz w:val="21"/>
                      <w:szCs w:val="21"/>
                      <w:highlight w:val="none"/>
                    </w:rPr>
                    <w:t xml:space="preserve"> </w:t>
                  </w:r>
                  <w:r>
                    <w:rPr>
                      <w:rFonts w:hint="default" w:ascii="Times New Roman" w:hAnsi="Times New Roman" w:eastAsia="宋体" w:cs="Times New Roman"/>
                      <w:color w:val="auto"/>
                      <w:sz w:val="21"/>
                      <w:szCs w:val="21"/>
                      <w:highlight w:val="none"/>
                    </w:rPr>
                    <w:t>dioxide</w:t>
                  </w:r>
                  <w:r>
                    <w:rPr>
                      <w:rFonts w:hint="default" w:ascii="Times New Roman" w:hAnsi="Times New Roman" w:eastAsia="宋体" w:cs="Times New Roman"/>
                      <w:color w:val="auto"/>
                      <w:spacing w:val="16"/>
                      <w:sz w:val="21"/>
                      <w:szCs w:val="21"/>
                      <w:highlight w:val="none"/>
                    </w:rPr>
                    <w:t>），</w:t>
                  </w:r>
                  <w:r>
                    <w:rPr>
                      <w:rFonts w:hint="default" w:ascii="Times New Roman" w:hAnsi="Times New Roman" w:eastAsia="宋体" w:cs="Times New Roman"/>
                      <w:color w:val="auto"/>
                      <w:spacing w:val="11"/>
                      <w:sz w:val="21"/>
                      <w:szCs w:val="21"/>
                      <w:highlight w:val="none"/>
                    </w:rPr>
                    <w:t>是一种重要的无机化工颜料，主要成分二氧</w:t>
                  </w:r>
                  <w:r>
                    <w:rPr>
                      <w:rFonts w:hint="default" w:ascii="Times New Roman" w:hAnsi="Times New Roman" w:eastAsia="宋体" w:cs="Times New Roman"/>
                      <w:color w:val="auto"/>
                      <w:spacing w:val="5"/>
                      <w:sz w:val="21"/>
                      <w:szCs w:val="21"/>
                      <w:highlight w:val="none"/>
                    </w:rPr>
                    <w:t>化钛。金红石型二氧化钛的熔点为1850℃</w:t>
                  </w:r>
                  <w:r>
                    <w:rPr>
                      <w:rFonts w:hint="default" w:ascii="Times New Roman" w:hAnsi="Times New Roman" w:eastAsia="宋体" w:cs="Times New Roman"/>
                      <w:color w:val="auto"/>
                      <w:spacing w:val="4"/>
                      <w:sz w:val="21"/>
                      <w:szCs w:val="21"/>
                      <w:highlight w:val="none"/>
                    </w:rPr>
                    <w:t>、空气中的熔点为</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1830±15</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5"/>
                      <w:sz w:val="21"/>
                      <w:szCs w:val="21"/>
                      <w:highlight w:val="none"/>
                    </w:rPr>
                    <w:t>富氧中的熔点为1879℃</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熔点与二氧化钛的纯度有关。二氧化钛的化学</w:t>
                  </w:r>
                  <w:r>
                    <w:rPr>
                      <w:rFonts w:hint="default" w:ascii="Times New Roman" w:hAnsi="Times New Roman" w:eastAsia="宋体" w:cs="Times New Roman"/>
                      <w:color w:val="auto"/>
                      <w:spacing w:val="6"/>
                      <w:sz w:val="21"/>
                      <w:szCs w:val="21"/>
                      <w:highlight w:val="none"/>
                    </w:rPr>
                    <w:t>性质极为稳定，是一种偏酸性的两性氧化物。常温下几乎不与其他元素和</w:t>
                  </w:r>
                  <w:r>
                    <w:rPr>
                      <w:rFonts w:hint="default" w:ascii="Times New Roman" w:hAnsi="Times New Roman" w:eastAsia="宋体" w:cs="Times New Roman"/>
                      <w:color w:val="auto"/>
                      <w:spacing w:val="9"/>
                      <w:sz w:val="21"/>
                      <w:szCs w:val="21"/>
                      <w:highlight w:val="none"/>
                    </w:rPr>
                    <w:t>化合物反应，对氧、氨、氮、硫化氢、二氧化碳、二氧化硫都不起作用，</w:t>
                  </w:r>
                  <w:r>
                    <w:rPr>
                      <w:rFonts w:hint="default" w:ascii="Times New Roman" w:hAnsi="Times New Roman" w:eastAsia="宋体" w:cs="Times New Roman"/>
                      <w:color w:val="auto"/>
                      <w:spacing w:val="6"/>
                      <w:sz w:val="21"/>
                      <w:szCs w:val="21"/>
                      <w:highlight w:val="none"/>
                    </w:rPr>
                    <w:t>不溶于水、脂肪，也不溶于稀酸及无机酸、碱，只溶于氢氟酸。但在光作</w:t>
                  </w:r>
                  <w:r>
                    <w:rPr>
                      <w:rFonts w:hint="default" w:ascii="Times New Roman" w:hAnsi="Times New Roman" w:eastAsia="宋体" w:cs="Times New Roman"/>
                      <w:color w:val="auto"/>
                      <w:spacing w:val="9"/>
                      <w:sz w:val="21"/>
                      <w:szCs w:val="21"/>
                      <w:highlight w:val="none"/>
                    </w:rPr>
                    <w:t>用下，钛白粉可发生连续的氧化还原反应，具有光化学活性。</w:t>
                  </w:r>
                </w:p>
              </w:tc>
              <w:tc>
                <w:tcPr>
                  <w:tcW w:w="1159" w:type="dxa"/>
                  <w:shd w:val="clear" w:color="auto" w:fill="auto"/>
                  <w:vAlign w:val="center"/>
                </w:tcPr>
                <w:p w14:paraId="1EC5800F">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不燃</w:t>
                  </w:r>
                </w:p>
              </w:tc>
              <w:tc>
                <w:tcPr>
                  <w:tcW w:w="1846" w:type="dxa"/>
                  <w:shd w:val="clear" w:color="auto" w:fill="auto"/>
                  <w:vAlign w:val="center"/>
                </w:tcPr>
                <w:p w14:paraId="6462F825">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r>
            <w:tr w14:paraId="1E85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32A0904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氧化铈</w:t>
                  </w:r>
                </w:p>
              </w:tc>
              <w:tc>
                <w:tcPr>
                  <w:tcW w:w="4036" w:type="dxa"/>
                  <w:vAlign w:val="center"/>
                </w:tcPr>
                <w:p w14:paraId="0A3CCD18">
                  <w:pPr>
                    <w:keepNext w:val="0"/>
                    <w:keepLines w:val="0"/>
                    <w:pageBreakBefore w:val="0"/>
                    <w:widowControl/>
                    <w:kinsoku/>
                    <w:wordWrap/>
                    <w:overflowPunct/>
                    <w:topLinePunct/>
                    <w:autoSpaceDE w:val="0"/>
                    <w:autoSpaceDN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kern w:val="2"/>
                      <w:sz w:val="21"/>
                      <w:szCs w:val="21"/>
                      <w:highlight w:val="none"/>
                      <w:lang w:val="en-US" w:eastAsia="en-US" w:bidi="ar-SA"/>
                    </w:rPr>
                    <w:t>浅黄白色立方体粉末。相对密度7.132。熔点2600℃。不溶于水，不易溶于无机酸。需加还原剂协助溶解</w:t>
                  </w:r>
                  <w:r>
                    <w:rPr>
                      <w:rFonts w:hint="default" w:ascii="Times New Roman" w:hAnsi="Times New Roman" w:eastAsia="宋体" w:cs="Times New Roman"/>
                      <w:color w:val="auto"/>
                      <w:spacing w:val="6"/>
                      <w:kern w:val="2"/>
                      <w:sz w:val="21"/>
                      <w:szCs w:val="21"/>
                      <w:highlight w:val="none"/>
                      <w:lang w:val="en-US" w:eastAsia="zh-CN" w:bidi="ar-SA"/>
                    </w:rPr>
                    <w:t>（</w:t>
                  </w:r>
                  <w:r>
                    <w:rPr>
                      <w:rFonts w:hint="default" w:ascii="Times New Roman" w:hAnsi="Times New Roman" w:eastAsia="宋体" w:cs="Times New Roman"/>
                      <w:color w:val="auto"/>
                      <w:spacing w:val="6"/>
                      <w:kern w:val="2"/>
                      <w:sz w:val="21"/>
                      <w:szCs w:val="21"/>
                      <w:highlight w:val="none"/>
                      <w:lang w:val="en-US" w:eastAsia="en-US" w:bidi="ar-SA"/>
                    </w:rPr>
                    <w:t>如羟胺还原剂</w:t>
                  </w:r>
                  <w:r>
                    <w:rPr>
                      <w:rFonts w:hint="default" w:ascii="Times New Roman" w:hAnsi="Times New Roman" w:eastAsia="宋体" w:cs="Times New Roman"/>
                      <w:color w:val="auto"/>
                      <w:spacing w:val="6"/>
                      <w:kern w:val="2"/>
                      <w:sz w:val="21"/>
                      <w:szCs w:val="21"/>
                      <w:highlight w:val="none"/>
                      <w:lang w:val="en-US" w:eastAsia="zh-CN" w:bidi="ar-SA"/>
                    </w:rPr>
                    <w:t>）。</w:t>
                  </w:r>
                </w:p>
              </w:tc>
              <w:tc>
                <w:tcPr>
                  <w:tcW w:w="1159" w:type="dxa"/>
                  <w:vAlign w:val="center"/>
                </w:tcPr>
                <w:p w14:paraId="23BA4811">
                  <w:pPr>
                    <w:keepNext w:val="0"/>
                    <w:keepLines w:val="0"/>
                    <w:pageBreakBefore w:val="0"/>
                    <w:widowControl/>
                    <w:kinsoku/>
                    <w:wordWrap/>
                    <w:overflowPunct/>
                    <w:topLinePunct/>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w:t>
                  </w:r>
                </w:p>
              </w:tc>
              <w:tc>
                <w:tcPr>
                  <w:tcW w:w="1846" w:type="dxa"/>
                  <w:vAlign w:val="center"/>
                </w:tcPr>
                <w:p w14:paraId="00CB4649">
                  <w:pPr>
                    <w:keepNext w:val="0"/>
                    <w:keepLines w:val="0"/>
                    <w:pageBreakBefore w:val="0"/>
                    <w:widowControl/>
                    <w:kinsoku/>
                    <w:wordWrap/>
                    <w:overflowPunct/>
                    <w:topLinePunct/>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w:t>
                  </w:r>
                </w:p>
              </w:tc>
            </w:tr>
            <w:tr w14:paraId="7158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4F98CCF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金刚砂</w:t>
                  </w:r>
                </w:p>
              </w:tc>
              <w:tc>
                <w:tcPr>
                  <w:tcW w:w="4036" w:type="dxa"/>
                  <w:shd w:val="clear" w:color="auto" w:fill="auto"/>
                  <w:vAlign w:val="center"/>
                </w:tcPr>
                <w:p w14:paraId="5A1EAA98">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rPr>
                    <w:t>碳化硅又称金刚砂或耐火砂。碳化硅是用石英砂、石油焦（或煤焦）、木屑（生产绿色碳化硅时需要加食盐）等原料在电阻炉内经高温冶炼而成。我国工业生产的碳化硅分为黑色碳化硅和绿色碳化硅两种，均为六方晶体，比重为3.20～3.25，显微硬度为2840～3320kg/mm</w:t>
                  </w:r>
                  <w:r>
                    <w:rPr>
                      <w:rFonts w:hint="default" w:ascii="Times New Roman" w:hAnsi="Times New Roman" w:eastAsia="宋体" w:cs="Times New Roman"/>
                      <w:color w:val="auto"/>
                      <w:spacing w:val="6"/>
                      <w:sz w:val="21"/>
                      <w:szCs w:val="21"/>
                      <w:highlight w:val="none"/>
                      <w:vertAlign w:val="superscript"/>
                      <w:lang w:val="en-US" w:eastAsia="zh-CN"/>
                    </w:rPr>
                    <w:t>2</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莫</w:t>
                  </w:r>
                  <w:r>
                    <w:rPr>
                      <w:rFonts w:hint="default" w:ascii="Times New Roman" w:hAnsi="Times New Roman" w:eastAsia="宋体" w:cs="Times New Roman"/>
                      <w:color w:val="auto"/>
                      <w:spacing w:val="6"/>
                      <w:sz w:val="21"/>
                      <w:szCs w:val="21"/>
                      <w:highlight w:val="none"/>
                      <w:lang w:eastAsia="zh-CN"/>
                    </w:rPr>
                    <w:t>氏硬度</w:t>
                  </w:r>
                  <w:r>
                    <w:rPr>
                      <w:rFonts w:hint="default" w:ascii="Times New Roman" w:hAnsi="Times New Roman" w:eastAsia="宋体" w:cs="Times New Roman"/>
                      <w:color w:val="auto"/>
                      <w:spacing w:val="6"/>
                      <w:sz w:val="21"/>
                      <w:szCs w:val="21"/>
                      <w:highlight w:val="none"/>
                    </w:rPr>
                    <w:t>是9.5。</w:t>
                  </w:r>
                </w:p>
              </w:tc>
              <w:tc>
                <w:tcPr>
                  <w:tcW w:w="1159" w:type="dxa"/>
                  <w:shd w:val="clear" w:color="auto" w:fill="auto"/>
                  <w:vAlign w:val="center"/>
                </w:tcPr>
                <w:p w14:paraId="4351003A">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w:t>
                  </w:r>
                </w:p>
              </w:tc>
              <w:tc>
                <w:tcPr>
                  <w:tcW w:w="1846" w:type="dxa"/>
                  <w:shd w:val="clear" w:color="auto" w:fill="auto"/>
                  <w:vAlign w:val="center"/>
                </w:tcPr>
                <w:p w14:paraId="05F5CDE9">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r w14:paraId="72A4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08F3886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黏胶粉</w:t>
                  </w:r>
                </w:p>
              </w:tc>
              <w:tc>
                <w:tcPr>
                  <w:tcW w:w="4036" w:type="dxa"/>
                  <w:shd w:val="clear" w:color="auto" w:fill="auto"/>
                  <w:vAlign w:val="center"/>
                </w:tcPr>
                <w:p w14:paraId="4CFA0DE1">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黏胶粉</w:t>
                  </w:r>
                  <w:r>
                    <w:rPr>
                      <w:rFonts w:hint="default" w:ascii="Times New Roman" w:hAnsi="Times New Roman" w:eastAsia="宋体" w:cs="Times New Roman"/>
                      <w:color w:val="auto"/>
                      <w:spacing w:val="7"/>
                      <w:sz w:val="21"/>
                      <w:szCs w:val="21"/>
                      <w:highlight w:val="none"/>
                    </w:rPr>
                    <w:t>主要利用松香树脂、聚酯树脂、滑石粉、按1:2:3.7的比例混合后粉碎生产而成</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lang w:val="en-US" w:eastAsia="zh-CN"/>
                    </w:rPr>
                    <w:t>也叫虫胶</w:t>
                  </w:r>
                  <w:r>
                    <w:rPr>
                      <w:rFonts w:hint="default"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，产品呈白色或淡黄色粉末，是一种干粉胶，具</w:t>
                  </w:r>
                  <w:r>
                    <w:rPr>
                      <w:rFonts w:hint="default" w:ascii="Times New Roman" w:hAnsi="Times New Roman" w:eastAsia="宋体" w:cs="Times New Roman"/>
                      <w:color w:val="auto"/>
                      <w:spacing w:val="6"/>
                      <w:sz w:val="21"/>
                      <w:szCs w:val="21"/>
                      <w:highlight w:val="none"/>
                    </w:rPr>
                    <w:t>有黏度高、不</w:t>
                  </w:r>
                  <w:r>
                    <w:rPr>
                      <w:rFonts w:hint="default" w:ascii="Times New Roman" w:hAnsi="Times New Roman" w:eastAsia="宋体" w:cs="Times New Roman"/>
                      <w:color w:val="auto"/>
                      <w:spacing w:val="9"/>
                      <w:sz w:val="21"/>
                      <w:szCs w:val="21"/>
                      <w:highlight w:val="none"/>
                    </w:rPr>
                    <w:t>含任何有害物质、无碱性、性能稳定等特点。</w:t>
                  </w:r>
                </w:p>
              </w:tc>
              <w:tc>
                <w:tcPr>
                  <w:tcW w:w="1159" w:type="dxa"/>
                  <w:shd w:val="clear" w:color="auto" w:fill="auto"/>
                  <w:vAlign w:val="center"/>
                </w:tcPr>
                <w:p w14:paraId="7CC57778">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c>
                <w:tcPr>
                  <w:tcW w:w="1846" w:type="dxa"/>
                  <w:shd w:val="clear" w:color="auto" w:fill="auto"/>
                  <w:vAlign w:val="center"/>
                </w:tcPr>
                <w:p w14:paraId="7A4715A3">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r w14:paraId="1F00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2EFA8A6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rPr>
                    <w:t>片碱NaOH</w:t>
                  </w:r>
                </w:p>
              </w:tc>
              <w:tc>
                <w:tcPr>
                  <w:tcW w:w="4036" w:type="dxa"/>
                  <w:shd w:val="clear" w:color="auto" w:fill="auto"/>
                  <w:vAlign w:val="center"/>
                </w:tcPr>
                <w:p w14:paraId="2E36946C">
                  <w:pPr>
                    <w:pStyle w:val="57"/>
                    <w:keepNext w:val="0"/>
                    <w:keepLines w:val="0"/>
                    <w:pageBreakBefore w:val="0"/>
                    <w:kinsoku/>
                    <w:wordWrap/>
                    <w:overflowPunct/>
                    <w:topLinePunct/>
                    <w:autoSpaceDE w:val="0"/>
                    <w:bidi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白色半透明块状或粒状固体，无臭。熔点318.4℃</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沸点1390℃</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相</w:t>
                  </w:r>
                  <w:r>
                    <w:rPr>
                      <w:rFonts w:hint="default" w:ascii="Times New Roman" w:hAnsi="Times New Roman" w:eastAsia="宋体" w:cs="Times New Roman"/>
                      <w:color w:val="auto"/>
                      <w:sz w:val="21"/>
                      <w:szCs w:val="21"/>
                      <w:highlight w:val="none"/>
                    </w:rPr>
                    <w:t>对密</w:t>
                  </w:r>
                  <w:r>
                    <w:rPr>
                      <w:rFonts w:hint="default" w:ascii="Times New Roman" w:hAnsi="Times New Roman" w:eastAsia="宋体" w:cs="Times New Roman"/>
                      <w:color w:val="auto"/>
                      <w:spacing w:val="7"/>
                      <w:sz w:val="21"/>
                      <w:szCs w:val="21"/>
                      <w:highlight w:val="none"/>
                    </w:rPr>
                    <w:t>度2.13。易溶于水、乙醇和甘油，不溶于乙醚、丙酮。在水中的溶解度：</w:t>
                  </w:r>
                  <w:r>
                    <w:rPr>
                      <w:rFonts w:hint="default" w:ascii="Times New Roman" w:hAnsi="Times New Roman" w:eastAsia="宋体" w:cs="Times New Roman"/>
                      <w:color w:val="auto"/>
                      <w:spacing w:val="6"/>
                      <w:sz w:val="21"/>
                      <w:szCs w:val="21"/>
                      <w:highlight w:val="none"/>
                    </w:rPr>
                    <w:t>0℃为42%，20℃为109%，100℃为347%</w:t>
                  </w:r>
                  <w:r>
                    <w:rPr>
                      <w:rFonts w:hint="default" w:ascii="Times New Roman" w:hAnsi="Times New Roman" w:eastAsia="宋体" w:cs="Times New Roman"/>
                      <w:color w:val="auto"/>
                      <w:spacing w:val="5"/>
                      <w:sz w:val="21"/>
                      <w:szCs w:val="21"/>
                      <w:highlight w:val="none"/>
                    </w:rPr>
                    <w:t>。溶于水时，放出大量的热。</w:t>
                  </w:r>
                  <w:r>
                    <w:rPr>
                      <w:rFonts w:hint="default" w:ascii="Times New Roman" w:hAnsi="Times New Roman" w:eastAsia="宋体" w:cs="Times New Roman"/>
                      <w:color w:val="auto"/>
                      <w:spacing w:val="8"/>
                      <w:sz w:val="21"/>
                      <w:szCs w:val="21"/>
                      <w:highlight w:val="none"/>
                    </w:rPr>
                    <w:t>在空气中极易潮解，并吸收</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pacing w:val="8"/>
                      <w:position w:val="-1"/>
                      <w:sz w:val="21"/>
                      <w:szCs w:val="21"/>
                      <w:highlight w:val="none"/>
                      <w:vertAlign w:val="subscript"/>
                    </w:rPr>
                    <w:t>2</w:t>
                  </w:r>
                  <w:r>
                    <w:rPr>
                      <w:rFonts w:hint="default" w:ascii="Times New Roman" w:hAnsi="Times New Roman" w:eastAsia="宋体" w:cs="Times New Roman"/>
                      <w:color w:val="auto"/>
                      <w:spacing w:val="8"/>
                      <w:sz w:val="21"/>
                      <w:szCs w:val="21"/>
                      <w:highlight w:val="none"/>
                    </w:rPr>
                    <w:t>生成碳酸钠。有强碱性和很强</w:t>
                  </w:r>
                  <w:r>
                    <w:rPr>
                      <w:rFonts w:hint="default" w:ascii="Times New Roman" w:hAnsi="Times New Roman" w:eastAsia="宋体" w:cs="Times New Roman"/>
                      <w:color w:val="auto"/>
                      <w:spacing w:val="7"/>
                      <w:sz w:val="21"/>
                      <w:szCs w:val="21"/>
                      <w:highlight w:val="none"/>
                    </w:rPr>
                    <w:t>的腐蚀性。</w:t>
                  </w:r>
                </w:p>
              </w:tc>
              <w:tc>
                <w:tcPr>
                  <w:tcW w:w="1159" w:type="dxa"/>
                  <w:shd w:val="clear" w:color="auto" w:fill="auto"/>
                  <w:vAlign w:val="center"/>
                </w:tcPr>
                <w:p w14:paraId="2A570B50">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不会燃烧，遇水和水蒸气大量放</w:t>
                  </w:r>
                  <w:r>
                    <w:rPr>
                      <w:rFonts w:hint="default" w:ascii="Times New Roman" w:hAnsi="Times New Roman" w:eastAsia="宋体" w:cs="Times New Roman"/>
                      <w:color w:val="auto"/>
                      <w:spacing w:val="7"/>
                      <w:sz w:val="21"/>
                      <w:szCs w:val="21"/>
                      <w:highlight w:val="none"/>
                    </w:rPr>
                    <w:t>热，形成腐蚀性溶液。</w:t>
                  </w:r>
                </w:p>
              </w:tc>
              <w:tc>
                <w:tcPr>
                  <w:tcW w:w="1846" w:type="dxa"/>
                  <w:shd w:val="clear" w:color="auto" w:fill="auto"/>
                  <w:vAlign w:val="center"/>
                </w:tcPr>
                <w:p w14:paraId="6A07F69F">
                  <w:pPr>
                    <w:pStyle w:val="57"/>
                    <w:keepNext w:val="0"/>
                    <w:keepLines w:val="0"/>
                    <w:pageBreakBefore w:val="0"/>
                    <w:kinsoku/>
                    <w:wordWrap/>
                    <w:overflowPunct/>
                    <w:topLinePunct/>
                    <w:autoSpaceDE w:val="0"/>
                    <w:bidi w:val="0"/>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有毒，1.95g可使人致死，兔经口</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2"/>
                      <w:sz w:val="21"/>
                      <w:szCs w:val="21"/>
                      <w:highlight w:val="none"/>
                    </w:rPr>
                    <w:t>50：500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LD</w:t>
                  </w:r>
                  <w:r>
                    <w:rPr>
                      <w:rFonts w:hint="default" w:ascii="Times New Roman" w:hAnsi="Times New Roman" w:eastAsia="宋体" w:cs="Times New Roman"/>
                      <w:color w:val="auto"/>
                      <w:spacing w:val="2"/>
                      <w:sz w:val="21"/>
                      <w:szCs w:val="21"/>
                      <w:highlight w:val="none"/>
                    </w:rPr>
                    <w:t>50：</w:t>
                  </w:r>
                  <w:r>
                    <w:rPr>
                      <w:rFonts w:hint="default" w:ascii="Times New Roman" w:hAnsi="Times New Roman" w:eastAsia="宋体" w:cs="Times New Roman"/>
                      <w:color w:val="auto"/>
                      <w:spacing w:val="8"/>
                      <w:sz w:val="21"/>
                      <w:szCs w:val="21"/>
                      <w:highlight w:val="none"/>
                    </w:rPr>
                    <w:t>40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8"/>
                      <w:sz w:val="21"/>
                      <w:szCs w:val="21"/>
                      <w:highlight w:val="none"/>
                    </w:rPr>
                    <w:t>/</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spacing w:val="8"/>
                      <w:sz w:val="21"/>
                      <w:szCs w:val="21"/>
                      <w:highlight w:val="none"/>
                    </w:rPr>
                    <w:t>（小鼠腹腔）</w:t>
                  </w:r>
                </w:p>
              </w:tc>
            </w:tr>
            <w:tr w14:paraId="1CB1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4649D27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lang w:eastAsia="zh-CN"/>
                    </w:rPr>
                    <w:t>聚氯乙烯</w:t>
                  </w:r>
                  <w:r>
                    <w:rPr>
                      <w:rFonts w:hint="eastAsia" w:ascii="Times New Roman" w:hAnsi="Times New Roman" w:eastAsia="宋体" w:cs="Times New Roman"/>
                      <w:color w:val="auto"/>
                      <w:spacing w:val="-11"/>
                      <w:sz w:val="21"/>
                      <w:szCs w:val="21"/>
                      <w:highlight w:val="none"/>
                      <w:lang w:val="en-US" w:eastAsia="zh-CN"/>
                    </w:rPr>
                    <w:t>树脂</w:t>
                  </w:r>
                </w:p>
              </w:tc>
              <w:tc>
                <w:tcPr>
                  <w:tcW w:w="4036" w:type="dxa"/>
                  <w:shd w:val="clear" w:color="auto" w:fill="auto"/>
                  <w:vAlign w:val="center"/>
                </w:tcPr>
                <w:p w14:paraId="4CB999D9">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聚氯乙烯，简称</w:t>
                  </w:r>
                  <w:r>
                    <w:rPr>
                      <w:rFonts w:hint="default" w:ascii="Times New Roman" w:hAnsi="Times New Roman" w:eastAsia="宋体" w:cs="Times New Roman"/>
                      <w:color w:val="auto"/>
                      <w:sz w:val="21"/>
                      <w:szCs w:val="21"/>
                      <w:highlight w:val="none"/>
                    </w:rPr>
                    <w:t>PVC</w:t>
                  </w:r>
                  <w:r>
                    <w:rPr>
                      <w:rFonts w:hint="default" w:ascii="Times New Roman" w:hAnsi="Times New Roman" w:eastAsia="宋体" w:cs="Times New Roman"/>
                      <w:color w:val="auto"/>
                      <w:spacing w:val="9"/>
                      <w:sz w:val="21"/>
                      <w:szCs w:val="21"/>
                      <w:highlight w:val="none"/>
                    </w:rPr>
                    <w:t>，是氯乙烯单体，在过氧化物、偶氮化</w:t>
                  </w:r>
                  <w:r>
                    <w:rPr>
                      <w:rFonts w:hint="default" w:ascii="Times New Roman" w:hAnsi="Times New Roman" w:eastAsia="宋体" w:cs="Times New Roman"/>
                      <w:color w:val="auto"/>
                      <w:spacing w:val="8"/>
                      <w:sz w:val="21"/>
                      <w:szCs w:val="21"/>
                      <w:highlight w:val="none"/>
                    </w:rPr>
                    <w:t>合物等引发</w:t>
                  </w:r>
                  <w:r>
                    <w:rPr>
                      <w:rFonts w:hint="default" w:ascii="Times New Roman" w:hAnsi="Times New Roman" w:eastAsia="宋体" w:cs="Times New Roman"/>
                      <w:color w:val="auto"/>
                      <w:spacing w:val="10"/>
                      <w:sz w:val="21"/>
                      <w:szCs w:val="21"/>
                      <w:highlight w:val="none"/>
                    </w:rPr>
                    <w:t>剂；或在光、热作用下按自由基聚合反应机理聚合而成的聚合物。</w:t>
                  </w:r>
                  <w:r>
                    <w:rPr>
                      <w:rFonts w:hint="default" w:ascii="Times New Roman" w:hAnsi="Times New Roman" w:eastAsia="宋体" w:cs="Times New Roman"/>
                      <w:color w:val="auto"/>
                      <w:sz w:val="21"/>
                      <w:szCs w:val="21"/>
                      <w:highlight w:val="none"/>
                    </w:rPr>
                    <w:t>PVC</w:t>
                  </w:r>
                  <w:r>
                    <w:rPr>
                      <w:rFonts w:hint="default" w:ascii="Times New Roman" w:hAnsi="Times New Roman" w:eastAsia="宋体" w:cs="Times New Roman"/>
                      <w:color w:val="auto"/>
                      <w:spacing w:val="7"/>
                      <w:sz w:val="21"/>
                      <w:szCs w:val="21"/>
                      <w:highlight w:val="none"/>
                    </w:rPr>
                    <w:t>为无定形结构的白色粉末，支化度较小，相对密度1.4左右，</w:t>
                  </w:r>
                  <w:r>
                    <w:rPr>
                      <w:rFonts w:hint="default" w:ascii="Times New Roman" w:hAnsi="Times New Roman" w:eastAsia="宋体" w:cs="Times New Roman"/>
                      <w:color w:val="auto"/>
                      <w:spacing w:val="6"/>
                      <w:sz w:val="21"/>
                      <w:szCs w:val="21"/>
                      <w:highlight w:val="none"/>
                    </w:rPr>
                    <w:t>玻璃化温度77~90℃</w:t>
                  </w:r>
                  <w:r>
                    <w:rPr>
                      <w:rFonts w:hint="default" w:ascii="Times New Roman" w:hAnsi="Times New Roman" w:eastAsia="宋体" w:cs="Times New Roman"/>
                      <w:color w:val="auto"/>
                      <w:spacing w:val="-23"/>
                      <w:sz w:val="21"/>
                      <w:szCs w:val="21"/>
                      <w:highlight w:val="none"/>
                      <w:lang w:eastAsia="zh-CN"/>
                    </w:rPr>
                    <w:t>，</w:t>
                  </w:r>
                  <w:r>
                    <w:rPr>
                      <w:rFonts w:hint="default" w:ascii="Times New Roman" w:hAnsi="Times New Roman" w:eastAsia="宋体" w:cs="Times New Roman"/>
                      <w:color w:val="auto"/>
                      <w:spacing w:val="6"/>
                      <w:sz w:val="21"/>
                      <w:szCs w:val="21"/>
                      <w:highlight w:val="none"/>
                    </w:rPr>
                    <w:t>170℃左右开始分解，对光和</w:t>
                  </w:r>
                  <w:r>
                    <w:rPr>
                      <w:rFonts w:hint="default" w:ascii="Times New Roman" w:hAnsi="Times New Roman" w:eastAsia="宋体" w:cs="Times New Roman"/>
                      <w:color w:val="auto"/>
                      <w:spacing w:val="5"/>
                      <w:sz w:val="21"/>
                      <w:szCs w:val="21"/>
                      <w:highlight w:val="none"/>
                    </w:rPr>
                    <w:t>热的稳定性差，物理机械性能也</w:t>
                  </w:r>
                  <w:r>
                    <w:rPr>
                      <w:rFonts w:hint="default" w:ascii="Times New Roman" w:hAnsi="Times New Roman" w:eastAsia="宋体" w:cs="Times New Roman"/>
                      <w:color w:val="auto"/>
                      <w:spacing w:val="9"/>
                      <w:sz w:val="21"/>
                      <w:szCs w:val="21"/>
                      <w:highlight w:val="none"/>
                    </w:rPr>
                    <w:t>迅速下降，在实际应用中必须加入稳定剂以提高对热和光的稳定性。</w:t>
                  </w:r>
                </w:p>
              </w:tc>
              <w:tc>
                <w:tcPr>
                  <w:tcW w:w="1159" w:type="dxa"/>
                  <w:shd w:val="clear" w:color="auto" w:fill="auto"/>
                  <w:vAlign w:val="center"/>
                </w:tcPr>
                <w:p w14:paraId="4C3B1BCE">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可燃</w:t>
                  </w:r>
                </w:p>
              </w:tc>
              <w:tc>
                <w:tcPr>
                  <w:tcW w:w="1846" w:type="dxa"/>
                  <w:shd w:val="clear" w:color="auto" w:fill="auto"/>
                  <w:vAlign w:val="center"/>
                </w:tcPr>
                <w:p w14:paraId="7AF0EC9A">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r w14:paraId="3750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1150880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eastAsia="zh-CN"/>
                    </w:rPr>
                    <w:t>甲基锡稳定剂（</w:t>
                  </w:r>
                  <w:r>
                    <w:rPr>
                      <w:rFonts w:hint="default" w:ascii="Times New Roman" w:hAnsi="Times New Roman" w:eastAsia="宋体" w:cs="Times New Roman"/>
                      <w:color w:val="auto"/>
                      <w:sz w:val="21"/>
                      <w:szCs w:val="21"/>
                      <w:highlight w:val="none"/>
                      <w:lang w:eastAsia="zh-CN"/>
                    </w:rPr>
                    <w:t>RS</w:t>
                  </w:r>
                  <w:r>
                    <w:rPr>
                      <w:rFonts w:hint="default" w:ascii="Times New Roman" w:hAnsi="Times New Roman" w:eastAsia="宋体" w:cs="Times New Roman"/>
                      <w:color w:val="auto"/>
                      <w:spacing w:val="3"/>
                      <w:sz w:val="21"/>
                      <w:szCs w:val="21"/>
                      <w:highlight w:val="none"/>
                      <w:lang w:eastAsia="zh-CN"/>
                    </w:rPr>
                    <w:t>-181）</w:t>
                  </w:r>
                </w:p>
              </w:tc>
              <w:tc>
                <w:tcPr>
                  <w:tcW w:w="4036" w:type="dxa"/>
                  <w:shd w:val="clear" w:color="auto" w:fill="auto"/>
                  <w:vAlign w:val="center"/>
                </w:tcPr>
                <w:p w14:paraId="3A056167">
                  <w:pPr>
                    <w:pStyle w:val="57"/>
                    <w:keepNext w:val="0"/>
                    <w:keepLines w:val="0"/>
                    <w:pageBreakBefore w:val="0"/>
                    <w:kinsoku/>
                    <w:wordWrap/>
                    <w:overflowPunct/>
                    <w:topLinePunct/>
                    <w:autoSpaceDE w:val="0"/>
                    <w:bidi w:val="0"/>
                    <w:spacing w:line="240" w:lineRule="auto"/>
                    <w:ind w:left="0" w:right="0" w:firstLine="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position w:val="1"/>
                      <w:sz w:val="21"/>
                      <w:szCs w:val="21"/>
                      <w:highlight w:val="none"/>
                    </w:rPr>
                    <w:t>甲基锡稳定剂（简称181）是一种</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"https://baike.baidu.com/item/%E5%A1%91%E6%96%99%E7%83%AD%E7%A8%B3%E5%AE%9A%E5%89%82/4281226?fromModule=lemma_inlink"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3"/>
                      <w:position w:val="1"/>
                      <w:sz w:val="21"/>
                      <w:szCs w:val="21"/>
                      <w:highlight w:val="none"/>
                    </w:rPr>
                    <w:t>塑料热稳定剂</w:t>
                  </w:r>
                  <w:r>
                    <w:rPr>
                      <w:rFonts w:hint="default" w:ascii="Times New Roman" w:hAnsi="Times New Roman" w:eastAsia="宋体" w:cs="Times New Roman"/>
                      <w:color w:val="auto"/>
                      <w:spacing w:val="3"/>
                      <w:position w:val="1"/>
                      <w:sz w:val="21"/>
                      <w:szCs w:val="21"/>
                      <w:highlight w:val="none"/>
                    </w:rPr>
                    <w:fldChar w:fldCharType="end"/>
                  </w:r>
                  <w:r>
                    <w:rPr>
                      <w:rFonts w:hint="default" w:ascii="Times New Roman" w:hAnsi="Times New Roman" w:eastAsia="宋体" w:cs="Times New Roman"/>
                      <w:color w:val="auto"/>
                      <w:spacing w:val="3"/>
                      <w:position w:val="1"/>
                      <w:sz w:val="21"/>
                      <w:szCs w:val="21"/>
                      <w:highlight w:val="none"/>
                    </w:rPr>
                    <w:t>，对硬质</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"https://baike.baidu.com/item/%E8%81%9A%E6%B0%AF%E4%B9%99%E7%83%AF/1688898?fromModule=lemma_inlink"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3"/>
                      <w:position w:val="1"/>
                      <w:sz w:val="21"/>
                      <w:szCs w:val="21"/>
                      <w:highlight w:val="none"/>
                    </w:rPr>
                    <w:t>聚氯乙烯</w:t>
                  </w:r>
                  <w:r>
                    <w:rPr>
                      <w:rFonts w:hint="default" w:ascii="Times New Roman" w:hAnsi="Times New Roman" w:eastAsia="宋体" w:cs="Times New Roman"/>
                      <w:color w:val="auto"/>
                      <w:spacing w:val="3"/>
                      <w:position w:val="1"/>
                      <w:sz w:val="21"/>
                      <w:szCs w:val="21"/>
                      <w:highlight w:val="none"/>
                    </w:rPr>
                    <w:fldChar w:fldCharType="end"/>
                  </w:r>
                  <w:r>
                    <w:rPr>
                      <w:rFonts w:hint="default" w:ascii="Times New Roman" w:hAnsi="Times New Roman" w:eastAsia="宋体" w:cs="Times New Roman"/>
                      <w:color w:val="auto"/>
                      <w:spacing w:val="3"/>
                      <w:position w:val="1"/>
                      <w:sz w:val="21"/>
                      <w:szCs w:val="21"/>
                      <w:highlight w:val="none"/>
                    </w:rPr>
                    <w:t>（</w:t>
                  </w:r>
                  <w:r>
                    <w:rPr>
                      <w:rFonts w:hint="default" w:ascii="Times New Roman" w:hAnsi="Times New Roman" w:eastAsia="宋体" w:cs="Times New Roman"/>
                      <w:color w:val="auto"/>
                      <w:position w:val="1"/>
                      <w:sz w:val="21"/>
                      <w:szCs w:val="21"/>
                      <w:highlight w:val="none"/>
                    </w:rPr>
                    <w:t>PVC</w:t>
                  </w:r>
                  <w:r>
                    <w:rPr>
                      <w:rFonts w:hint="default" w:ascii="Times New Roman" w:hAnsi="Times New Roman" w:eastAsia="宋体" w:cs="Times New Roman"/>
                      <w:color w:val="auto"/>
                      <w:spacing w:val="3"/>
                      <w:position w:val="1"/>
                      <w:sz w:val="21"/>
                      <w:szCs w:val="21"/>
                      <w:highlight w:val="none"/>
                    </w:rPr>
                    <w:t>）</w:t>
                  </w:r>
                  <w:r>
                    <w:rPr>
                      <w:rFonts w:hint="default" w:ascii="Times New Roman" w:hAnsi="Times New Roman" w:eastAsia="宋体" w:cs="Times New Roman"/>
                      <w:color w:val="auto"/>
                      <w:spacing w:val="8"/>
                      <w:position w:val="1"/>
                      <w:sz w:val="21"/>
                      <w:szCs w:val="21"/>
                      <w:highlight w:val="none"/>
                    </w:rPr>
                    <w:t>的压延、</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"https://baike.baidu.com/item/%E6%8C%A4%E5%A1%91/3359262?fromModule=lemma_inlink"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8"/>
                      <w:position w:val="1"/>
                      <w:sz w:val="21"/>
                      <w:szCs w:val="21"/>
                      <w:highlight w:val="none"/>
                    </w:rPr>
                    <w:t>挤塑</w:t>
                  </w:r>
                  <w:r>
                    <w:rPr>
                      <w:rFonts w:hint="default" w:ascii="Times New Roman" w:hAnsi="Times New Roman" w:eastAsia="宋体" w:cs="Times New Roman"/>
                      <w:color w:val="auto"/>
                      <w:spacing w:val="8"/>
                      <w:position w:val="1"/>
                      <w:sz w:val="21"/>
                      <w:szCs w:val="21"/>
                      <w:highlight w:val="none"/>
                    </w:rPr>
                    <w:fldChar w:fldCharType="end"/>
                  </w:r>
                  <w:r>
                    <w:rPr>
                      <w:rFonts w:hint="default" w:ascii="Times New Roman" w:hAnsi="Times New Roman" w:eastAsia="宋体" w:cs="Times New Roman"/>
                      <w:color w:val="auto"/>
                      <w:spacing w:val="8"/>
                      <w:position w:val="1"/>
                      <w:sz w:val="21"/>
                      <w:szCs w:val="21"/>
                      <w:highlight w:val="none"/>
                    </w:rPr>
                    <w:t>、注塑和吹塑成型都非常有效，</w:t>
                  </w:r>
                  <w:r>
                    <w:rPr>
                      <w:rFonts w:hint="default" w:ascii="Times New Roman" w:hAnsi="Times New Roman" w:eastAsia="宋体" w:cs="Times New Roman"/>
                      <w:color w:val="auto"/>
                      <w:position w:val="1"/>
                      <w:sz w:val="21"/>
                      <w:szCs w:val="21"/>
                      <w:highlight w:val="none"/>
                    </w:rPr>
                    <w:t>CAS</w:t>
                  </w:r>
                  <w:r>
                    <w:rPr>
                      <w:rFonts w:hint="default" w:ascii="Times New Roman" w:hAnsi="Times New Roman" w:eastAsia="宋体" w:cs="Times New Roman"/>
                      <w:color w:val="auto"/>
                      <w:spacing w:val="8"/>
                      <w:position w:val="1"/>
                      <w:sz w:val="21"/>
                      <w:szCs w:val="21"/>
                      <w:highlight w:val="none"/>
                    </w:rPr>
                    <w:t>:57583-35-4；化学</w:t>
                  </w:r>
                  <w:r>
                    <w:rPr>
                      <w:rFonts w:hint="default" w:ascii="Times New Roman" w:hAnsi="Times New Roman" w:eastAsia="宋体" w:cs="Times New Roman"/>
                      <w:color w:val="auto"/>
                      <w:spacing w:val="4"/>
                      <w:sz w:val="21"/>
                      <w:szCs w:val="21"/>
                      <w:highlight w:val="none"/>
                    </w:rPr>
                    <w:t>式</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4"/>
                      <w:sz w:val="21"/>
                      <w:szCs w:val="21"/>
                      <w:highlight w:val="none"/>
                    </w:rPr>
                    <w:t>C</w:t>
                  </w:r>
                  <w:r>
                    <w:rPr>
                      <w:rFonts w:hint="default" w:ascii="Times New Roman" w:hAnsi="Times New Roman" w:eastAsia="宋体" w:cs="Times New Roman"/>
                      <w:color w:val="auto"/>
                      <w:spacing w:val="4"/>
                      <w:position w:val="-1"/>
                      <w:sz w:val="21"/>
                      <w:szCs w:val="21"/>
                      <w:highlight w:val="none"/>
                      <w:vertAlign w:val="subscript"/>
                    </w:rPr>
                    <w:t>22</w:t>
                  </w:r>
                  <w:r>
                    <w:rPr>
                      <w:rFonts w:hint="default" w:ascii="Times New Roman" w:hAnsi="Times New Roman" w:eastAsia="宋体" w:cs="Times New Roman"/>
                      <w:color w:val="auto"/>
                      <w:spacing w:val="4"/>
                      <w:sz w:val="21"/>
                      <w:szCs w:val="21"/>
                      <w:highlight w:val="none"/>
                    </w:rPr>
                    <w:t>H</w:t>
                  </w:r>
                  <w:r>
                    <w:rPr>
                      <w:rFonts w:hint="default" w:ascii="Times New Roman" w:hAnsi="Times New Roman" w:eastAsia="宋体" w:cs="Times New Roman"/>
                      <w:color w:val="auto"/>
                      <w:spacing w:val="4"/>
                      <w:position w:val="-1"/>
                      <w:sz w:val="21"/>
                      <w:szCs w:val="21"/>
                      <w:highlight w:val="none"/>
                      <w:vertAlign w:val="subscript"/>
                    </w:rPr>
                    <w:t>44</w:t>
                  </w:r>
                  <w:r>
                    <w:rPr>
                      <w:rFonts w:hint="default" w:ascii="Times New Roman" w:hAnsi="Times New Roman" w:eastAsia="宋体" w:cs="Times New Roman"/>
                      <w:color w:val="auto"/>
                      <w:spacing w:val="4"/>
                      <w:sz w:val="21"/>
                      <w:szCs w:val="21"/>
                      <w:highlight w:val="none"/>
                    </w:rPr>
                    <w:t>O</w:t>
                  </w:r>
                  <w:r>
                    <w:rPr>
                      <w:rFonts w:hint="default" w:ascii="Times New Roman" w:hAnsi="Times New Roman" w:eastAsia="宋体" w:cs="Times New Roman"/>
                      <w:color w:val="auto"/>
                      <w:spacing w:val="4"/>
                      <w:position w:val="-1"/>
                      <w:sz w:val="21"/>
                      <w:szCs w:val="21"/>
                      <w:highlight w:val="none"/>
                      <w:vertAlign w:val="subscript"/>
                    </w:rPr>
                    <w:t>4</w:t>
                  </w:r>
                  <w:r>
                    <w:rPr>
                      <w:rFonts w:hint="default" w:ascii="Times New Roman" w:hAnsi="Times New Roman" w:eastAsia="宋体" w:cs="Times New Roman"/>
                      <w:color w:val="auto"/>
                      <w:spacing w:val="4"/>
                      <w:sz w:val="21"/>
                      <w:szCs w:val="21"/>
                      <w:highlight w:val="none"/>
                    </w:rPr>
                    <w:t>S</w:t>
                  </w:r>
                  <w:r>
                    <w:rPr>
                      <w:rFonts w:hint="default" w:ascii="Times New Roman" w:hAnsi="Times New Roman" w:eastAsia="宋体" w:cs="Times New Roman"/>
                      <w:color w:val="auto"/>
                      <w:spacing w:val="4"/>
                      <w:position w:val="-1"/>
                      <w:sz w:val="21"/>
                      <w:szCs w:val="21"/>
                      <w:highlight w:val="none"/>
                      <w:vertAlign w:val="subscript"/>
                    </w:rPr>
                    <w:t>2</w:t>
                  </w:r>
                  <w:r>
                    <w:rPr>
                      <w:rFonts w:hint="default" w:ascii="Times New Roman" w:hAnsi="Times New Roman" w:eastAsia="宋体" w:cs="Times New Roman"/>
                      <w:color w:val="auto"/>
                      <w:sz w:val="21"/>
                      <w:szCs w:val="21"/>
                      <w:highlight w:val="none"/>
                    </w:rPr>
                    <w:t>Sn</w:t>
                  </w:r>
                  <w:r>
                    <w:rPr>
                      <w:rFonts w:hint="default" w:ascii="Times New Roman" w:hAnsi="Times New Roman" w:eastAsia="宋体" w:cs="Times New Roman"/>
                      <w:color w:val="auto"/>
                      <w:spacing w:val="4"/>
                      <w:sz w:val="21"/>
                      <w:szCs w:val="21"/>
                      <w:highlight w:val="none"/>
                    </w:rPr>
                    <w:t>，密度1.18[</w:t>
                  </w:r>
                  <w:r>
                    <w:rPr>
                      <w:rFonts w:hint="default" w:ascii="Times New Roman" w:hAnsi="Times New Roman" w:eastAsia="宋体" w:cs="Times New Roman"/>
                      <w:color w:val="auto"/>
                      <w:sz w:val="21"/>
                      <w:szCs w:val="21"/>
                      <w:highlight w:val="none"/>
                    </w:rPr>
                    <w:t>at</w:t>
                  </w:r>
                  <w:r>
                    <w:rPr>
                      <w:rFonts w:hint="default" w:ascii="Times New Roman" w:hAnsi="Times New Roman" w:eastAsia="宋体" w:cs="Times New Roman"/>
                      <w:color w:val="auto"/>
                      <w:spacing w:val="4"/>
                      <w:sz w:val="21"/>
                      <w:szCs w:val="21"/>
                      <w:highlight w:val="none"/>
                    </w:rPr>
                    <w:t>20℃</w:t>
                  </w:r>
                  <w:r>
                    <w:rPr>
                      <w:rFonts w:hint="default" w:ascii="Times New Roman" w:hAnsi="Times New Roman" w:eastAsia="宋体" w:cs="Times New Roman"/>
                      <w:color w:val="auto"/>
                      <w:spacing w:val="3"/>
                      <w:sz w:val="21"/>
                      <w:szCs w:val="21"/>
                      <w:highlight w:val="none"/>
                    </w:rPr>
                    <w:t>]；沸点515.6±60.0°C；闪点137.4°C</w:t>
                  </w:r>
                </w:p>
              </w:tc>
              <w:tc>
                <w:tcPr>
                  <w:tcW w:w="1159" w:type="dxa"/>
                  <w:shd w:val="clear" w:color="auto" w:fill="auto"/>
                  <w:vAlign w:val="center"/>
                </w:tcPr>
                <w:p w14:paraId="5B75BFBD">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无毒或低毒；吞咽有害。</w:t>
                  </w:r>
                </w:p>
              </w:tc>
              <w:tc>
                <w:tcPr>
                  <w:tcW w:w="1846" w:type="dxa"/>
                  <w:shd w:val="clear" w:color="auto" w:fill="auto"/>
                  <w:vAlign w:val="center"/>
                </w:tcPr>
                <w:p w14:paraId="78947C56">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r w14:paraId="715B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740DE0B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增强剂M-41</w:t>
                  </w:r>
                </w:p>
              </w:tc>
              <w:tc>
                <w:tcPr>
                  <w:tcW w:w="4036" w:type="dxa"/>
                  <w:vAlign w:val="center"/>
                </w:tcPr>
                <w:p w14:paraId="6A59D38F">
                  <w:pPr>
                    <w:pStyle w:val="57"/>
                    <w:keepNext w:val="0"/>
                    <w:keepLines w:val="0"/>
                    <w:pageBreakBefore w:val="0"/>
                    <w:kinsoku/>
                    <w:wordWrap/>
                    <w:overflowPunct/>
                    <w:topLinePunct/>
                    <w:autoSpaceDE w:val="0"/>
                    <w:bidi w:val="0"/>
                    <w:spacing w:line="240" w:lineRule="auto"/>
                    <w:ind w:left="0" w:leftChars="0" w:right="0" w:firstLine="0"/>
                    <w:jc w:val="left"/>
                    <w:textAlignment w:val="auto"/>
                    <w:rPr>
                      <w:rFonts w:hint="default" w:ascii="Times New Roman" w:hAnsi="Times New Roman" w:eastAsia="宋体" w:cs="Times New Roman"/>
                      <w:color w:val="auto"/>
                      <w:spacing w:val="15"/>
                      <w:sz w:val="21"/>
                      <w:szCs w:val="21"/>
                      <w:highlight w:val="none"/>
                      <w:lang w:val="en-US" w:eastAsia="zh-CN"/>
                    </w:rPr>
                  </w:pPr>
                  <w:r>
                    <w:rPr>
                      <w:rFonts w:hint="default" w:ascii="Times New Roman" w:hAnsi="Times New Roman" w:eastAsia="宋体" w:cs="Times New Roman"/>
                      <w:color w:val="auto"/>
                      <w:spacing w:val="15"/>
                      <w:sz w:val="21"/>
                      <w:szCs w:val="21"/>
                      <w:highlight w:val="none"/>
                    </w:rPr>
                    <w:t>主要成分是甲基丙烯酸甲酯（M）、丁二烯（B）和乙烯（S）通过乳液接枝共聚而得的MBS（甲基丙烯酸甲酯-丁二烯-苯乙烯）</w:t>
                  </w:r>
                  <w:r>
                    <w:rPr>
                      <w:rFonts w:hint="default" w:ascii="Times New Roman" w:hAnsi="Times New Roman" w:eastAsia="宋体" w:cs="Times New Roman"/>
                      <w:color w:val="auto"/>
                      <w:spacing w:val="15"/>
                      <w:sz w:val="21"/>
                      <w:szCs w:val="21"/>
                      <w:highlight w:val="none"/>
                      <w:lang w:eastAsia="zh-CN"/>
                    </w:rPr>
                    <w:t>。</w:t>
                  </w:r>
                </w:p>
              </w:tc>
              <w:tc>
                <w:tcPr>
                  <w:tcW w:w="1159" w:type="dxa"/>
                  <w:vAlign w:val="center"/>
                </w:tcPr>
                <w:p w14:paraId="3D27ED90">
                  <w:pPr>
                    <w:keepNext w:val="0"/>
                    <w:keepLines w:val="0"/>
                    <w:pageBreakBefore w:val="0"/>
                    <w:kinsoku/>
                    <w:wordWrap/>
                    <w:overflowPunct/>
                    <w:topLinePunct/>
                    <w:autoSpaceDE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w:t>
                  </w:r>
                </w:p>
              </w:tc>
              <w:tc>
                <w:tcPr>
                  <w:tcW w:w="1846" w:type="dxa"/>
                  <w:vAlign w:val="center"/>
                </w:tcPr>
                <w:p w14:paraId="07308FD0">
                  <w:pPr>
                    <w:keepNext w:val="0"/>
                    <w:keepLines w:val="0"/>
                    <w:pageBreakBefore w:val="0"/>
                    <w:kinsoku/>
                    <w:wordWrap/>
                    <w:overflowPunct/>
                    <w:topLinePunct/>
                    <w:autoSpaceDE w:val="0"/>
                    <w:bidi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w:t>
                  </w:r>
                </w:p>
              </w:tc>
            </w:tr>
            <w:tr w14:paraId="7216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14C3BEC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加工助剂P-201</w:t>
                  </w:r>
                </w:p>
              </w:tc>
              <w:tc>
                <w:tcPr>
                  <w:tcW w:w="4036" w:type="dxa"/>
                  <w:shd w:val="clear" w:color="auto" w:fill="auto"/>
                  <w:vAlign w:val="center"/>
                </w:tcPr>
                <w:p w14:paraId="489C5489">
                  <w:pPr>
                    <w:pStyle w:val="57"/>
                    <w:keepNext w:val="0"/>
                    <w:keepLines w:val="0"/>
                    <w:pageBreakBefore w:val="0"/>
                    <w:kinsoku/>
                    <w:wordWrap/>
                    <w:overflowPunct/>
                    <w:topLinePunct/>
                    <w:autoSpaceDE w:val="0"/>
                    <w:bidi w:val="0"/>
                    <w:spacing w:line="240" w:lineRule="auto"/>
                    <w:ind w:left="0" w:leftChars="0" w:right="0" w:firstLine="0"/>
                    <w:jc w:val="left"/>
                    <w:textAlignment w:val="auto"/>
                    <w:rPr>
                      <w:rFonts w:hint="default" w:ascii="Times New Roman" w:hAnsi="Times New Roman" w:eastAsia="宋体" w:cs="Times New Roman"/>
                      <w:color w:val="auto"/>
                      <w:spacing w:val="15"/>
                      <w:sz w:val="21"/>
                      <w:szCs w:val="21"/>
                      <w:highlight w:val="none"/>
                      <w:lang w:val="en-US" w:eastAsia="zh-CN"/>
                    </w:rPr>
                  </w:pPr>
                  <w:r>
                    <w:rPr>
                      <w:rFonts w:hint="default" w:ascii="Times New Roman" w:hAnsi="Times New Roman" w:eastAsia="宋体" w:cs="Times New Roman"/>
                      <w:color w:val="auto"/>
                      <w:spacing w:val="15"/>
                      <w:sz w:val="21"/>
                      <w:szCs w:val="21"/>
                      <w:highlight w:val="none"/>
                    </w:rPr>
                    <w:t>由丙烯酸酯类单体通过多段乳液聚合工艺制得，主要用于透明硬质PVC制品加工。</w:t>
                  </w:r>
                </w:p>
              </w:tc>
              <w:tc>
                <w:tcPr>
                  <w:tcW w:w="1159" w:type="dxa"/>
                  <w:shd w:val="clear" w:color="auto" w:fill="auto"/>
                  <w:vAlign w:val="center"/>
                </w:tcPr>
                <w:p w14:paraId="21ACC833">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可燃</w:t>
                  </w:r>
                </w:p>
              </w:tc>
              <w:tc>
                <w:tcPr>
                  <w:tcW w:w="1846" w:type="dxa"/>
                  <w:shd w:val="clear" w:color="auto" w:fill="auto"/>
                  <w:vAlign w:val="center"/>
                </w:tcPr>
                <w:p w14:paraId="70751DDB">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5"/>
                      <w:sz w:val="21"/>
                      <w:szCs w:val="21"/>
                      <w:highlight w:val="none"/>
                    </w:rPr>
                    <w:t>无资料</w:t>
                  </w:r>
                </w:p>
              </w:tc>
            </w:tr>
            <w:tr w14:paraId="046F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2C2B8E7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内润滑剂OK-60</w:t>
                  </w:r>
                </w:p>
              </w:tc>
              <w:tc>
                <w:tcPr>
                  <w:tcW w:w="4036" w:type="dxa"/>
                  <w:shd w:val="clear" w:color="auto" w:fill="auto"/>
                  <w:vAlign w:val="center"/>
                </w:tcPr>
                <w:p w14:paraId="4E5CAEC1">
                  <w:pPr>
                    <w:pStyle w:val="57"/>
                    <w:keepNext w:val="0"/>
                    <w:keepLines w:val="0"/>
                    <w:pageBreakBefore w:val="0"/>
                    <w:kinsoku/>
                    <w:wordWrap/>
                    <w:overflowPunct/>
                    <w:topLinePunct/>
                    <w:autoSpaceDE w:val="0"/>
                    <w:bidi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2"/>
                      <w:sz w:val="21"/>
                      <w:szCs w:val="21"/>
                      <w:highlight w:val="none"/>
                    </w:rPr>
                    <w:t>内润滑剂是聚合物加工过程中减少聚合物分子链间内摩擦力的润滑</w:t>
                  </w:r>
                  <w:r>
                    <w:rPr>
                      <w:rFonts w:hint="default" w:ascii="Times New Roman" w:hAnsi="Times New Roman" w:eastAsia="宋体" w:cs="Times New Roman"/>
                      <w:color w:val="auto"/>
                      <w:spacing w:val="6"/>
                      <w:sz w:val="21"/>
                      <w:szCs w:val="21"/>
                      <w:highlight w:val="none"/>
                    </w:rPr>
                    <w:t>剂。白色片状固体</w:t>
                  </w:r>
                  <w:r>
                    <w:rPr>
                      <w:rFonts w:hint="default" w:ascii="Times New Roman" w:hAnsi="Times New Roman" w:eastAsia="宋体" w:cs="Times New Roman"/>
                      <w:color w:val="auto"/>
                      <w:spacing w:val="-58"/>
                      <w:sz w:val="21"/>
                      <w:szCs w:val="21"/>
                      <w:highlight w:val="none"/>
                    </w:rPr>
                    <w:t xml:space="preserve"> </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52"/>
                      <w:sz w:val="21"/>
                      <w:szCs w:val="21"/>
                      <w:highlight w:val="none"/>
                    </w:rPr>
                    <w:t xml:space="preserve"> </w:t>
                  </w:r>
                  <w:r>
                    <w:rPr>
                      <w:rFonts w:hint="default" w:ascii="Times New Roman" w:hAnsi="Times New Roman" w:eastAsia="宋体" w:cs="Times New Roman"/>
                      <w:color w:val="auto"/>
                      <w:spacing w:val="6"/>
                      <w:sz w:val="21"/>
                      <w:szCs w:val="21"/>
                      <w:highlight w:val="none"/>
                    </w:rPr>
                    <w:t>闪点</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270；</w:t>
                  </w:r>
                  <w:r>
                    <w:rPr>
                      <w:rFonts w:hint="default" w:ascii="Times New Roman" w:hAnsi="Times New Roman" w:eastAsia="宋体" w:cs="Times New Roman"/>
                      <w:color w:val="auto"/>
                      <w:spacing w:val="-55"/>
                      <w:sz w:val="21"/>
                      <w:szCs w:val="21"/>
                      <w:highlight w:val="none"/>
                    </w:rPr>
                    <w:t xml:space="preserve"> </w:t>
                  </w:r>
                  <w:r>
                    <w:rPr>
                      <w:rFonts w:hint="default" w:ascii="Times New Roman" w:hAnsi="Times New Roman" w:eastAsia="宋体" w:cs="Times New Roman"/>
                      <w:color w:val="auto"/>
                      <w:spacing w:val="6"/>
                      <w:sz w:val="21"/>
                      <w:szCs w:val="21"/>
                      <w:highlight w:val="none"/>
                    </w:rPr>
                    <w:t>分解温度</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240</w:t>
                  </w:r>
                  <w:r>
                    <w:rPr>
                      <w:rFonts w:hint="default" w:ascii="Times New Roman" w:hAnsi="Times New Roman" w:eastAsia="宋体" w:cs="Times New Roman"/>
                      <w:color w:val="auto"/>
                      <w:spacing w:val="6"/>
                      <w:sz w:val="21"/>
                      <w:szCs w:val="21"/>
                      <w:highlight w:val="none"/>
                      <w:lang w:eastAsia="zh-CN"/>
                    </w:rPr>
                    <w:t>。</w:t>
                  </w:r>
                </w:p>
              </w:tc>
              <w:tc>
                <w:tcPr>
                  <w:tcW w:w="1159" w:type="dxa"/>
                  <w:shd w:val="clear" w:color="auto" w:fill="auto"/>
                  <w:vAlign w:val="center"/>
                </w:tcPr>
                <w:p w14:paraId="2D7A9132">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2"/>
                      <w:sz w:val="21"/>
                      <w:szCs w:val="21"/>
                      <w:highlight w:val="none"/>
                    </w:rPr>
                    <w:t>可燃</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pacing w:val="12"/>
                      <w:sz w:val="21"/>
                      <w:szCs w:val="21"/>
                      <w:highlight w:val="none"/>
                    </w:rPr>
                    <w:t>，无毒</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pacing w:val="12"/>
                      <w:sz w:val="21"/>
                      <w:szCs w:val="21"/>
                      <w:highlight w:val="none"/>
                    </w:rPr>
                    <w:t>，无异味</w:t>
                  </w:r>
                </w:p>
              </w:tc>
              <w:tc>
                <w:tcPr>
                  <w:tcW w:w="1846" w:type="dxa"/>
                  <w:shd w:val="clear" w:color="auto" w:fill="auto"/>
                  <w:vAlign w:val="center"/>
                </w:tcPr>
                <w:p w14:paraId="5D760AD5">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5"/>
                      <w:sz w:val="21"/>
                      <w:szCs w:val="21"/>
                      <w:highlight w:val="none"/>
                    </w:rPr>
                    <w:t>无资料</w:t>
                  </w:r>
                </w:p>
              </w:tc>
            </w:tr>
            <w:tr w14:paraId="10A6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4AF540E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外润滑剂OK-70S</w:t>
                  </w:r>
                </w:p>
              </w:tc>
              <w:tc>
                <w:tcPr>
                  <w:tcW w:w="4036" w:type="dxa"/>
                  <w:shd w:val="clear" w:color="auto" w:fill="auto"/>
                  <w:vAlign w:val="center"/>
                </w:tcPr>
                <w:p w14:paraId="03F7B615">
                  <w:pPr>
                    <w:pStyle w:val="57"/>
                    <w:keepNext w:val="0"/>
                    <w:keepLines w:val="0"/>
                    <w:pageBreakBefore w:val="0"/>
                    <w:kinsoku/>
                    <w:wordWrap/>
                    <w:overflowPunct/>
                    <w:topLinePunct/>
                    <w:autoSpaceDE w:val="0"/>
                    <w:bidi w:val="0"/>
                    <w:spacing w:line="240" w:lineRule="auto"/>
                    <w:ind w:left="0" w:leftChars="0" w:right="0" w:firstLine="0"/>
                    <w:jc w:val="both"/>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淡黄色或乳白色碎片，PVC外润滑剂属非离子表面活性剂，熔点≥65℃；闪点≥240℃；挥发性≤0.5%</w:t>
                  </w:r>
                  <w:r>
                    <w:rPr>
                      <w:rFonts w:hint="default" w:ascii="Times New Roman" w:hAnsi="Times New Roman" w:eastAsia="宋体" w:cs="Times New Roman"/>
                      <w:color w:val="auto"/>
                      <w:spacing w:val="11"/>
                      <w:sz w:val="21"/>
                      <w:szCs w:val="21"/>
                      <w:highlight w:val="none"/>
                      <w:lang w:eastAsia="zh-CN"/>
                    </w:rPr>
                    <w:t>。</w:t>
                  </w:r>
                </w:p>
              </w:tc>
              <w:tc>
                <w:tcPr>
                  <w:tcW w:w="1159" w:type="dxa"/>
                  <w:shd w:val="clear" w:color="auto" w:fill="auto"/>
                  <w:vAlign w:val="center"/>
                </w:tcPr>
                <w:p w14:paraId="3036EBA1">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1"/>
                      <w:sz w:val="21"/>
                      <w:szCs w:val="21"/>
                      <w:highlight w:val="none"/>
                    </w:rPr>
                    <w:t>可燃</w:t>
                  </w:r>
                </w:p>
              </w:tc>
              <w:tc>
                <w:tcPr>
                  <w:tcW w:w="1846" w:type="dxa"/>
                  <w:shd w:val="clear" w:color="auto" w:fill="auto"/>
                  <w:vAlign w:val="center"/>
                </w:tcPr>
                <w:p w14:paraId="212B4046">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5"/>
                      <w:sz w:val="21"/>
                      <w:szCs w:val="21"/>
                      <w:highlight w:val="none"/>
                    </w:rPr>
                    <w:t>无资料</w:t>
                  </w:r>
                </w:p>
              </w:tc>
            </w:tr>
            <w:tr w14:paraId="48D7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7806E13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抛光粉</w:t>
                  </w:r>
                </w:p>
              </w:tc>
              <w:tc>
                <w:tcPr>
                  <w:tcW w:w="4036" w:type="dxa"/>
                  <w:shd w:val="clear" w:color="auto" w:fill="auto"/>
                  <w:vAlign w:val="center"/>
                </w:tcPr>
                <w:p w14:paraId="5697B5BE">
                  <w:pPr>
                    <w:pStyle w:val="57"/>
                    <w:keepNext w:val="0"/>
                    <w:keepLines w:val="0"/>
                    <w:pageBreakBefore w:val="0"/>
                    <w:kinsoku/>
                    <w:wordWrap/>
                    <w:overflowPunct/>
                    <w:topLinePunct/>
                    <w:autoSpaceDE w:val="0"/>
                    <w:bidi w:val="0"/>
                    <w:spacing w:line="240" w:lineRule="auto"/>
                    <w:ind w:left="0" w:leftChars="0" w:right="0" w:firstLine="0"/>
                    <w:jc w:val="both"/>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抛光粉通常由氧化铈、氧化铝、氧化硅、氧化铁、氧化铬等组成。不同的材料的硬度不同，在水中的化学性质也不同，使用场合各不相同。</w:t>
                  </w:r>
                </w:p>
              </w:tc>
              <w:tc>
                <w:tcPr>
                  <w:tcW w:w="1159" w:type="dxa"/>
                  <w:shd w:val="clear" w:color="auto" w:fill="auto"/>
                  <w:vAlign w:val="center"/>
                </w:tcPr>
                <w:p w14:paraId="0F68326B">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c>
                <w:tcPr>
                  <w:tcW w:w="1846" w:type="dxa"/>
                  <w:shd w:val="clear" w:color="auto" w:fill="auto"/>
                  <w:vAlign w:val="center"/>
                </w:tcPr>
                <w:p w14:paraId="47A9F49E">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r>
            <w:tr w14:paraId="58CE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1B6C220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不饱和聚酯树脂</w:t>
                  </w:r>
                </w:p>
              </w:tc>
              <w:tc>
                <w:tcPr>
                  <w:tcW w:w="4036" w:type="dxa"/>
                  <w:shd w:val="clear" w:color="auto" w:fill="auto"/>
                  <w:vAlign w:val="center"/>
                </w:tcPr>
                <w:p w14:paraId="0D047CDD">
                  <w:pPr>
                    <w:pStyle w:val="57"/>
                    <w:keepNext w:val="0"/>
                    <w:keepLines w:val="0"/>
                    <w:pageBreakBefore w:val="0"/>
                    <w:kinsoku/>
                    <w:wordWrap/>
                    <w:overflowPunct/>
                    <w:topLinePunct/>
                    <w:autoSpaceDE w:val="0"/>
                    <w:bidi w:val="0"/>
                    <w:spacing w:line="240" w:lineRule="auto"/>
                    <w:ind w:left="0" w:leftChars="0" w:right="0" w:firstLine="0"/>
                    <w:jc w:val="both"/>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rPr>
                    <w:t>不饱和聚酯树脂是</w:t>
                  </w:r>
                  <w:r>
                    <w:rPr>
                      <w:rFonts w:hint="default" w:ascii="Times New Roman" w:hAnsi="Times New Roman" w:eastAsia="宋体" w:cs="Times New Roman"/>
                      <w:color w:val="auto"/>
                      <w:spacing w:val="11"/>
                      <w:sz w:val="21"/>
                      <w:szCs w:val="21"/>
                      <w:highlight w:val="none"/>
                    </w:rPr>
                    <w:fldChar w:fldCharType="begin"/>
                  </w:r>
                  <w:r>
                    <w:rPr>
                      <w:rFonts w:hint="default" w:ascii="Times New Roman" w:hAnsi="Times New Roman" w:eastAsia="宋体" w:cs="Times New Roman"/>
                      <w:color w:val="auto"/>
                      <w:spacing w:val="11"/>
                      <w:sz w:val="21"/>
                      <w:szCs w:val="21"/>
                      <w:highlight w:val="none"/>
                    </w:rPr>
                    <w:instrText xml:space="preserve"> HYPERLINK "https://baike.baidu.com/item/%E7%83%AD%E5%9B%BA%E6%80%A7%E6%A0%91%E8%84%82/10741660?fromModule=lemma_inlink" </w:instrText>
                  </w:r>
                  <w:r>
                    <w:rPr>
                      <w:rFonts w:hint="default" w:ascii="Times New Roman" w:hAnsi="Times New Roman" w:eastAsia="宋体" w:cs="Times New Roman"/>
                      <w:color w:val="auto"/>
                      <w:spacing w:val="11"/>
                      <w:sz w:val="21"/>
                      <w:szCs w:val="21"/>
                      <w:highlight w:val="none"/>
                    </w:rPr>
                    <w:fldChar w:fldCharType="separate"/>
                  </w:r>
                  <w:r>
                    <w:rPr>
                      <w:rFonts w:hint="default" w:ascii="Times New Roman" w:hAnsi="Times New Roman" w:eastAsia="宋体" w:cs="Times New Roman"/>
                      <w:color w:val="auto"/>
                      <w:spacing w:val="11"/>
                      <w:sz w:val="21"/>
                      <w:szCs w:val="21"/>
                      <w:highlight w:val="none"/>
                    </w:rPr>
                    <w:t>热固性树脂</w:t>
                  </w:r>
                  <w:r>
                    <w:rPr>
                      <w:rFonts w:hint="default" w:ascii="Times New Roman" w:hAnsi="Times New Roman" w:eastAsia="宋体" w:cs="Times New Roman"/>
                      <w:color w:val="auto"/>
                      <w:spacing w:val="11"/>
                      <w:sz w:val="21"/>
                      <w:szCs w:val="21"/>
                      <w:highlight w:val="none"/>
                    </w:rPr>
                    <w:fldChar w:fldCharType="end"/>
                  </w:r>
                  <w:r>
                    <w:rPr>
                      <w:rFonts w:hint="default" w:ascii="Times New Roman" w:hAnsi="Times New Roman" w:eastAsia="宋体" w:cs="Times New Roman"/>
                      <w:color w:val="auto"/>
                      <w:spacing w:val="11"/>
                      <w:sz w:val="21"/>
                      <w:szCs w:val="21"/>
                      <w:highlight w:val="none"/>
                    </w:rPr>
                    <w:t>中最常用的一种，一般是由不饱和</w:t>
                  </w:r>
                  <w:r>
                    <w:rPr>
                      <w:rFonts w:hint="default" w:ascii="Times New Roman" w:hAnsi="Times New Roman" w:eastAsia="宋体" w:cs="Times New Roman"/>
                      <w:color w:val="auto"/>
                      <w:spacing w:val="11"/>
                      <w:sz w:val="21"/>
                      <w:szCs w:val="21"/>
                      <w:highlight w:val="none"/>
                    </w:rPr>
                    <w:fldChar w:fldCharType="begin"/>
                  </w:r>
                  <w:r>
                    <w:rPr>
                      <w:rFonts w:hint="default" w:ascii="Times New Roman" w:hAnsi="Times New Roman" w:eastAsia="宋体" w:cs="Times New Roman"/>
                      <w:color w:val="auto"/>
                      <w:spacing w:val="11"/>
                      <w:sz w:val="21"/>
                      <w:szCs w:val="21"/>
                      <w:highlight w:val="none"/>
                    </w:rPr>
                    <w:instrText xml:space="preserve"> HYPERLINK "https://baike.baidu.com/item/%E4%BA%8C%E5%85%83%E9%85%B8/299165?fromModule=lemma_inlink" </w:instrText>
                  </w:r>
                  <w:r>
                    <w:rPr>
                      <w:rFonts w:hint="default" w:ascii="Times New Roman" w:hAnsi="Times New Roman" w:eastAsia="宋体" w:cs="Times New Roman"/>
                      <w:color w:val="auto"/>
                      <w:spacing w:val="11"/>
                      <w:sz w:val="21"/>
                      <w:szCs w:val="21"/>
                      <w:highlight w:val="none"/>
                    </w:rPr>
                    <w:fldChar w:fldCharType="separate"/>
                  </w:r>
                  <w:r>
                    <w:rPr>
                      <w:rFonts w:hint="default" w:ascii="Times New Roman" w:hAnsi="Times New Roman" w:eastAsia="宋体" w:cs="Times New Roman"/>
                      <w:color w:val="auto"/>
                      <w:spacing w:val="11"/>
                      <w:sz w:val="21"/>
                      <w:szCs w:val="21"/>
                      <w:highlight w:val="none"/>
                    </w:rPr>
                    <w:t>二元酸</w:t>
                  </w:r>
                  <w:r>
                    <w:rPr>
                      <w:rFonts w:hint="default" w:ascii="Times New Roman" w:hAnsi="Times New Roman" w:eastAsia="宋体" w:cs="Times New Roman"/>
                      <w:color w:val="auto"/>
                      <w:spacing w:val="11"/>
                      <w:sz w:val="21"/>
                      <w:szCs w:val="21"/>
                      <w:highlight w:val="none"/>
                    </w:rPr>
                    <w:fldChar w:fldCharType="end"/>
                  </w:r>
                  <w:r>
                    <w:rPr>
                      <w:rFonts w:hint="default" w:ascii="Times New Roman" w:hAnsi="Times New Roman" w:eastAsia="宋体" w:cs="Times New Roman"/>
                      <w:color w:val="auto"/>
                      <w:spacing w:val="11"/>
                      <w:sz w:val="21"/>
                      <w:szCs w:val="21"/>
                      <w:highlight w:val="none"/>
                    </w:rPr>
                    <w:t>与</w:t>
                  </w:r>
                  <w:r>
                    <w:rPr>
                      <w:rFonts w:hint="default" w:ascii="Times New Roman" w:hAnsi="Times New Roman" w:eastAsia="宋体" w:cs="Times New Roman"/>
                      <w:color w:val="auto"/>
                      <w:spacing w:val="11"/>
                      <w:sz w:val="21"/>
                      <w:szCs w:val="21"/>
                      <w:highlight w:val="none"/>
                    </w:rPr>
                    <w:fldChar w:fldCharType="begin"/>
                  </w:r>
                  <w:r>
                    <w:rPr>
                      <w:rFonts w:hint="default" w:ascii="Times New Roman" w:hAnsi="Times New Roman" w:eastAsia="宋体" w:cs="Times New Roman"/>
                      <w:color w:val="auto"/>
                      <w:spacing w:val="11"/>
                      <w:sz w:val="21"/>
                      <w:szCs w:val="21"/>
                      <w:highlight w:val="none"/>
                    </w:rPr>
                    <w:instrText xml:space="preserve"> HYPERLINK "https://baike.baidu.com/item/%E4%BA%8C%E5%85%83%E9%86%87/8716869?fromModule=lemma_inlink" </w:instrText>
                  </w:r>
                  <w:r>
                    <w:rPr>
                      <w:rFonts w:hint="default" w:ascii="Times New Roman" w:hAnsi="Times New Roman" w:eastAsia="宋体" w:cs="Times New Roman"/>
                      <w:color w:val="auto"/>
                      <w:spacing w:val="11"/>
                      <w:sz w:val="21"/>
                      <w:szCs w:val="21"/>
                      <w:highlight w:val="none"/>
                    </w:rPr>
                    <w:fldChar w:fldCharType="separate"/>
                  </w:r>
                  <w:r>
                    <w:rPr>
                      <w:rFonts w:hint="default" w:ascii="Times New Roman" w:hAnsi="Times New Roman" w:eastAsia="宋体" w:cs="Times New Roman"/>
                      <w:color w:val="auto"/>
                      <w:spacing w:val="11"/>
                      <w:sz w:val="21"/>
                      <w:szCs w:val="21"/>
                      <w:highlight w:val="none"/>
                    </w:rPr>
                    <w:t>二元醇</w:t>
                  </w:r>
                  <w:r>
                    <w:rPr>
                      <w:rFonts w:hint="default" w:ascii="Times New Roman" w:hAnsi="Times New Roman" w:eastAsia="宋体" w:cs="Times New Roman"/>
                      <w:color w:val="auto"/>
                      <w:spacing w:val="11"/>
                      <w:sz w:val="21"/>
                      <w:szCs w:val="21"/>
                      <w:highlight w:val="none"/>
                    </w:rPr>
                    <w:fldChar w:fldCharType="end"/>
                  </w:r>
                  <w:r>
                    <w:rPr>
                      <w:rFonts w:hint="default" w:ascii="Times New Roman" w:hAnsi="Times New Roman" w:eastAsia="宋体" w:cs="Times New Roman"/>
                      <w:color w:val="auto"/>
                      <w:spacing w:val="11"/>
                      <w:sz w:val="21"/>
                      <w:szCs w:val="21"/>
                      <w:highlight w:val="none"/>
                    </w:rPr>
                    <w:t>或者饱和二元酸与不饱和二元醇缩聚而成的具有酯键和不饱和双键的</w:t>
                  </w:r>
                  <w:r>
                    <w:rPr>
                      <w:rFonts w:hint="default" w:ascii="Times New Roman" w:hAnsi="Times New Roman" w:eastAsia="宋体" w:cs="Times New Roman"/>
                      <w:color w:val="auto"/>
                      <w:spacing w:val="11"/>
                      <w:sz w:val="21"/>
                      <w:szCs w:val="21"/>
                      <w:highlight w:val="none"/>
                    </w:rPr>
                    <w:fldChar w:fldCharType="begin"/>
                  </w:r>
                  <w:r>
                    <w:rPr>
                      <w:rFonts w:hint="default" w:ascii="Times New Roman" w:hAnsi="Times New Roman" w:eastAsia="宋体" w:cs="Times New Roman"/>
                      <w:color w:val="auto"/>
                      <w:spacing w:val="11"/>
                      <w:sz w:val="21"/>
                      <w:szCs w:val="21"/>
                      <w:highlight w:val="none"/>
                    </w:rPr>
                    <w:instrText xml:space="preserve"> HYPERLINK "https://baike.baidu.com/item/%E7%BA%BF%E5%9E%8B%E9%AB%98%E5%88%86%E5%AD%90%E5%8C%96%E5%90%88%E7%89%A9/8673508?fromModule=lemma_inlink" </w:instrText>
                  </w:r>
                  <w:r>
                    <w:rPr>
                      <w:rFonts w:hint="default" w:ascii="Times New Roman" w:hAnsi="Times New Roman" w:eastAsia="宋体" w:cs="Times New Roman"/>
                      <w:color w:val="auto"/>
                      <w:spacing w:val="11"/>
                      <w:sz w:val="21"/>
                      <w:szCs w:val="21"/>
                      <w:highlight w:val="none"/>
                    </w:rPr>
                    <w:fldChar w:fldCharType="separate"/>
                  </w:r>
                  <w:r>
                    <w:rPr>
                      <w:rFonts w:hint="default" w:ascii="Times New Roman" w:hAnsi="Times New Roman" w:eastAsia="宋体" w:cs="Times New Roman"/>
                      <w:color w:val="auto"/>
                      <w:spacing w:val="11"/>
                      <w:sz w:val="21"/>
                      <w:szCs w:val="21"/>
                      <w:highlight w:val="none"/>
                    </w:rPr>
                    <w:t>线型高分子化合物</w:t>
                  </w:r>
                  <w:r>
                    <w:rPr>
                      <w:rFonts w:hint="default" w:ascii="Times New Roman" w:hAnsi="Times New Roman" w:eastAsia="宋体" w:cs="Times New Roman"/>
                      <w:color w:val="auto"/>
                      <w:spacing w:val="11"/>
                      <w:sz w:val="21"/>
                      <w:szCs w:val="21"/>
                      <w:highlight w:val="none"/>
                    </w:rPr>
                    <w:fldChar w:fldCharType="end"/>
                  </w:r>
                  <w:r>
                    <w:rPr>
                      <w:rFonts w:hint="default" w:ascii="Times New Roman" w:hAnsi="Times New Roman" w:eastAsia="宋体" w:cs="Times New Roman"/>
                      <w:color w:val="auto"/>
                      <w:spacing w:val="11"/>
                      <w:sz w:val="21"/>
                      <w:szCs w:val="21"/>
                      <w:highlight w:val="none"/>
                    </w:rPr>
                    <w:t>。可以在室温下固化，常压下成型，工艺性能灵活，适合本项目抛轮的修复</w:t>
                  </w:r>
                  <w:r>
                    <w:rPr>
                      <w:rFonts w:hint="default" w:ascii="Times New Roman" w:hAnsi="Times New Roman" w:eastAsia="宋体" w:cs="Times New Roman"/>
                      <w:color w:val="auto"/>
                      <w:spacing w:val="11"/>
                      <w:sz w:val="21"/>
                      <w:szCs w:val="21"/>
                      <w:highlight w:val="none"/>
                      <w:lang w:eastAsia="zh-CN"/>
                    </w:rPr>
                    <w:t>。</w:t>
                  </w:r>
                </w:p>
              </w:tc>
              <w:tc>
                <w:tcPr>
                  <w:tcW w:w="1159" w:type="dxa"/>
                  <w:shd w:val="clear" w:color="auto" w:fill="auto"/>
                  <w:vAlign w:val="center"/>
                </w:tcPr>
                <w:p w14:paraId="7EE5D57C">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易燃性</w:t>
                  </w:r>
                </w:p>
              </w:tc>
              <w:tc>
                <w:tcPr>
                  <w:tcW w:w="1846" w:type="dxa"/>
                  <w:shd w:val="clear" w:color="auto" w:fill="auto"/>
                  <w:vAlign w:val="center"/>
                </w:tcPr>
                <w:p w14:paraId="2390B25D">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r w14:paraId="14B7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shd w:val="clear" w:color="auto" w:fill="auto"/>
                  <w:vAlign w:val="center"/>
                </w:tcPr>
                <w:p w14:paraId="2100C35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lang w:val="en-US" w:eastAsia="en-US"/>
                    </w:rPr>
                  </w:pPr>
                  <w:r>
                    <w:rPr>
                      <w:rFonts w:hint="default" w:ascii="Times New Roman" w:hAnsi="Times New Roman" w:eastAsia="宋体" w:cs="Times New Roman"/>
                      <w:color w:val="auto"/>
                      <w:spacing w:val="5"/>
                      <w:sz w:val="21"/>
                      <w:szCs w:val="21"/>
                      <w:highlight w:val="none"/>
                    </w:rPr>
                    <w:t>白糖</w:t>
                  </w:r>
                </w:p>
              </w:tc>
              <w:tc>
                <w:tcPr>
                  <w:tcW w:w="4036" w:type="dxa"/>
                  <w:shd w:val="clear" w:color="auto" w:fill="auto"/>
                  <w:vAlign w:val="center"/>
                </w:tcPr>
                <w:p w14:paraId="1B5C7776">
                  <w:pPr>
                    <w:pStyle w:val="57"/>
                    <w:keepNext w:val="0"/>
                    <w:keepLines w:val="0"/>
                    <w:pageBreakBefore w:val="0"/>
                    <w:kinsoku/>
                    <w:wordWrap/>
                    <w:overflowPunct/>
                    <w:topLinePunct/>
                    <w:autoSpaceDE w:val="0"/>
                    <w:bidi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白色颗粒状结晶，纯度高，蔗糖含量在99%以上，是食糖中质量较好的一种，水分、杂质及转化糖的含量很低，较易储存。蔗糖（C</w:t>
                  </w:r>
                  <w:r>
                    <w:rPr>
                      <w:rFonts w:hint="default" w:ascii="Times New Roman" w:hAnsi="Times New Roman" w:eastAsia="宋体" w:cs="Times New Roman"/>
                      <w:color w:val="auto"/>
                      <w:spacing w:val="8"/>
                      <w:position w:val="-1"/>
                      <w:sz w:val="21"/>
                      <w:szCs w:val="21"/>
                      <w:highlight w:val="none"/>
                      <w:vertAlign w:val="subscript"/>
                    </w:rPr>
                    <w:t>12</w:t>
                  </w:r>
                  <w:r>
                    <w:rPr>
                      <w:rFonts w:hint="default" w:ascii="Times New Roman" w:hAnsi="Times New Roman" w:eastAsia="宋体" w:cs="Times New Roman"/>
                      <w:color w:val="auto"/>
                      <w:spacing w:val="8"/>
                      <w:sz w:val="21"/>
                      <w:szCs w:val="21"/>
                      <w:highlight w:val="none"/>
                    </w:rPr>
                    <w:t>H</w:t>
                  </w:r>
                  <w:r>
                    <w:rPr>
                      <w:rFonts w:hint="default" w:ascii="Times New Roman" w:hAnsi="Times New Roman" w:eastAsia="宋体" w:cs="Times New Roman"/>
                      <w:color w:val="auto"/>
                      <w:spacing w:val="8"/>
                      <w:position w:val="-1"/>
                      <w:sz w:val="21"/>
                      <w:szCs w:val="21"/>
                      <w:highlight w:val="none"/>
                      <w:vertAlign w:val="subscript"/>
                    </w:rPr>
                    <w:t>22</w:t>
                  </w:r>
                  <w:r>
                    <w:rPr>
                      <w:rFonts w:hint="default" w:ascii="Times New Roman" w:hAnsi="Times New Roman" w:eastAsia="宋体" w:cs="Times New Roman"/>
                      <w:color w:val="auto"/>
                      <w:spacing w:val="8"/>
                      <w:sz w:val="21"/>
                      <w:szCs w:val="21"/>
                      <w:highlight w:val="none"/>
                    </w:rPr>
                    <w:t>O</w:t>
                  </w:r>
                  <w:r>
                    <w:rPr>
                      <w:rFonts w:hint="default" w:ascii="Times New Roman" w:hAnsi="Times New Roman" w:eastAsia="宋体" w:cs="Times New Roman"/>
                      <w:color w:val="auto"/>
                      <w:spacing w:val="8"/>
                      <w:position w:val="-1"/>
                      <w:sz w:val="21"/>
                      <w:szCs w:val="21"/>
                      <w:highlight w:val="none"/>
                      <w:vertAlign w:val="subscript"/>
                    </w:rPr>
                    <w:t>11</w:t>
                  </w:r>
                  <w:r>
                    <w:rPr>
                      <w:rFonts w:hint="default" w:ascii="Times New Roman" w:hAnsi="Times New Roman" w:eastAsia="宋体" w:cs="Times New Roman"/>
                      <w:color w:val="auto"/>
                      <w:spacing w:val="8"/>
                      <w:position w:val="-1"/>
                      <w:sz w:val="21"/>
                      <w:szCs w:val="21"/>
                      <w:highlight w:val="none"/>
                      <w:vertAlign w:val="subscript"/>
                      <w:lang w:eastAsia="zh-CN"/>
                    </w:rPr>
                    <w:t>）</w:t>
                  </w:r>
                  <w:r>
                    <w:rPr>
                      <w:rFonts w:hint="default" w:ascii="Times New Roman" w:hAnsi="Times New Roman" w:eastAsia="宋体" w:cs="Times New Roman"/>
                      <w:color w:val="auto"/>
                      <w:spacing w:val="8"/>
                      <w:sz w:val="21"/>
                      <w:szCs w:val="21"/>
                      <w:highlight w:val="none"/>
                    </w:rPr>
                    <w:t>是</w:t>
                  </w:r>
                  <w:r>
                    <w:rPr>
                      <w:rFonts w:hint="default" w:ascii="Times New Roman" w:hAnsi="Times New Roman" w:eastAsia="宋体" w:cs="Times New Roman"/>
                      <w:color w:val="auto"/>
                      <w:spacing w:val="7"/>
                      <w:sz w:val="21"/>
                      <w:szCs w:val="21"/>
                      <w:highlight w:val="none"/>
                    </w:rPr>
                    <w:t>由葡萄糖及果糖各一个分子脱水缩合而成的非</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"https://baike.sogou.com/lemma/ShowInnerLink.htm?lemmaId=379874&amp;ss_c=ssc.citiao.link"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sz w:val="21"/>
                      <w:szCs w:val="21"/>
                      <w:highlight w:val="none"/>
                    </w:rPr>
                    <w:t>还原</w:t>
                  </w:r>
                  <w:r>
                    <w:rPr>
                      <w:rFonts w:hint="default" w:ascii="Times New Roman" w:hAnsi="Times New Roman" w:eastAsia="宋体" w:cs="Times New Roman"/>
                      <w:color w:val="auto"/>
                      <w:spacing w:val="6"/>
                      <w:sz w:val="21"/>
                      <w:szCs w:val="21"/>
                      <w:highlight w:val="none"/>
                    </w:rPr>
                    <w:t>性</w:t>
                  </w:r>
                  <w:r>
                    <w:rPr>
                      <w:rFonts w:hint="default" w:ascii="Times New Roman" w:hAnsi="Times New Roman" w:eastAsia="宋体" w:cs="Times New Roman"/>
                      <w:color w:val="auto"/>
                      <w:spacing w:val="6"/>
                      <w:sz w:val="21"/>
                      <w:szCs w:val="21"/>
                      <w:highlight w:val="none"/>
                    </w:rPr>
                    <w:fldChar w:fldCharType="end"/>
                  </w:r>
                  <w:r>
                    <w:rPr>
                      <w:rFonts w:hint="default" w:ascii="Times New Roman" w:hAnsi="Times New Roman" w:eastAsia="宋体" w:cs="Times New Roman"/>
                      <w:color w:val="auto"/>
                      <w:spacing w:val="6"/>
                      <w:sz w:val="21"/>
                      <w:szCs w:val="21"/>
                      <w:highlight w:val="none"/>
                    </w:rPr>
                    <w:t>的双糖。蔗糖极易溶</w:t>
                  </w:r>
                  <w:r>
                    <w:rPr>
                      <w:rFonts w:hint="default" w:ascii="Times New Roman" w:hAnsi="Times New Roman" w:eastAsia="宋体" w:cs="Times New Roman"/>
                      <w:color w:val="auto"/>
                      <w:spacing w:val="7"/>
                      <w:sz w:val="21"/>
                      <w:szCs w:val="21"/>
                      <w:highlight w:val="none"/>
                    </w:rPr>
                    <w:t>于水，其溶解度随温度的升高而增大。蔗糖还易溶于</w:t>
                  </w:r>
                  <w:r>
                    <w:rPr>
                      <w:rFonts w:hint="default" w:ascii="Times New Roman" w:hAnsi="Times New Roman" w:eastAsia="宋体" w:cs="Times New Roman"/>
                      <w:color w:val="auto"/>
                      <w:spacing w:val="6"/>
                      <w:sz w:val="21"/>
                      <w:szCs w:val="21"/>
                      <w:highlight w:val="none"/>
                    </w:rPr>
                    <w:t>苯胺、氮苯、乙酸乙</w:t>
                  </w:r>
                  <w:r>
                    <w:rPr>
                      <w:rFonts w:hint="default" w:ascii="Times New Roman" w:hAnsi="Times New Roman" w:eastAsia="宋体" w:cs="Times New Roman"/>
                      <w:color w:val="auto"/>
                      <w:spacing w:val="7"/>
                      <w:sz w:val="21"/>
                      <w:szCs w:val="21"/>
                      <w:highlight w:val="none"/>
                    </w:rPr>
                    <w:t>酯、</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"https://baike.sogou.com/lemma/ShowInnerLink.htm?lemmaId=6397278&amp;ss_c=ssc.citiao.link"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sz w:val="21"/>
                      <w:szCs w:val="21"/>
                      <w:highlight w:val="none"/>
                    </w:rPr>
                    <w:t>乙酸戊酯</w:t>
                  </w:r>
                  <w:r>
                    <w:rPr>
                      <w:rFonts w:hint="default" w:ascii="Times New Roman" w:hAnsi="Times New Roman" w:eastAsia="宋体" w:cs="Times New Roman"/>
                      <w:color w:val="auto"/>
                      <w:spacing w:val="7"/>
                      <w:sz w:val="21"/>
                      <w:szCs w:val="21"/>
                      <w:highlight w:val="none"/>
                    </w:rPr>
                    <w:fldChar w:fldCharType="end"/>
                  </w:r>
                  <w:r>
                    <w:rPr>
                      <w:rFonts w:hint="default" w:ascii="Times New Roman" w:hAnsi="Times New Roman" w:eastAsia="宋体" w:cs="Times New Roman"/>
                      <w:color w:val="auto"/>
                      <w:spacing w:val="7"/>
                      <w:sz w:val="21"/>
                      <w:szCs w:val="21"/>
                      <w:highlight w:val="none"/>
                    </w:rPr>
                    <w:t>、熔化的酚、</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"https://baike.sogou.com/lemma/ShowInnerLink.htm?lemmaId=70988740&amp;ss_c=ssc.citiao.link"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sz w:val="21"/>
                      <w:szCs w:val="21"/>
                      <w:highlight w:val="none"/>
                    </w:rPr>
                    <w:t>液态氨</w:t>
                  </w:r>
                  <w:r>
                    <w:rPr>
                      <w:rFonts w:hint="default" w:ascii="Times New Roman" w:hAnsi="Times New Roman" w:eastAsia="宋体" w:cs="Times New Roman"/>
                      <w:color w:val="auto"/>
                      <w:spacing w:val="7"/>
                      <w:sz w:val="21"/>
                      <w:szCs w:val="21"/>
                      <w:highlight w:val="none"/>
                    </w:rPr>
                    <w:fldChar w:fldCharType="end"/>
                  </w:r>
                  <w:r>
                    <w:rPr>
                      <w:rFonts w:hint="default" w:ascii="Times New Roman" w:hAnsi="Times New Roman" w:eastAsia="宋体" w:cs="Times New Roman"/>
                      <w:color w:val="auto"/>
                      <w:spacing w:val="7"/>
                      <w:sz w:val="21"/>
                      <w:szCs w:val="21"/>
                      <w:highlight w:val="none"/>
                    </w:rPr>
                    <w:t>、酒精与水</w:t>
                  </w:r>
                  <w:r>
                    <w:rPr>
                      <w:rFonts w:hint="default" w:ascii="Times New Roman" w:hAnsi="Times New Roman" w:eastAsia="宋体" w:cs="Times New Roman"/>
                      <w:color w:val="auto"/>
                      <w:spacing w:val="6"/>
                      <w:sz w:val="21"/>
                      <w:szCs w:val="21"/>
                      <w:highlight w:val="none"/>
                    </w:rPr>
                    <w:t>的混合物及丙酮与水的混合</w:t>
                  </w:r>
                  <w:r>
                    <w:rPr>
                      <w:rFonts w:hint="default" w:ascii="Times New Roman" w:hAnsi="Times New Roman" w:eastAsia="宋体" w:cs="Times New Roman"/>
                      <w:color w:val="auto"/>
                      <w:spacing w:val="7"/>
                      <w:sz w:val="21"/>
                      <w:szCs w:val="21"/>
                      <w:highlight w:val="none"/>
                    </w:rPr>
                    <w:t>物，但不能溶于汽油、石油、</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"https://baike.sogou.com/lemma/ShowInnerLink.htm?lemmaId=640637&amp;ss_c=ssc.citiao.link"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sz w:val="21"/>
                      <w:szCs w:val="21"/>
                      <w:highlight w:val="none"/>
                    </w:rPr>
                    <w:t>无水酒精</w:t>
                  </w:r>
                  <w:r>
                    <w:rPr>
                      <w:rFonts w:hint="default" w:ascii="Times New Roman" w:hAnsi="Times New Roman" w:eastAsia="宋体" w:cs="Times New Roman"/>
                      <w:color w:val="auto"/>
                      <w:spacing w:val="7"/>
                      <w:sz w:val="21"/>
                      <w:szCs w:val="21"/>
                      <w:highlight w:val="none"/>
                    </w:rPr>
                    <w:fldChar w:fldCharType="end"/>
                  </w:r>
                  <w:r>
                    <w:rPr>
                      <w:rFonts w:hint="default" w:ascii="Times New Roman" w:hAnsi="Times New Roman" w:eastAsia="宋体" w:cs="Times New Roman"/>
                      <w:color w:val="auto"/>
                      <w:spacing w:val="7"/>
                      <w:sz w:val="21"/>
                      <w:szCs w:val="21"/>
                      <w:highlight w:val="none"/>
                    </w:rPr>
                    <w:t>、三氯</w:t>
                  </w:r>
                  <w:r>
                    <w:rPr>
                      <w:rFonts w:hint="default" w:ascii="Times New Roman" w:hAnsi="Times New Roman" w:eastAsia="宋体" w:cs="Times New Roman"/>
                      <w:color w:val="auto"/>
                      <w:spacing w:val="6"/>
                      <w:sz w:val="21"/>
                      <w:szCs w:val="21"/>
                      <w:highlight w:val="none"/>
                    </w:rPr>
                    <w:t>甲烷、四氯化碳、二硫化碳</w:t>
                  </w:r>
                  <w:r>
                    <w:rPr>
                      <w:rFonts w:hint="default" w:ascii="Times New Roman" w:hAnsi="Times New Roman" w:eastAsia="宋体" w:cs="Times New Roman"/>
                      <w:color w:val="auto"/>
                      <w:spacing w:val="7"/>
                      <w:sz w:val="21"/>
                      <w:szCs w:val="21"/>
                      <w:highlight w:val="none"/>
                    </w:rPr>
                    <w:t>和</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HYPERLINK "https://baike.sogou.com/lemma/ShowInnerLink.htm?lemmaId=590527&amp;ss_c=ssc.citiao.link"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pacing w:val="7"/>
                      <w:sz w:val="21"/>
                      <w:szCs w:val="21"/>
                      <w:highlight w:val="none"/>
                    </w:rPr>
                    <w:t>松节油</w:t>
                  </w:r>
                  <w:r>
                    <w:rPr>
                      <w:rFonts w:hint="default" w:ascii="Times New Roman" w:hAnsi="Times New Roman" w:eastAsia="宋体" w:cs="Times New Roman"/>
                      <w:color w:val="auto"/>
                      <w:spacing w:val="7"/>
                      <w:sz w:val="21"/>
                      <w:szCs w:val="21"/>
                      <w:highlight w:val="none"/>
                    </w:rPr>
                    <w:fldChar w:fldCharType="end"/>
                  </w:r>
                  <w:r>
                    <w:rPr>
                      <w:rFonts w:hint="default" w:ascii="Times New Roman" w:hAnsi="Times New Roman" w:eastAsia="宋体" w:cs="Times New Roman"/>
                      <w:color w:val="auto"/>
                      <w:spacing w:val="7"/>
                      <w:sz w:val="21"/>
                      <w:szCs w:val="21"/>
                      <w:highlight w:val="none"/>
                    </w:rPr>
                    <w:t>等有机溶剂。蔗糖属结晶性物质。纯蔗糖晶体的比重为1.5879，</w:t>
                  </w:r>
                  <w:r>
                    <w:rPr>
                      <w:rFonts w:hint="default" w:ascii="Times New Roman" w:hAnsi="Times New Roman" w:eastAsia="宋体" w:cs="Times New Roman"/>
                      <w:color w:val="auto"/>
                      <w:spacing w:val="3"/>
                      <w:sz w:val="21"/>
                      <w:szCs w:val="21"/>
                      <w:highlight w:val="none"/>
                    </w:rPr>
                    <w:t>蔗糖溶液的比重依浓度和温</w:t>
                  </w:r>
                  <w:r>
                    <w:rPr>
                      <w:rFonts w:hint="default" w:ascii="Times New Roman" w:hAnsi="Times New Roman" w:eastAsia="宋体" w:cs="Times New Roman"/>
                      <w:color w:val="auto"/>
                      <w:spacing w:val="7"/>
                      <w:sz w:val="21"/>
                      <w:szCs w:val="21"/>
                      <w:highlight w:val="none"/>
                    </w:rPr>
                    <w:t>度的不同而异。蔗糖及蔗糖溶液在热、酸、碱、酵母等的作用下，会产生各种不同的化学反应。反应的结果不仅直接造成蔗糖的损失，而且还会生成一些对</w:t>
                  </w:r>
                  <w:r>
                    <w:rPr>
                      <w:rFonts w:hint="default" w:ascii="Times New Roman" w:hAnsi="Times New Roman" w:eastAsia="宋体" w:cs="Times New Roman"/>
                      <w:color w:val="auto"/>
                      <w:spacing w:val="7"/>
                      <w:sz w:val="21"/>
                      <w:szCs w:val="21"/>
                      <w:highlight w:val="none"/>
                      <w:lang w:eastAsia="zh-CN"/>
                    </w:rPr>
                    <w:t>蔗糖</w:t>
                  </w:r>
                  <w:r>
                    <w:rPr>
                      <w:rFonts w:hint="default" w:ascii="Times New Roman" w:hAnsi="Times New Roman" w:eastAsia="宋体" w:cs="Times New Roman"/>
                      <w:color w:val="auto"/>
                      <w:spacing w:val="7"/>
                      <w:sz w:val="21"/>
                      <w:szCs w:val="21"/>
                      <w:highlight w:val="none"/>
                    </w:rPr>
                    <w:t>有害的物质。</w:t>
                  </w:r>
                </w:p>
              </w:tc>
              <w:tc>
                <w:tcPr>
                  <w:tcW w:w="1159" w:type="dxa"/>
                  <w:shd w:val="clear" w:color="auto" w:fill="auto"/>
                  <w:vAlign w:val="center"/>
                </w:tcPr>
                <w:p w14:paraId="6D40A24D">
                  <w:pPr>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w:t>
                  </w:r>
                </w:p>
              </w:tc>
              <w:tc>
                <w:tcPr>
                  <w:tcW w:w="1846" w:type="dxa"/>
                  <w:shd w:val="clear" w:color="auto" w:fill="auto"/>
                  <w:vAlign w:val="center"/>
                </w:tcPr>
                <w:p w14:paraId="183E71CB">
                  <w:pPr>
                    <w:pStyle w:val="57"/>
                    <w:keepNext w:val="0"/>
                    <w:keepLines w:val="0"/>
                    <w:pageBreakBefore w:val="0"/>
                    <w:kinsoku/>
                    <w:wordWrap/>
                    <w:overflowPunct/>
                    <w:topLinePunct/>
                    <w:autoSpaceDE w:val="0"/>
                    <w:bidi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无资料</w:t>
                  </w:r>
                </w:p>
              </w:tc>
            </w:tr>
          </w:tbl>
          <w:p w14:paraId="3CB52188">
            <w:pPr>
              <w:keepNext w:val="0"/>
              <w:keepLines w:val="0"/>
              <w:pageBreakBefore w:val="0"/>
              <w:kinsoku/>
              <w:overflowPunct/>
              <w:topLinePunct/>
              <w:autoSpaceDE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根据建设单位提供</w:t>
            </w:r>
            <w:r>
              <w:rPr>
                <w:rFonts w:hint="eastAsia" w:cs="Times New Roman"/>
                <w:color w:val="auto"/>
                <w:sz w:val="24"/>
                <w:szCs w:val="24"/>
                <w:highlight w:val="none"/>
                <w:lang w:val="en-US" w:eastAsia="zh-CN"/>
              </w:rPr>
              <w:t>的原料检测报告（详见附件14），项目原料</w:t>
            </w:r>
            <w:r>
              <w:rPr>
                <w:rFonts w:hint="default" w:cs="Times New Roman"/>
                <w:color w:val="auto"/>
                <w:sz w:val="24"/>
                <w:szCs w:val="24"/>
                <w:highlight w:val="none"/>
                <w:lang w:val="en-US" w:eastAsia="zh-CN"/>
              </w:rPr>
              <w:t>石英砂</w:t>
            </w:r>
            <w:r>
              <w:rPr>
                <w:rFonts w:hint="eastAsia" w:cs="Times New Roman"/>
                <w:color w:val="auto"/>
                <w:sz w:val="24"/>
                <w:szCs w:val="24"/>
                <w:highlight w:val="none"/>
                <w:lang w:val="en-US" w:eastAsia="zh-CN"/>
              </w:rPr>
              <w:t>的主要成分详见下表。</w:t>
            </w:r>
          </w:p>
          <w:p w14:paraId="42887072">
            <w:pPr>
              <w:keepNext w:val="0"/>
              <w:keepLines w:val="0"/>
              <w:pageBreakBefore w:val="0"/>
              <w:widowControl w:val="0"/>
              <w:numPr>
                <w:ilvl w:val="0"/>
                <w:numId w:val="0"/>
              </w:numPr>
              <w:kinsoku/>
              <w:wordWrap/>
              <w:overflowPunct/>
              <w:topLinePunct/>
              <w:autoSpaceDE w:val="0"/>
              <w:autoSpaceDN/>
              <w:bidi w:val="0"/>
              <w:adjustRightInd w:val="0"/>
              <w:snapToGrid w:val="0"/>
              <w:spacing w:line="240" w:lineRule="auto"/>
              <w:ind w:firstLine="0" w:firstLineChars="0"/>
              <w:jc w:val="center"/>
              <w:textAlignment w:val="auto"/>
              <w:rPr>
                <w:rFonts w:hint="eastAsia" w:cs="Times New Roman"/>
                <w:b/>
                <w:bCs/>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 xml:space="preserve">10 </w:t>
            </w:r>
            <w:r>
              <w:rPr>
                <w:rFonts w:hint="default" w:ascii="Times New Roman" w:hAnsi="Times New Roman" w:eastAsia="宋体" w:cs="Times New Roman"/>
                <w:b/>
                <w:bCs/>
                <w:color w:val="auto"/>
                <w:sz w:val="21"/>
                <w:szCs w:val="21"/>
                <w:highlight w:val="none"/>
                <w:lang w:val="en-US" w:eastAsia="zh-CN"/>
              </w:rPr>
              <w:t xml:space="preserve"> 项</w:t>
            </w:r>
            <w:r>
              <w:rPr>
                <w:rFonts w:hint="default" w:cs="Times New Roman"/>
                <w:b/>
                <w:bCs/>
                <w:color w:val="auto"/>
                <w:sz w:val="21"/>
                <w:szCs w:val="21"/>
                <w:highlight w:val="none"/>
                <w:lang w:val="en-US" w:eastAsia="zh-CN"/>
              </w:rPr>
              <w:t>目石英砂</w:t>
            </w:r>
            <w:r>
              <w:rPr>
                <w:rFonts w:hint="eastAsia" w:cs="Times New Roman"/>
                <w:b/>
                <w:bCs/>
                <w:color w:val="auto"/>
                <w:sz w:val="21"/>
                <w:szCs w:val="21"/>
                <w:highlight w:val="none"/>
                <w:lang w:val="en-US" w:eastAsia="zh-CN"/>
              </w:rPr>
              <w:t>原料主要成分一览表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984"/>
              <w:gridCol w:w="1984"/>
              <w:gridCol w:w="1984"/>
            </w:tblGrid>
            <w:tr w14:paraId="6742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3" w:type="dxa"/>
                  <w:vAlign w:val="center"/>
                </w:tcPr>
                <w:p w14:paraId="437590A6">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项目成分</w:t>
                  </w:r>
                </w:p>
              </w:tc>
              <w:tc>
                <w:tcPr>
                  <w:tcW w:w="1984" w:type="dxa"/>
                  <w:vAlign w:val="center"/>
                </w:tcPr>
                <w:p w14:paraId="42655474">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水分（%）</w:t>
                  </w:r>
                </w:p>
              </w:tc>
              <w:tc>
                <w:tcPr>
                  <w:tcW w:w="1984" w:type="dxa"/>
                  <w:vAlign w:val="center"/>
                </w:tcPr>
                <w:p w14:paraId="05265784">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二氧化硅（%）</w:t>
                  </w:r>
                </w:p>
              </w:tc>
              <w:tc>
                <w:tcPr>
                  <w:tcW w:w="1984" w:type="dxa"/>
                  <w:vAlign w:val="center"/>
                </w:tcPr>
                <w:p w14:paraId="6142469B">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三氧化二铝（%）</w:t>
                  </w:r>
                </w:p>
              </w:tc>
            </w:tr>
            <w:tr w14:paraId="67DF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3" w:type="dxa"/>
                  <w:vAlign w:val="center"/>
                </w:tcPr>
                <w:p w14:paraId="28B639C9">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检验结果</w:t>
                  </w:r>
                </w:p>
              </w:tc>
              <w:tc>
                <w:tcPr>
                  <w:tcW w:w="1984" w:type="dxa"/>
                  <w:vAlign w:val="center"/>
                </w:tcPr>
                <w:p w14:paraId="31308831">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0.014</w:t>
                  </w:r>
                </w:p>
              </w:tc>
              <w:tc>
                <w:tcPr>
                  <w:tcW w:w="1984" w:type="dxa"/>
                  <w:vAlign w:val="center"/>
                </w:tcPr>
                <w:p w14:paraId="6118CCD4">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99.07</w:t>
                  </w:r>
                </w:p>
              </w:tc>
              <w:tc>
                <w:tcPr>
                  <w:tcW w:w="1984" w:type="dxa"/>
                  <w:vAlign w:val="center"/>
                </w:tcPr>
                <w:p w14:paraId="7C08C9E1">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0.40</w:t>
                  </w:r>
                </w:p>
              </w:tc>
            </w:tr>
            <w:tr w14:paraId="0DA7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3" w:type="dxa"/>
                  <w:shd w:val="clear" w:color="auto" w:fill="auto"/>
                  <w:vAlign w:val="center"/>
                </w:tcPr>
                <w:p w14:paraId="505356DC">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kern w:val="1"/>
                      <w:sz w:val="21"/>
                      <w:szCs w:val="21"/>
                      <w:vertAlign w:val="baseline"/>
                      <w:lang w:val="en-US" w:eastAsia="zh-CN" w:bidi="ar-SA"/>
                    </w:rPr>
                  </w:pPr>
                  <w:r>
                    <w:rPr>
                      <w:rFonts w:hint="eastAsia"/>
                      <w:b/>
                      <w:bCs/>
                      <w:color w:val="auto"/>
                      <w:sz w:val="21"/>
                      <w:szCs w:val="21"/>
                      <w:vertAlign w:val="baseline"/>
                      <w:lang w:val="en-US" w:eastAsia="zh-CN"/>
                    </w:rPr>
                    <w:t>项目成分</w:t>
                  </w:r>
                </w:p>
              </w:tc>
              <w:tc>
                <w:tcPr>
                  <w:tcW w:w="1984" w:type="dxa"/>
                  <w:vAlign w:val="center"/>
                </w:tcPr>
                <w:p w14:paraId="00FA95D6">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三氧化二铁（%）</w:t>
                  </w:r>
                </w:p>
              </w:tc>
              <w:tc>
                <w:tcPr>
                  <w:tcW w:w="1984" w:type="dxa"/>
                  <w:vAlign w:val="center"/>
                </w:tcPr>
                <w:p w14:paraId="2BC25AD3">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氧化钙（%）</w:t>
                  </w:r>
                </w:p>
              </w:tc>
              <w:tc>
                <w:tcPr>
                  <w:tcW w:w="1984" w:type="dxa"/>
                  <w:vAlign w:val="center"/>
                </w:tcPr>
                <w:p w14:paraId="02DD76B6">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氧化镁（%）</w:t>
                  </w:r>
                </w:p>
              </w:tc>
            </w:tr>
            <w:tr w14:paraId="5434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3" w:type="dxa"/>
                  <w:shd w:val="clear" w:color="auto" w:fill="auto"/>
                  <w:vAlign w:val="center"/>
                </w:tcPr>
                <w:p w14:paraId="3C3017F0">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kern w:val="1"/>
                      <w:sz w:val="21"/>
                      <w:szCs w:val="21"/>
                      <w:vertAlign w:val="baseline"/>
                      <w:lang w:val="en-US" w:eastAsia="zh-CN" w:bidi="ar-SA"/>
                    </w:rPr>
                  </w:pPr>
                  <w:r>
                    <w:rPr>
                      <w:rFonts w:hint="eastAsia"/>
                      <w:b/>
                      <w:bCs/>
                      <w:color w:val="auto"/>
                      <w:sz w:val="21"/>
                      <w:szCs w:val="21"/>
                      <w:vertAlign w:val="baseline"/>
                      <w:lang w:val="en-US" w:eastAsia="zh-CN"/>
                    </w:rPr>
                    <w:t>检验结果</w:t>
                  </w:r>
                </w:p>
              </w:tc>
              <w:tc>
                <w:tcPr>
                  <w:tcW w:w="1984" w:type="dxa"/>
                  <w:vAlign w:val="center"/>
                </w:tcPr>
                <w:p w14:paraId="535236A9">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0.045</w:t>
                  </w:r>
                </w:p>
              </w:tc>
              <w:tc>
                <w:tcPr>
                  <w:tcW w:w="1984" w:type="dxa"/>
                  <w:vAlign w:val="center"/>
                </w:tcPr>
                <w:p w14:paraId="0BB45FFA">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0.0030</w:t>
                  </w:r>
                </w:p>
              </w:tc>
              <w:tc>
                <w:tcPr>
                  <w:tcW w:w="1984" w:type="dxa"/>
                  <w:vAlign w:val="center"/>
                </w:tcPr>
                <w:p w14:paraId="4E4B39C0">
                  <w:pPr>
                    <w:pStyle w:val="28"/>
                    <w:keepNext w:val="0"/>
                    <w:keepLines w:val="0"/>
                    <w:pageBreakBefore w:val="0"/>
                    <w:widowControl w:val="0"/>
                    <w:kinsoku/>
                    <w:wordWrap/>
                    <w:overflowPunct/>
                    <w:topLinePunct w:val="0"/>
                    <w:autoSpaceDE/>
                    <w:autoSpaceDN/>
                    <w:bidi w:val="0"/>
                    <w:adjustRightInd/>
                    <w:snapToGrid/>
                    <w:spacing w:after="0"/>
                    <w:ind w:left="0" w:firstLine="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0.024</w:t>
                  </w:r>
                </w:p>
              </w:tc>
            </w:tr>
          </w:tbl>
          <w:p w14:paraId="2783A2CD">
            <w:pPr>
              <w:pStyle w:val="28"/>
              <w:rPr>
                <w:rFonts w:hint="default"/>
                <w:color w:val="auto"/>
                <w:lang w:val="en-US" w:eastAsia="zh-CN"/>
              </w:rPr>
            </w:pPr>
            <w:r>
              <w:rPr>
                <w:rFonts w:hint="eastAsia"/>
                <w:color w:val="auto"/>
                <w:lang w:val="en-US" w:eastAsia="zh-CN"/>
              </w:rPr>
              <w:t>根据</w:t>
            </w:r>
            <w:r>
              <w:rPr>
                <w:rFonts w:hint="eastAsia" w:cs="Times New Roman"/>
                <w:color w:val="auto"/>
                <w:sz w:val="24"/>
                <w:szCs w:val="24"/>
                <w:highlight w:val="none"/>
                <w:lang w:val="en-US" w:eastAsia="zh-CN"/>
              </w:rPr>
              <w:t>检测报告</w:t>
            </w:r>
            <w:r>
              <w:rPr>
                <w:rFonts w:hint="eastAsia"/>
                <w:color w:val="auto"/>
                <w:lang w:val="en-US" w:eastAsia="zh-CN"/>
              </w:rPr>
              <w:t>分析，</w:t>
            </w:r>
            <w:r>
              <w:rPr>
                <w:rFonts w:hint="eastAsia" w:cs="Times New Roman"/>
                <w:color w:val="auto"/>
                <w:sz w:val="24"/>
                <w:szCs w:val="24"/>
                <w:highlight w:val="none"/>
                <w:lang w:val="en-US" w:eastAsia="zh-CN"/>
              </w:rPr>
              <w:t>项目原料</w:t>
            </w:r>
            <w:r>
              <w:rPr>
                <w:rFonts w:hint="default" w:cs="Times New Roman"/>
                <w:color w:val="auto"/>
                <w:sz w:val="24"/>
                <w:szCs w:val="24"/>
                <w:highlight w:val="none"/>
                <w:lang w:val="en-US" w:eastAsia="zh-CN"/>
              </w:rPr>
              <w:t>石英砂</w:t>
            </w:r>
            <w:r>
              <w:rPr>
                <w:rFonts w:hint="eastAsia" w:cs="Times New Roman"/>
                <w:color w:val="auto"/>
                <w:sz w:val="24"/>
                <w:szCs w:val="24"/>
                <w:highlight w:val="none"/>
                <w:lang w:val="en-US" w:eastAsia="zh-CN"/>
              </w:rPr>
              <w:t>中不涉及硫、氯、氟及重金属等。</w:t>
            </w:r>
          </w:p>
          <w:p w14:paraId="6660861C">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7、</w:t>
            </w:r>
            <w:r>
              <w:rPr>
                <w:rFonts w:hint="default" w:ascii="Times New Roman" w:hAnsi="Times New Roman" w:eastAsia="宋体" w:cs="Times New Roman"/>
                <w:b/>
                <w:bCs w:val="0"/>
                <w:color w:val="auto"/>
                <w:sz w:val="24"/>
                <w:szCs w:val="24"/>
                <w:highlight w:val="none"/>
                <w:lang w:val="en-US" w:eastAsia="zh-CN"/>
              </w:rPr>
              <w:t>物料平衡</w:t>
            </w:r>
          </w:p>
          <w:p w14:paraId="46F2106F">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本项目物料平衡分析详见下表。</w:t>
            </w:r>
          </w:p>
          <w:p w14:paraId="32FB148E">
            <w:pPr>
              <w:pStyle w:val="19"/>
              <w:keepNext w:val="0"/>
              <w:keepLines w:val="0"/>
              <w:pageBreakBefore w:val="0"/>
              <w:kinsoku/>
              <w:overflowPunct/>
              <w:topLinePunct/>
              <w:autoSpaceDE w:val="0"/>
              <w:bidi w:val="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表2-</w:t>
            </w:r>
            <w:r>
              <w:rPr>
                <w:rFonts w:hint="eastAsia" w:cs="Times New Roman"/>
                <w:b/>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lang w:val="en-US" w:eastAsia="zh-CN"/>
              </w:rPr>
              <w:t xml:space="preserve">  项目物料平衡一览表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4"/>
              <w:gridCol w:w="1720"/>
              <w:gridCol w:w="4"/>
              <w:gridCol w:w="1517"/>
              <w:gridCol w:w="4"/>
              <w:gridCol w:w="708"/>
              <w:gridCol w:w="2058"/>
              <w:gridCol w:w="1194"/>
              <w:gridCol w:w="5"/>
              <w:gridCol w:w="5"/>
            </w:tblGrid>
            <w:tr w14:paraId="1596C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340" w:hRule="atLeast"/>
                <w:jc w:val="center"/>
              </w:trPr>
              <w:tc>
                <w:tcPr>
                  <w:tcW w:w="3961" w:type="dxa"/>
                  <w:gridSpan w:val="5"/>
                  <w:tcBorders>
                    <w:tl2br w:val="nil"/>
                    <w:tr2bl w:val="nil"/>
                  </w:tcBorders>
                  <w:shd w:val="clear" w:color="auto" w:fill="auto"/>
                  <w:vAlign w:val="center"/>
                </w:tcPr>
                <w:p w14:paraId="034F4F50">
                  <w:pPr>
                    <w:pStyle w:val="5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b/>
                      <w:bCs/>
                      <w:color w:val="auto"/>
                      <w:spacing w:val="2"/>
                      <w:sz w:val="21"/>
                      <w:szCs w:val="21"/>
                      <w:highlight w:val="none"/>
                    </w:rPr>
                    <w:t>投入</w:t>
                  </w:r>
                </w:p>
              </w:tc>
              <w:tc>
                <w:tcPr>
                  <w:tcW w:w="3964" w:type="dxa"/>
                  <w:gridSpan w:val="4"/>
                  <w:tcBorders>
                    <w:tl2br w:val="nil"/>
                    <w:tr2bl w:val="nil"/>
                  </w:tcBorders>
                  <w:shd w:val="clear" w:color="auto" w:fill="auto"/>
                  <w:vAlign w:val="center"/>
                </w:tcPr>
                <w:p w14:paraId="17D8CE59">
                  <w:pPr>
                    <w:pStyle w:val="57"/>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pacing w:val="3"/>
                      <w:sz w:val="21"/>
                      <w:szCs w:val="21"/>
                      <w:highlight w:val="none"/>
                    </w:rPr>
                  </w:pPr>
                  <w:r>
                    <w:rPr>
                      <w:rFonts w:hint="default" w:ascii="Times New Roman" w:hAnsi="Times New Roman" w:eastAsia="宋体" w:cs="Times New Roman"/>
                      <w:b/>
                      <w:bCs/>
                      <w:color w:val="auto"/>
                      <w:spacing w:val="3"/>
                      <w:sz w:val="21"/>
                      <w:szCs w:val="21"/>
                      <w:highlight w:val="none"/>
                    </w:rPr>
                    <w:t>产出</w:t>
                  </w:r>
                </w:p>
              </w:tc>
            </w:tr>
            <w:tr w14:paraId="0073A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340" w:hRule="atLeast"/>
                <w:jc w:val="center"/>
              </w:trPr>
              <w:tc>
                <w:tcPr>
                  <w:tcW w:w="716" w:type="dxa"/>
                  <w:tcBorders>
                    <w:tl2br w:val="nil"/>
                    <w:tr2bl w:val="nil"/>
                  </w:tcBorders>
                  <w:vAlign w:val="center"/>
                </w:tcPr>
                <w:p w14:paraId="4CC0CE72">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序号</w:t>
                  </w:r>
                </w:p>
              </w:tc>
              <w:tc>
                <w:tcPr>
                  <w:tcW w:w="1724" w:type="dxa"/>
                  <w:gridSpan w:val="2"/>
                  <w:tcBorders>
                    <w:tl2br w:val="nil"/>
                    <w:tr2bl w:val="nil"/>
                  </w:tcBorders>
                  <w:vAlign w:val="center"/>
                </w:tcPr>
                <w:p w14:paraId="600620E5">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物料名称</w:t>
                  </w:r>
                </w:p>
              </w:tc>
              <w:tc>
                <w:tcPr>
                  <w:tcW w:w="1521" w:type="dxa"/>
                  <w:gridSpan w:val="2"/>
                  <w:tcBorders>
                    <w:tl2br w:val="nil"/>
                    <w:tr2bl w:val="nil"/>
                  </w:tcBorders>
                  <w:vAlign w:val="center"/>
                </w:tcPr>
                <w:p w14:paraId="32BD0455">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4"/>
                      <w:sz w:val="21"/>
                      <w:szCs w:val="21"/>
                      <w:highlight w:val="none"/>
                    </w:rPr>
                    <w:t>投入量</w:t>
                  </w:r>
                  <w:r>
                    <w:rPr>
                      <w:rFonts w:hint="default" w:ascii="Times New Roman" w:hAnsi="Times New Roman" w:eastAsia="宋体" w:cs="Times New Roman"/>
                      <w:b/>
                      <w:bCs/>
                      <w:color w:val="auto"/>
                      <w:spacing w:val="4"/>
                      <w:sz w:val="21"/>
                      <w:szCs w:val="21"/>
                      <w:highlight w:val="none"/>
                      <w:lang w:eastAsia="zh-CN"/>
                    </w:rPr>
                    <w:t>（</w:t>
                  </w:r>
                  <w:r>
                    <w:rPr>
                      <w:rFonts w:hint="default" w:ascii="Times New Roman" w:hAnsi="Times New Roman" w:eastAsia="宋体" w:cs="Times New Roman"/>
                      <w:b/>
                      <w:bCs/>
                      <w:color w:val="auto"/>
                      <w:spacing w:val="-3"/>
                      <w:sz w:val="21"/>
                      <w:szCs w:val="21"/>
                      <w:highlight w:val="none"/>
                      <w:lang w:val="en-US" w:eastAsia="zh-CN"/>
                    </w:rPr>
                    <w:t>t/a</w:t>
                  </w:r>
                  <w:r>
                    <w:rPr>
                      <w:rFonts w:hint="default" w:ascii="Times New Roman" w:hAnsi="Times New Roman" w:eastAsia="宋体" w:cs="Times New Roman"/>
                      <w:b/>
                      <w:bCs/>
                      <w:color w:val="auto"/>
                      <w:spacing w:val="4"/>
                      <w:sz w:val="21"/>
                      <w:szCs w:val="21"/>
                      <w:highlight w:val="none"/>
                      <w:lang w:eastAsia="zh-CN"/>
                    </w:rPr>
                    <w:t>）</w:t>
                  </w:r>
                </w:p>
              </w:tc>
              <w:tc>
                <w:tcPr>
                  <w:tcW w:w="712" w:type="dxa"/>
                  <w:gridSpan w:val="2"/>
                  <w:tcBorders>
                    <w:tl2br w:val="nil"/>
                    <w:tr2bl w:val="nil"/>
                  </w:tcBorders>
                  <w:vAlign w:val="center"/>
                </w:tcPr>
                <w:p w14:paraId="254E8ED7">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序号</w:t>
                  </w:r>
                </w:p>
              </w:tc>
              <w:tc>
                <w:tcPr>
                  <w:tcW w:w="2058" w:type="dxa"/>
                  <w:tcBorders>
                    <w:tl2br w:val="nil"/>
                    <w:tr2bl w:val="nil"/>
                  </w:tcBorders>
                  <w:vAlign w:val="center"/>
                </w:tcPr>
                <w:p w14:paraId="0DBB91A2">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物料名称</w:t>
                  </w:r>
                </w:p>
              </w:tc>
              <w:tc>
                <w:tcPr>
                  <w:tcW w:w="1194" w:type="dxa"/>
                  <w:tcBorders>
                    <w:tl2br w:val="nil"/>
                    <w:tr2bl w:val="nil"/>
                  </w:tcBorders>
                  <w:vAlign w:val="center"/>
                </w:tcPr>
                <w:p w14:paraId="6596940D">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rPr>
                    <w:t>产出量</w:t>
                  </w:r>
                  <w:r>
                    <w:rPr>
                      <w:rFonts w:hint="default" w:ascii="Times New Roman" w:hAnsi="Times New Roman" w:eastAsia="宋体" w:cs="Times New Roman"/>
                      <w:b/>
                      <w:bCs/>
                      <w:color w:val="auto"/>
                      <w:spacing w:val="5"/>
                      <w:sz w:val="21"/>
                      <w:szCs w:val="21"/>
                      <w:highlight w:val="none"/>
                      <w:lang w:eastAsia="zh-CN"/>
                    </w:rPr>
                    <w:t>（</w:t>
                  </w:r>
                  <w:r>
                    <w:rPr>
                      <w:rFonts w:hint="default" w:ascii="Times New Roman" w:hAnsi="Times New Roman" w:eastAsia="宋体" w:cs="Times New Roman"/>
                      <w:b/>
                      <w:bCs/>
                      <w:color w:val="auto"/>
                      <w:spacing w:val="-3"/>
                      <w:sz w:val="21"/>
                      <w:szCs w:val="21"/>
                      <w:highlight w:val="none"/>
                      <w:lang w:val="en-US" w:eastAsia="zh-CN"/>
                    </w:rPr>
                    <w:t>t/a</w:t>
                  </w:r>
                  <w:r>
                    <w:rPr>
                      <w:rFonts w:hint="default" w:ascii="Times New Roman" w:hAnsi="Times New Roman" w:eastAsia="宋体" w:cs="Times New Roman"/>
                      <w:b/>
                      <w:bCs/>
                      <w:color w:val="auto"/>
                      <w:spacing w:val="5"/>
                      <w:sz w:val="21"/>
                      <w:szCs w:val="21"/>
                      <w:highlight w:val="none"/>
                      <w:lang w:eastAsia="zh-CN"/>
                    </w:rPr>
                    <w:t>）</w:t>
                  </w:r>
                </w:p>
              </w:tc>
            </w:tr>
            <w:tr w14:paraId="35840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0" w:type="dxa"/>
                <w:trHeight w:val="90" w:hRule="atLeast"/>
                <w:jc w:val="center"/>
              </w:trPr>
              <w:tc>
                <w:tcPr>
                  <w:tcW w:w="7925" w:type="dxa"/>
                  <w:gridSpan w:val="9"/>
                  <w:tcBorders>
                    <w:tl2br w:val="nil"/>
                    <w:tr2bl w:val="nil"/>
                  </w:tcBorders>
                  <w:vAlign w:val="center"/>
                </w:tcPr>
                <w:p w14:paraId="0EC83D0A">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5"/>
                      <w:sz w:val="21"/>
                      <w:szCs w:val="21"/>
                      <w:highlight w:val="none"/>
                    </w:rPr>
                  </w:pPr>
                  <w:r>
                    <w:rPr>
                      <w:rFonts w:hint="eastAsia" w:ascii="Times New Roman" w:hAnsi="Times New Roman" w:eastAsia="宋体" w:cs="Times New Roman"/>
                      <w:b/>
                      <w:bCs/>
                      <w:color w:val="auto"/>
                      <w:spacing w:val="6"/>
                      <w:sz w:val="21"/>
                      <w:szCs w:val="21"/>
                      <w:highlight w:val="none"/>
                      <w:lang w:eastAsia="zh-CN"/>
                    </w:rPr>
                    <w:t>珠胚生产</w:t>
                  </w:r>
                </w:p>
              </w:tc>
            </w:tr>
            <w:tr w14:paraId="192D9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689132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4" w:type="dxa"/>
                  <w:gridSpan w:val="2"/>
                  <w:tcBorders>
                    <w:tl2br w:val="nil"/>
                    <w:tr2bl w:val="nil"/>
                  </w:tcBorders>
                  <w:shd w:val="clear" w:color="auto" w:fill="auto"/>
                  <w:vAlign w:val="center"/>
                </w:tcPr>
                <w:p w14:paraId="77CF37F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石英砂</w:t>
                  </w:r>
                </w:p>
              </w:tc>
              <w:tc>
                <w:tcPr>
                  <w:tcW w:w="1521" w:type="dxa"/>
                  <w:gridSpan w:val="2"/>
                  <w:tcBorders>
                    <w:tl2br w:val="nil"/>
                    <w:tr2bl w:val="nil"/>
                  </w:tcBorders>
                  <w:shd w:val="clear" w:color="auto" w:fill="auto"/>
                  <w:vAlign w:val="center"/>
                </w:tcPr>
                <w:p w14:paraId="1F0C948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green"/>
                      <w:lang w:val="en-US" w:eastAsia="zh-CN" w:bidi="ar-SA"/>
                    </w:rPr>
                  </w:pPr>
                  <w:r>
                    <w:rPr>
                      <w:rFonts w:hint="eastAsia" w:ascii="Times New Roman" w:hAnsi="Times New Roman" w:eastAsia="宋体" w:cs="Times New Roman"/>
                      <w:color w:val="auto"/>
                      <w:spacing w:val="6"/>
                      <w:sz w:val="21"/>
                      <w:szCs w:val="21"/>
                      <w:highlight w:val="none"/>
                      <w:lang w:val="en-US" w:eastAsia="zh-CN"/>
                    </w:rPr>
                    <w:t>9119.36</w:t>
                  </w:r>
                </w:p>
              </w:tc>
              <w:tc>
                <w:tcPr>
                  <w:tcW w:w="712" w:type="dxa"/>
                  <w:gridSpan w:val="2"/>
                  <w:tcBorders>
                    <w:tl2br w:val="nil"/>
                    <w:tr2bl w:val="nil"/>
                  </w:tcBorders>
                  <w:vAlign w:val="center"/>
                </w:tcPr>
                <w:p w14:paraId="209E3A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58" w:type="dxa"/>
                  <w:tcBorders>
                    <w:tl2br w:val="nil"/>
                    <w:tr2bl w:val="nil"/>
                  </w:tcBorders>
                  <w:vAlign w:val="center"/>
                </w:tcPr>
                <w:p w14:paraId="0EFC81C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珠胚</w:t>
                  </w:r>
                  <w:r>
                    <w:rPr>
                      <w:rFonts w:hint="default" w:ascii="Times New Roman" w:hAnsi="Times New Roman" w:eastAsia="宋体" w:cs="Times New Roman"/>
                      <w:i w:val="0"/>
                      <w:iCs w:val="0"/>
                      <w:color w:val="auto"/>
                      <w:kern w:val="0"/>
                      <w:sz w:val="21"/>
                      <w:szCs w:val="21"/>
                      <w:highlight w:val="none"/>
                      <w:u w:val="none"/>
                      <w:lang w:val="en-US" w:eastAsia="zh-CN" w:bidi="ar"/>
                    </w:rPr>
                    <w:t>（中间产品）</w:t>
                  </w:r>
                </w:p>
              </w:tc>
              <w:tc>
                <w:tcPr>
                  <w:tcW w:w="1199" w:type="dxa"/>
                  <w:gridSpan w:val="2"/>
                  <w:tcBorders>
                    <w:tl2br w:val="nil"/>
                    <w:tr2bl w:val="nil"/>
                  </w:tcBorders>
                  <w:vAlign w:val="center"/>
                </w:tcPr>
                <w:p w14:paraId="2465F4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13000</w:t>
                  </w:r>
                </w:p>
              </w:tc>
            </w:tr>
            <w:tr w14:paraId="2D81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483770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4" w:type="dxa"/>
                  <w:gridSpan w:val="2"/>
                  <w:tcBorders>
                    <w:tl2br w:val="nil"/>
                    <w:tr2bl w:val="nil"/>
                  </w:tcBorders>
                  <w:shd w:val="clear" w:color="auto" w:fill="auto"/>
                  <w:vAlign w:val="center"/>
                </w:tcPr>
                <w:p w14:paraId="5B91A41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碳酸钾</w:t>
                  </w:r>
                </w:p>
              </w:tc>
              <w:tc>
                <w:tcPr>
                  <w:tcW w:w="1521" w:type="dxa"/>
                  <w:gridSpan w:val="2"/>
                  <w:tcBorders>
                    <w:tl2br w:val="nil"/>
                    <w:tr2bl w:val="nil"/>
                  </w:tcBorders>
                  <w:shd w:val="clear" w:color="auto" w:fill="auto"/>
                  <w:vAlign w:val="center"/>
                </w:tcPr>
                <w:p w14:paraId="361BC89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270</w:t>
                  </w:r>
                </w:p>
              </w:tc>
              <w:tc>
                <w:tcPr>
                  <w:tcW w:w="712" w:type="dxa"/>
                  <w:gridSpan w:val="2"/>
                  <w:tcBorders>
                    <w:tl2br w:val="nil"/>
                    <w:tr2bl w:val="nil"/>
                  </w:tcBorders>
                  <w:vAlign w:val="center"/>
                </w:tcPr>
                <w:p w14:paraId="5B55241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58" w:type="dxa"/>
                  <w:tcBorders>
                    <w:tl2br w:val="nil"/>
                    <w:tr2bl w:val="nil"/>
                  </w:tcBorders>
                  <w:vAlign w:val="center"/>
                </w:tcPr>
                <w:p w14:paraId="3C76C8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有组织颗粒物</w:t>
                  </w:r>
                </w:p>
              </w:tc>
              <w:tc>
                <w:tcPr>
                  <w:tcW w:w="1199" w:type="dxa"/>
                  <w:gridSpan w:val="2"/>
                  <w:tcBorders>
                    <w:tl2br w:val="nil"/>
                    <w:tr2bl w:val="nil"/>
                  </w:tcBorders>
                  <w:vAlign w:val="center"/>
                </w:tcPr>
                <w:p w14:paraId="167A1C7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0.41</w:t>
                  </w:r>
                </w:p>
              </w:tc>
            </w:tr>
            <w:tr w14:paraId="47CFF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0459D7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4" w:type="dxa"/>
                  <w:gridSpan w:val="2"/>
                  <w:tcBorders>
                    <w:tl2br w:val="nil"/>
                    <w:tr2bl w:val="nil"/>
                  </w:tcBorders>
                  <w:shd w:val="clear" w:color="auto" w:fill="auto"/>
                  <w:vAlign w:val="center"/>
                </w:tcPr>
                <w:p w14:paraId="5C465A6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碳酸钡</w:t>
                  </w:r>
                </w:p>
              </w:tc>
              <w:tc>
                <w:tcPr>
                  <w:tcW w:w="1521" w:type="dxa"/>
                  <w:gridSpan w:val="2"/>
                  <w:tcBorders>
                    <w:tl2br w:val="nil"/>
                    <w:tr2bl w:val="nil"/>
                  </w:tcBorders>
                  <w:shd w:val="clear" w:color="auto" w:fill="auto"/>
                  <w:vAlign w:val="center"/>
                </w:tcPr>
                <w:p w14:paraId="24FD6D7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340</w:t>
                  </w:r>
                </w:p>
              </w:tc>
              <w:tc>
                <w:tcPr>
                  <w:tcW w:w="712" w:type="dxa"/>
                  <w:gridSpan w:val="2"/>
                  <w:tcBorders>
                    <w:tl2br w:val="nil"/>
                    <w:tr2bl w:val="nil"/>
                  </w:tcBorders>
                  <w:vAlign w:val="center"/>
                </w:tcPr>
                <w:p w14:paraId="3BA988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058" w:type="dxa"/>
                  <w:tcBorders>
                    <w:tl2br w:val="nil"/>
                    <w:tr2bl w:val="nil"/>
                  </w:tcBorders>
                  <w:vAlign w:val="center"/>
                </w:tcPr>
                <w:p w14:paraId="0342F0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无组织颗粒物</w:t>
                  </w:r>
                </w:p>
              </w:tc>
              <w:tc>
                <w:tcPr>
                  <w:tcW w:w="1199" w:type="dxa"/>
                  <w:gridSpan w:val="2"/>
                  <w:tcBorders>
                    <w:tl2br w:val="nil"/>
                    <w:tr2bl w:val="nil"/>
                  </w:tcBorders>
                  <w:vAlign w:val="center"/>
                </w:tcPr>
                <w:p w14:paraId="2BAC7E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2.36</w:t>
                  </w:r>
                </w:p>
              </w:tc>
            </w:tr>
            <w:tr w14:paraId="73A66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6A4B36E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24" w:type="dxa"/>
                  <w:gridSpan w:val="2"/>
                  <w:tcBorders>
                    <w:tl2br w:val="nil"/>
                    <w:tr2bl w:val="nil"/>
                  </w:tcBorders>
                  <w:shd w:val="clear" w:color="auto" w:fill="auto"/>
                  <w:vAlign w:val="center"/>
                </w:tcPr>
                <w:p w14:paraId="40F9D744">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纯碱（碳酸钠）</w:t>
                  </w:r>
                </w:p>
              </w:tc>
              <w:tc>
                <w:tcPr>
                  <w:tcW w:w="1521" w:type="dxa"/>
                  <w:gridSpan w:val="2"/>
                  <w:tcBorders>
                    <w:tl2br w:val="nil"/>
                    <w:tr2bl w:val="nil"/>
                  </w:tcBorders>
                  <w:shd w:val="clear" w:color="auto" w:fill="auto"/>
                  <w:vAlign w:val="center"/>
                </w:tcPr>
                <w:p w14:paraId="63B4A92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2398</w:t>
                  </w:r>
                </w:p>
              </w:tc>
              <w:tc>
                <w:tcPr>
                  <w:tcW w:w="712" w:type="dxa"/>
                  <w:gridSpan w:val="2"/>
                  <w:tcBorders>
                    <w:tl2br w:val="nil"/>
                    <w:tr2bl w:val="nil"/>
                  </w:tcBorders>
                  <w:vAlign w:val="center"/>
                </w:tcPr>
                <w:p w14:paraId="37C79C9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2058" w:type="dxa"/>
                  <w:tcBorders>
                    <w:tl2br w:val="nil"/>
                    <w:tr2bl w:val="nil"/>
                  </w:tcBorders>
                  <w:vAlign w:val="center"/>
                </w:tcPr>
                <w:p w14:paraId="59136C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布袋收尘</w:t>
                  </w:r>
                </w:p>
              </w:tc>
              <w:tc>
                <w:tcPr>
                  <w:tcW w:w="1199" w:type="dxa"/>
                  <w:gridSpan w:val="2"/>
                  <w:tcBorders>
                    <w:tl2br w:val="nil"/>
                    <w:tr2bl w:val="nil"/>
                  </w:tcBorders>
                  <w:vAlign w:val="center"/>
                </w:tcPr>
                <w:p w14:paraId="635EF9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40.64</w:t>
                  </w:r>
                </w:p>
              </w:tc>
            </w:tr>
            <w:tr w14:paraId="521C1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5BFDC3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24" w:type="dxa"/>
                  <w:gridSpan w:val="2"/>
                  <w:tcBorders>
                    <w:tl2br w:val="nil"/>
                    <w:tr2bl w:val="nil"/>
                  </w:tcBorders>
                  <w:shd w:val="clear" w:color="auto" w:fill="auto"/>
                  <w:vAlign w:val="center"/>
                </w:tcPr>
                <w:p w14:paraId="2570197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硼砂</w:t>
                  </w:r>
                </w:p>
              </w:tc>
              <w:tc>
                <w:tcPr>
                  <w:tcW w:w="1521" w:type="dxa"/>
                  <w:gridSpan w:val="2"/>
                  <w:tcBorders>
                    <w:tl2br w:val="nil"/>
                    <w:tr2bl w:val="nil"/>
                  </w:tcBorders>
                  <w:shd w:val="clear" w:color="auto" w:fill="auto"/>
                  <w:vAlign w:val="center"/>
                </w:tcPr>
                <w:p w14:paraId="77AB6C2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350</w:t>
                  </w:r>
                </w:p>
              </w:tc>
              <w:tc>
                <w:tcPr>
                  <w:tcW w:w="712" w:type="dxa"/>
                  <w:gridSpan w:val="2"/>
                  <w:tcBorders>
                    <w:tl2br w:val="nil"/>
                    <w:tr2bl w:val="nil"/>
                  </w:tcBorders>
                  <w:vAlign w:val="center"/>
                </w:tcPr>
                <w:p w14:paraId="10CD9A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058" w:type="dxa"/>
                  <w:tcBorders>
                    <w:tl2br w:val="nil"/>
                    <w:tr2bl w:val="nil"/>
                  </w:tcBorders>
                  <w:vAlign w:val="center"/>
                </w:tcPr>
                <w:p w14:paraId="1E5656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边角料</w:t>
                  </w:r>
                </w:p>
              </w:tc>
              <w:tc>
                <w:tcPr>
                  <w:tcW w:w="1199" w:type="dxa"/>
                  <w:gridSpan w:val="2"/>
                  <w:tcBorders>
                    <w:tl2br w:val="nil"/>
                    <w:tr2bl w:val="nil"/>
                  </w:tcBorders>
                  <w:vAlign w:val="center"/>
                </w:tcPr>
                <w:p w14:paraId="2AA114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r>
            <w:tr w14:paraId="39DFF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4C24F6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724" w:type="dxa"/>
                  <w:gridSpan w:val="2"/>
                  <w:tcBorders>
                    <w:tl2br w:val="nil"/>
                    <w:tr2bl w:val="nil"/>
                  </w:tcBorders>
                  <w:shd w:val="clear" w:color="auto" w:fill="auto"/>
                  <w:vAlign w:val="center"/>
                </w:tcPr>
                <w:p w14:paraId="4A2DE7B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碳酸钙</w:t>
                  </w:r>
                </w:p>
              </w:tc>
              <w:tc>
                <w:tcPr>
                  <w:tcW w:w="1521" w:type="dxa"/>
                  <w:gridSpan w:val="2"/>
                  <w:tcBorders>
                    <w:tl2br w:val="nil"/>
                    <w:tr2bl w:val="nil"/>
                  </w:tcBorders>
                  <w:shd w:val="clear" w:color="auto" w:fill="auto"/>
                  <w:vAlign w:val="center"/>
                </w:tcPr>
                <w:p w14:paraId="6E87A07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905</w:t>
                  </w:r>
                </w:p>
              </w:tc>
              <w:tc>
                <w:tcPr>
                  <w:tcW w:w="712" w:type="dxa"/>
                  <w:gridSpan w:val="2"/>
                  <w:tcBorders>
                    <w:tl2br w:val="nil"/>
                    <w:tr2bl w:val="nil"/>
                  </w:tcBorders>
                  <w:vAlign w:val="center"/>
                </w:tcPr>
                <w:p w14:paraId="453629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058" w:type="dxa"/>
                  <w:tcBorders>
                    <w:tl2br w:val="nil"/>
                    <w:tr2bl w:val="nil"/>
                  </w:tcBorders>
                  <w:vAlign w:val="center"/>
                </w:tcPr>
                <w:p w14:paraId="59F7F6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残次品</w:t>
                  </w:r>
                </w:p>
              </w:tc>
              <w:tc>
                <w:tcPr>
                  <w:tcW w:w="1199" w:type="dxa"/>
                  <w:gridSpan w:val="2"/>
                  <w:tcBorders>
                    <w:tl2br w:val="nil"/>
                    <w:tr2bl w:val="nil"/>
                  </w:tcBorders>
                  <w:vAlign w:val="center"/>
                </w:tcPr>
                <w:p w14:paraId="7FAB84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r>
            <w:tr w14:paraId="69D4E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0A93C8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724" w:type="dxa"/>
                  <w:gridSpan w:val="2"/>
                  <w:tcBorders>
                    <w:tl2br w:val="nil"/>
                    <w:tr2bl w:val="nil"/>
                  </w:tcBorders>
                  <w:shd w:val="clear" w:color="auto" w:fill="auto"/>
                  <w:vAlign w:val="center"/>
                </w:tcPr>
                <w:p w14:paraId="32EEF79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氧化镁</w:t>
                  </w:r>
                </w:p>
              </w:tc>
              <w:tc>
                <w:tcPr>
                  <w:tcW w:w="1521" w:type="dxa"/>
                  <w:gridSpan w:val="2"/>
                  <w:tcBorders>
                    <w:tl2br w:val="nil"/>
                    <w:tr2bl w:val="nil"/>
                  </w:tcBorders>
                  <w:shd w:val="clear" w:color="auto" w:fill="auto"/>
                  <w:vAlign w:val="center"/>
                </w:tcPr>
                <w:p w14:paraId="0000AF5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185</w:t>
                  </w:r>
                </w:p>
              </w:tc>
              <w:tc>
                <w:tcPr>
                  <w:tcW w:w="712" w:type="dxa"/>
                  <w:gridSpan w:val="2"/>
                  <w:tcBorders>
                    <w:tl2br w:val="nil"/>
                    <w:tr2bl w:val="nil"/>
                  </w:tcBorders>
                  <w:vAlign w:val="center"/>
                </w:tcPr>
                <w:p w14:paraId="5A3850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058" w:type="dxa"/>
                  <w:tcBorders>
                    <w:tl2br w:val="nil"/>
                    <w:tr2bl w:val="nil"/>
                  </w:tcBorders>
                  <w:vAlign w:val="center"/>
                </w:tcPr>
                <w:p w14:paraId="700488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沉渣</w:t>
                  </w:r>
                </w:p>
              </w:tc>
              <w:tc>
                <w:tcPr>
                  <w:tcW w:w="1199" w:type="dxa"/>
                  <w:gridSpan w:val="2"/>
                  <w:tcBorders>
                    <w:tl2br w:val="nil"/>
                    <w:tr2bl w:val="nil"/>
                  </w:tcBorders>
                  <w:vAlign w:val="center"/>
                </w:tcPr>
                <w:p w14:paraId="3DD128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7.68</w:t>
                  </w:r>
                </w:p>
              </w:tc>
            </w:tr>
            <w:tr w14:paraId="76608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shd w:val="clear" w:color="auto" w:fill="auto"/>
                  <w:vAlign w:val="center"/>
                </w:tcPr>
                <w:p w14:paraId="64519F8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724" w:type="dxa"/>
                  <w:gridSpan w:val="2"/>
                  <w:tcBorders>
                    <w:tl2br w:val="nil"/>
                    <w:tr2bl w:val="nil"/>
                  </w:tcBorders>
                  <w:shd w:val="clear" w:color="auto" w:fill="auto"/>
                  <w:vAlign w:val="center"/>
                </w:tcPr>
                <w:p w14:paraId="3F343FE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钛白粉</w:t>
                  </w:r>
                </w:p>
              </w:tc>
              <w:tc>
                <w:tcPr>
                  <w:tcW w:w="1521" w:type="dxa"/>
                  <w:gridSpan w:val="2"/>
                  <w:tcBorders>
                    <w:tl2br w:val="nil"/>
                    <w:tr2bl w:val="nil"/>
                  </w:tcBorders>
                  <w:shd w:val="clear" w:color="auto" w:fill="auto"/>
                  <w:vAlign w:val="center"/>
                </w:tcPr>
                <w:p w14:paraId="62B8ECB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185</w:t>
                  </w:r>
                </w:p>
              </w:tc>
              <w:tc>
                <w:tcPr>
                  <w:tcW w:w="712" w:type="dxa"/>
                  <w:gridSpan w:val="2"/>
                  <w:tcBorders>
                    <w:tl2br w:val="nil"/>
                    <w:tr2bl w:val="nil"/>
                  </w:tcBorders>
                  <w:shd w:val="clear" w:color="auto" w:fill="auto"/>
                  <w:vAlign w:val="center"/>
                </w:tcPr>
                <w:p w14:paraId="78E6A20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2058" w:type="dxa"/>
                  <w:tcBorders>
                    <w:tl2br w:val="nil"/>
                    <w:tr2bl w:val="nil"/>
                  </w:tcBorders>
                  <w:shd w:val="clear" w:color="auto" w:fill="auto"/>
                  <w:vAlign w:val="center"/>
                </w:tcPr>
                <w:p w14:paraId="7F5C82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熔炼损耗（主要为碳酸钠）</w:t>
                  </w:r>
                </w:p>
              </w:tc>
              <w:tc>
                <w:tcPr>
                  <w:tcW w:w="1199" w:type="dxa"/>
                  <w:gridSpan w:val="2"/>
                  <w:tcBorders>
                    <w:tl2br w:val="nil"/>
                    <w:tr2bl w:val="nil"/>
                  </w:tcBorders>
                  <w:shd w:val="clear" w:color="auto" w:fill="auto"/>
                  <w:vAlign w:val="center"/>
                </w:tcPr>
                <w:p w14:paraId="388041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eastAsia" w:cs="Times New Roman"/>
                      <w:i w:val="0"/>
                      <w:iCs w:val="0"/>
                      <w:color w:val="auto"/>
                      <w:kern w:val="0"/>
                      <w:sz w:val="21"/>
                      <w:szCs w:val="21"/>
                      <w:highlight w:val="none"/>
                      <w:u w:val="none"/>
                      <w:lang w:val="en-US" w:eastAsia="zh-CN" w:bidi="ar"/>
                    </w:rPr>
                    <w:t>68.91</w:t>
                  </w:r>
                </w:p>
              </w:tc>
            </w:tr>
            <w:tr w14:paraId="1724F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shd w:val="clear" w:color="auto" w:fill="auto"/>
                  <w:vAlign w:val="center"/>
                </w:tcPr>
                <w:p w14:paraId="0684A0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724" w:type="dxa"/>
                  <w:gridSpan w:val="2"/>
                  <w:tcBorders>
                    <w:tl2br w:val="nil"/>
                    <w:tr2bl w:val="nil"/>
                  </w:tcBorders>
                  <w:shd w:val="clear" w:color="auto" w:fill="auto"/>
                  <w:vAlign w:val="center"/>
                </w:tcPr>
                <w:p w14:paraId="05EEE24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氧化铈</w:t>
                  </w:r>
                </w:p>
              </w:tc>
              <w:tc>
                <w:tcPr>
                  <w:tcW w:w="1521" w:type="dxa"/>
                  <w:gridSpan w:val="2"/>
                  <w:tcBorders>
                    <w:tl2br w:val="nil"/>
                    <w:tr2bl w:val="nil"/>
                  </w:tcBorders>
                  <w:shd w:val="clear" w:color="auto" w:fill="auto"/>
                  <w:vAlign w:val="center"/>
                </w:tcPr>
                <w:p w14:paraId="3E8D53C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327</w:t>
                  </w:r>
                </w:p>
              </w:tc>
              <w:tc>
                <w:tcPr>
                  <w:tcW w:w="712" w:type="dxa"/>
                  <w:gridSpan w:val="2"/>
                  <w:tcBorders>
                    <w:tl2br w:val="nil"/>
                    <w:tr2bl w:val="nil"/>
                  </w:tcBorders>
                  <w:shd w:val="clear" w:color="auto" w:fill="auto"/>
                  <w:vAlign w:val="center"/>
                </w:tcPr>
                <w:p w14:paraId="6CC59D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058" w:type="dxa"/>
                  <w:tcBorders>
                    <w:tl2br w:val="nil"/>
                    <w:tr2bl w:val="nil"/>
                  </w:tcBorders>
                  <w:shd w:val="clear" w:color="auto" w:fill="auto"/>
                  <w:vAlign w:val="center"/>
                </w:tcPr>
                <w:p w14:paraId="465BBB2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99" w:type="dxa"/>
                  <w:gridSpan w:val="2"/>
                  <w:tcBorders>
                    <w:tl2br w:val="nil"/>
                    <w:tr2bl w:val="nil"/>
                  </w:tcBorders>
                  <w:shd w:val="clear" w:color="auto" w:fill="auto"/>
                  <w:vAlign w:val="center"/>
                </w:tcPr>
                <w:p w14:paraId="6369BB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57E4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07A3B6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724" w:type="dxa"/>
                  <w:gridSpan w:val="2"/>
                  <w:tcBorders>
                    <w:tl2br w:val="nil"/>
                    <w:tr2bl w:val="nil"/>
                  </w:tcBorders>
                  <w:shd w:val="clear" w:color="auto" w:fill="auto"/>
                  <w:vAlign w:val="center"/>
                </w:tcPr>
                <w:p w14:paraId="6BA5E1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布袋收尘</w:t>
                  </w:r>
                </w:p>
              </w:tc>
              <w:tc>
                <w:tcPr>
                  <w:tcW w:w="1521" w:type="dxa"/>
                  <w:gridSpan w:val="2"/>
                  <w:tcBorders>
                    <w:tl2br w:val="nil"/>
                    <w:tr2bl w:val="nil"/>
                  </w:tcBorders>
                  <w:shd w:val="clear" w:color="auto" w:fill="auto"/>
                  <w:vAlign w:val="center"/>
                </w:tcPr>
                <w:p w14:paraId="190B5EA2">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highlight w:val="green"/>
                      <w:lang w:val="en-US" w:eastAsia="zh-CN" w:bidi="ar-SA"/>
                    </w:rPr>
                  </w:pPr>
                  <w:r>
                    <w:rPr>
                      <w:rFonts w:hint="eastAsia" w:cs="Times New Roman"/>
                      <w:i w:val="0"/>
                      <w:iCs w:val="0"/>
                      <w:color w:val="auto"/>
                      <w:kern w:val="0"/>
                      <w:sz w:val="21"/>
                      <w:szCs w:val="21"/>
                      <w:highlight w:val="none"/>
                      <w:u w:val="none"/>
                      <w:lang w:val="en-US" w:eastAsia="zh-CN" w:bidi="ar"/>
                    </w:rPr>
                    <w:t>40.64</w:t>
                  </w:r>
                </w:p>
              </w:tc>
              <w:tc>
                <w:tcPr>
                  <w:tcW w:w="712" w:type="dxa"/>
                  <w:gridSpan w:val="2"/>
                  <w:tcBorders>
                    <w:tl2br w:val="nil"/>
                    <w:tr2bl w:val="nil"/>
                  </w:tcBorders>
                  <w:vAlign w:val="center"/>
                </w:tcPr>
                <w:p w14:paraId="456693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2058" w:type="dxa"/>
                  <w:tcBorders>
                    <w:tl2br w:val="nil"/>
                    <w:tr2bl w:val="nil"/>
                  </w:tcBorders>
                  <w:shd w:val="clear" w:color="auto" w:fill="auto"/>
                  <w:vAlign w:val="center"/>
                </w:tcPr>
                <w:p w14:paraId="793E61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99" w:type="dxa"/>
                  <w:gridSpan w:val="2"/>
                  <w:tcBorders>
                    <w:tl2br w:val="nil"/>
                    <w:tr2bl w:val="nil"/>
                  </w:tcBorders>
                  <w:shd w:val="clear" w:color="auto" w:fill="auto"/>
                  <w:vAlign w:val="center"/>
                </w:tcPr>
                <w:p w14:paraId="367AC9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5275A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0CD71F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724" w:type="dxa"/>
                  <w:gridSpan w:val="2"/>
                  <w:tcBorders>
                    <w:tl2br w:val="nil"/>
                    <w:tr2bl w:val="nil"/>
                  </w:tcBorders>
                  <w:shd w:val="clear" w:color="auto" w:fill="auto"/>
                  <w:vAlign w:val="center"/>
                </w:tcPr>
                <w:p w14:paraId="18ABFC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边角料</w:t>
                  </w:r>
                </w:p>
              </w:tc>
              <w:tc>
                <w:tcPr>
                  <w:tcW w:w="1521" w:type="dxa"/>
                  <w:gridSpan w:val="2"/>
                  <w:tcBorders>
                    <w:tl2br w:val="nil"/>
                    <w:tr2bl w:val="nil"/>
                  </w:tcBorders>
                  <w:shd w:val="clear" w:color="auto" w:fill="auto"/>
                  <w:vAlign w:val="center"/>
                </w:tcPr>
                <w:p w14:paraId="1906A7B9">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highlight w:val="green"/>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712" w:type="dxa"/>
                  <w:gridSpan w:val="2"/>
                  <w:tcBorders>
                    <w:tl2br w:val="nil"/>
                    <w:tr2bl w:val="nil"/>
                  </w:tcBorders>
                  <w:vAlign w:val="center"/>
                </w:tcPr>
                <w:p w14:paraId="01ACA6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2058" w:type="dxa"/>
                  <w:tcBorders>
                    <w:tl2br w:val="nil"/>
                    <w:tr2bl w:val="nil"/>
                  </w:tcBorders>
                  <w:shd w:val="clear" w:color="auto" w:fill="auto"/>
                  <w:vAlign w:val="center"/>
                </w:tcPr>
                <w:p w14:paraId="4F93A8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99" w:type="dxa"/>
                  <w:gridSpan w:val="2"/>
                  <w:tcBorders>
                    <w:tl2br w:val="nil"/>
                    <w:tr2bl w:val="nil"/>
                  </w:tcBorders>
                  <w:shd w:val="clear" w:color="auto" w:fill="auto"/>
                  <w:vAlign w:val="center"/>
                </w:tcPr>
                <w:p w14:paraId="483A30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68661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16" w:type="dxa"/>
                  <w:tcBorders>
                    <w:tl2br w:val="nil"/>
                    <w:tr2bl w:val="nil"/>
                  </w:tcBorders>
                  <w:vAlign w:val="center"/>
                </w:tcPr>
                <w:p w14:paraId="3C96CF8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724" w:type="dxa"/>
                  <w:gridSpan w:val="2"/>
                  <w:tcBorders>
                    <w:tl2br w:val="nil"/>
                    <w:tr2bl w:val="nil"/>
                  </w:tcBorders>
                  <w:shd w:val="clear" w:color="auto" w:fill="auto"/>
                  <w:vAlign w:val="center"/>
                </w:tcPr>
                <w:p w14:paraId="68DD1E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残次品</w:t>
                  </w:r>
                </w:p>
              </w:tc>
              <w:tc>
                <w:tcPr>
                  <w:tcW w:w="1521" w:type="dxa"/>
                  <w:gridSpan w:val="2"/>
                  <w:tcBorders>
                    <w:tl2br w:val="nil"/>
                    <w:tr2bl w:val="nil"/>
                  </w:tcBorders>
                  <w:shd w:val="clear" w:color="auto" w:fill="auto"/>
                  <w:vAlign w:val="center"/>
                </w:tcPr>
                <w:p w14:paraId="11D253E2">
                  <w:pPr>
                    <w:keepNext w:val="0"/>
                    <w:keepLines w:val="0"/>
                    <w:widowControl/>
                    <w:suppressLineNumbers w:val="0"/>
                    <w:jc w:val="center"/>
                    <w:textAlignment w:val="center"/>
                    <w:rPr>
                      <w:rFonts w:hint="default" w:ascii="Times New Roman" w:hAnsi="Times New Roman" w:eastAsia="宋体" w:cs="Times New Roman"/>
                      <w:color w:val="auto"/>
                      <w:spacing w:val="6"/>
                      <w:kern w:val="2"/>
                      <w:sz w:val="21"/>
                      <w:szCs w:val="21"/>
                      <w:highlight w:val="green"/>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712" w:type="dxa"/>
                  <w:gridSpan w:val="2"/>
                  <w:tcBorders>
                    <w:tl2br w:val="nil"/>
                    <w:tr2bl w:val="nil"/>
                  </w:tcBorders>
                  <w:vAlign w:val="center"/>
                </w:tcPr>
                <w:p w14:paraId="511DEC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2058" w:type="dxa"/>
                  <w:tcBorders>
                    <w:tl2br w:val="nil"/>
                    <w:tr2bl w:val="nil"/>
                  </w:tcBorders>
                  <w:shd w:val="clear" w:color="auto" w:fill="auto"/>
                  <w:vAlign w:val="center"/>
                </w:tcPr>
                <w:p w14:paraId="170BE1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199" w:type="dxa"/>
                  <w:gridSpan w:val="2"/>
                  <w:tcBorders>
                    <w:tl2br w:val="nil"/>
                    <w:tr2bl w:val="nil"/>
                  </w:tcBorders>
                  <w:shd w:val="clear" w:color="auto" w:fill="auto"/>
                  <w:vAlign w:val="center"/>
                </w:tcPr>
                <w:p w14:paraId="7F4A2A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7D902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2440" w:type="dxa"/>
                  <w:gridSpan w:val="3"/>
                  <w:tcBorders>
                    <w:tl2br w:val="nil"/>
                    <w:tr2bl w:val="nil"/>
                  </w:tcBorders>
                  <w:vAlign w:val="center"/>
                </w:tcPr>
                <w:p w14:paraId="453FFA47">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521" w:type="dxa"/>
                  <w:gridSpan w:val="2"/>
                  <w:tcBorders>
                    <w:tl2br w:val="nil"/>
                    <w:tr2bl w:val="nil"/>
                  </w:tcBorders>
                  <w:vAlign w:val="center"/>
                </w:tcPr>
                <w:p w14:paraId="461EAF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16720</w:t>
                  </w:r>
                </w:p>
              </w:tc>
              <w:tc>
                <w:tcPr>
                  <w:tcW w:w="2770" w:type="dxa"/>
                  <w:gridSpan w:val="3"/>
                  <w:tcBorders>
                    <w:tl2br w:val="nil"/>
                    <w:tr2bl w:val="nil"/>
                  </w:tcBorders>
                  <w:vAlign w:val="center"/>
                </w:tcPr>
                <w:p w14:paraId="47E7CDDE">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199" w:type="dxa"/>
                  <w:gridSpan w:val="2"/>
                  <w:tcBorders>
                    <w:tl2br w:val="nil"/>
                    <w:tr2bl w:val="nil"/>
                  </w:tcBorders>
                  <w:vAlign w:val="center"/>
                </w:tcPr>
                <w:p w14:paraId="2BB7F6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lang w:val="en-US" w:eastAsia="zh-CN"/>
                    </w:rPr>
                    <w:t>16720</w:t>
                  </w:r>
                </w:p>
              </w:tc>
            </w:tr>
            <w:tr w14:paraId="5DBF9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930" w:type="dxa"/>
                  <w:gridSpan w:val="10"/>
                  <w:tcBorders>
                    <w:tl2br w:val="nil"/>
                    <w:tr2bl w:val="nil"/>
                  </w:tcBorders>
                  <w:vAlign w:val="center"/>
                </w:tcPr>
                <w:p w14:paraId="7E2C51FD">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吸塑片</w:t>
                  </w:r>
                  <w:r>
                    <w:rPr>
                      <w:rFonts w:hint="default" w:ascii="Times New Roman" w:hAnsi="Times New Roman" w:eastAsia="宋体" w:cs="Times New Roman"/>
                      <w:b/>
                      <w:bCs/>
                      <w:color w:val="auto"/>
                      <w:spacing w:val="6"/>
                      <w:sz w:val="21"/>
                      <w:szCs w:val="21"/>
                      <w:highlight w:val="none"/>
                    </w:rPr>
                    <w:t>生产</w:t>
                  </w:r>
                </w:p>
              </w:tc>
            </w:tr>
            <w:tr w14:paraId="78D5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16B3B7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4" w:type="dxa"/>
                  <w:gridSpan w:val="2"/>
                  <w:tcBorders>
                    <w:tl2br w:val="nil"/>
                    <w:tr2bl w:val="nil"/>
                  </w:tcBorders>
                  <w:shd w:val="clear" w:color="auto" w:fill="auto"/>
                  <w:vAlign w:val="center"/>
                </w:tcPr>
                <w:p w14:paraId="3F5EE5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PVC颗粒（聚氯乙烯</w:t>
                  </w:r>
                  <w:r>
                    <w:rPr>
                      <w:rFonts w:hint="eastAsia" w:cs="Times New Roman"/>
                      <w:color w:val="auto"/>
                      <w:sz w:val="21"/>
                      <w:szCs w:val="21"/>
                      <w:highlight w:val="none"/>
                      <w:lang w:val="en-US" w:eastAsia="zh-CN"/>
                    </w:rPr>
                    <w:t>树脂</w:t>
                  </w:r>
                  <w:r>
                    <w:rPr>
                      <w:rFonts w:hint="default" w:ascii="Times New Roman" w:hAnsi="Times New Roman" w:eastAsia="宋体" w:cs="Times New Roman"/>
                      <w:color w:val="auto"/>
                      <w:sz w:val="21"/>
                      <w:szCs w:val="21"/>
                      <w:highlight w:val="none"/>
                      <w:lang w:val="en-US" w:eastAsia="zh-CN"/>
                    </w:rPr>
                    <w:t>）</w:t>
                  </w:r>
                </w:p>
              </w:tc>
              <w:tc>
                <w:tcPr>
                  <w:tcW w:w="1521" w:type="dxa"/>
                  <w:gridSpan w:val="2"/>
                  <w:tcBorders>
                    <w:tl2br w:val="nil"/>
                    <w:tr2bl w:val="nil"/>
                  </w:tcBorders>
                  <w:shd w:val="clear" w:color="auto" w:fill="auto"/>
                  <w:vAlign w:val="center"/>
                </w:tcPr>
                <w:p w14:paraId="264CE8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3669.74</w:t>
                  </w:r>
                </w:p>
              </w:tc>
              <w:tc>
                <w:tcPr>
                  <w:tcW w:w="708" w:type="dxa"/>
                  <w:tcBorders>
                    <w:tl2br w:val="nil"/>
                    <w:tr2bl w:val="nil"/>
                  </w:tcBorders>
                  <w:vAlign w:val="center"/>
                </w:tcPr>
                <w:p w14:paraId="394764C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58" w:type="dxa"/>
                  <w:tcBorders>
                    <w:tl2br w:val="nil"/>
                    <w:tr2bl w:val="nil"/>
                  </w:tcBorders>
                  <w:vAlign w:val="center"/>
                </w:tcPr>
                <w:p w14:paraId="04F409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吸塑片</w:t>
                  </w:r>
                </w:p>
              </w:tc>
              <w:tc>
                <w:tcPr>
                  <w:tcW w:w="1204" w:type="dxa"/>
                  <w:gridSpan w:val="3"/>
                  <w:tcBorders>
                    <w:tl2br w:val="nil"/>
                    <w:tr2bl w:val="nil"/>
                  </w:tcBorders>
                  <w:vAlign w:val="center"/>
                </w:tcPr>
                <w:p w14:paraId="1A24918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4000</w:t>
                  </w:r>
                </w:p>
              </w:tc>
            </w:tr>
            <w:tr w14:paraId="05749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B2D54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4" w:type="dxa"/>
                  <w:gridSpan w:val="2"/>
                  <w:tcBorders>
                    <w:tl2br w:val="nil"/>
                    <w:tr2bl w:val="nil"/>
                  </w:tcBorders>
                  <w:shd w:val="clear" w:color="auto" w:fill="auto"/>
                  <w:vAlign w:val="center"/>
                </w:tcPr>
                <w:p w14:paraId="43EF2C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甲基锡稳定剂（RS-181）</w:t>
                  </w:r>
                </w:p>
              </w:tc>
              <w:tc>
                <w:tcPr>
                  <w:tcW w:w="1521" w:type="dxa"/>
                  <w:gridSpan w:val="2"/>
                  <w:tcBorders>
                    <w:tl2br w:val="nil"/>
                    <w:tr2bl w:val="nil"/>
                  </w:tcBorders>
                  <w:shd w:val="clear" w:color="auto" w:fill="auto"/>
                  <w:vAlign w:val="center"/>
                </w:tcPr>
                <w:p w14:paraId="7579C3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708" w:type="dxa"/>
                  <w:tcBorders>
                    <w:tl2br w:val="nil"/>
                    <w:tr2bl w:val="nil"/>
                  </w:tcBorders>
                  <w:vAlign w:val="center"/>
                </w:tcPr>
                <w:p w14:paraId="5AA389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58" w:type="dxa"/>
                  <w:tcBorders>
                    <w:tl2br w:val="nil"/>
                    <w:tr2bl w:val="nil"/>
                  </w:tcBorders>
                  <w:vAlign w:val="center"/>
                </w:tcPr>
                <w:p w14:paraId="6AC57B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有组织颗粒物</w:t>
                  </w:r>
                </w:p>
              </w:tc>
              <w:tc>
                <w:tcPr>
                  <w:tcW w:w="1204" w:type="dxa"/>
                  <w:gridSpan w:val="3"/>
                  <w:tcBorders>
                    <w:tl2br w:val="nil"/>
                    <w:tr2bl w:val="nil"/>
                  </w:tcBorders>
                  <w:vAlign w:val="center"/>
                </w:tcPr>
                <w:p w14:paraId="424206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0.2</w:t>
                  </w:r>
                </w:p>
              </w:tc>
            </w:tr>
            <w:tr w14:paraId="50166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C914C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4" w:type="dxa"/>
                  <w:gridSpan w:val="2"/>
                  <w:tcBorders>
                    <w:tl2br w:val="nil"/>
                    <w:tr2bl w:val="nil"/>
                  </w:tcBorders>
                  <w:shd w:val="clear" w:color="auto" w:fill="auto"/>
                  <w:vAlign w:val="center"/>
                </w:tcPr>
                <w:p w14:paraId="2AEE47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增强剂M-41</w:t>
                  </w:r>
                </w:p>
              </w:tc>
              <w:tc>
                <w:tcPr>
                  <w:tcW w:w="1521" w:type="dxa"/>
                  <w:gridSpan w:val="2"/>
                  <w:tcBorders>
                    <w:tl2br w:val="nil"/>
                    <w:tr2bl w:val="nil"/>
                  </w:tcBorders>
                  <w:shd w:val="clear" w:color="auto" w:fill="auto"/>
                  <w:vAlign w:val="center"/>
                </w:tcPr>
                <w:p w14:paraId="251DC6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708" w:type="dxa"/>
                  <w:tcBorders>
                    <w:tl2br w:val="nil"/>
                    <w:tr2bl w:val="nil"/>
                  </w:tcBorders>
                  <w:vAlign w:val="center"/>
                </w:tcPr>
                <w:p w14:paraId="44E999D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058" w:type="dxa"/>
                  <w:tcBorders>
                    <w:tl2br w:val="nil"/>
                    <w:tr2bl w:val="nil"/>
                  </w:tcBorders>
                  <w:vAlign w:val="center"/>
                </w:tcPr>
                <w:p w14:paraId="55C050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无组织颗粒物</w:t>
                  </w:r>
                </w:p>
              </w:tc>
              <w:tc>
                <w:tcPr>
                  <w:tcW w:w="1204" w:type="dxa"/>
                  <w:gridSpan w:val="3"/>
                  <w:tcBorders>
                    <w:tl2br w:val="nil"/>
                    <w:tr2bl w:val="nil"/>
                  </w:tcBorders>
                  <w:vAlign w:val="center"/>
                </w:tcPr>
                <w:p w14:paraId="46E564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3.61</w:t>
                  </w:r>
                </w:p>
              </w:tc>
            </w:tr>
            <w:tr w14:paraId="0078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3E531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24" w:type="dxa"/>
                  <w:gridSpan w:val="2"/>
                  <w:tcBorders>
                    <w:tl2br w:val="nil"/>
                    <w:tr2bl w:val="nil"/>
                  </w:tcBorders>
                  <w:shd w:val="clear" w:color="auto" w:fill="auto"/>
                  <w:vAlign w:val="center"/>
                </w:tcPr>
                <w:p w14:paraId="1E99B4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加工助剂P-201</w:t>
                  </w:r>
                </w:p>
              </w:tc>
              <w:tc>
                <w:tcPr>
                  <w:tcW w:w="1521" w:type="dxa"/>
                  <w:gridSpan w:val="2"/>
                  <w:tcBorders>
                    <w:tl2br w:val="nil"/>
                    <w:tr2bl w:val="nil"/>
                  </w:tcBorders>
                  <w:shd w:val="clear" w:color="auto" w:fill="auto"/>
                  <w:vAlign w:val="center"/>
                </w:tcPr>
                <w:p w14:paraId="30C3A48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40.07</w:t>
                  </w:r>
                </w:p>
              </w:tc>
              <w:tc>
                <w:tcPr>
                  <w:tcW w:w="708" w:type="dxa"/>
                  <w:tcBorders>
                    <w:tl2br w:val="nil"/>
                    <w:tr2bl w:val="nil"/>
                  </w:tcBorders>
                  <w:vAlign w:val="center"/>
                </w:tcPr>
                <w:p w14:paraId="645F03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058" w:type="dxa"/>
                  <w:tcBorders>
                    <w:tl2br w:val="nil"/>
                    <w:tr2bl w:val="nil"/>
                  </w:tcBorders>
                  <w:vAlign w:val="center"/>
                </w:tcPr>
                <w:p w14:paraId="0F1988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有组织有机废气</w:t>
                  </w:r>
                </w:p>
              </w:tc>
              <w:tc>
                <w:tcPr>
                  <w:tcW w:w="1204" w:type="dxa"/>
                  <w:gridSpan w:val="3"/>
                  <w:tcBorders>
                    <w:tl2br w:val="nil"/>
                    <w:tr2bl w:val="nil"/>
                  </w:tcBorders>
                  <w:vAlign w:val="center"/>
                </w:tcPr>
                <w:p w14:paraId="2FE4B5C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2.04</w:t>
                  </w:r>
                </w:p>
              </w:tc>
            </w:tr>
            <w:tr w14:paraId="160AB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14967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24" w:type="dxa"/>
                  <w:gridSpan w:val="2"/>
                  <w:tcBorders>
                    <w:tl2br w:val="nil"/>
                    <w:tr2bl w:val="nil"/>
                  </w:tcBorders>
                  <w:shd w:val="clear" w:color="auto" w:fill="auto"/>
                  <w:vAlign w:val="center"/>
                </w:tcPr>
                <w:p w14:paraId="43668B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内润滑剂OK-60</w:t>
                  </w:r>
                </w:p>
              </w:tc>
              <w:tc>
                <w:tcPr>
                  <w:tcW w:w="1521" w:type="dxa"/>
                  <w:gridSpan w:val="2"/>
                  <w:tcBorders>
                    <w:tl2br w:val="nil"/>
                    <w:tr2bl w:val="nil"/>
                  </w:tcBorders>
                  <w:shd w:val="clear" w:color="auto" w:fill="auto"/>
                  <w:vAlign w:val="center"/>
                </w:tcPr>
                <w:p w14:paraId="5A4B6E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708" w:type="dxa"/>
                  <w:tcBorders>
                    <w:tl2br w:val="nil"/>
                    <w:tr2bl w:val="nil"/>
                  </w:tcBorders>
                  <w:vAlign w:val="center"/>
                </w:tcPr>
                <w:p w14:paraId="4621CE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058" w:type="dxa"/>
                  <w:tcBorders>
                    <w:tl2br w:val="nil"/>
                    <w:tr2bl w:val="nil"/>
                  </w:tcBorders>
                  <w:vAlign w:val="center"/>
                </w:tcPr>
                <w:p w14:paraId="68720D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无组织有机废气</w:t>
                  </w:r>
                </w:p>
              </w:tc>
              <w:tc>
                <w:tcPr>
                  <w:tcW w:w="1204" w:type="dxa"/>
                  <w:gridSpan w:val="3"/>
                  <w:tcBorders>
                    <w:tl2br w:val="nil"/>
                    <w:tr2bl w:val="nil"/>
                  </w:tcBorders>
                  <w:vAlign w:val="center"/>
                </w:tcPr>
                <w:p w14:paraId="4B2E10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w:t>
                  </w:r>
                </w:p>
              </w:tc>
            </w:tr>
            <w:tr w14:paraId="6A01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FE718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724" w:type="dxa"/>
                  <w:gridSpan w:val="2"/>
                  <w:tcBorders>
                    <w:tl2br w:val="nil"/>
                    <w:tr2bl w:val="nil"/>
                  </w:tcBorders>
                  <w:shd w:val="clear" w:color="auto" w:fill="auto"/>
                  <w:vAlign w:val="center"/>
                </w:tcPr>
                <w:p w14:paraId="2618A86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外润滑剂OK-70S</w:t>
                  </w:r>
                </w:p>
              </w:tc>
              <w:tc>
                <w:tcPr>
                  <w:tcW w:w="1521" w:type="dxa"/>
                  <w:gridSpan w:val="2"/>
                  <w:tcBorders>
                    <w:tl2br w:val="nil"/>
                    <w:tr2bl w:val="nil"/>
                  </w:tcBorders>
                  <w:shd w:val="clear" w:color="auto" w:fill="auto"/>
                  <w:vAlign w:val="center"/>
                </w:tcPr>
                <w:p w14:paraId="4A777C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708" w:type="dxa"/>
                  <w:tcBorders>
                    <w:tl2br w:val="nil"/>
                    <w:tr2bl w:val="nil"/>
                  </w:tcBorders>
                  <w:vAlign w:val="center"/>
                </w:tcPr>
                <w:p w14:paraId="1C93CF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058" w:type="dxa"/>
                  <w:tcBorders>
                    <w:tl2br w:val="nil"/>
                    <w:tr2bl w:val="nil"/>
                  </w:tcBorders>
                  <w:vAlign w:val="center"/>
                </w:tcPr>
                <w:p w14:paraId="540042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布袋收尘</w:t>
                  </w:r>
                </w:p>
              </w:tc>
              <w:tc>
                <w:tcPr>
                  <w:tcW w:w="1204" w:type="dxa"/>
                  <w:gridSpan w:val="3"/>
                  <w:tcBorders>
                    <w:tl2br w:val="nil"/>
                    <w:tr2bl w:val="nil"/>
                  </w:tcBorders>
                  <w:vAlign w:val="center"/>
                </w:tcPr>
                <w:p w14:paraId="153407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20.26</w:t>
                  </w:r>
                </w:p>
              </w:tc>
            </w:tr>
            <w:tr w14:paraId="4C534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08FAD6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724" w:type="dxa"/>
                  <w:gridSpan w:val="2"/>
                  <w:tcBorders>
                    <w:tl2br w:val="nil"/>
                    <w:tr2bl w:val="nil"/>
                  </w:tcBorders>
                  <w:shd w:val="clear" w:color="auto" w:fill="auto"/>
                  <w:vAlign w:val="center"/>
                </w:tcPr>
                <w:p w14:paraId="6BE8C6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rPr>
                    <w:t>布袋收尘</w:t>
                  </w:r>
                </w:p>
              </w:tc>
              <w:tc>
                <w:tcPr>
                  <w:tcW w:w="1521" w:type="dxa"/>
                  <w:gridSpan w:val="2"/>
                  <w:tcBorders>
                    <w:tl2br w:val="nil"/>
                    <w:tr2bl w:val="nil"/>
                  </w:tcBorders>
                  <w:shd w:val="clear" w:color="auto" w:fill="auto"/>
                  <w:vAlign w:val="center"/>
                </w:tcPr>
                <w:p w14:paraId="7555C32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20.26</w:t>
                  </w:r>
                </w:p>
              </w:tc>
              <w:tc>
                <w:tcPr>
                  <w:tcW w:w="708" w:type="dxa"/>
                  <w:tcBorders>
                    <w:tl2br w:val="nil"/>
                    <w:tr2bl w:val="nil"/>
                  </w:tcBorders>
                  <w:vAlign w:val="center"/>
                </w:tcPr>
                <w:p w14:paraId="3C67C8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058" w:type="dxa"/>
                  <w:tcBorders>
                    <w:tl2br w:val="nil"/>
                    <w:tr2bl w:val="nil"/>
                  </w:tcBorders>
                  <w:vAlign w:val="center"/>
                </w:tcPr>
                <w:p w14:paraId="11A726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边角料</w:t>
                  </w:r>
                </w:p>
              </w:tc>
              <w:tc>
                <w:tcPr>
                  <w:tcW w:w="1204" w:type="dxa"/>
                  <w:gridSpan w:val="3"/>
                  <w:tcBorders>
                    <w:tl2br w:val="nil"/>
                    <w:tr2bl w:val="nil"/>
                  </w:tcBorders>
                  <w:vAlign w:val="center"/>
                </w:tcPr>
                <w:p w14:paraId="1EFBC2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p>
              </w:tc>
            </w:tr>
            <w:tr w14:paraId="0AEB3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222F51B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724" w:type="dxa"/>
                  <w:gridSpan w:val="2"/>
                  <w:tcBorders>
                    <w:tl2br w:val="nil"/>
                    <w:tr2bl w:val="nil"/>
                  </w:tcBorders>
                  <w:shd w:val="clear" w:color="auto" w:fill="auto"/>
                  <w:vAlign w:val="center"/>
                </w:tcPr>
                <w:p w14:paraId="2AE302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rPr>
                    <w:t>废边角料</w:t>
                  </w:r>
                </w:p>
              </w:tc>
              <w:tc>
                <w:tcPr>
                  <w:tcW w:w="1521" w:type="dxa"/>
                  <w:gridSpan w:val="2"/>
                  <w:tcBorders>
                    <w:tl2br w:val="nil"/>
                    <w:tr2bl w:val="nil"/>
                  </w:tcBorders>
                  <w:shd w:val="clear" w:color="auto" w:fill="auto"/>
                  <w:vAlign w:val="center"/>
                </w:tcPr>
                <w:p w14:paraId="3FB5947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w:t>
                  </w:r>
                </w:p>
              </w:tc>
              <w:tc>
                <w:tcPr>
                  <w:tcW w:w="708" w:type="dxa"/>
                  <w:tcBorders>
                    <w:tl2br w:val="nil"/>
                    <w:tr2bl w:val="nil"/>
                  </w:tcBorders>
                  <w:vAlign w:val="center"/>
                </w:tcPr>
                <w:p w14:paraId="6B4A1BA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058" w:type="dxa"/>
                  <w:tcBorders>
                    <w:tl2br w:val="nil"/>
                    <w:tr2bl w:val="nil"/>
                  </w:tcBorders>
                  <w:shd w:val="clear" w:color="auto" w:fill="auto"/>
                  <w:vAlign w:val="center"/>
                </w:tcPr>
                <w:p w14:paraId="7C2A2F3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活性炭（吸附有机废气量）</w:t>
                  </w:r>
                </w:p>
              </w:tc>
              <w:tc>
                <w:tcPr>
                  <w:tcW w:w="1204" w:type="dxa"/>
                  <w:gridSpan w:val="3"/>
                  <w:tcBorders>
                    <w:tl2br w:val="nil"/>
                    <w:tr2bl w:val="nil"/>
                  </w:tcBorders>
                  <w:shd w:val="clear" w:color="auto" w:fill="auto"/>
                  <w:vAlign w:val="center"/>
                </w:tcPr>
                <w:p w14:paraId="101951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3.06</w:t>
                  </w:r>
                </w:p>
              </w:tc>
            </w:tr>
            <w:tr w14:paraId="4CC7D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44" w:type="dxa"/>
                  <w:gridSpan w:val="4"/>
                  <w:tcBorders>
                    <w:tl2br w:val="nil"/>
                    <w:tr2bl w:val="nil"/>
                  </w:tcBorders>
                  <w:vAlign w:val="center"/>
                </w:tcPr>
                <w:p w14:paraId="343B145B">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521" w:type="dxa"/>
                  <w:gridSpan w:val="2"/>
                  <w:tcBorders>
                    <w:tl2br w:val="nil"/>
                    <w:tr2bl w:val="nil"/>
                  </w:tcBorders>
                  <w:vAlign w:val="center"/>
                </w:tcPr>
                <w:p w14:paraId="401B38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4230.07</w:t>
                  </w:r>
                </w:p>
              </w:tc>
              <w:tc>
                <w:tcPr>
                  <w:tcW w:w="2766" w:type="dxa"/>
                  <w:gridSpan w:val="2"/>
                  <w:tcBorders>
                    <w:tl2br w:val="nil"/>
                    <w:tr2bl w:val="nil"/>
                  </w:tcBorders>
                  <w:vAlign w:val="center"/>
                </w:tcPr>
                <w:p w14:paraId="6D5C33FE">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204" w:type="dxa"/>
                  <w:gridSpan w:val="3"/>
                  <w:tcBorders>
                    <w:tl2br w:val="nil"/>
                    <w:tr2bl w:val="nil"/>
                  </w:tcBorders>
                  <w:vAlign w:val="center"/>
                </w:tcPr>
                <w:p w14:paraId="16AA53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lang w:val="en-US" w:eastAsia="zh-CN"/>
                    </w:rPr>
                    <w:t>4230.07</w:t>
                  </w:r>
                </w:p>
              </w:tc>
            </w:tr>
            <w:tr w14:paraId="475C1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930" w:type="dxa"/>
                  <w:gridSpan w:val="10"/>
                  <w:tcBorders>
                    <w:tl2br w:val="nil"/>
                    <w:tr2bl w:val="nil"/>
                  </w:tcBorders>
                  <w:vAlign w:val="center"/>
                </w:tcPr>
                <w:p w14:paraId="51EBB35C">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烫钻</w:t>
                  </w:r>
                  <w:r>
                    <w:rPr>
                      <w:rFonts w:hint="default" w:ascii="Times New Roman" w:hAnsi="Times New Roman" w:eastAsia="宋体" w:cs="Times New Roman"/>
                      <w:b/>
                      <w:bCs/>
                      <w:color w:val="auto"/>
                      <w:spacing w:val="6"/>
                      <w:sz w:val="21"/>
                      <w:szCs w:val="21"/>
                      <w:highlight w:val="none"/>
                    </w:rPr>
                    <w:t>生产</w:t>
                  </w:r>
                </w:p>
              </w:tc>
            </w:tr>
            <w:tr w14:paraId="6D576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452EDB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4" w:type="dxa"/>
                  <w:gridSpan w:val="2"/>
                  <w:tcBorders>
                    <w:tl2br w:val="nil"/>
                    <w:tr2bl w:val="nil"/>
                  </w:tcBorders>
                  <w:shd w:val="clear" w:color="auto" w:fill="auto"/>
                  <w:vAlign w:val="center"/>
                </w:tcPr>
                <w:p w14:paraId="7E0A016B">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eastAsia="zh-CN"/>
                    </w:rPr>
                    <w:t>珠胚</w:t>
                  </w:r>
                </w:p>
              </w:tc>
              <w:tc>
                <w:tcPr>
                  <w:tcW w:w="1521" w:type="dxa"/>
                  <w:gridSpan w:val="2"/>
                  <w:tcBorders>
                    <w:tl2br w:val="nil"/>
                    <w:tr2bl w:val="nil"/>
                  </w:tcBorders>
                  <w:shd w:val="clear" w:color="auto" w:fill="auto"/>
                  <w:vAlign w:val="center"/>
                </w:tcPr>
                <w:p w14:paraId="1F0D19D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13000</w:t>
                  </w:r>
                </w:p>
              </w:tc>
              <w:tc>
                <w:tcPr>
                  <w:tcW w:w="708" w:type="dxa"/>
                  <w:tcBorders>
                    <w:tl2br w:val="nil"/>
                    <w:tr2bl w:val="nil"/>
                  </w:tcBorders>
                  <w:vAlign w:val="center"/>
                </w:tcPr>
                <w:p w14:paraId="428F11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058" w:type="dxa"/>
                  <w:tcBorders>
                    <w:tl2br w:val="nil"/>
                    <w:tr2bl w:val="nil"/>
                  </w:tcBorders>
                  <w:vAlign w:val="center"/>
                </w:tcPr>
                <w:p w14:paraId="0BA67A1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烫钻裸钻</w:t>
                  </w:r>
                </w:p>
              </w:tc>
              <w:tc>
                <w:tcPr>
                  <w:tcW w:w="1204" w:type="dxa"/>
                  <w:gridSpan w:val="3"/>
                  <w:tcBorders>
                    <w:tl2br w:val="nil"/>
                    <w:tr2bl w:val="nil"/>
                  </w:tcBorders>
                  <w:vAlign w:val="center"/>
                </w:tcPr>
                <w:p w14:paraId="72134DC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6000</w:t>
                  </w:r>
                </w:p>
              </w:tc>
            </w:tr>
            <w:tr w14:paraId="5AB5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33E67DF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4" w:type="dxa"/>
                  <w:gridSpan w:val="2"/>
                  <w:tcBorders>
                    <w:tl2br w:val="nil"/>
                    <w:tr2bl w:val="nil"/>
                  </w:tcBorders>
                  <w:shd w:val="clear" w:color="auto" w:fill="auto"/>
                  <w:vAlign w:val="center"/>
                </w:tcPr>
                <w:p w14:paraId="7DA0BC1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6"/>
                      <w:sz w:val="21"/>
                      <w:szCs w:val="21"/>
                      <w:highlight w:val="none"/>
                    </w:rPr>
                    <w:t>黏胶粉</w:t>
                  </w:r>
                </w:p>
              </w:tc>
              <w:tc>
                <w:tcPr>
                  <w:tcW w:w="1521" w:type="dxa"/>
                  <w:gridSpan w:val="2"/>
                  <w:tcBorders>
                    <w:tl2br w:val="nil"/>
                    <w:tr2bl w:val="nil"/>
                  </w:tcBorders>
                  <w:shd w:val="clear" w:color="auto" w:fill="auto"/>
                  <w:vAlign w:val="center"/>
                </w:tcPr>
                <w:p w14:paraId="73531B2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2000</w:t>
                  </w:r>
                </w:p>
              </w:tc>
              <w:tc>
                <w:tcPr>
                  <w:tcW w:w="708" w:type="dxa"/>
                  <w:tcBorders>
                    <w:tl2br w:val="nil"/>
                    <w:tr2bl w:val="nil"/>
                  </w:tcBorders>
                  <w:vAlign w:val="center"/>
                </w:tcPr>
                <w:p w14:paraId="33F1C5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058" w:type="dxa"/>
                  <w:tcBorders>
                    <w:tl2br w:val="nil"/>
                    <w:tr2bl w:val="nil"/>
                  </w:tcBorders>
                  <w:vAlign w:val="center"/>
                </w:tcPr>
                <w:p w14:paraId="609D8D9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生化污泥</w:t>
                  </w:r>
                </w:p>
              </w:tc>
              <w:tc>
                <w:tcPr>
                  <w:tcW w:w="1204" w:type="dxa"/>
                  <w:gridSpan w:val="3"/>
                  <w:tcBorders>
                    <w:tl2br w:val="nil"/>
                    <w:tr2bl w:val="nil"/>
                  </w:tcBorders>
                  <w:vAlign w:val="center"/>
                </w:tcPr>
                <w:p w14:paraId="44C3C84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53.52</w:t>
                  </w:r>
                </w:p>
              </w:tc>
            </w:tr>
            <w:tr w14:paraId="67312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560FEE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4" w:type="dxa"/>
                  <w:gridSpan w:val="2"/>
                  <w:tcBorders>
                    <w:tl2br w:val="nil"/>
                    <w:tr2bl w:val="nil"/>
                  </w:tcBorders>
                  <w:shd w:val="clear" w:color="auto" w:fill="auto"/>
                  <w:vAlign w:val="center"/>
                </w:tcPr>
                <w:p w14:paraId="6FF7DC0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5"/>
                      <w:sz w:val="21"/>
                      <w:szCs w:val="21"/>
                      <w:highlight w:val="none"/>
                    </w:rPr>
                    <w:t>片碱</w:t>
                  </w:r>
                  <w:r>
                    <w:rPr>
                      <w:rFonts w:hint="default" w:ascii="Times New Roman" w:hAnsi="Times New Roman" w:eastAsia="宋体" w:cs="Times New Roman"/>
                      <w:color w:val="auto"/>
                      <w:sz w:val="21"/>
                      <w:szCs w:val="21"/>
                      <w:highlight w:val="none"/>
                    </w:rPr>
                    <w:t>NaOH</w:t>
                  </w:r>
                </w:p>
              </w:tc>
              <w:tc>
                <w:tcPr>
                  <w:tcW w:w="1521" w:type="dxa"/>
                  <w:gridSpan w:val="2"/>
                  <w:tcBorders>
                    <w:tl2br w:val="nil"/>
                    <w:tr2bl w:val="nil"/>
                  </w:tcBorders>
                  <w:shd w:val="clear" w:color="auto" w:fill="auto"/>
                  <w:vAlign w:val="center"/>
                </w:tcPr>
                <w:p w14:paraId="320DB65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708" w:type="dxa"/>
                  <w:tcBorders>
                    <w:tl2br w:val="nil"/>
                    <w:tr2bl w:val="nil"/>
                  </w:tcBorders>
                  <w:vAlign w:val="center"/>
                </w:tcPr>
                <w:p w14:paraId="3C221EA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058" w:type="dxa"/>
                  <w:tcBorders>
                    <w:tl2br w:val="nil"/>
                    <w:tr2bl w:val="nil"/>
                  </w:tcBorders>
                  <w:vAlign w:val="center"/>
                </w:tcPr>
                <w:p w14:paraId="00D30B0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裸钻残次品</w:t>
                  </w:r>
                </w:p>
              </w:tc>
              <w:tc>
                <w:tcPr>
                  <w:tcW w:w="1204" w:type="dxa"/>
                  <w:gridSpan w:val="3"/>
                  <w:tcBorders>
                    <w:tl2br w:val="nil"/>
                    <w:tr2bl w:val="nil"/>
                  </w:tcBorders>
                  <w:vAlign w:val="center"/>
                </w:tcPr>
                <w:p w14:paraId="4E438A1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14:paraId="5558D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64DD5E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24" w:type="dxa"/>
                  <w:gridSpan w:val="2"/>
                  <w:tcBorders>
                    <w:tl2br w:val="nil"/>
                    <w:tr2bl w:val="nil"/>
                  </w:tcBorders>
                  <w:shd w:val="clear" w:color="auto" w:fill="auto"/>
                  <w:vAlign w:val="center"/>
                </w:tcPr>
                <w:p w14:paraId="11D0297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吸塑片</w:t>
                  </w:r>
                  <w:r>
                    <w:rPr>
                      <w:rFonts w:hint="default" w:ascii="Times New Roman" w:hAnsi="Times New Roman" w:eastAsia="宋体" w:cs="Times New Roman"/>
                      <w:color w:val="auto"/>
                      <w:sz w:val="21"/>
                      <w:szCs w:val="21"/>
                      <w:highlight w:val="none"/>
                    </w:rPr>
                    <w:t>PVC</w:t>
                  </w:r>
                </w:p>
              </w:tc>
              <w:tc>
                <w:tcPr>
                  <w:tcW w:w="1521" w:type="dxa"/>
                  <w:gridSpan w:val="2"/>
                  <w:tcBorders>
                    <w:tl2br w:val="nil"/>
                    <w:tr2bl w:val="nil"/>
                  </w:tcBorders>
                  <w:shd w:val="clear" w:color="auto" w:fill="auto"/>
                  <w:vAlign w:val="center"/>
                </w:tcPr>
                <w:p w14:paraId="2D73C4E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4000</w:t>
                  </w:r>
                </w:p>
              </w:tc>
              <w:tc>
                <w:tcPr>
                  <w:tcW w:w="708" w:type="dxa"/>
                  <w:tcBorders>
                    <w:tl2br w:val="nil"/>
                    <w:tr2bl w:val="nil"/>
                  </w:tcBorders>
                  <w:vAlign w:val="center"/>
                </w:tcPr>
                <w:p w14:paraId="72AE81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2058" w:type="dxa"/>
                  <w:tcBorders>
                    <w:tl2br w:val="nil"/>
                    <w:tr2bl w:val="nil"/>
                  </w:tcBorders>
                  <w:vAlign w:val="center"/>
                </w:tcPr>
                <w:p w14:paraId="0A6340F2">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循环沉</w:t>
                  </w:r>
                  <w:r>
                    <w:rPr>
                      <w:rFonts w:hint="eastAsia" w:cs="Times New Roman"/>
                      <w:color w:val="auto"/>
                      <w:sz w:val="21"/>
                      <w:szCs w:val="21"/>
                      <w:highlight w:val="none"/>
                      <w:lang w:val="en-US" w:eastAsia="zh-CN"/>
                    </w:rPr>
                    <w:t>水池</w:t>
                  </w:r>
                  <w:r>
                    <w:rPr>
                      <w:rFonts w:hint="default" w:ascii="Times New Roman" w:hAnsi="Times New Roman" w:eastAsia="宋体" w:cs="Times New Roman"/>
                      <w:color w:val="auto"/>
                      <w:sz w:val="21"/>
                      <w:szCs w:val="21"/>
                      <w:highlight w:val="none"/>
                      <w:lang w:val="en-US" w:eastAsia="zh-CN"/>
                    </w:rPr>
                    <w:t>沉渣</w:t>
                  </w:r>
                </w:p>
              </w:tc>
              <w:tc>
                <w:tcPr>
                  <w:tcW w:w="1204" w:type="dxa"/>
                  <w:gridSpan w:val="3"/>
                  <w:tcBorders>
                    <w:tl2br w:val="nil"/>
                    <w:tr2bl w:val="nil"/>
                  </w:tcBorders>
                  <w:vAlign w:val="center"/>
                </w:tcPr>
                <w:p w14:paraId="3137B31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w:t>
                  </w:r>
                  <w:r>
                    <w:rPr>
                      <w:rFonts w:hint="eastAsia" w:cs="Times New Roman"/>
                      <w:color w:val="auto"/>
                      <w:sz w:val="21"/>
                      <w:szCs w:val="21"/>
                      <w:highlight w:val="none"/>
                      <w:lang w:val="en-US" w:eastAsia="zh-CN"/>
                    </w:rPr>
                    <w:t>69.25</w:t>
                  </w:r>
                </w:p>
              </w:tc>
            </w:tr>
            <w:tr w14:paraId="38010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5C94CC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1724" w:type="dxa"/>
                  <w:gridSpan w:val="2"/>
                  <w:tcBorders>
                    <w:tl2br w:val="nil"/>
                    <w:tr2bl w:val="nil"/>
                  </w:tcBorders>
                  <w:shd w:val="clear" w:color="auto" w:fill="auto"/>
                  <w:vAlign w:val="center"/>
                </w:tcPr>
                <w:p w14:paraId="097DAD8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p>
              </w:tc>
              <w:tc>
                <w:tcPr>
                  <w:tcW w:w="1521" w:type="dxa"/>
                  <w:gridSpan w:val="2"/>
                  <w:tcBorders>
                    <w:tl2br w:val="nil"/>
                    <w:tr2bl w:val="nil"/>
                  </w:tcBorders>
                  <w:shd w:val="clear" w:color="auto" w:fill="auto"/>
                  <w:vAlign w:val="center"/>
                </w:tcPr>
                <w:p w14:paraId="7A720BB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p>
              </w:tc>
              <w:tc>
                <w:tcPr>
                  <w:tcW w:w="708" w:type="dxa"/>
                  <w:tcBorders>
                    <w:tl2br w:val="nil"/>
                    <w:tr2bl w:val="nil"/>
                  </w:tcBorders>
                  <w:vAlign w:val="center"/>
                </w:tcPr>
                <w:p w14:paraId="3EF5D9E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058" w:type="dxa"/>
                  <w:tcBorders>
                    <w:tl2br w:val="nil"/>
                    <w:tr2bl w:val="nil"/>
                  </w:tcBorders>
                  <w:vAlign w:val="center"/>
                </w:tcPr>
                <w:p w14:paraId="2905AD9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废吸塑片PVC（网片）</w:t>
                  </w:r>
                </w:p>
              </w:tc>
              <w:tc>
                <w:tcPr>
                  <w:tcW w:w="1204" w:type="dxa"/>
                  <w:gridSpan w:val="3"/>
                  <w:tcBorders>
                    <w:tl2br w:val="nil"/>
                    <w:tr2bl w:val="nil"/>
                  </w:tcBorders>
                  <w:vAlign w:val="center"/>
                </w:tcPr>
                <w:p w14:paraId="419C24E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3760</w:t>
                  </w:r>
                </w:p>
              </w:tc>
            </w:tr>
            <w:tr w14:paraId="1C7CE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2A9418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1724" w:type="dxa"/>
                  <w:gridSpan w:val="2"/>
                  <w:tcBorders>
                    <w:tl2br w:val="nil"/>
                    <w:tr2bl w:val="nil"/>
                  </w:tcBorders>
                  <w:shd w:val="clear" w:color="auto" w:fill="auto"/>
                  <w:vAlign w:val="center"/>
                </w:tcPr>
                <w:p w14:paraId="0507718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p>
              </w:tc>
              <w:tc>
                <w:tcPr>
                  <w:tcW w:w="1521" w:type="dxa"/>
                  <w:gridSpan w:val="2"/>
                  <w:tcBorders>
                    <w:tl2br w:val="nil"/>
                    <w:tr2bl w:val="nil"/>
                  </w:tcBorders>
                  <w:shd w:val="clear" w:color="auto" w:fill="auto"/>
                  <w:vAlign w:val="center"/>
                </w:tcPr>
                <w:p w14:paraId="73EC980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p>
              </w:tc>
              <w:tc>
                <w:tcPr>
                  <w:tcW w:w="708" w:type="dxa"/>
                  <w:tcBorders>
                    <w:tl2br w:val="nil"/>
                    <w:tr2bl w:val="nil"/>
                  </w:tcBorders>
                  <w:vAlign w:val="center"/>
                </w:tcPr>
                <w:p w14:paraId="1E29D4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058" w:type="dxa"/>
                  <w:tcBorders>
                    <w:tl2br w:val="nil"/>
                    <w:tr2bl w:val="nil"/>
                  </w:tcBorders>
                  <w:vAlign w:val="center"/>
                </w:tcPr>
                <w:p w14:paraId="66A1920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吸塑片边角料（</w:t>
                  </w:r>
                  <w:r>
                    <w:rPr>
                      <w:rFonts w:hint="default" w:ascii="Times New Roman" w:hAnsi="Times New Roman" w:eastAsia="宋体" w:cs="Times New Roman"/>
                      <w:color w:val="auto"/>
                      <w:spacing w:val="-4"/>
                      <w:sz w:val="21"/>
                      <w:szCs w:val="21"/>
                      <w:highlight w:val="none"/>
                      <w:lang w:val="en-US" w:eastAsia="zh-CN"/>
                    </w:rPr>
                    <w:t>圈片及碎屑</w:t>
                  </w:r>
                  <w:r>
                    <w:rPr>
                      <w:rFonts w:hint="default" w:ascii="Times New Roman" w:hAnsi="Times New Roman" w:eastAsia="宋体" w:cs="Times New Roman"/>
                      <w:color w:val="auto"/>
                      <w:sz w:val="21"/>
                      <w:szCs w:val="21"/>
                      <w:highlight w:val="none"/>
                      <w:lang w:val="en-US" w:eastAsia="zh-CN"/>
                    </w:rPr>
                    <w:t>）</w:t>
                  </w:r>
                </w:p>
              </w:tc>
              <w:tc>
                <w:tcPr>
                  <w:tcW w:w="1204" w:type="dxa"/>
                  <w:gridSpan w:val="3"/>
                  <w:tcBorders>
                    <w:tl2br w:val="nil"/>
                    <w:tr2bl w:val="nil"/>
                  </w:tcBorders>
                  <w:vAlign w:val="center"/>
                </w:tcPr>
                <w:p w14:paraId="7A170A6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p>
              </w:tc>
            </w:tr>
            <w:tr w14:paraId="2D6E7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4F8A3D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p>
              </w:tc>
              <w:tc>
                <w:tcPr>
                  <w:tcW w:w="1724" w:type="dxa"/>
                  <w:gridSpan w:val="2"/>
                  <w:tcBorders>
                    <w:tl2br w:val="nil"/>
                    <w:tr2bl w:val="nil"/>
                  </w:tcBorders>
                  <w:shd w:val="clear" w:color="auto" w:fill="auto"/>
                  <w:vAlign w:val="center"/>
                </w:tcPr>
                <w:p w14:paraId="30768CC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p>
              </w:tc>
              <w:tc>
                <w:tcPr>
                  <w:tcW w:w="1521" w:type="dxa"/>
                  <w:gridSpan w:val="2"/>
                  <w:tcBorders>
                    <w:tl2br w:val="nil"/>
                    <w:tr2bl w:val="nil"/>
                  </w:tcBorders>
                  <w:shd w:val="clear" w:color="auto" w:fill="auto"/>
                  <w:vAlign w:val="center"/>
                </w:tcPr>
                <w:p w14:paraId="596A866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p>
              </w:tc>
              <w:tc>
                <w:tcPr>
                  <w:tcW w:w="708" w:type="dxa"/>
                  <w:tcBorders>
                    <w:tl2br w:val="nil"/>
                    <w:tr2bl w:val="nil"/>
                  </w:tcBorders>
                  <w:vAlign w:val="center"/>
                </w:tcPr>
                <w:p w14:paraId="760154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058" w:type="dxa"/>
                  <w:tcBorders>
                    <w:tl2br w:val="nil"/>
                    <w:tr2bl w:val="nil"/>
                  </w:tcBorders>
                  <w:shd w:val="clear" w:color="auto" w:fill="auto"/>
                  <w:vAlign w:val="center"/>
                </w:tcPr>
                <w:p w14:paraId="03BB796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碱洗沉渣</w:t>
                  </w:r>
                </w:p>
              </w:tc>
              <w:tc>
                <w:tcPr>
                  <w:tcW w:w="1204" w:type="dxa"/>
                  <w:gridSpan w:val="3"/>
                  <w:tcBorders>
                    <w:tl2br w:val="nil"/>
                    <w:tr2bl w:val="nil"/>
                  </w:tcBorders>
                  <w:shd w:val="clear" w:color="auto" w:fill="auto"/>
                  <w:vAlign w:val="center"/>
                </w:tcPr>
                <w:p w14:paraId="7227C7A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7.23</w:t>
                  </w:r>
                </w:p>
              </w:tc>
            </w:tr>
            <w:tr w14:paraId="1416F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44" w:type="dxa"/>
                  <w:gridSpan w:val="4"/>
                  <w:tcBorders>
                    <w:tl2br w:val="nil"/>
                    <w:tr2bl w:val="nil"/>
                  </w:tcBorders>
                  <w:vAlign w:val="center"/>
                </w:tcPr>
                <w:p w14:paraId="5F21079C">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521" w:type="dxa"/>
                  <w:gridSpan w:val="2"/>
                  <w:tcBorders>
                    <w:tl2br w:val="nil"/>
                    <w:tr2bl w:val="nil"/>
                  </w:tcBorders>
                  <w:vAlign w:val="center"/>
                </w:tcPr>
                <w:p w14:paraId="7BAA088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190</w:t>
                  </w:r>
                  <w:r>
                    <w:rPr>
                      <w:rFonts w:hint="eastAsia" w:cs="Times New Roman"/>
                      <w:color w:val="auto"/>
                      <w:spacing w:val="1"/>
                      <w:sz w:val="21"/>
                      <w:szCs w:val="21"/>
                      <w:highlight w:val="none"/>
                      <w:lang w:val="en-US" w:eastAsia="zh-CN"/>
                    </w:rPr>
                    <w:t>10</w:t>
                  </w:r>
                </w:p>
              </w:tc>
              <w:tc>
                <w:tcPr>
                  <w:tcW w:w="2766" w:type="dxa"/>
                  <w:gridSpan w:val="2"/>
                  <w:tcBorders>
                    <w:tl2br w:val="nil"/>
                    <w:tr2bl w:val="nil"/>
                  </w:tcBorders>
                  <w:vAlign w:val="center"/>
                </w:tcPr>
                <w:p w14:paraId="77AFE19A">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204" w:type="dxa"/>
                  <w:gridSpan w:val="3"/>
                  <w:tcBorders>
                    <w:tl2br w:val="nil"/>
                    <w:tr2bl w:val="nil"/>
                  </w:tcBorders>
                  <w:vAlign w:val="center"/>
                </w:tcPr>
                <w:p w14:paraId="41B706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1"/>
                      <w:sz w:val="21"/>
                      <w:szCs w:val="21"/>
                      <w:highlight w:val="none"/>
                      <w:lang w:val="en-US" w:eastAsia="zh-CN"/>
                    </w:rPr>
                    <w:t>190</w:t>
                  </w:r>
                  <w:r>
                    <w:rPr>
                      <w:rFonts w:hint="eastAsia" w:cs="Times New Roman"/>
                      <w:color w:val="auto"/>
                      <w:spacing w:val="1"/>
                      <w:sz w:val="21"/>
                      <w:szCs w:val="21"/>
                      <w:highlight w:val="none"/>
                      <w:lang w:val="en-US" w:eastAsia="zh-CN"/>
                    </w:rPr>
                    <w:t>10</w:t>
                  </w:r>
                </w:p>
              </w:tc>
            </w:tr>
            <w:tr w14:paraId="3A10E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 w:type="dxa"/>
                <w:trHeight w:val="340" w:hRule="atLeast"/>
                <w:jc w:val="center"/>
              </w:trPr>
              <w:tc>
                <w:tcPr>
                  <w:tcW w:w="7930" w:type="dxa"/>
                  <w:gridSpan w:val="10"/>
                  <w:tcBorders>
                    <w:tl2br w:val="nil"/>
                    <w:tr2bl w:val="nil"/>
                  </w:tcBorders>
                  <w:vAlign w:val="center"/>
                </w:tcPr>
                <w:p w14:paraId="649CE745">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5"/>
                      <w:sz w:val="21"/>
                      <w:szCs w:val="21"/>
                      <w:highlight w:val="none"/>
                      <w:lang w:val="en-US" w:eastAsia="zh-CN"/>
                    </w:rPr>
                  </w:pPr>
                  <w:r>
                    <w:rPr>
                      <w:rFonts w:hint="default" w:ascii="Times New Roman" w:hAnsi="Times New Roman" w:eastAsia="宋体" w:cs="Times New Roman"/>
                      <w:b/>
                      <w:bCs/>
                      <w:color w:val="auto"/>
                      <w:spacing w:val="6"/>
                      <w:sz w:val="21"/>
                      <w:szCs w:val="21"/>
                      <w:highlight w:val="none"/>
                      <w:lang w:val="en-US" w:eastAsia="zh-CN"/>
                    </w:rPr>
                    <w:t>抛轮</w:t>
                  </w:r>
                  <w:r>
                    <w:rPr>
                      <w:rFonts w:hint="default" w:ascii="Times New Roman" w:hAnsi="Times New Roman" w:eastAsia="宋体" w:cs="Times New Roman"/>
                      <w:b/>
                      <w:bCs/>
                      <w:color w:val="auto"/>
                      <w:spacing w:val="6"/>
                      <w:sz w:val="21"/>
                      <w:szCs w:val="21"/>
                      <w:highlight w:val="none"/>
                    </w:rPr>
                    <w:t>生产</w:t>
                  </w:r>
                  <w:r>
                    <w:rPr>
                      <w:rFonts w:hint="default" w:ascii="Times New Roman" w:hAnsi="Times New Roman" w:eastAsia="宋体" w:cs="Times New Roman"/>
                      <w:b/>
                      <w:bCs/>
                      <w:color w:val="auto"/>
                      <w:spacing w:val="6"/>
                      <w:sz w:val="21"/>
                      <w:szCs w:val="21"/>
                      <w:highlight w:val="none"/>
                      <w:lang w:val="en-US" w:eastAsia="zh-CN"/>
                    </w:rPr>
                    <w:t>修复</w:t>
                  </w:r>
                </w:p>
              </w:tc>
            </w:tr>
            <w:tr w14:paraId="1E3F7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7BA264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24" w:type="dxa"/>
                  <w:gridSpan w:val="2"/>
                  <w:tcBorders>
                    <w:tl2br w:val="nil"/>
                    <w:tr2bl w:val="nil"/>
                  </w:tcBorders>
                  <w:shd w:val="clear" w:color="auto" w:fill="auto"/>
                  <w:vAlign w:val="center"/>
                </w:tcPr>
                <w:p w14:paraId="7359A9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抛光粉</w:t>
                  </w:r>
                </w:p>
              </w:tc>
              <w:tc>
                <w:tcPr>
                  <w:tcW w:w="1521" w:type="dxa"/>
                  <w:gridSpan w:val="2"/>
                  <w:tcBorders>
                    <w:tl2br w:val="nil"/>
                    <w:tr2bl w:val="nil"/>
                  </w:tcBorders>
                  <w:shd w:val="clear" w:color="auto" w:fill="auto"/>
                  <w:vAlign w:val="center"/>
                </w:tcPr>
                <w:p w14:paraId="43822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708" w:type="dxa"/>
                  <w:tcBorders>
                    <w:tl2br w:val="nil"/>
                    <w:tr2bl w:val="nil"/>
                  </w:tcBorders>
                  <w:vAlign w:val="center"/>
                </w:tcPr>
                <w:p w14:paraId="32F84C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58" w:type="dxa"/>
                  <w:tcBorders>
                    <w:tl2br w:val="nil"/>
                    <w:tr2bl w:val="nil"/>
                  </w:tcBorders>
                  <w:vAlign w:val="center"/>
                </w:tcPr>
                <w:p w14:paraId="2F988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抛轮</w:t>
                  </w:r>
                </w:p>
              </w:tc>
              <w:tc>
                <w:tcPr>
                  <w:tcW w:w="1204" w:type="dxa"/>
                  <w:gridSpan w:val="3"/>
                  <w:tcBorders>
                    <w:tl2br w:val="nil"/>
                    <w:tr2bl w:val="nil"/>
                  </w:tcBorders>
                  <w:vAlign w:val="center"/>
                </w:tcPr>
                <w:p w14:paraId="42686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106</w:t>
                  </w:r>
                </w:p>
              </w:tc>
            </w:tr>
            <w:tr w14:paraId="1248A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0627C87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24" w:type="dxa"/>
                  <w:gridSpan w:val="2"/>
                  <w:tcBorders>
                    <w:tl2br w:val="nil"/>
                    <w:tr2bl w:val="nil"/>
                  </w:tcBorders>
                  <w:shd w:val="clear" w:color="auto" w:fill="auto"/>
                  <w:vAlign w:val="center"/>
                </w:tcPr>
                <w:p w14:paraId="1E574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不饱和聚酯树脂</w:t>
                  </w:r>
                </w:p>
              </w:tc>
              <w:tc>
                <w:tcPr>
                  <w:tcW w:w="1521" w:type="dxa"/>
                  <w:gridSpan w:val="2"/>
                  <w:tcBorders>
                    <w:tl2br w:val="nil"/>
                    <w:tr2bl w:val="nil"/>
                  </w:tcBorders>
                  <w:shd w:val="clear" w:color="auto" w:fill="auto"/>
                  <w:vAlign w:val="center"/>
                </w:tcPr>
                <w:p w14:paraId="447541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708" w:type="dxa"/>
                  <w:tcBorders>
                    <w:tl2br w:val="nil"/>
                    <w:tr2bl w:val="nil"/>
                  </w:tcBorders>
                  <w:vAlign w:val="center"/>
                </w:tcPr>
                <w:p w14:paraId="72ED2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58" w:type="dxa"/>
                  <w:tcBorders>
                    <w:tl2br w:val="nil"/>
                    <w:tr2bl w:val="nil"/>
                  </w:tcBorders>
                  <w:vAlign w:val="center"/>
                </w:tcPr>
                <w:p w14:paraId="2BE68A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有组织颗粒物</w:t>
                  </w:r>
                </w:p>
              </w:tc>
              <w:tc>
                <w:tcPr>
                  <w:tcW w:w="1204" w:type="dxa"/>
                  <w:gridSpan w:val="3"/>
                  <w:tcBorders>
                    <w:tl2br w:val="nil"/>
                    <w:tr2bl w:val="nil"/>
                  </w:tcBorders>
                  <w:vAlign w:val="center"/>
                </w:tcPr>
                <w:p w14:paraId="2580E5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r w14:paraId="0C613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34C9B84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24" w:type="dxa"/>
                  <w:gridSpan w:val="2"/>
                  <w:tcBorders>
                    <w:tl2br w:val="nil"/>
                    <w:tr2bl w:val="nil"/>
                  </w:tcBorders>
                  <w:shd w:val="clear" w:color="auto" w:fill="auto"/>
                  <w:vAlign w:val="center"/>
                </w:tcPr>
                <w:p w14:paraId="3431DC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白糖</w:t>
                  </w:r>
                </w:p>
              </w:tc>
              <w:tc>
                <w:tcPr>
                  <w:tcW w:w="1521" w:type="dxa"/>
                  <w:gridSpan w:val="2"/>
                  <w:tcBorders>
                    <w:tl2br w:val="nil"/>
                    <w:tr2bl w:val="nil"/>
                  </w:tcBorders>
                  <w:shd w:val="clear" w:color="auto" w:fill="auto"/>
                  <w:vAlign w:val="center"/>
                </w:tcPr>
                <w:p w14:paraId="1C8C50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48</w:t>
                  </w:r>
                </w:p>
              </w:tc>
              <w:tc>
                <w:tcPr>
                  <w:tcW w:w="708" w:type="dxa"/>
                  <w:tcBorders>
                    <w:tl2br w:val="nil"/>
                    <w:tr2bl w:val="nil"/>
                  </w:tcBorders>
                  <w:vAlign w:val="center"/>
                </w:tcPr>
                <w:p w14:paraId="48D893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058" w:type="dxa"/>
                  <w:tcBorders>
                    <w:tl2br w:val="nil"/>
                    <w:tr2bl w:val="nil"/>
                  </w:tcBorders>
                  <w:vAlign w:val="center"/>
                </w:tcPr>
                <w:p w14:paraId="5257BA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无组织颗粒物</w:t>
                  </w:r>
                </w:p>
              </w:tc>
              <w:tc>
                <w:tcPr>
                  <w:tcW w:w="1204" w:type="dxa"/>
                  <w:gridSpan w:val="3"/>
                  <w:tcBorders>
                    <w:tl2br w:val="nil"/>
                    <w:tr2bl w:val="nil"/>
                  </w:tcBorders>
                  <w:vAlign w:val="center"/>
                </w:tcPr>
                <w:p w14:paraId="6EF14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693E6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380EC3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724" w:type="dxa"/>
                  <w:gridSpan w:val="2"/>
                  <w:tcBorders>
                    <w:tl2br w:val="nil"/>
                    <w:tr2bl w:val="nil"/>
                  </w:tcBorders>
                  <w:shd w:val="clear" w:color="auto" w:fill="auto"/>
                  <w:vAlign w:val="center"/>
                </w:tcPr>
                <w:p w14:paraId="60BD38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固化剂</w:t>
                  </w:r>
                </w:p>
              </w:tc>
              <w:tc>
                <w:tcPr>
                  <w:tcW w:w="1521" w:type="dxa"/>
                  <w:gridSpan w:val="2"/>
                  <w:tcBorders>
                    <w:tl2br w:val="nil"/>
                    <w:tr2bl w:val="nil"/>
                  </w:tcBorders>
                  <w:shd w:val="clear" w:color="auto" w:fill="auto"/>
                  <w:vAlign w:val="center"/>
                </w:tcPr>
                <w:p w14:paraId="1EB228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5</w:t>
                  </w:r>
                </w:p>
              </w:tc>
              <w:tc>
                <w:tcPr>
                  <w:tcW w:w="708" w:type="dxa"/>
                  <w:tcBorders>
                    <w:tl2br w:val="nil"/>
                    <w:tr2bl w:val="nil"/>
                  </w:tcBorders>
                  <w:vAlign w:val="center"/>
                </w:tcPr>
                <w:p w14:paraId="24BAB4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058" w:type="dxa"/>
                  <w:tcBorders>
                    <w:tl2br w:val="nil"/>
                    <w:tr2bl w:val="nil"/>
                  </w:tcBorders>
                  <w:shd w:val="clear" w:color="auto" w:fill="auto"/>
                  <w:vAlign w:val="center"/>
                </w:tcPr>
                <w:p w14:paraId="10F299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布袋收尘</w:t>
                  </w:r>
                </w:p>
              </w:tc>
              <w:tc>
                <w:tcPr>
                  <w:tcW w:w="1204" w:type="dxa"/>
                  <w:gridSpan w:val="3"/>
                  <w:tcBorders>
                    <w:tl2br w:val="nil"/>
                    <w:tr2bl w:val="nil"/>
                  </w:tcBorders>
                  <w:shd w:val="clear" w:color="auto" w:fill="auto"/>
                  <w:vAlign w:val="center"/>
                </w:tcPr>
                <w:p w14:paraId="3EF008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0.16</w:t>
                  </w:r>
                  <w:r>
                    <w:rPr>
                      <w:rFonts w:hint="eastAsia" w:cs="Times New Roman"/>
                      <w:i w:val="0"/>
                      <w:iCs w:val="0"/>
                      <w:color w:val="auto"/>
                      <w:kern w:val="0"/>
                      <w:sz w:val="21"/>
                      <w:szCs w:val="21"/>
                      <w:highlight w:val="none"/>
                      <w:u w:val="none"/>
                      <w:lang w:val="en-US" w:eastAsia="zh-CN" w:bidi="ar"/>
                    </w:rPr>
                    <w:t>6</w:t>
                  </w:r>
                </w:p>
              </w:tc>
            </w:tr>
            <w:tr w14:paraId="071AB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0" w:type="dxa"/>
                  <w:gridSpan w:val="2"/>
                  <w:tcBorders>
                    <w:tl2br w:val="nil"/>
                    <w:tr2bl w:val="nil"/>
                  </w:tcBorders>
                  <w:vAlign w:val="center"/>
                </w:tcPr>
                <w:p w14:paraId="7AF9F6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24" w:type="dxa"/>
                  <w:gridSpan w:val="2"/>
                  <w:tcBorders>
                    <w:tl2br w:val="nil"/>
                    <w:tr2bl w:val="nil"/>
                  </w:tcBorders>
                  <w:shd w:val="clear" w:color="auto" w:fill="auto"/>
                  <w:vAlign w:val="center"/>
                </w:tcPr>
                <w:p w14:paraId="563E1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废抛轮</w:t>
                  </w:r>
                </w:p>
              </w:tc>
              <w:tc>
                <w:tcPr>
                  <w:tcW w:w="1521" w:type="dxa"/>
                  <w:gridSpan w:val="2"/>
                  <w:tcBorders>
                    <w:tl2br w:val="nil"/>
                    <w:tr2bl w:val="nil"/>
                  </w:tcBorders>
                  <w:shd w:val="clear" w:color="auto" w:fill="auto"/>
                  <w:vAlign w:val="center"/>
                </w:tcPr>
                <w:p w14:paraId="22585A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708" w:type="dxa"/>
                  <w:tcBorders>
                    <w:tl2br w:val="nil"/>
                    <w:tr2bl w:val="nil"/>
                  </w:tcBorders>
                  <w:vAlign w:val="center"/>
                </w:tcPr>
                <w:p w14:paraId="75B5E9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58" w:type="dxa"/>
                  <w:tcBorders>
                    <w:tl2br w:val="nil"/>
                    <w:tr2bl w:val="nil"/>
                  </w:tcBorders>
                  <w:vAlign w:val="center"/>
                </w:tcPr>
                <w:p w14:paraId="4F9B5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04" w:type="dxa"/>
                  <w:gridSpan w:val="3"/>
                  <w:tcBorders>
                    <w:tl2br w:val="nil"/>
                    <w:tr2bl w:val="nil"/>
                  </w:tcBorders>
                  <w:vAlign w:val="center"/>
                </w:tcPr>
                <w:p w14:paraId="1FE41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EA2D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44" w:type="dxa"/>
                  <w:gridSpan w:val="4"/>
                  <w:tcBorders>
                    <w:tl2br w:val="nil"/>
                    <w:tr2bl w:val="nil"/>
                  </w:tcBorders>
                  <w:vAlign w:val="center"/>
                </w:tcPr>
                <w:p w14:paraId="0C31E365">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521" w:type="dxa"/>
                  <w:gridSpan w:val="2"/>
                  <w:tcBorders>
                    <w:tl2br w:val="nil"/>
                    <w:tr2bl w:val="nil"/>
                  </w:tcBorders>
                  <w:vAlign w:val="center"/>
                </w:tcPr>
                <w:p w14:paraId="3A4CAB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106.</w:t>
                  </w:r>
                  <w:r>
                    <w:rPr>
                      <w:rFonts w:hint="eastAsia" w:cs="Times New Roman"/>
                      <w:color w:val="auto"/>
                      <w:spacing w:val="1"/>
                      <w:sz w:val="21"/>
                      <w:szCs w:val="21"/>
                      <w:highlight w:val="none"/>
                      <w:lang w:val="en-US" w:eastAsia="zh-CN"/>
                    </w:rPr>
                    <w:t>198</w:t>
                  </w:r>
                </w:p>
              </w:tc>
              <w:tc>
                <w:tcPr>
                  <w:tcW w:w="2766" w:type="dxa"/>
                  <w:gridSpan w:val="2"/>
                  <w:tcBorders>
                    <w:tl2br w:val="nil"/>
                    <w:tr2bl w:val="nil"/>
                  </w:tcBorders>
                  <w:vAlign w:val="center"/>
                </w:tcPr>
                <w:p w14:paraId="0BC46049">
                  <w:pPr>
                    <w:pStyle w:val="5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合计</w:t>
                  </w:r>
                </w:p>
              </w:tc>
              <w:tc>
                <w:tcPr>
                  <w:tcW w:w="1204" w:type="dxa"/>
                  <w:gridSpan w:val="3"/>
                  <w:tcBorders>
                    <w:tl2br w:val="nil"/>
                    <w:tr2bl w:val="nil"/>
                  </w:tcBorders>
                  <w:vAlign w:val="center"/>
                </w:tcPr>
                <w:p w14:paraId="44D7A97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1"/>
                      <w:sz w:val="21"/>
                      <w:szCs w:val="21"/>
                      <w:highlight w:val="none"/>
                      <w:lang w:val="en-US" w:eastAsia="zh-CN"/>
                    </w:rPr>
                    <w:t>106</w:t>
                  </w:r>
                  <w:r>
                    <w:rPr>
                      <w:rFonts w:hint="eastAsia" w:cs="Times New Roman"/>
                      <w:color w:val="auto"/>
                      <w:spacing w:val="1"/>
                      <w:sz w:val="21"/>
                      <w:szCs w:val="21"/>
                      <w:highlight w:val="none"/>
                      <w:lang w:val="en-US" w:eastAsia="zh-CN"/>
                    </w:rPr>
                    <w:t>.198</w:t>
                  </w:r>
                </w:p>
              </w:tc>
            </w:tr>
          </w:tbl>
          <w:p w14:paraId="236F1712">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8、</w:t>
            </w:r>
            <w:r>
              <w:rPr>
                <w:rFonts w:hint="default" w:ascii="Times New Roman" w:hAnsi="Times New Roman" w:eastAsia="宋体" w:cs="Times New Roman"/>
                <w:b/>
                <w:bCs w:val="0"/>
                <w:color w:val="auto"/>
                <w:sz w:val="24"/>
                <w:szCs w:val="24"/>
                <w:highlight w:val="none"/>
                <w:lang w:val="en-US" w:eastAsia="zh-CN"/>
              </w:rPr>
              <w:t>水量平衡</w:t>
            </w:r>
          </w:p>
          <w:p w14:paraId="1610948F">
            <w:pPr>
              <w:keepNext w:val="0"/>
              <w:keepLines w:val="0"/>
              <w:pageBreakBefore w:val="0"/>
              <w:widowControl w:val="0"/>
              <w:kinsoku/>
              <w:wordWrap/>
              <w:overflowPunct/>
              <w:topLinePunct/>
              <w:autoSpaceDE w:val="0"/>
              <w:autoSpaceDN w:val="0"/>
              <w:bidi w:val="0"/>
              <w:adjustRightInd w:val="0"/>
              <w:snapToGrid w:val="0"/>
              <w:spacing w:line="360" w:lineRule="auto"/>
              <w:ind w:firstLine="48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w:t>
            </w:r>
            <w:r>
              <w:rPr>
                <w:rFonts w:hint="default" w:ascii="Times New Roman" w:hAnsi="Times New Roman" w:eastAsia="宋体" w:cs="Times New Roman"/>
                <w:color w:val="auto"/>
                <w:spacing w:val="1"/>
                <w:sz w:val="24"/>
                <w:szCs w:val="24"/>
                <w:highlight w:val="none"/>
                <w:lang w:val="en-US" w:eastAsia="zh-CN"/>
              </w:rPr>
              <w:t>用水</w:t>
            </w:r>
            <w:r>
              <w:rPr>
                <w:rFonts w:hint="default" w:ascii="Times New Roman" w:hAnsi="Times New Roman" w:eastAsia="宋体" w:cs="Times New Roman"/>
                <w:color w:val="auto"/>
                <w:spacing w:val="1"/>
                <w:sz w:val="24"/>
                <w:szCs w:val="24"/>
                <w:highlight w:val="none"/>
              </w:rPr>
              <w:t>主要包括</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用水</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1"/>
                <w:sz w:val="24"/>
                <w:szCs w:val="24"/>
                <w:highlight w:val="none"/>
                <w:lang w:eastAsia="zh-CN"/>
              </w:rPr>
              <w:t>磨抛</w:t>
            </w:r>
            <w:r>
              <w:rPr>
                <w:rFonts w:hint="default" w:ascii="Times New Roman" w:hAnsi="Times New Roman" w:eastAsia="宋体" w:cs="Times New Roman"/>
                <w:color w:val="auto"/>
                <w:spacing w:val="1"/>
                <w:sz w:val="24"/>
                <w:szCs w:val="24"/>
                <w:highlight w:val="none"/>
              </w:rPr>
              <w:t>工段用水、烫钻下料后碱洗用水、碱洗后清洗用水、圆磨工段用水、</w:t>
            </w:r>
            <w:r>
              <w:rPr>
                <w:rFonts w:hint="default" w:ascii="Times New Roman" w:hAnsi="Times New Roman" w:eastAsia="宋体" w:cs="Times New Roman"/>
                <w:color w:val="auto"/>
                <w:spacing w:val="-2"/>
                <w:sz w:val="24"/>
                <w:szCs w:val="24"/>
                <w:highlight w:val="none"/>
                <w:lang w:val="en-US" w:eastAsia="zh-CN"/>
              </w:rPr>
              <w:t>生产</w:t>
            </w:r>
            <w:r>
              <w:rPr>
                <w:rFonts w:hint="default" w:ascii="Times New Roman" w:hAnsi="Times New Roman" w:eastAsia="宋体" w:cs="Times New Roman"/>
                <w:color w:val="auto"/>
                <w:spacing w:val="-2"/>
                <w:sz w:val="24"/>
                <w:szCs w:val="24"/>
                <w:highlight w:val="none"/>
              </w:rPr>
              <w:t>冷却循环水</w:t>
            </w:r>
            <w:r>
              <w:rPr>
                <w:rFonts w:hint="default" w:ascii="Times New Roman" w:hAnsi="Times New Roman" w:eastAsia="宋体" w:cs="Times New Roman"/>
                <w:color w:val="auto"/>
                <w:spacing w:val="-1"/>
                <w:sz w:val="24"/>
                <w:szCs w:val="24"/>
                <w:highlight w:val="none"/>
              </w:rPr>
              <w:t>及生活用水等。</w:t>
            </w:r>
          </w:p>
          <w:p w14:paraId="2F9464EE">
            <w:pPr>
              <w:keepNext w:val="0"/>
              <w:keepLines w:val="0"/>
              <w:pageBreakBefore w:val="0"/>
              <w:widowControl w:val="0"/>
              <w:kinsoku/>
              <w:wordWrap/>
              <w:overflowPunct/>
              <w:topLinePunct/>
              <w:autoSpaceDE w:val="0"/>
              <w:bidi w:val="0"/>
              <w:adjustRightInd/>
              <w:snapToGrid/>
              <w:spacing w:line="360" w:lineRule="auto"/>
              <w:ind w:left="0" w:right="0" w:firstLine="474"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rPr>
              <w:t>生产</w:t>
            </w:r>
            <w:r>
              <w:rPr>
                <w:rFonts w:hint="default" w:ascii="Times New Roman" w:hAnsi="Times New Roman" w:eastAsia="宋体" w:cs="Times New Roman"/>
                <w:b/>
                <w:bCs/>
                <w:color w:val="auto"/>
                <w:spacing w:val="-2"/>
                <w:sz w:val="24"/>
                <w:szCs w:val="24"/>
                <w:highlight w:val="none"/>
                <w:lang w:val="en-US" w:eastAsia="zh-CN"/>
              </w:rPr>
              <w:t>用水及废水</w:t>
            </w:r>
          </w:p>
          <w:p w14:paraId="6021F86F">
            <w:pPr>
              <w:keepNext w:val="0"/>
              <w:keepLines w:val="0"/>
              <w:pageBreakBefore w:val="0"/>
              <w:widowControl w:val="0"/>
              <w:kinsoku/>
              <w:wordWrap/>
              <w:overflowPunct/>
              <w:topLinePunct/>
              <w:autoSpaceDE w:val="0"/>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项目生产中可循环回用的生产废水主要为</w:t>
            </w:r>
            <w:r>
              <w:rPr>
                <w:rFonts w:hint="eastAsia" w:cs="Times New Roman"/>
                <w:color w:val="auto"/>
                <w:sz w:val="24"/>
                <w:szCs w:val="24"/>
                <w:highlight w:val="none"/>
                <w:lang w:eastAsia="zh-CN"/>
              </w:rPr>
              <w:t>珠胚清洗</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磨抛</w:t>
            </w:r>
            <w:r>
              <w:rPr>
                <w:rFonts w:hint="default" w:ascii="Times New Roman" w:hAnsi="Times New Roman" w:eastAsia="宋体" w:cs="Times New Roman"/>
                <w:color w:val="auto"/>
                <w:sz w:val="24"/>
                <w:szCs w:val="24"/>
                <w:highlight w:val="none"/>
              </w:rPr>
              <w:t>工段废水</w:t>
            </w:r>
            <w:r>
              <w:rPr>
                <w:rFonts w:hint="default" w:ascii="Times New Roman" w:hAnsi="Times New Roman" w:eastAsia="宋体" w:cs="Times New Roman"/>
                <w:color w:val="auto"/>
                <w:spacing w:val="-2"/>
                <w:sz w:val="24"/>
                <w:szCs w:val="24"/>
                <w:highlight w:val="none"/>
              </w:rPr>
              <w:t>、圆磨工段废水</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吸塑片</w:t>
            </w:r>
            <w:r>
              <w:rPr>
                <w:rFonts w:hint="default" w:ascii="Times New Roman" w:hAnsi="Times New Roman" w:eastAsia="宋体" w:cs="Times New Roman"/>
                <w:color w:val="auto"/>
                <w:spacing w:val="-2"/>
                <w:sz w:val="24"/>
                <w:szCs w:val="24"/>
                <w:highlight w:val="none"/>
                <w:lang w:val="en-US" w:eastAsia="zh-CN"/>
              </w:rPr>
              <w:t>生产</w:t>
            </w:r>
            <w:r>
              <w:rPr>
                <w:rFonts w:hint="default" w:ascii="Times New Roman" w:hAnsi="Times New Roman" w:eastAsia="宋体" w:cs="Times New Roman"/>
                <w:color w:val="auto"/>
                <w:spacing w:val="-2"/>
                <w:sz w:val="24"/>
                <w:szCs w:val="24"/>
                <w:highlight w:val="none"/>
              </w:rPr>
              <w:t>冷却循环水及</w:t>
            </w:r>
            <w:r>
              <w:rPr>
                <w:rFonts w:hint="default" w:ascii="Times New Roman" w:hAnsi="Times New Roman" w:eastAsia="宋体" w:cs="Times New Roman"/>
                <w:color w:val="auto"/>
                <w:spacing w:val="-4"/>
                <w:sz w:val="24"/>
                <w:szCs w:val="24"/>
                <w:highlight w:val="none"/>
                <w:lang w:val="en-US" w:eastAsia="zh-CN"/>
              </w:rPr>
              <w:t>磨抛</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pacing w:val="-1"/>
                <w:sz w:val="24"/>
                <w:szCs w:val="24"/>
                <w:highlight w:val="none"/>
              </w:rPr>
              <w:t>冷却循环水</w:t>
            </w:r>
            <w:r>
              <w:rPr>
                <w:rFonts w:hint="default" w:ascii="Times New Roman" w:hAnsi="Times New Roman" w:eastAsia="宋体" w:cs="Times New Roman"/>
                <w:color w:val="auto"/>
                <w:spacing w:val="-5"/>
                <w:sz w:val="24"/>
                <w:szCs w:val="24"/>
                <w:highlight w:val="none"/>
                <w:lang w:eastAsia="zh-CN"/>
              </w:rPr>
              <w:t>。</w:t>
            </w:r>
          </w:p>
          <w:p w14:paraId="50CA9453">
            <w:pPr>
              <w:keepNext w:val="0"/>
              <w:keepLines w:val="0"/>
              <w:pageBreakBefore w:val="0"/>
              <w:widowControl w:val="0"/>
              <w:kinsoku/>
              <w:wordWrap/>
              <w:overflowPunct/>
              <w:topLinePunct/>
              <w:autoSpaceDE w:val="0"/>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1）</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用水</w:t>
            </w:r>
            <w:r>
              <w:rPr>
                <w:rFonts w:hint="default" w:ascii="Times New Roman" w:hAnsi="Times New Roman" w:eastAsia="宋体" w:cs="Times New Roman"/>
                <w:color w:val="auto"/>
                <w:spacing w:val="-3"/>
                <w:sz w:val="24"/>
                <w:szCs w:val="24"/>
                <w:highlight w:val="none"/>
                <w:lang w:val="en-US" w:eastAsia="zh-CN"/>
              </w:rPr>
              <w:t>及废水</w:t>
            </w:r>
            <w:r>
              <w:rPr>
                <w:rFonts w:hint="default" w:ascii="Times New Roman" w:hAnsi="Times New Roman" w:eastAsia="宋体" w:cs="Times New Roman"/>
                <w:color w:val="auto"/>
                <w:spacing w:val="-3"/>
                <w:sz w:val="24"/>
                <w:szCs w:val="24"/>
                <w:highlight w:val="none"/>
              </w:rPr>
              <w:t>（W1）</w:t>
            </w:r>
          </w:p>
          <w:p w14:paraId="5D4E90C1">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项目共有</w:t>
            </w:r>
            <w:r>
              <w:rPr>
                <w:rFonts w:hint="default" w:ascii="Times New Roman" w:hAnsi="Times New Roman" w:eastAsia="宋体" w:cs="Times New Roman"/>
                <w:color w:val="auto"/>
                <w:spacing w:val="-4"/>
                <w:sz w:val="24"/>
                <w:szCs w:val="24"/>
                <w:highlight w:val="none"/>
                <w:lang w:val="en-US" w:eastAsia="zh-CN"/>
              </w:rPr>
              <w:t>6</w:t>
            </w:r>
            <w:r>
              <w:rPr>
                <w:rFonts w:hint="default" w:ascii="Times New Roman" w:hAnsi="Times New Roman" w:eastAsia="宋体" w:cs="Times New Roman"/>
                <w:color w:val="auto"/>
                <w:spacing w:val="-4"/>
                <w:sz w:val="24"/>
                <w:szCs w:val="24"/>
                <w:highlight w:val="none"/>
              </w:rPr>
              <w:t>台</w:t>
            </w:r>
            <w:r>
              <w:rPr>
                <w:rFonts w:hint="default" w:ascii="Times New Roman" w:hAnsi="Times New Roman" w:eastAsia="宋体" w:cs="Times New Roman"/>
                <w:color w:val="auto"/>
                <w:spacing w:val="-4"/>
                <w:sz w:val="24"/>
                <w:szCs w:val="24"/>
                <w:highlight w:val="none"/>
                <w:lang w:val="en-US" w:eastAsia="zh-CN"/>
              </w:rPr>
              <w:t>清洗机用于</w:t>
            </w:r>
            <w:r>
              <w:rPr>
                <w:rFonts w:hint="eastAsia" w:cs="Times New Roman"/>
                <w:color w:val="auto"/>
                <w:spacing w:val="-4"/>
                <w:sz w:val="24"/>
                <w:szCs w:val="24"/>
                <w:highlight w:val="none"/>
                <w:lang w:val="en-US" w:eastAsia="zh-CN"/>
              </w:rPr>
              <w:t>珠胚清洗</w:t>
            </w:r>
            <w:r>
              <w:rPr>
                <w:rFonts w:hint="default" w:ascii="Times New Roman" w:hAnsi="Times New Roman" w:eastAsia="宋体" w:cs="Times New Roman"/>
                <w:color w:val="auto"/>
                <w:spacing w:val="-4"/>
                <w:sz w:val="24"/>
                <w:szCs w:val="24"/>
                <w:highlight w:val="none"/>
                <w:lang w:val="en-US" w:eastAsia="zh-CN"/>
              </w:rPr>
              <w:t>工序，</w:t>
            </w:r>
            <w:r>
              <w:rPr>
                <w:rFonts w:hint="default" w:ascii="Times New Roman" w:hAnsi="Times New Roman" w:eastAsia="宋体" w:cs="Times New Roman"/>
                <w:color w:val="auto"/>
                <w:spacing w:val="-2"/>
                <w:sz w:val="24"/>
                <w:szCs w:val="24"/>
                <w:highlight w:val="none"/>
                <w:lang w:val="en-US" w:eastAsia="zh-CN"/>
              </w:rPr>
              <w:t>该工序循环</w:t>
            </w:r>
            <w:r>
              <w:rPr>
                <w:rFonts w:hint="default" w:ascii="Times New Roman" w:hAnsi="Times New Roman" w:eastAsia="宋体" w:cs="Times New Roman"/>
                <w:color w:val="auto"/>
                <w:spacing w:val="-2"/>
                <w:sz w:val="24"/>
                <w:szCs w:val="24"/>
                <w:highlight w:val="none"/>
              </w:rPr>
              <w:t>用水</w:t>
            </w:r>
            <w:r>
              <w:rPr>
                <w:rFonts w:hint="default" w:ascii="Times New Roman" w:hAnsi="Times New Roman" w:eastAsia="宋体" w:cs="Times New Roman"/>
                <w:color w:val="auto"/>
                <w:spacing w:val="-2"/>
                <w:sz w:val="24"/>
                <w:szCs w:val="24"/>
                <w:highlight w:val="none"/>
                <w:lang w:val="en-US" w:eastAsia="zh-CN"/>
              </w:rPr>
              <w:t>为清水池回用水，补充水为自来水</w:t>
            </w:r>
            <w:r>
              <w:rPr>
                <w:rFonts w:hint="default" w:ascii="Times New Roman" w:hAnsi="Times New Roman" w:eastAsia="宋体" w:cs="Times New Roman"/>
                <w:color w:val="auto"/>
                <w:spacing w:val="-3"/>
                <w:sz w:val="24"/>
                <w:szCs w:val="24"/>
                <w:highlight w:val="none"/>
                <w:lang w:eastAsia="zh-CN"/>
              </w:rPr>
              <w:t>。</w:t>
            </w:r>
            <w:r>
              <w:rPr>
                <w:rFonts w:hint="eastAsia" w:ascii="Times New Roman" w:hAnsi="Times New Roman" w:eastAsia="宋体" w:cs="Times New Roman"/>
                <w:color w:val="auto"/>
                <w:spacing w:val="-2"/>
                <w:sz w:val="24"/>
                <w:szCs w:val="24"/>
                <w:highlight w:val="none"/>
                <w:lang w:val="en-US" w:eastAsia="zh-CN"/>
              </w:rPr>
              <w:t>根据建设单位提供的资料和同类企业经验数据，</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eastAsia="zh-CN"/>
              </w:rPr>
              <w:t>珠胚生产</w:t>
            </w:r>
            <w:r>
              <w:rPr>
                <w:rFonts w:hint="default" w:ascii="Times New Roman" w:hAnsi="Times New Roman" w:eastAsia="宋体" w:cs="Times New Roman"/>
                <w:color w:val="auto"/>
                <w:sz w:val="24"/>
                <w:szCs w:val="24"/>
                <w:highlight w:val="none"/>
              </w:rPr>
              <w:t>清洗用水量约为</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损耗为</w:t>
            </w:r>
            <w:r>
              <w:rPr>
                <w:rFonts w:hint="eastAsia" w:cs="Times New Roman"/>
                <w:color w:val="auto"/>
                <w:spacing w:val="5"/>
                <w:sz w:val="24"/>
                <w:szCs w:val="24"/>
                <w:highlight w:val="none"/>
                <w:lang w:val="en-US" w:eastAsia="zh-CN"/>
              </w:rPr>
              <w:t>5.6</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1"/>
                <w:sz w:val="24"/>
                <w:szCs w:val="24"/>
                <w:highlight w:val="none"/>
              </w:rPr>
              <w:t>废水产生量</w:t>
            </w:r>
            <w:r>
              <w:rPr>
                <w:rFonts w:hint="default" w:ascii="Times New Roman" w:hAnsi="Times New Roman" w:eastAsia="宋体" w:cs="Times New Roman"/>
                <w:color w:val="auto"/>
                <w:spacing w:val="1"/>
                <w:sz w:val="24"/>
                <w:szCs w:val="24"/>
                <w:highlight w:val="none"/>
                <w:lang w:val="en-US" w:eastAsia="zh-CN"/>
              </w:rPr>
              <w:t>约</w:t>
            </w:r>
            <w:r>
              <w:rPr>
                <w:rFonts w:hint="default" w:ascii="Times New Roman" w:hAnsi="Times New Roman" w:eastAsia="宋体" w:cs="Times New Roman"/>
                <w:color w:val="auto"/>
                <w:spacing w:val="1"/>
                <w:sz w:val="24"/>
                <w:szCs w:val="24"/>
                <w:highlight w:val="none"/>
              </w:rPr>
              <w:t>为</w:t>
            </w:r>
            <w:r>
              <w:rPr>
                <w:rFonts w:hint="eastAsia" w:cs="Times New Roman"/>
                <w:color w:val="auto"/>
                <w:spacing w:val="1"/>
                <w:sz w:val="24"/>
                <w:szCs w:val="24"/>
                <w:highlight w:val="none"/>
                <w:lang w:val="en-US" w:eastAsia="zh-CN"/>
              </w:rPr>
              <w:t>74.4</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7"/>
                <w:sz w:val="24"/>
                <w:szCs w:val="24"/>
                <w:highlight w:val="none"/>
                <w:lang w:eastAsia="zh-CN"/>
              </w:rPr>
              <w:t>；</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4"/>
                <w:sz w:val="24"/>
                <w:szCs w:val="24"/>
                <w:highlight w:val="none"/>
              </w:rPr>
              <w:t>废水经</w:t>
            </w:r>
            <w:r>
              <w:rPr>
                <w:rFonts w:hint="eastAsia" w:cs="Times New Roman"/>
                <w:color w:val="auto"/>
                <w:spacing w:val="-4"/>
                <w:sz w:val="24"/>
                <w:szCs w:val="24"/>
                <w:highlight w:val="none"/>
                <w:lang w:val="en-US" w:eastAsia="zh-CN"/>
              </w:rPr>
              <w:t>珠胚循环水池</w:t>
            </w:r>
            <w:r>
              <w:rPr>
                <w:rFonts w:hint="default" w:ascii="Times New Roman" w:hAnsi="Times New Roman" w:eastAsia="宋体" w:cs="Times New Roman"/>
                <w:color w:val="auto"/>
                <w:spacing w:val="-4"/>
                <w:sz w:val="24"/>
                <w:szCs w:val="24"/>
                <w:highlight w:val="none"/>
                <w:lang w:val="en-US" w:eastAsia="zh-CN"/>
              </w:rPr>
              <w:t>“</w:t>
            </w:r>
            <w:r>
              <w:rPr>
                <w:rFonts w:hint="eastAsia" w:cs="Times New Roman"/>
                <w:color w:val="auto"/>
                <w:sz w:val="24"/>
                <w:highlight w:val="none"/>
                <w:lang w:val="en-US" w:eastAsia="zh-CN"/>
              </w:rPr>
              <w:t>磁混凝沉淀+压滤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pacing w:val="-4"/>
                <w:sz w:val="24"/>
                <w:szCs w:val="24"/>
                <w:highlight w:val="none"/>
              </w:rPr>
              <w:t>处</w:t>
            </w:r>
            <w:r>
              <w:rPr>
                <w:rFonts w:hint="default" w:ascii="Times New Roman" w:hAnsi="Times New Roman" w:eastAsia="宋体" w:cs="Times New Roman"/>
                <w:color w:val="auto"/>
                <w:spacing w:val="-1"/>
                <w:sz w:val="24"/>
                <w:szCs w:val="24"/>
                <w:highlight w:val="none"/>
              </w:rPr>
              <w:t>理后大部分</w:t>
            </w:r>
            <w:r>
              <w:rPr>
                <w:rFonts w:hint="default" w:ascii="Times New Roman" w:hAnsi="Times New Roman" w:eastAsia="宋体" w:cs="Times New Roman"/>
                <w:color w:val="auto"/>
                <w:spacing w:val="-3"/>
                <w:sz w:val="24"/>
                <w:szCs w:val="24"/>
                <w:highlight w:val="none"/>
                <w:lang w:val="en-US" w:eastAsia="zh-CN"/>
              </w:rPr>
              <w:t>清水</w:t>
            </w:r>
            <w:r>
              <w:rPr>
                <w:rFonts w:hint="default" w:ascii="Times New Roman" w:hAnsi="Times New Roman" w:eastAsia="宋体" w:cs="Times New Roman"/>
                <w:color w:val="auto"/>
                <w:spacing w:val="-1"/>
                <w:sz w:val="24"/>
                <w:szCs w:val="24"/>
                <w:highlight w:val="none"/>
              </w:rPr>
              <w:t>循环回用，小部分排至生化污水处理站处理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则该工序循环水量</w:t>
            </w:r>
            <w:r>
              <w:rPr>
                <w:rFonts w:hint="default" w:ascii="Times New Roman" w:hAnsi="Times New Roman" w:eastAsia="宋体" w:cs="Times New Roman"/>
                <w:color w:val="auto"/>
                <w:spacing w:val="1"/>
                <w:sz w:val="24"/>
                <w:szCs w:val="24"/>
                <w:highlight w:val="none"/>
                <w:lang w:val="en-US" w:eastAsia="zh-CN"/>
              </w:rPr>
              <w:t>约</w:t>
            </w:r>
            <w:r>
              <w:rPr>
                <w:rFonts w:hint="default" w:ascii="Times New Roman" w:hAnsi="Times New Roman" w:eastAsia="宋体" w:cs="Times New Roman"/>
                <w:color w:val="auto"/>
                <w:spacing w:val="1"/>
                <w:sz w:val="24"/>
                <w:szCs w:val="24"/>
                <w:highlight w:val="none"/>
              </w:rPr>
              <w:t>为</w:t>
            </w:r>
            <w:r>
              <w:rPr>
                <w:rFonts w:hint="eastAsia" w:cs="Times New Roman"/>
                <w:color w:val="auto"/>
                <w:spacing w:val="1"/>
                <w:sz w:val="24"/>
                <w:szCs w:val="24"/>
                <w:highlight w:val="none"/>
                <w:lang w:val="en-US" w:eastAsia="zh-CN"/>
              </w:rPr>
              <w:t>74</w:t>
            </w: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压滤后污泥带走水量</w:t>
            </w:r>
            <w:r>
              <w:rPr>
                <w:rFonts w:hint="eastAsia" w:ascii="Times New Roman" w:hAnsi="Times New Roman" w:eastAsia="宋体" w:cs="Times New Roman"/>
                <w:color w:val="auto"/>
                <w:spacing w:val="1"/>
                <w:sz w:val="24"/>
                <w:szCs w:val="24"/>
                <w:highlight w:val="none"/>
                <w:lang w:val="en-US" w:eastAsia="zh-CN"/>
              </w:rPr>
              <w:t>0.08</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补充水量为</w:t>
            </w:r>
            <w:r>
              <w:rPr>
                <w:rFonts w:hint="eastAsia" w:cs="Times New Roman"/>
                <w:color w:val="auto"/>
                <w:spacing w:val="1"/>
                <w:sz w:val="24"/>
                <w:szCs w:val="24"/>
                <w:highlight w:val="none"/>
                <w:lang w:val="en-US" w:eastAsia="zh-CN"/>
              </w:rPr>
              <w:t>8.88</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7"/>
                <w:sz w:val="24"/>
                <w:szCs w:val="24"/>
                <w:highlight w:val="none"/>
              </w:rPr>
              <w:t>外排废水量约为</w:t>
            </w:r>
            <w:r>
              <w:rPr>
                <w:rFonts w:hint="default" w:ascii="Times New Roman" w:hAnsi="Times New Roman" w:eastAsia="宋体" w:cs="Times New Roman"/>
                <w:color w:val="auto"/>
                <w:spacing w:val="-7"/>
                <w:sz w:val="24"/>
                <w:szCs w:val="24"/>
                <w:highlight w:val="none"/>
                <w:lang w:val="en-US" w:eastAsia="zh-CN"/>
              </w:rPr>
              <w:t>3.</w:t>
            </w:r>
            <w:r>
              <w:rPr>
                <w:rFonts w:hint="eastAsia" w:cs="Times New Roman"/>
                <w:color w:val="auto"/>
                <w:spacing w:val="-7"/>
                <w:sz w:val="24"/>
                <w:szCs w:val="24"/>
                <w:highlight w:val="none"/>
                <w:lang w:val="en-US" w:eastAsia="zh-CN"/>
              </w:rPr>
              <w:t>2</w:t>
            </w:r>
            <w:r>
              <w:rPr>
                <w:rFonts w:hint="default" w:ascii="Times New Roman" w:hAnsi="Times New Roman" w:eastAsia="宋体" w:cs="Times New Roman"/>
                <w:color w:val="auto"/>
                <w:spacing w:val="-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/d</w:t>
            </w:r>
            <w:r>
              <w:rPr>
                <w:rFonts w:hint="default" w:ascii="Times New Roman" w:hAnsi="Times New Roman" w:eastAsia="宋体" w:cs="Times New Roman"/>
                <w:color w:val="auto"/>
                <w:spacing w:val="-1"/>
                <w:sz w:val="24"/>
                <w:szCs w:val="24"/>
                <w:highlight w:val="none"/>
                <w:lang w:eastAsia="zh-CN"/>
              </w:rPr>
              <w:t>。</w:t>
            </w:r>
          </w:p>
          <w:p w14:paraId="2B708C84">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2）磨抛工段</w:t>
            </w:r>
            <w:r>
              <w:rPr>
                <w:rFonts w:hint="default" w:ascii="Times New Roman" w:hAnsi="Times New Roman" w:eastAsia="宋体" w:cs="Times New Roman"/>
                <w:color w:val="auto"/>
                <w:spacing w:val="-1"/>
                <w:sz w:val="24"/>
                <w:szCs w:val="24"/>
                <w:highlight w:val="none"/>
                <w:lang w:val="en-US" w:eastAsia="zh-CN"/>
              </w:rPr>
              <w:t>用</w:t>
            </w:r>
            <w:r>
              <w:rPr>
                <w:rFonts w:hint="default" w:ascii="Times New Roman" w:hAnsi="Times New Roman" w:eastAsia="宋体" w:cs="Times New Roman"/>
                <w:color w:val="auto"/>
                <w:spacing w:val="-1"/>
                <w:sz w:val="24"/>
                <w:szCs w:val="24"/>
                <w:highlight w:val="none"/>
              </w:rPr>
              <w:t>水</w:t>
            </w:r>
            <w:r>
              <w:rPr>
                <w:rFonts w:hint="default" w:ascii="Times New Roman" w:hAnsi="Times New Roman" w:eastAsia="宋体" w:cs="Times New Roman"/>
                <w:color w:val="auto"/>
                <w:spacing w:val="-1"/>
                <w:sz w:val="24"/>
                <w:szCs w:val="24"/>
                <w:highlight w:val="none"/>
                <w:lang w:val="en-US" w:eastAsia="zh-CN"/>
              </w:rPr>
              <w:t>及废水</w:t>
            </w:r>
            <w:r>
              <w:rPr>
                <w:rFonts w:hint="default" w:ascii="Times New Roman" w:hAnsi="Times New Roman" w:eastAsia="宋体" w:cs="Times New Roman"/>
                <w:color w:val="auto"/>
                <w:spacing w:val="-1"/>
                <w:sz w:val="24"/>
                <w:szCs w:val="24"/>
                <w:highlight w:val="none"/>
              </w:rPr>
              <w:t>（W2）</w:t>
            </w:r>
          </w:p>
          <w:p w14:paraId="5BDAC09E">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项目共有</w:t>
            </w:r>
            <w:r>
              <w:rPr>
                <w:rFonts w:hint="default" w:ascii="Times New Roman" w:hAnsi="Times New Roman" w:eastAsia="宋体" w:cs="Times New Roman"/>
                <w:color w:val="auto"/>
                <w:spacing w:val="-4"/>
                <w:sz w:val="24"/>
                <w:szCs w:val="24"/>
                <w:highlight w:val="none"/>
                <w:lang w:val="en-US" w:eastAsia="zh-CN"/>
              </w:rPr>
              <w:t>150</w:t>
            </w:r>
            <w:r>
              <w:rPr>
                <w:rFonts w:hint="default" w:ascii="Times New Roman" w:hAnsi="Times New Roman" w:eastAsia="宋体" w:cs="Times New Roman"/>
                <w:color w:val="auto"/>
                <w:spacing w:val="-4"/>
                <w:sz w:val="24"/>
                <w:szCs w:val="24"/>
                <w:highlight w:val="none"/>
              </w:rPr>
              <w:t>台</w:t>
            </w:r>
            <w:r>
              <w:rPr>
                <w:rFonts w:hint="default" w:ascii="Times New Roman" w:hAnsi="Times New Roman" w:eastAsia="宋体" w:cs="Times New Roman"/>
                <w:color w:val="auto"/>
                <w:spacing w:val="-4"/>
                <w:sz w:val="24"/>
                <w:szCs w:val="24"/>
                <w:highlight w:val="none"/>
                <w:lang w:val="en-US" w:eastAsia="zh-CN"/>
              </w:rPr>
              <w:t>全自动磨抛机用于</w:t>
            </w:r>
            <w:r>
              <w:rPr>
                <w:rFonts w:hint="default" w:ascii="Times New Roman" w:hAnsi="Times New Roman" w:eastAsia="宋体" w:cs="Times New Roman"/>
                <w:color w:val="auto"/>
                <w:spacing w:val="-4"/>
                <w:sz w:val="24"/>
                <w:szCs w:val="24"/>
                <w:highlight w:val="none"/>
              </w:rPr>
              <w:t>磨</w:t>
            </w:r>
            <w:r>
              <w:rPr>
                <w:rFonts w:hint="default" w:ascii="Times New Roman" w:hAnsi="Times New Roman" w:eastAsia="宋体" w:cs="Times New Roman"/>
                <w:color w:val="auto"/>
                <w:spacing w:val="-4"/>
                <w:sz w:val="24"/>
                <w:szCs w:val="24"/>
                <w:highlight w:val="none"/>
                <w:lang w:val="en-US" w:eastAsia="zh-CN"/>
              </w:rPr>
              <w:t>抛工序，</w:t>
            </w:r>
            <w:r>
              <w:rPr>
                <w:rFonts w:hint="default" w:ascii="Times New Roman" w:hAnsi="Times New Roman" w:eastAsia="宋体" w:cs="Times New Roman"/>
                <w:color w:val="auto"/>
                <w:spacing w:val="-2"/>
                <w:sz w:val="24"/>
                <w:szCs w:val="24"/>
                <w:highlight w:val="none"/>
                <w:lang w:val="en-US" w:eastAsia="zh-CN"/>
              </w:rPr>
              <w:t>该工序</w:t>
            </w:r>
            <w:r>
              <w:rPr>
                <w:rFonts w:hint="default" w:ascii="Times New Roman" w:hAnsi="Times New Roman" w:eastAsia="宋体" w:cs="Times New Roman"/>
                <w:color w:val="auto"/>
                <w:spacing w:val="-2"/>
                <w:sz w:val="24"/>
                <w:szCs w:val="24"/>
                <w:highlight w:val="none"/>
              </w:rPr>
              <w:t>用水采用</w:t>
            </w:r>
            <w:r>
              <w:rPr>
                <w:rFonts w:hint="default" w:ascii="Times New Roman" w:hAnsi="Times New Roman" w:eastAsia="宋体" w:cs="Times New Roman"/>
                <w:color w:val="auto"/>
                <w:spacing w:val="-2"/>
                <w:sz w:val="24"/>
                <w:szCs w:val="24"/>
                <w:highlight w:val="none"/>
                <w:lang w:val="en-US" w:eastAsia="zh-CN"/>
              </w:rPr>
              <w:t>清水池回用水，补充水为自来水</w:t>
            </w:r>
            <w:r>
              <w:rPr>
                <w:rFonts w:hint="default" w:ascii="Times New Roman" w:hAnsi="Times New Roman" w:eastAsia="宋体" w:cs="Times New Roman"/>
                <w:color w:val="auto"/>
                <w:spacing w:val="-3"/>
                <w:sz w:val="24"/>
                <w:szCs w:val="24"/>
                <w:highlight w:val="none"/>
                <w:lang w:eastAsia="zh-CN"/>
              </w:rPr>
              <w:t>。</w:t>
            </w:r>
            <w:r>
              <w:rPr>
                <w:rFonts w:hint="eastAsia" w:ascii="Times New Roman" w:hAnsi="Times New Roman" w:eastAsia="宋体" w:cs="Times New Roman"/>
                <w:color w:val="auto"/>
                <w:spacing w:val="-2"/>
                <w:sz w:val="24"/>
                <w:szCs w:val="24"/>
                <w:highlight w:val="none"/>
                <w:lang w:val="en-US" w:eastAsia="zh-CN"/>
              </w:rPr>
              <w:t>根据建设单位提供的资料和同类企业经验数据，</w:t>
            </w:r>
            <w:r>
              <w:rPr>
                <w:rFonts w:hint="default" w:ascii="Times New Roman" w:hAnsi="Times New Roman" w:eastAsia="宋体" w:cs="Times New Roman"/>
                <w:color w:val="auto"/>
                <w:spacing w:val="-5"/>
                <w:sz w:val="24"/>
                <w:szCs w:val="24"/>
                <w:highlight w:val="none"/>
              </w:rPr>
              <w:t>项目</w:t>
            </w:r>
            <w:r>
              <w:rPr>
                <w:rFonts w:hint="default" w:ascii="Times New Roman" w:hAnsi="Times New Roman" w:eastAsia="宋体" w:cs="Times New Roman"/>
                <w:color w:val="auto"/>
                <w:spacing w:val="-5"/>
                <w:sz w:val="24"/>
                <w:szCs w:val="24"/>
                <w:highlight w:val="none"/>
                <w:lang w:eastAsia="zh-CN"/>
              </w:rPr>
              <w:t>磨抛</w:t>
            </w:r>
            <w:r>
              <w:rPr>
                <w:rFonts w:hint="default" w:ascii="Times New Roman" w:hAnsi="Times New Roman" w:eastAsia="宋体" w:cs="Times New Roman"/>
                <w:color w:val="auto"/>
                <w:spacing w:val="-5"/>
                <w:sz w:val="24"/>
                <w:szCs w:val="24"/>
                <w:highlight w:val="none"/>
              </w:rPr>
              <w:t>工段用水量约为</w:t>
            </w:r>
            <w:r>
              <w:rPr>
                <w:rFonts w:hint="default" w:ascii="Times New Roman" w:hAnsi="Times New Roman" w:eastAsia="宋体" w:cs="Times New Roman"/>
                <w:color w:val="auto"/>
                <w:spacing w:val="-5"/>
                <w:sz w:val="24"/>
                <w:szCs w:val="24"/>
                <w:highlight w:val="none"/>
                <w:lang w:val="en-US" w:eastAsia="zh-CN"/>
              </w:rPr>
              <w:t>12</w:t>
            </w:r>
            <w:r>
              <w:rPr>
                <w:rFonts w:hint="default" w:ascii="Times New Roman" w:hAnsi="Times New Roman" w:eastAsia="宋体" w:cs="Times New Roman"/>
                <w:color w:val="auto"/>
                <w:spacing w:val="-5"/>
                <w:sz w:val="24"/>
                <w:szCs w:val="24"/>
                <w:highlight w:val="none"/>
              </w:rPr>
              <w:t>000m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/d</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500</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lang w:val="en-US" w:eastAsia="zh-CN"/>
              </w:rPr>
              <w:t>h</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lang w:val="en-US" w:eastAsia="zh-CN"/>
              </w:rPr>
              <w:t>损耗为</w:t>
            </w:r>
            <w:r>
              <w:rPr>
                <w:rFonts w:hint="eastAsia" w:cs="Times New Roman"/>
                <w:color w:val="auto"/>
                <w:spacing w:val="5"/>
                <w:sz w:val="24"/>
                <w:szCs w:val="24"/>
                <w:highlight w:val="none"/>
                <w:lang w:val="en-US" w:eastAsia="zh-CN"/>
              </w:rPr>
              <w:t>84</w:t>
            </w:r>
            <w:r>
              <w:rPr>
                <w:rFonts w:hint="default" w:ascii="Times New Roman" w:hAnsi="Times New Roman" w:eastAsia="宋体" w:cs="Times New Roman"/>
                <w:color w:val="auto"/>
                <w:spacing w:val="5"/>
                <w:sz w:val="24"/>
                <w:szCs w:val="24"/>
                <w:highlight w:val="none"/>
                <w:lang w:val="en-US" w:eastAsia="zh-CN"/>
              </w:rPr>
              <w:t>0</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2"/>
                <w:sz w:val="24"/>
                <w:szCs w:val="24"/>
                <w:highlight w:val="none"/>
              </w:rPr>
              <w:t>废水产生量</w:t>
            </w:r>
            <w:r>
              <w:rPr>
                <w:rFonts w:hint="default" w:ascii="Times New Roman" w:hAnsi="Times New Roman" w:eastAsia="宋体" w:cs="Times New Roman"/>
                <w:color w:val="auto"/>
                <w:spacing w:val="-2"/>
                <w:sz w:val="24"/>
                <w:szCs w:val="24"/>
                <w:highlight w:val="none"/>
                <w:lang w:val="en-US" w:eastAsia="zh-CN"/>
              </w:rPr>
              <w:t>约</w:t>
            </w:r>
            <w:r>
              <w:rPr>
                <w:rFonts w:hint="default" w:ascii="Times New Roman" w:hAnsi="Times New Roman" w:eastAsia="宋体" w:cs="Times New Roman"/>
                <w:color w:val="auto"/>
                <w:spacing w:val="-2"/>
                <w:sz w:val="24"/>
                <w:szCs w:val="24"/>
                <w:highlight w:val="none"/>
              </w:rPr>
              <w:t>为</w:t>
            </w:r>
            <w:r>
              <w:rPr>
                <w:rFonts w:hint="default" w:ascii="Times New Roman" w:hAnsi="Times New Roman" w:eastAsia="宋体" w:cs="Times New Roman"/>
                <w:color w:val="auto"/>
                <w:spacing w:val="-2"/>
                <w:sz w:val="24"/>
                <w:szCs w:val="24"/>
                <w:highlight w:val="none"/>
                <w:lang w:val="en-US" w:eastAsia="zh-CN"/>
              </w:rPr>
              <w:t>11</w:t>
            </w:r>
            <w:r>
              <w:rPr>
                <w:rFonts w:hint="eastAsia" w:cs="Times New Roman"/>
                <w:color w:val="auto"/>
                <w:spacing w:val="-2"/>
                <w:sz w:val="24"/>
                <w:szCs w:val="24"/>
                <w:highlight w:val="none"/>
                <w:lang w:val="en-US" w:eastAsia="zh-CN"/>
              </w:rPr>
              <w:t>16</w:t>
            </w:r>
            <w:r>
              <w:rPr>
                <w:rFonts w:hint="default" w:ascii="Times New Roman" w:hAnsi="Times New Roman" w:eastAsia="宋体"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工序废水经管道收集后排至</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4"/>
                <w:sz w:val="24"/>
                <w:szCs w:val="24"/>
                <w:highlight w:val="none"/>
                <w:lang w:val="en-US" w:eastAsia="zh-CN"/>
              </w:rPr>
              <w:t>循环水池“</w:t>
            </w:r>
            <w:r>
              <w:rPr>
                <w:rFonts w:hint="eastAsia" w:cs="Times New Roman"/>
                <w:color w:val="auto"/>
                <w:sz w:val="24"/>
                <w:highlight w:val="none"/>
                <w:lang w:val="en-US" w:eastAsia="zh-CN"/>
              </w:rPr>
              <w:t>磁混凝沉淀+压滤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pacing w:val="-3"/>
                <w:sz w:val="24"/>
                <w:szCs w:val="24"/>
                <w:highlight w:val="none"/>
              </w:rPr>
              <w:t>处理后大部分</w:t>
            </w:r>
            <w:r>
              <w:rPr>
                <w:rFonts w:hint="default" w:ascii="Times New Roman" w:hAnsi="Times New Roman" w:eastAsia="宋体" w:cs="Times New Roman"/>
                <w:color w:val="auto"/>
                <w:spacing w:val="-3"/>
                <w:sz w:val="24"/>
                <w:szCs w:val="24"/>
                <w:highlight w:val="none"/>
                <w:lang w:val="en-US" w:eastAsia="zh-CN"/>
              </w:rPr>
              <w:t>清水</w:t>
            </w:r>
            <w:r>
              <w:rPr>
                <w:rFonts w:hint="default" w:ascii="Times New Roman" w:hAnsi="Times New Roman" w:eastAsia="宋体" w:cs="Times New Roman"/>
                <w:color w:val="auto"/>
                <w:spacing w:val="-3"/>
                <w:sz w:val="24"/>
                <w:szCs w:val="24"/>
                <w:highlight w:val="none"/>
              </w:rPr>
              <w:t>输送</w:t>
            </w:r>
            <w:r>
              <w:rPr>
                <w:rFonts w:hint="default" w:ascii="Times New Roman" w:hAnsi="Times New Roman" w:eastAsia="宋体" w:cs="Times New Roman"/>
                <w:color w:val="auto"/>
                <w:spacing w:val="-4"/>
                <w:sz w:val="24"/>
                <w:szCs w:val="24"/>
                <w:highlight w:val="none"/>
              </w:rPr>
              <w:t>回</w:t>
            </w:r>
            <w:r>
              <w:rPr>
                <w:rFonts w:hint="default" w:ascii="Times New Roman" w:hAnsi="Times New Roman" w:eastAsia="宋体" w:cs="Times New Roman"/>
                <w:color w:val="auto"/>
                <w:spacing w:val="-3"/>
                <w:sz w:val="24"/>
                <w:szCs w:val="24"/>
                <w:highlight w:val="none"/>
                <w:lang w:eastAsia="zh-CN"/>
              </w:rPr>
              <w:t>磨抛</w:t>
            </w:r>
            <w:r>
              <w:rPr>
                <w:rFonts w:hint="eastAsia" w:cs="Times New Roman"/>
                <w:color w:val="auto"/>
                <w:spacing w:val="-4"/>
                <w:sz w:val="24"/>
                <w:szCs w:val="24"/>
                <w:highlight w:val="none"/>
                <w:lang w:val="en-US" w:eastAsia="zh-CN"/>
              </w:rPr>
              <w:t>工序</w:t>
            </w:r>
            <w:r>
              <w:rPr>
                <w:rFonts w:hint="default" w:ascii="Times New Roman" w:hAnsi="Times New Roman" w:eastAsia="宋体" w:cs="Times New Roman"/>
                <w:color w:val="auto"/>
                <w:spacing w:val="-4"/>
                <w:sz w:val="24"/>
                <w:szCs w:val="24"/>
                <w:highlight w:val="none"/>
              </w:rPr>
              <w:t>循环</w:t>
            </w:r>
            <w:r>
              <w:rPr>
                <w:rFonts w:hint="default" w:ascii="Times New Roman" w:hAnsi="Times New Roman" w:eastAsia="宋体" w:cs="Times New Roman"/>
                <w:color w:val="auto"/>
                <w:spacing w:val="-1"/>
                <w:sz w:val="24"/>
                <w:szCs w:val="24"/>
                <w:highlight w:val="none"/>
              </w:rPr>
              <w:t>使用，少部分</w:t>
            </w:r>
            <w:r>
              <w:rPr>
                <w:rFonts w:hint="default" w:ascii="Times New Roman" w:hAnsi="Times New Roman" w:eastAsia="宋体" w:cs="Times New Roman"/>
                <w:color w:val="auto"/>
                <w:spacing w:val="-2"/>
                <w:sz w:val="24"/>
                <w:szCs w:val="24"/>
                <w:highlight w:val="none"/>
                <w:lang w:val="en-US" w:eastAsia="zh-CN"/>
              </w:rPr>
              <w:t>压滤后</w:t>
            </w:r>
            <w:r>
              <w:rPr>
                <w:rFonts w:hint="default" w:ascii="Times New Roman" w:hAnsi="Times New Roman" w:eastAsia="宋体" w:cs="Times New Roman"/>
                <w:color w:val="auto"/>
                <w:spacing w:val="-1"/>
                <w:sz w:val="24"/>
                <w:szCs w:val="24"/>
                <w:highlight w:val="none"/>
              </w:rPr>
              <w:t>排至生化污水处理站处理，</w:t>
            </w:r>
            <w:r>
              <w:rPr>
                <w:rFonts w:hint="default" w:ascii="Times New Roman" w:hAnsi="Times New Roman" w:eastAsia="宋体" w:cs="Times New Roman"/>
                <w:color w:val="auto"/>
                <w:spacing w:val="-1"/>
                <w:sz w:val="24"/>
                <w:szCs w:val="24"/>
                <w:highlight w:val="none"/>
                <w:lang w:val="en-US" w:eastAsia="zh-CN"/>
              </w:rPr>
              <w:t>则该工序循环水量约</w:t>
            </w:r>
            <w:r>
              <w:rPr>
                <w:rFonts w:hint="default" w:ascii="Times New Roman" w:hAnsi="Times New Roman" w:eastAsia="宋体" w:cs="Times New Roman"/>
                <w:color w:val="auto"/>
                <w:spacing w:val="-1"/>
                <w:sz w:val="24"/>
                <w:szCs w:val="24"/>
                <w:highlight w:val="none"/>
              </w:rPr>
              <w:t>为</w:t>
            </w:r>
            <w:r>
              <w:rPr>
                <w:rFonts w:hint="eastAsia" w:cs="Times New Roman"/>
                <w:color w:val="auto"/>
                <w:spacing w:val="-1"/>
                <w:sz w:val="24"/>
                <w:szCs w:val="24"/>
                <w:highlight w:val="none"/>
                <w:lang w:val="en-US" w:eastAsia="zh-CN"/>
              </w:rPr>
              <w:t>11026.63</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1"/>
                <w:sz w:val="24"/>
                <w:szCs w:val="24"/>
                <w:highlight w:val="none"/>
                <w:lang w:val="en-US" w:eastAsia="zh-CN"/>
              </w:rPr>
              <w:t>，</w:t>
            </w:r>
            <w:r>
              <w:rPr>
                <w:rFonts w:hint="eastAsia" w:cs="Times New Roman"/>
                <w:color w:val="auto"/>
                <w:sz w:val="24"/>
                <w:szCs w:val="24"/>
                <w:highlight w:val="none"/>
                <w:lang w:val="en-US" w:eastAsia="zh-CN"/>
              </w:rPr>
              <w:t>压滤后污泥带走水量</w:t>
            </w:r>
            <w:r>
              <w:rPr>
                <w:rFonts w:hint="eastAsia" w:ascii="Times New Roman" w:hAnsi="Times New Roman" w:eastAsia="宋体" w:cs="Times New Roman"/>
                <w:color w:val="auto"/>
                <w:spacing w:val="1"/>
                <w:sz w:val="24"/>
                <w:szCs w:val="24"/>
                <w:highlight w:val="none"/>
                <w:lang w:val="en-US" w:eastAsia="zh-CN"/>
              </w:rPr>
              <w:t>3.37</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补充水量为</w:t>
            </w:r>
            <w:r>
              <w:rPr>
                <w:rFonts w:hint="eastAsia" w:cs="Times New Roman"/>
                <w:color w:val="auto"/>
                <w:spacing w:val="1"/>
                <w:sz w:val="24"/>
                <w:szCs w:val="24"/>
                <w:highlight w:val="none"/>
                <w:lang w:val="en-US" w:eastAsia="zh-CN"/>
              </w:rPr>
              <w:t>973.37</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1"/>
                <w:sz w:val="24"/>
                <w:szCs w:val="24"/>
                <w:highlight w:val="none"/>
              </w:rPr>
              <w:t>外排废水量</w:t>
            </w:r>
            <w:r>
              <w:rPr>
                <w:rFonts w:hint="default" w:ascii="Times New Roman" w:hAnsi="Times New Roman" w:eastAsia="宋体" w:cs="Times New Roman"/>
                <w:color w:val="auto"/>
                <w:spacing w:val="-1"/>
                <w:sz w:val="24"/>
                <w:szCs w:val="24"/>
                <w:highlight w:val="none"/>
                <w:lang w:val="en-US" w:eastAsia="zh-CN"/>
              </w:rPr>
              <w:t>约为</w:t>
            </w:r>
            <w:r>
              <w:rPr>
                <w:rFonts w:hint="eastAsia" w:cs="Times New Roman"/>
                <w:color w:val="auto"/>
                <w:spacing w:val="-1"/>
                <w:sz w:val="24"/>
                <w:szCs w:val="24"/>
                <w:highlight w:val="none"/>
                <w:lang w:val="en-US" w:eastAsia="zh-CN"/>
              </w:rPr>
              <w:t>130</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p>
          <w:p w14:paraId="7B032DF1">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3）圆磨工段</w:t>
            </w:r>
            <w:r>
              <w:rPr>
                <w:rFonts w:hint="default" w:ascii="Times New Roman" w:hAnsi="Times New Roman" w:eastAsia="宋体" w:cs="Times New Roman"/>
                <w:color w:val="auto"/>
                <w:spacing w:val="-1"/>
                <w:sz w:val="24"/>
                <w:szCs w:val="24"/>
                <w:highlight w:val="none"/>
                <w:lang w:val="en-US" w:eastAsia="zh-CN"/>
              </w:rPr>
              <w:t>用</w:t>
            </w:r>
            <w:r>
              <w:rPr>
                <w:rFonts w:hint="default" w:ascii="Times New Roman" w:hAnsi="Times New Roman" w:eastAsia="宋体" w:cs="Times New Roman"/>
                <w:color w:val="auto"/>
                <w:spacing w:val="-1"/>
                <w:sz w:val="24"/>
                <w:szCs w:val="24"/>
                <w:highlight w:val="none"/>
              </w:rPr>
              <w:t>水</w:t>
            </w:r>
            <w:r>
              <w:rPr>
                <w:rFonts w:hint="default" w:ascii="Times New Roman" w:hAnsi="Times New Roman" w:eastAsia="宋体" w:cs="Times New Roman"/>
                <w:color w:val="auto"/>
                <w:spacing w:val="-1"/>
                <w:sz w:val="24"/>
                <w:szCs w:val="24"/>
                <w:highlight w:val="none"/>
                <w:lang w:val="en-US" w:eastAsia="zh-CN"/>
              </w:rPr>
              <w:t>及废水</w:t>
            </w:r>
            <w:r>
              <w:rPr>
                <w:rFonts w:hint="default" w:ascii="Times New Roman" w:hAnsi="Times New Roman" w:eastAsia="宋体" w:cs="Times New Roman"/>
                <w:color w:val="auto"/>
                <w:spacing w:val="-1"/>
                <w:sz w:val="24"/>
                <w:szCs w:val="24"/>
                <w:highlight w:val="none"/>
              </w:rPr>
              <w:t>（W5）</w:t>
            </w:r>
          </w:p>
          <w:p w14:paraId="2F8A8D69">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4"/>
                <w:sz w:val="24"/>
                <w:szCs w:val="24"/>
                <w:highlight w:val="none"/>
              </w:rPr>
              <w:t>圆磨采用湿法研磨，</w:t>
            </w:r>
            <w:r>
              <w:rPr>
                <w:rFonts w:hint="default" w:ascii="Times New Roman" w:hAnsi="Times New Roman" w:eastAsia="宋体" w:cs="Times New Roman"/>
                <w:color w:val="auto"/>
                <w:spacing w:val="-3"/>
                <w:sz w:val="24"/>
                <w:szCs w:val="24"/>
                <w:highlight w:val="none"/>
              </w:rPr>
              <w:t>项目共有</w:t>
            </w:r>
            <w:r>
              <w:rPr>
                <w:rFonts w:hint="default" w:ascii="Times New Roman" w:hAnsi="Times New Roman" w:eastAsia="宋体" w:cs="Times New Roman"/>
                <w:color w:val="auto"/>
                <w:spacing w:val="-3"/>
                <w:sz w:val="24"/>
                <w:szCs w:val="24"/>
                <w:highlight w:val="none"/>
                <w:lang w:val="en-US" w:eastAsia="zh-CN"/>
              </w:rPr>
              <w:t>4</w:t>
            </w:r>
            <w:r>
              <w:rPr>
                <w:rFonts w:hint="default" w:ascii="Times New Roman" w:hAnsi="Times New Roman" w:eastAsia="宋体" w:cs="Times New Roman"/>
                <w:color w:val="auto"/>
                <w:spacing w:val="-3"/>
                <w:sz w:val="24"/>
                <w:szCs w:val="24"/>
                <w:highlight w:val="none"/>
              </w:rPr>
              <w:t>0台圆磨机，</w:t>
            </w:r>
            <w:r>
              <w:rPr>
                <w:rFonts w:hint="default" w:ascii="Times New Roman" w:hAnsi="Times New Roman" w:eastAsia="宋体" w:cs="Times New Roman"/>
                <w:color w:val="auto"/>
                <w:spacing w:val="-2"/>
                <w:sz w:val="24"/>
                <w:szCs w:val="24"/>
                <w:highlight w:val="none"/>
                <w:lang w:val="en-US" w:eastAsia="zh-CN"/>
              </w:rPr>
              <w:t>该工序循环</w:t>
            </w:r>
            <w:r>
              <w:rPr>
                <w:rFonts w:hint="default" w:ascii="Times New Roman" w:hAnsi="Times New Roman" w:eastAsia="宋体" w:cs="Times New Roman"/>
                <w:color w:val="auto"/>
                <w:spacing w:val="-2"/>
                <w:sz w:val="24"/>
                <w:szCs w:val="24"/>
                <w:highlight w:val="none"/>
              </w:rPr>
              <w:t>用水</w:t>
            </w:r>
            <w:r>
              <w:rPr>
                <w:rFonts w:hint="default" w:ascii="Times New Roman" w:hAnsi="Times New Roman" w:eastAsia="宋体" w:cs="Times New Roman"/>
                <w:color w:val="auto"/>
                <w:spacing w:val="-2"/>
                <w:sz w:val="24"/>
                <w:szCs w:val="24"/>
                <w:highlight w:val="none"/>
                <w:lang w:val="en-US" w:eastAsia="zh-CN"/>
              </w:rPr>
              <w:t>为清水池回用水，补充水为自来水</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4"/>
                <w:sz w:val="24"/>
                <w:szCs w:val="24"/>
                <w:highlight w:val="none"/>
              </w:rPr>
              <w:t>根据工艺过程分析以及建设单位提供资料，</w:t>
            </w:r>
            <w:r>
              <w:rPr>
                <w:rFonts w:hint="default" w:ascii="Times New Roman" w:hAnsi="Times New Roman" w:eastAsia="宋体" w:cs="Times New Roman"/>
                <w:color w:val="auto"/>
                <w:spacing w:val="-3"/>
                <w:sz w:val="24"/>
                <w:szCs w:val="24"/>
                <w:highlight w:val="none"/>
              </w:rPr>
              <w:t>项目圆磨工段用水量约为</w:t>
            </w:r>
            <w:r>
              <w:rPr>
                <w:rFonts w:hint="default" w:ascii="Times New Roman" w:hAnsi="Times New Roman" w:eastAsia="宋体" w:cs="Times New Roman"/>
                <w:color w:val="auto"/>
                <w:spacing w:val="-5"/>
                <w:sz w:val="24"/>
                <w:szCs w:val="24"/>
                <w:highlight w:val="none"/>
                <w:lang w:val="en-US" w:eastAsia="zh-CN"/>
              </w:rPr>
              <w:t>168</w:t>
            </w:r>
            <w:r>
              <w:rPr>
                <w:rFonts w:hint="default" w:ascii="Times New Roman" w:hAnsi="Times New Roman" w:eastAsia="宋体" w:cs="Times New Roman"/>
                <w:color w:val="auto"/>
                <w:spacing w:val="-5"/>
                <w:sz w:val="24"/>
                <w:szCs w:val="24"/>
                <w:highlight w:val="none"/>
              </w:rPr>
              <w:t>00m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/d</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700</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lang w:val="en-US" w:eastAsia="zh-CN"/>
              </w:rPr>
              <w:t>h</w:t>
            </w:r>
            <w:r>
              <w:rPr>
                <w:rFonts w:hint="default" w:ascii="Times New Roman" w:hAnsi="Times New Roman" w:eastAsia="宋体" w:cs="Times New Roman"/>
                <w:color w:val="auto"/>
                <w:spacing w:val="-5"/>
                <w:sz w:val="24"/>
                <w:szCs w:val="24"/>
                <w:highlight w:val="none"/>
                <w:lang w:eastAsia="zh-CN"/>
              </w:rPr>
              <w:t>）</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lang w:val="en-US" w:eastAsia="zh-CN"/>
              </w:rPr>
              <w:t>损耗为</w:t>
            </w:r>
            <w:r>
              <w:rPr>
                <w:rFonts w:hint="eastAsia" w:cs="Times New Roman"/>
                <w:color w:val="auto"/>
                <w:spacing w:val="5"/>
                <w:sz w:val="24"/>
                <w:szCs w:val="24"/>
                <w:highlight w:val="none"/>
                <w:lang w:val="en-US" w:eastAsia="zh-CN"/>
              </w:rPr>
              <w:t>1176</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1"/>
                <w:sz w:val="24"/>
                <w:szCs w:val="24"/>
                <w:highlight w:val="none"/>
              </w:rPr>
              <w:t>则废水量为</w:t>
            </w:r>
            <w:r>
              <w:rPr>
                <w:rFonts w:hint="default" w:ascii="Times New Roman" w:hAnsi="Times New Roman" w:eastAsia="宋体" w:cs="Times New Roman"/>
                <w:color w:val="auto"/>
                <w:spacing w:val="-1"/>
                <w:sz w:val="24"/>
                <w:szCs w:val="24"/>
                <w:highlight w:val="none"/>
                <w:lang w:val="en-US" w:eastAsia="zh-CN"/>
              </w:rPr>
              <w:t>15</w:t>
            </w:r>
            <w:r>
              <w:rPr>
                <w:rFonts w:hint="eastAsia" w:cs="Times New Roman"/>
                <w:color w:val="auto"/>
                <w:spacing w:val="-1"/>
                <w:sz w:val="24"/>
                <w:szCs w:val="24"/>
                <w:highlight w:val="none"/>
                <w:lang w:val="en-US" w:eastAsia="zh-CN"/>
              </w:rPr>
              <w:t>624</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3"/>
                <w:sz w:val="24"/>
                <w:szCs w:val="24"/>
                <w:highlight w:val="none"/>
              </w:rPr>
              <w:t>圆磨工段废水经管道收集后经厂区圆</w:t>
            </w:r>
            <w:r>
              <w:rPr>
                <w:rFonts w:hint="default" w:ascii="Times New Roman" w:hAnsi="Times New Roman" w:eastAsia="宋体" w:cs="Times New Roman"/>
                <w:color w:val="auto"/>
                <w:sz w:val="24"/>
                <w:szCs w:val="24"/>
                <w:highlight w:val="none"/>
              </w:rPr>
              <w:t>磨循环水池</w:t>
            </w:r>
            <w:r>
              <w:rPr>
                <w:rFonts w:hint="default" w:ascii="Times New Roman" w:hAnsi="Times New Roman" w:eastAsia="宋体" w:cs="Times New Roman"/>
                <w:color w:val="auto"/>
                <w:spacing w:val="-4"/>
                <w:sz w:val="24"/>
                <w:szCs w:val="24"/>
                <w:highlight w:val="none"/>
                <w:lang w:val="en-US" w:eastAsia="zh-CN"/>
              </w:rPr>
              <w:t>“</w:t>
            </w:r>
            <w:r>
              <w:rPr>
                <w:rFonts w:hint="eastAsia" w:cs="Times New Roman"/>
                <w:color w:val="auto"/>
                <w:sz w:val="24"/>
                <w:highlight w:val="none"/>
                <w:lang w:val="en-US" w:eastAsia="zh-CN"/>
              </w:rPr>
              <w:t>磁混凝沉淀+压滤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z w:val="24"/>
                <w:szCs w:val="24"/>
                <w:highlight w:val="none"/>
              </w:rPr>
              <w:t>处理后大部分</w:t>
            </w:r>
            <w:r>
              <w:rPr>
                <w:rFonts w:hint="default" w:ascii="Times New Roman" w:hAnsi="Times New Roman" w:eastAsia="宋体" w:cs="Times New Roman"/>
                <w:color w:val="auto"/>
                <w:spacing w:val="-3"/>
                <w:sz w:val="24"/>
                <w:szCs w:val="24"/>
                <w:highlight w:val="none"/>
                <w:lang w:val="en-US" w:eastAsia="zh-CN"/>
              </w:rPr>
              <w:t>清水</w:t>
            </w:r>
            <w:r>
              <w:rPr>
                <w:rFonts w:hint="default" w:ascii="Times New Roman" w:hAnsi="Times New Roman" w:eastAsia="宋体" w:cs="Times New Roman"/>
                <w:color w:val="auto"/>
                <w:sz w:val="24"/>
                <w:szCs w:val="24"/>
                <w:highlight w:val="none"/>
              </w:rPr>
              <w:t>循环回用于圆磨用水，少部分</w:t>
            </w:r>
            <w:r>
              <w:rPr>
                <w:rFonts w:hint="default" w:ascii="Times New Roman" w:hAnsi="Times New Roman" w:eastAsia="宋体" w:cs="Times New Roman"/>
                <w:color w:val="auto"/>
                <w:spacing w:val="-2"/>
                <w:sz w:val="24"/>
                <w:szCs w:val="24"/>
                <w:highlight w:val="none"/>
                <w:lang w:val="en-US" w:eastAsia="zh-CN"/>
              </w:rPr>
              <w:t>压滤后</w:t>
            </w:r>
            <w:r>
              <w:rPr>
                <w:rFonts w:hint="default" w:ascii="Times New Roman" w:hAnsi="Times New Roman" w:eastAsia="宋体" w:cs="Times New Roman"/>
                <w:color w:val="auto"/>
                <w:spacing w:val="-1"/>
                <w:sz w:val="24"/>
                <w:szCs w:val="24"/>
                <w:highlight w:val="none"/>
              </w:rPr>
              <w:t>排至生化污水处理站处理</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1"/>
                <w:sz w:val="24"/>
                <w:szCs w:val="24"/>
                <w:highlight w:val="none"/>
                <w:lang w:val="en-US" w:eastAsia="zh-CN"/>
              </w:rPr>
              <w:t>则该工序循环水量约</w:t>
            </w:r>
            <w:r>
              <w:rPr>
                <w:rFonts w:hint="default" w:ascii="Times New Roman" w:hAnsi="Times New Roman" w:eastAsia="宋体" w:cs="Times New Roman"/>
                <w:color w:val="auto"/>
                <w:spacing w:val="-1"/>
                <w:sz w:val="24"/>
                <w:szCs w:val="24"/>
                <w:highlight w:val="none"/>
              </w:rPr>
              <w:t>为</w:t>
            </w:r>
            <w:r>
              <w:rPr>
                <w:rFonts w:hint="default" w:ascii="Times New Roman" w:hAnsi="Times New Roman" w:eastAsia="宋体" w:cs="Times New Roman"/>
                <w:color w:val="auto"/>
                <w:spacing w:val="-1"/>
                <w:sz w:val="24"/>
                <w:szCs w:val="24"/>
                <w:highlight w:val="none"/>
                <w:lang w:val="en-US" w:eastAsia="zh-CN"/>
              </w:rPr>
              <w:t>15</w:t>
            </w:r>
            <w:r>
              <w:rPr>
                <w:rFonts w:hint="eastAsia" w:cs="Times New Roman"/>
                <w:color w:val="auto"/>
                <w:spacing w:val="-1"/>
                <w:sz w:val="24"/>
                <w:szCs w:val="24"/>
                <w:highlight w:val="none"/>
                <w:lang w:val="en-US" w:eastAsia="zh-CN"/>
              </w:rPr>
              <w:t>521.41</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1"/>
                <w:sz w:val="24"/>
                <w:szCs w:val="24"/>
                <w:highlight w:val="none"/>
                <w:lang w:val="en-US" w:eastAsia="zh-CN"/>
              </w:rPr>
              <w:t>，</w:t>
            </w:r>
            <w:r>
              <w:rPr>
                <w:rFonts w:hint="eastAsia" w:cs="Times New Roman"/>
                <w:color w:val="auto"/>
                <w:sz w:val="24"/>
                <w:szCs w:val="24"/>
                <w:highlight w:val="none"/>
                <w:lang w:val="en-US" w:eastAsia="zh-CN"/>
              </w:rPr>
              <w:t>压滤后污泥带走水量</w:t>
            </w:r>
            <w:r>
              <w:rPr>
                <w:rFonts w:hint="eastAsia" w:ascii="Times New Roman" w:hAnsi="Times New Roman" w:eastAsia="宋体" w:cs="Times New Roman"/>
                <w:color w:val="auto"/>
                <w:spacing w:val="1"/>
                <w:sz w:val="24"/>
                <w:szCs w:val="24"/>
                <w:highlight w:val="none"/>
                <w:lang w:val="en-US" w:eastAsia="zh-CN"/>
              </w:rPr>
              <w:t>2.56</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补充水量为</w:t>
            </w:r>
            <w:r>
              <w:rPr>
                <w:rFonts w:hint="default" w:ascii="Times New Roman" w:hAnsi="Times New Roman" w:eastAsia="宋体" w:cs="Times New Roman"/>
                <w:color w:val="auto"/>
                <w:spacing w:val="1"/>
                <w:sz w:val="24"/>
                <w:szCs w:val="24"/>
                <w:highlight w:val="none"/>
                <w:lang w:val="en-US" w:eastAsia="zh-CN"/>
              </w:rPr>
              <w:t>1</w:t>
            </w:r>
            <w:r>
              <w:rPr>
                <w:rFonts w:hint="eastAsia" w:cs="Times New Roman"/>
                <w:color w:val="auto"/>
                <w:spacing w:val="1"/>
                <w:sz w:val="24"/>
                <w:szCs w:val="24"/>
                <w:highlight w:val="none"/>
                <w:lang w:val="en-US" w:eastAsia="zh-CN"/>
              </w:rPr>
              <w:t>278.59</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4"/>
                <w:sz w:val="24"/>
                <w:szCs w:val="24"/>
                <w:highlight w:val="none"/>
              </w:rPr>
              <w:t>外排废水量</w:t>
            </w:r>
            <w:r>
              <w:rPr>
                <w:rFonts w:hint="default" w:ascii="Times New Roman" w:hAnsi="Times New Roman" w:eastAsia="宋体" w:cs="Times New Roman"/>
                <w:color w:val="auto"/>
                <w:spacing w:val="-4"/>
                <w:sz w:val="24"/>
                <w:szCs w:val="24"/>
                <w:highlight w:val="none"/>
                <w:lang w:val="en-US" w:eastAsia="zh-CN"/>
              </w:rPr>
              <w:t>约为1</w:t>
            </w:r>
            <w:r>
              <w:rPr>
                <w:rFonts w:hint="eastAsia" w:cs="Times New Roman"/>
                <w:color w:val="auto"/>
                <w:spacing w:val="-4"/>
                <w:sz w:val="24"/>
                <w:szCs w:val="24"/>
                <w:highlight w:val="none"/>
                <w:lang w:val="en-US" w:eastAsia="zh-CN"/>
              </w:rPr>
              <w:t>00</w:t>
            </w:r>
            <w:r>
              <w:rPr>
                <w:rFonts w:hint="default" w:ascii="Times New Roman" w:hAnsi="Times New Roman" w:eastAsia="宋体" w:cs="Times New Roman"/>
                <w:color w:val="auto"/>
                <w:spacing w:val="-4"/>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4"/>
                <w:sz w:val="24"/>
                <w:szCs w:val="24"/>
                <w:highlight w:val="none"/>
              </w:rPr>
              <w:t>/d。</w:t>
            </w:r>
          </w:p>
          <w:p w14:paraId="11E7525B">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4）</w:t>
            </w:r>
            <w:r>
              <w:rPr>
                <w:rFonts w:hint="default" w:ascii="Times New Roman" w:hAnsi="Times New Roman" w:eastAsia="宋体" w:cs="Times New Roman"/>
                <w:color w:val="auto"/>
                <w:sz w:val="24"/>
                <w:szCs w:val="24"/>
                <w:highlight w:val="none"/>
              </w:rPr>
              <w:t>吸塑片生产</w:t>
            </w:r>
            <w:r>
              <w:rPr>
                <w:rFonts w:hint="default" w:ascii="Times New Roman" w:hAnsi="Times New Roman" w:eastAsia="宋体" w:cs="Times New Roman"/>
                <w:color w:val="auto"/>
                <w:spacing w:val="-1"/>
                <w:sz w:val="24"/>
                <w:szCs w:val="24"/>
                <w:highlight w:val="none"/>
              </w:rPr>
              <w:t>冷却循环水（W</w:t>
            </w:r>
            <w:r>
              <w:rPr>
                <w:rFonts w:hint="default" w:ascii="Times New Roman" w:hAnsi="Times New Roman" w:eastAsia="宋体" w:cs="Times New Roman"/>
                <w:color w:val="auto"/>
                <w:spacing w:val="-1"/>
                <w:sz w:val="24"/>
                <w:szCs w:val="24"/>
                <w:highlight w:val="none"/>
                <w:lang w:val="en-US" w:eastAsia="zh-CN"/>
              </w:rPr>
              <w:t>6</w:t>
            </w:r>
            <w:r>
              <w:rPr>
                <w:rFonts w:hint="default" w:ascii="Times New Roman" w:hAnsi="Times New Roman" w:eastAsia="宋体" w:cs="Times New Roman"/>
                <w:color w:val="auto"/>
                <w:spacing w:val="-1"/>
                <w:sz w:val="24"/>
                <w:szCs w:val="24"/>
                <w:highlight w:val="none"/>
              </w:rPr>
              <w:t>）</w:t>
            </w:r>
          </w:p>
          <w:p w14:paraId="28978DFB">
            <w:pPr>
              <w:keepNext w:val="0"/>
              <w:keepLines w:val="0"/>
              <w:pageBreakBefore w:val="0"/>
              <w:widowControl w:val="0"/>
              <w:kinsoku/>
              <w:wordWrap/>
              <w:overflowPunct/>
              <w:topLinePunct/>
              <w:autoSpaceDE w:val="0"/>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吸塑片生产加热挤出工序需要对产品进行冷却降温，冷却水循环使用不外排，通过管道流入冷却循环水池</w:t>
            </w:r>
            <w:r>
              <w:rPr>
                <w:rFonts w:hint="default" w:ascii="Times New Roman" w:hAnsi="Times New Roman" w:eastAsia="宋体" w:cs="Times New Roman"/>
                <w:color w:val="auto"/>
                <w:sz w:val="24"/>
                <w:szCs w:val="24"/>
                <w:highlight w:val="none"/>
                <w:lang w:eastAsia="zh-CN"/>
              </w:rPr>
              <w:t>。</w:t>
            </w:r>
          </w:p>
          <w:p w14:paraId="5C596033">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4"/>
                <w:sz w:val="24"/>
                <w:szCs w:val="24"/>
                <w:highlight w:val="none"/>
              </w:rPr>
              <w:t>根据建设单位提供资料，</w:t>
            </w:r>
            <w:r>
              <w:rPr>
                <w:rFonts w:hint="default" w:ascii="Times New Roman" w:hAnsi="Times New Roman" w:eastAsia="宋体" w:cs="Times New Roman"/>
                <w:color w:val="auto"/>
                <w:sz w:val="24"/>
                <w:szCs w:val="24"/>
                <w:highlight w:val="none"/>
              </w:rPr>
              <w:t>项目设置8</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pacing w:val="-2"/>
                <w:sz w:val="24"/>
                <w:szCs w:val="24"/>
                <w:highlight w:val="none"/>
              </w:rPr>
              <w:t>循环水冷却装置</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配套1个</w:t>
            </w:r>
            <w:r>
              <w:rPr>
                <w:rFonts w:hint="default" w:ascii="Times New Roman" w:hAnsi="Times New Roman" w:eastAsia="宋体" w:cs="Times New Roman"/>
                <w:color w:val="auto"/>
                <w:spacing w:val="-2"/>
                <w:sz w:val="24"/>
                <w:szCs w:val="24"/>
                <w:highlight w:val="none"/>
              </w:rPr>
              <w:t>循环水池容积约10m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bCs/>
                <w:color w:val="auto"/>
                <w:sz w:val="24"/>
                <w:szCs w:val="24"/>
                <w:highlight w:val="none"/>
              </w:rPr>
              <w:t>冷却后循环使用</w:t>
            </w:r>
            <w:r>
              <w:rPr>
                <w:rFonts w:hint="default" w:ascii="Times New Roman" w:hAnsi="Times New Roman" w:eastAsia="宋体" w:cs="Times New Roman"/>
                <w:bCs/>
                <w:color w:val="auto"/>
                <w:sz w:val="24"/>
                <w:szCs w:val="24"/>
                <w:highlight w:val="none"/>
                <w:lang w:val="en-US" w:eastAsia="zh-CN"/>
              </w:rPr>
              <w:t>不外排</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pacing w:val="-2"/>
                <w:sz w:val="24"/>
                <w:szCs w:val="24"/>
                <w:highlight w:val="none"/>
                <w:lang w:val="en-US" w:eastAsia="zh-CN"/>
              </w:rPr>
              <w:t>循环水量为192</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bCs/>
                <w:color w:val="auto"/>
                <w:sz w:val="24"/>
                <w:szCs w:val="24"/>
                <w:highlight w:val="none"/>
              </w:rPr>
              <w:t>因蒸发损失，</w:t>
            </w:r>
            <w:r>
              <w:rPr>
                <w:rFonts w:hint="default" w:ascii="Times New Roman" w:hAnsi="Times New Roman" w:eastAsia="宋体" w:cs="Times New Roman"/>
                <w:color w:val="auto"/>
                <w:spacing w:val="-2"/>
                <w:sz w:val="24"/>
                <w:szCs w:val="24"/>
                <w:highlight w:val="none"/>
                <w:lang w:val="en-US" w:eastAsia="zh-CN"/>
              </w:rPr>
              <w:t>该工序补充</w:t>
            </w:r>
            <w:r>
              <w:rPr>
                <w:rFonts w:hint="default" w:ascii="Times New Roman" w:hAnsi="Times New Roman" w:eastAsia="宋体" w:cs="Times New Roman"/>
                <w:color w:val="auto"/>
                <w:spacing w:val="-2"/>
                <w:sz w:val="24"/>
                <w:szCs w:val="24"/>
                <w:highlight w:val="none"/>
              </w:rPr>
              <w:t>水采用</w:t>
            </w:r>
            <w:r>
              <w:rPr>
                <w:rFonts w:hint="default" w:ascii="Times New Roman" w:hAnsi="Times New Roman" w:eastAsia="宋体" w:cs="Times New Roman"/>
                <w:color w:val="auto"/>
                <w:spacing w:val="-2"/>
                <w:sz w:val="24"/>
                <w:szCs w:val="24"/>
                <w:highlight w:val="none"/>
                <w:lang w:val="en-US" w:eastAsia="zh-CN"/>
              </w:rPr>
              <w:t>自来水</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损耗</w:t>
            </w:r>
            <w:r>
              <w:rPr>
                <w:rFonts w:hint="default" w:ascii="Times New Roman" w:hAnsi="Times New Roman" w:eastAsia="宋体" w:cs="Times New Roman"/>
                <w:bCs/>
                <w:color w:val="auto"/>
                <w:sz w:val="24"/>
                <w:szCs w:val="24"/>
                <w:highlight w:val="none"/>
              </w:rPr>
              <w:t>系数按循环水量的</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%计算</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损耗量为1.92</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5"/>
                <w:sz w:val="24"/>
                <w:szCs w:val="24"/>
                <w:highlight w:val="none"/>
                <w:lang w:val="en-US" w:eastAsia="zh-CN"/>
              </w:rPr>
              <w:t>，则</w:t>
            </w:r>
            <w:r>
              <w:rPr>
                <w:rFonts w:hint="default" w:ascii="Times New Roman" w:hAnsi="Times New Roman" w:eastAsia="宋体" w:cs="Times New Roman"/>
                <w:color w:val="auto"/>
                <w:spacing w:val="-2"/>
                <w:sz w:val="24"/>
                <w:szCs w:val="24"/>
                <w:highlight w:val="none"/>
              </w:rPr>
              <w:t>补充水量为</w:t>
            </w:r>
            <w:r>
              <w:rPr>
                <w:rFonts w:hint="default" w:ascii="Times New Roman" w:hAnsi="Times New Roman" w:eastAsia="宋体" w:cs="Times New Roman"/>
                <w:color w:val="auto"/>
                <w:spacing w:val="-2"/>
                <w:sz w:val="24"/>
                <w:szCs w:val="24"/>
                <w:highlight w:val="none"/>
                <w:lang w:val="en-US" w:eastAsia="zh-CN"/>
              </w:rPr>
              <w:t>1.92</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p>
          <w:p w14:paraId="46414C88">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4"/>
                <w:sz w:val="24"/>
                <w:szCs w:val="24"/>
                <w:highlight w:val="none"/>
                <w:lang w:val="en-US" w:eastAsia="zh-CN"/>
              </w:rPr>
              <w:t>磨抛车间</w:t>
            </w:r>
            <w:r>
              <w:rPr>
                <w:rFonts w:hint="default" w:ascii="Times New Roman" w:hAnsi="Times New Roman" w:eastAsia="宋体" w:cs="Times New Roman"/>
                <w:color w:val="auto"/>
                <w:sz w:val="24"/>
                <w:szCs w:val="24"/>
                <w:highlight w:val="none"/>
              </w:rPr>
              <w:t>生产</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pacing w:val="-1"/>
                <w:sz w:val="24"/>
                <w:szCs w:val="24"/>
                <w:highlight w:val="none"/>
              </w:rPr>
              <w:t>冷却循环水（W</w:t>
            </w:r>
            <w:r>
              <w:rPr>
                <w:rFonts w:hint="default" w:ascii="Times New Roman" w:hAnsi="Times New Roman" w:eastAsia="宋体" w:cs="Times New Roman"/>
                <w:color w:val="auto"/>
                <w:spacing w:val="-1"/>
                <w:sz w:val="24"/>
                <w:szCs w:val="24"/>
                <w:highlight w:val="none"/>
                <w:lang w:val="en-US" w:eastAsia="zh-CN"/>
              </w:rPr>
              <w:t>7</w:t>
            </w:r>
            <w:r>
              <w:rPr>
                <w:rFonts w:hint="default" w:ascii="Times New Roman" w:hAnsi="Times New Roman" w:eastAsia="宋体" w:cs="Times New Roman"/>
                <w:color w:val="auto"/>
                <w:spacing w:val="-1"/>
                <w:sz w:val="24"/>
                <w:szCs w:val="24"/>
                <w:highlight w:val="none"/>
              </w:rPr>
              <w:t>）</w:t>
            </w:r>
          </w:p>
          <w:p w14:paraId="02E503BA">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4"/>
                <w:sz w:val="24"/>
                <w:szCs w:val="24"/>
                <w:highlight w:val="none"/>
              </w:rPr>
              <w:t>根据建设单位提供资料，</w:t>
            </w:r>
            <w:r>
              <w:rPr>
                <w:rFonts w:hint="default" w:ascii="Times New Roman" w:hAnsi="Times New Roman" w:eastAsia="宋体" w:cs="Times New Roman"/>
                <w:color w:val="auto"/>
                <w:spacing w:val="-4"/>
                <w:sz w:val="24"/>
                <w:szCs w:val="24"/>
                <w:highlight w:val="none"/>
                <w:lang w:val="en-US" w:eastAsia="zh-CN"/>
              </w:rPr>
              <w:t>项目磨抛车间</w:t>
            </w:r>
            <w:r>
              <w:rPr>
                <w:rFonts w:hint="default" w:ascii="Times New Roman" w:hAnsi="Times New Roman" w:eastAsia="宋体" w:cs="Times New Roman"/>
                <w:color w:val="auto"/>
                <w:sz w:val="24"/>
                <w:szCs w:val="24"/>
                <w:highlight w:val="none"/>
              </w:rPr>
              <w:t>生产</w:t>
            </w:r>
            <w:r>
              <w:rPr>
                <w:rFonts w:hint="default" w:ascii="Times New Roman" w:hAnsi="Times New Roman" w:eastAsia="宋体" w:cs="Times New Roman"/>
                <w:color w:val="auto"/>
                <w:sz w:val="24"/>
                <w:szCs w:val="24"/>
                <w:highlight w:val="none"/>
                <w:lang w:val="en-US" w:eastAsia="zh-CN"/>
              </w:rPr>
              <w:t>设备研磨产热的</w:t>
            </w:r>
            <w:r>
              <w:rPr>
                <w:rFonts w:hint="default" w:ascii="Times New Roman" w:hAnsi="Times New Roman" w:eastAsia="宋体" w:cs="Times New Roman"/>
                <w:color w:val="auto"/>
                <w:sz w:val="24"/>
                <w:szCs w:val="24"/>
                <w:highlight w:val="none"/>
              </w:rPr>
              <w:t>冷却水循环使用，不外排</w:t>
            </w:r>
            <w:r>
              <w:rPr>
                <w:rFonts w:hint="default" w:ascii="Times New Roman" w:hAnsi="Times New Roman" w:eastAsia="宋体" w:cs="Times New Roman"/>
                <w:color w:val="auto"/>
                <w:spacing w:val="-2"/>
                <w:sz w:val="24"/>
                <w:szCs w:val="24"/>
                <w:highlight w:val="none"/>
                <w:lang w:val="en-US" w:eastAsia="zh-CN"/>
              </w:rPr>
              <w:t>，循环水量为500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损耗</w:t>
            </w:r>
            <w:r>
              <w:rPr>
                <w:rFonts w:hint="default" w:ascii="Times New Roman" w:hAnsi="Times New Roman" w:eastAsia="宋体" w:cs="Times New Roman"/>
                <w:bCs/>
                <w:color w:val="auto"/>
                <w:sz w:val="24"/>
                <w:szCs w:val="24"/>
                <w:highlight w:val="none"/>
              </w:rPr>
              <w:t>系数按循环水量的</w:t>
            </w:r>
            <w:r>
              <w:rPr>
                <w:rFonts w:hint="default"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rPr>
              <w:t>%计算</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pacing w:val="5"/>
                <w:sz w:val="24"/>
                <w:szCs w:val="24"/>
                <w:highlight w:val="none"/>
                <w:lang w:val="en-US" w:eastAsia="zh-CN"/>
              </w:rPr>
              <w:t>损耗量为5</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5"/>
                <w:sz w:val="24"/>
                <w:szCs w:val="24"/>
                <w:highlight w:val="none"/>
                <w:lang w:val="en-US" w:eastAsia="zh-CN"/>
              </w:rPr>
              <w:t>，需</w:t>
            </w:r>
            <w:r>
              <w:rPr>
                <w:rFonts w:hint="default" w:ascii="Times New Roman" w:hAnsi="Times New Roman" w:eastAsia="宋体" w:cs="Times New Roman"/>
                <w:color w:val="auto"/>
                <w:sz w:val="24"/>
                <w:szCs w:val="24"/>
                <w:highlight w:val="none"/>
              </w:rPr>
              <w:t>定期补充</w:t>
            </w:r>
            <w:r>
              <w:rPr>
                <w:rFonts w:hint="default" w:ascii="Times New Roman" w:hAnsi="Times New Roman" w:eastAsia="宋体" w:cs="Times New Roman"/>
                <w:color w:val="auto"/>
                <w:sz w:val="24"/>
                <w:szCs w:val="24"/>
                <w:highlight w:val="none"/>
                <w:lang w:val="en-US" w:eastAsia="zh-CN"/>
              </w:rPr>
              <w:t>损耗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该工序补充水</w:t>
            </w:r>
            <w:r>
              <w:rPr>
                <w:rFonts w:hint="default" w:ascii="Times New Roman" w:hAnsi="Times New Roman" w:eastAsia="宋体" w:cs="Times New Roman"/>
                <w:color w:val="auto"/>
                <w:spacing w:val="-4"/>
                <w:sz w:val="24"/>
                <w:szCs w:val="24"/>
                <w:highlight w:val="none"/>
                <w:lang w:val="en-US" w:eastAsia="zh-CN"/>
              </w:rPr>
              <w:t>采用去离子水，该工序</w:t>
            </w:r>
            <w:r>
              <w:rPr>
                <w:rFonts w:hint="default" w:ascii="Times New Roman" w:hAnsi="Times New Roman" w:eastAsia="宋体" w:cs="Times New Roman"/>
                <w:color w:val="auto"/>
                <w:spacing w:val="-2"/>
                <w:sz w:val="24"/>
                <w:szCs w:val="24"/>
                <w:highlight w:val="none"/>
                <w:lang w:val="en-US" w:eastAsia="zh-CN"/>
              </w:rPr>
              <w:t>用水量</w:t>
            </w:r>
            <w:r>
              <w:rPr>
                <w:rFonts w:hint="default" w:ascii="Times New Roman" w:hAnsi="Times New Roman" w:eastAsia="宋体" w:cs="Times New Roman"/>
                <w:color w:val="auto"/>
                <w:spacing w:val="-2"/>
                <w:sz w:val="24"/>
                <w:szCs w:val="24"/>
                <w:highlight w:val="none"/>
              </w:rPr>
              <w:t>补充水量为5m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p>
          <w:p w14:paraId="16792353">
            <w:pPr>
              <w:keepNext w:val="0"/>
              <w:keepLines w:val="0"/>
              <w:pageBreakBefore w:val="0"/>
              <w:widowControl w:val="0"/>
              <w:kinsoku/>
              <w:wordWrap/>
              <w:overflowPunct/>
              <w:topLinePunct/>
              <w:autoSpaceDE w:val="0"/>
              <w:bidi w:val="0"/>
              <w:adjustRightInd/>
              <w:snapToGrid/>
              <w:spacing w:line="360" w:lineRule="auto"/>
              <w:ind w:left="0" w:right="0" w:firstLine="47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rPr>
              <w:t>一般</w:t>
            </w:r>
            <w:r>
              <w:rPr>
                <w:rFonts w:hint="default" w:ascii="Times New Roman" w:hAnsi="Times New Roman" w:eastAsia="宋体" w:cs="Times New Roman"/>
                <w:b/>
                <w:bCs/>
                <w:color w:val="auto"/>
                <w:spacing w:val="-2"/>
                <w:sz w:val="24"/>
                <w:szCs w:val="24"/>
                <w:highlight w:val="none"/>
                <w:lang w:val="en-US" w:eastAsia="zh-CN"/>
              </w:rPr>
              <w:t>清洗用水及</w:t>
            </w:r>
            <w:r>
              <w:rPr>
                <w:rFonts w:hint="default" w:ascii="Times New Roman" w:hAnsi="Times New Roman" w:eastAsia="宋体" w:cs="Times New Roman"/>
                <w:b/>
                <w:bCs/>
                <w:color w:val="auto"/>
                <w:spacing w:val="-2"/>
                <w:sz w:val="24"/>
                <w:szCs w:val="24"/>
                <w:highlight w:val="none"/>
              </w:rPr>
              <w:t>废水</w:t>
            </w:r>
          </w:p>
          <w:p w14:paraId="4703A94C">
            <w:pPr>
              <w:keepNext w:val="0"/>
              <w:keepLines w:val="0"/>
              <w:pageBreakBefore w:val="0"/>
              <w:widowControl w:val="0"/>
              <w:kinsoku/>
              <w:wordWrap/>
              <w:overflowPunct/>
              <w:topLinePunct/>
              <w:autoSpaceDE w:val="0"/>
              <w:bidi w:val="0"/>
              <w:adjustRightInd/>
              <w:snapToGrid/>
              <w:spacing w:line="360" w:lineRule="auto"/>
              <w:ind w:left="0" w:right="0" w:firstLine="49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根据生产工艺，一般清洗</w:t>
            </w:r>
            <w:r>
              <w:rPr>
                <w:rFonts w:hint="default" w:ascii="Times New Roman" w:hAnsi="Times New Roman" w:eastAsia="宋体" w:cs="Times New Roman"/>
                <w:color w:val="auto"/>
                <w:spacing w:val="3"/>
                <w:sz w:val="24"/>
                <w:szCs w:val="24"/>
                <w:highlight w:val="none"/>
                <w:lang w:val="en-US" w:eastAsia="zh-CN"/>
              </w:rPr>
              <w:t>用水</w:t>
            </w:r>
            <w:r>
              <w:rPr>
                <w:rFonts w:hint="default" w:ascii="Times New Roman" w:hAnsi="Times New Roman" w:eastAsia="宋体" w:cs="Times New Roman"/>
                <w:color w:val="auto"/>
                <w:spacing w:val="3"/>
                <w:sz w:val="24"/>
                <w:szCs w:val="24"/>
                <w:highlight w:val="none"/>
              </w:rPr>
              <w:t>主要为烫钻下料后碱洗用水、</w:t>
            </w:r>
            <w:r>
              <w:rPr>
                <w:rFonts w:hint="default" w:ascii="Times New Roman" w:hAnsi="Times New Roman" w:eastAsia="宋体" w:cs="Times New Roman"/>
                <w:color w:val="auto"/>
                <w:spacing w:val="-3"/>
                <w:sz w:val="24"/>
                <w:szCs w:val="24"/>
                <w:highlight w:val="none"/>
              </w:rPr>
              <w:t>碱洗后清洗用水</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2"/>
                <w:sz w:val="24"/>
                <w:szCs w:val="24"/>
                <w:highlight w:val="none"/>
              </w:rPr>
              <w:t>车间冲洗用水</w:t>
            </w:r>
            <w:r>
              <w:rPr>
                <w:rFonts w:hint="default" w:ascii="Times New Roman" w:hAnsi="Times New Roman" w:eastAsia="宋体" w:cs="Times New Roman"/>
                <w:color w:val="auto"/>
                <w:spacing w:val="-1"/>
                <w:sz w:val="24"/>
                <w:szCs w:val="24"/>
                <w:highlight w:val="none"/>
              </w:rPr>
              <w:t>。</w:t>
            </w:r>
          </w:p>
          <w:p w14:paraId="223A1F6C">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lang w:val="en-US" w:eastAsia="zh-CN"/>
              </w:rPr>
              <w:t>1</w:t>
            </w:r>
            <w:r>
              <w:rPr>
                <w:rFonts w:hint="default" w:ascii="Times New Roman" w:hAnsi="Times New Roman" w:eastAsia="宋体" w:cs="Times New Roman"/>
                <w:color w:val="auto"/>
                <w:spacing w:val="-1"/>
                <w:sz w:val="24"/>
                <w:szCs w:val="24"/>
                <w:highlight w:val="none"/>
              </w:rPr>
              <w:t>）烫钻下料后碱洗废水（W3）</w:t>
            </w:r>
          </w:p>
          <w:p w14:paraId="5AAF48FC">
            <w:pPr>
              <w:keepNext w:val="0"/>
              <w:keepLines w:val="0"/>
              <w:pageBreakBefore w:val="0"/>
              <w:widowControl w:val="0"/>
              <w:kinsoku/>
              <w:wordWrap/>
              <w:overflowPunct/>
              <w:topLinePunct/>
              <w:autoSpaceDE w:val="0"/>
              <w:bidi w:val="0"/>
              <w:adjustRightInd/>
              <w:snapToGrid/>
              <w:spacing w:line="360" w:lineRule="auto"/>
              <w:ind w:left="0" w:right="0" w:firstLine="472" w:firstLineChars="200"/>
              <w:textAlignment w:val="auto"/>
              <w:rPr>
                <w:rFonts w:hint="eastAsia" w:cs="Times New Roman"/>
                <w:color w:val="auto"/>
                <w:spacing w:val="-2"/>
                <w:sz w:val="24"/>
                <w:szCs w:val="24"/>
                <w:highlight w:val="none"/>
                <w:lang w:val="en-US" w:eastAsia="zh-CN"/>
              </w:rPr>
            </w:pPr>
            <w:r>
              <w:rPr>
                <w:rFonts w:hint="eastAsia" w:cs="Times New Roman"/>
                <w:color w:val="auto"/>
                <w:spacing w:val="-2"/>
                <w:sz w:val="24"/>
                <w:szCs w:val="24"/>
                <w:highlight w:val="none"/>
                <w:lang w:val="en-US" w:eastAsia="zh-CN"/>
              </w:rPr>
              <w:t>①配碱用水</w:t>
            </w:r>
          </w:p>
          <w:p w14:paraId="0EB1F6AB">
            <w:pPr>
              <w:keepNext w:val="0"/>
              <w:keepLines w:val="0"/>
              <w:pageBreakBefore w:val="0"/>
              <w:widowControl w:val="0"/>
              <w:kinsoku/>
              <w:wordWrap/>
              <w:overflowPunct/>
              <w:topLinePunct/>
              <w:autoSpaceDE w:val="0"/>
              <w:bidi w:val="0"/>
              <w:adjustRightInd/>
              <w:snapToGrid/>
              <w:spacing w:line="360" w:lineRule="auto"/>
              <w:ind w:left="0" w:right="0" w:firstLine="472" w:firstLineChars="200"/>
              <w:textAlignment w:val="auto"/>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val="en-US" w:eastAsia="zh-CN"/>
              </w:rPr>
              <w:t>烫钻</w:t>
            </w:r>
            <w:r>
              <w:rPr>
                <w:rFonts w:hint="default" w:ascii="Times New Roman" w:hAnsi="Times New Roman" w:eastAsia="宋体" w:cs="Times New Roman"/>
                <w:color w:val="auto"/>
                <w:spacing w:val="-2"/>
                <w:sz w:val="24"/>
                <w:szCs w:val="24"/>
                <w:highlight w:val="none"/>
              </w:rPr>
              <w:t>半成品碱清洗使用1%NaOH溶液，1%NaOH溶液采用自来水配制而成</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4"/>
                <w:sz w:val="24"/>
                <w:szCs w:val="24"/>
                <w:highlight w:val="none"/>
              </w:rPr>
              <w:t>根据建设单位提供资料，</w:t>
            </w:r>
            <w:r>
              <w:rPr>
                <w:rFonts w:hint="default" w:ascii="Times New Roman" w:hAnsi="Times New Roman" w:eastAsia="宋体" w:cs="Times New Roman"/>
                <w:color w:val="auto"/>
                <w:spacing w:val="-2"/>
                <w:sz w:val="24"/>
                <w:szCs w:val="24"/>
                <w:highlight w:val="none"/>
              </w:rPr>
              <w:t>项目NaOH（片碱）使用量为</w:t>
            </w:r>
            <w:r>
              <w:rPr>
                <w:rFonts w:hint="eastAsia" w:cs="Times New Roman"/>
                <w:color w:val="auto"/>
                <w:spacing w:val="-2"/>
                <w:sz w:val="24"/>
                <w:szCs w:val="24"/>
                <w:highlight w:val="none"/>
                <w:lang w:val="en-US" w:eastAsia="zh-CN"/>
              </w:rPr>
              <w:t>10</w:t>
            </w:r>
            <w:r>
              <w:rPr>
                <w:rFonts w:hint="default" w:ascii="Times New Roman" w:hAnsi="Times New Roman" w:eastAsia="宋体" w:cs="Times New Roman"/>
                <w:color w:val="auto"/>
                <w:spacing w:val="-2"/>
                <w:sz w:val="24"/>
                <w:szCs w:val="24"/>
                <w:highlight w:val="none"/>
              </w:rPr>
              <w:t>t/a</w:t>
            </w:r>
            <w:r>
              <w:rPr>
                <w:rFonts w:hint="eastAsia" w:cs="Times New Roman"/>
                <w:color w:val="auto"/>
                <w:spacing w:val="-2"/>
                <w:sz w:val="24"/>
                <w:szCs w:val="24"/>
                <w:highlight w:val="none"/>
                <w:lang w:eastAsia="zh-CN"/>
              </w:rPr>
              <w:t>（</w:t>
            </w:r>
            <w:r>
              <w:rPr>
                <w:rFonts w:hint="eastAsia" w:cs="Times New Roman"/>
                <w:color w:val="auto"/>
                <w:spacing w:val="-2"/>
                <w:sz w:val="24"/>
                <w:szCs w:val="24"/>
                <w:highlight w:val="none"/>
                <w:lang w:val="en-US" w:eastAsia="zh-CN"/>
              </w:rPr>
              <w:t>0.03t/d</w:t>
            </w:r>
            <w:r>
              <w:rPr>
                <w:rFonts w:hint="eastAsia"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w:t>
            </w:r>
            <w:r>
              <w:rPr>
                <w:rFonts w:hint="eastAsia" w:cs="Times New Roman"/>
                <w:color w:val="auto"/>
                <w:spacing w:val="-2"/>
                <w:sz w:val="24"/>
                <w:szCs w:val="24"/>
                <w:highlight w:val="none"/>
                <w:lang w:val="en-US" w:eastAsia="zh-CN"/>
              </w:rPr>
              <w:t>则</w:t>
            </w:r>
            <w:r>
              <w:rPr>
                <w:rFonts w:hint="default" w:ascii="Times New Roman" w:hAnsi="Times New Roman" w:eastAsia="宋体" w:cs="Times New Roman"/>
                <w:color w:val="auto"/>
                <w:spacing w:val="-2"/>
                <w:sz w:val="24"/>
                <w:szCs w:val="24"/>
                <w:highlight w:val="none"/>
                <w:lang w:val="en-US" w:eastAsia="zh-CN"/>
              </w:rPr>
              <w:t>配置</w:t>
            </w:r>
            <w:r>
              <w:rPr>
                <w:rFonts w:hint="default" w:ascii="Times New Roman" w:hAnsi="Times New Roman" w:eastAsia="宋体" w:cs="Times New Roman"/>
                <w:color w:val="auto"/>
                <w:spacing w:val="-2"/>
                <w:sz w:val="24"/>
                <w:szCs w:val="24"/>
                <w:highlight w:val="none"/>
              </w:rPr>
              <w:t>1%NaOH溶液</w:t>
            </w:r>
            <w:r>
              <w:rPr>
                <w:rFonts w:hint="default" w:ascii="Times New Roman" w:hAnsi="Times New Roman" w:eastAsia="宋体" w:cs="Times New Roman"/>
                <w:color w:val="auto"/>
                <w:spacing w:val="-2"/>
                <w:sz w:val="24"/>
                <w:szCs w:val="24"/>
                <w:highlight w:val="none"/>
                <w:lang w:val="en-US" w:eastAsia="zh-CN"/>
              </w:rPr>
              <w:t>需要</w:t>
            </w:r>
            <w:r>
              <w:rPr>
                <w:rFonts w:hint="default" w:ascii="Times New Roman" w:hAnsi="Times New Roman" w:eastAsia="宋体" w:cs="Times New Roman"/>
                <w:color w:val="auto"/>
                <w:spacing w:val="-2"/>
                <w:sz w:val="24"/>
                <w:szCs w:val="24"/>
                <w:highlight w:val="none"/>
              </w:rPr>
              <w:t>自来水</w:t>
            </w:r>
            <w:r>
              <w:rPr>
                <w:rFonts w:hint="default" w:ascii="Times New Roman" w:hAnsi="Times New Roman" w:eastAsia="宋体" w:cs="Times New Roman"/>
                <w:color w:val="auto"/>
                <w:spacing w:val="-3"/>
                <w:sz w:val="24"/>
                <w:szCs w:val="24"/>
                <w:highlight w:val="none"/>
              </w:rPr>
              <w:t>量</w:t>
            </w:r>
            <w:r>
              <w:rPr>
                <w:rFonts w:hint="default" w:ascii="Times New Roman" w:hAnsi="Times New Roman" w:eastAsia="宋体" w:cs="Times New Roman"/>
                <w:color w:val="auto"/>
                <w:spacing w:val="-2"/>
                <w:sz w:val="24"/>
                <w:szCs w:val="24"/>
                <w:highlight w:val="none"/>
              </w:rPr>
              <w:t>为</w:t>
            </w:r>
            <w:r>
              <w:rPr>
                <w:rFonts w:hint="eastAsia" w:cs="Times New Roman"/>
                <w:color w:val="auto"/>
                <w:spacing w:val="-2"/>
                <w:sz w:val="24"/>
                <w:szCs w:val="24"/>
                <w:highlight w:val="none"/>
                <w:lang w:val="en-US" w:eastAsia="zh-CN"/>
              </w:rPr>
              <w:t>99</w:t>
            </w:r>
            <w:r>
              <w:rPr>
                <w:rFonts w:hint="default" w:ascii="Times New Roman" w:hAnsi="Times New Roman" w:eastAsia="宋体"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lang w:val="en-US" w:eastAsia="zh-CN"/>
              </w:rPr>
              <w:t>a</w:t>
            </w:r>
            <w:r>
              <w:rPr>
                <w:rFonts w:hint="eastAsia"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eastAsia" w:cs="Times New Roman"/>
                <w:color w:val="auto"/>
                <w:spacing w:val="-2"/>
                <w:sz w:val="24"/>
                <w:szCs w:val="24"/>
                <w:highlight w:val="none"/>
                <w:lang w:val="en-US" w:eastAsia="zh-CN"/>
              </w:rPr>
              <w:t>）</w:t>
            </w:r>
            <w:r>
              <w:rPr>
                <w:rFonts w:hint="default" w:ascii="Times New Roman" w:hAnsi="Times New Roman" w:eastAsia="宋体" w:cs="Times New Roman"/>
                <w:color w:val="auto"/>
                <w:spacing w:val="-3"/>
                <w:sz w:val="24"/>
                <w:szCs w:val="24"/>
                <w:highlight w:val="none"/>
                <w:lang w:eastAsia="zh-CN"/>
              </w:rPr>
              <w:t>。</w:t>
            </w:r>
          </w:p>
          <w:p w14:paraId="55F35C79">
            <w:pPr>
              <w:keepNext w:val="0"/>
              <w:keepLines w:val="0"/>
              <w:pageBreakBefore w:val="0"/>
              <w:widowControl w:val="0"/>
              <w:kinsoku/>
              <w:wordWrap/>
              <w:overflowPunct/>
              <w:topLinePunct/>
              <w:autoSpaceDE w:val="0"/>
              <w:bidi w:val="0"/>
              <w:adjustRightInd/>
              <w:snapToGrid/>
              <w:spacing w:line="360" w:lineRule="auto"/>
              <w:ind w:left="0" w:right="0" w:firstLine="468" w:firstLineChars="200"/>
              <w:textAlignment w:val="auto"/>
              <w:rPr>
                <w:rFonts w:hint="default" w:cs="Times New Roman"/>
                <w:color w:val="auto"/>
                <w:spacing w:val="-3"/>
                <w:sz w:val="24"/>
                <w:szCs w:val="24"/>
                <w:highlight w:val="none"/>
                <w:lang w:val="en-US" w:eastAsia="zh-CN"/>
              </w:rPr>
            </w:pPr>
            <w:r>
              <w:rPr>
                <w:rFonts w:hint="eastAsia" w:cs="Times New Roman"/>
                <w:color w:val="auto"/>
                <w:spacing w:val="-3"/>
                <w:sz w:val="24"/>
                <w:szCs w:val="24"/>
                <w:highlight w:val="none"/>
                <w:lang w:val="en-US" w:eastAsia="zh-CN"/>
              </w:rPr>
              <w:t>②碱洗用水</w:t>
            </w:r>
          </w:p>
          <w:p w14:paraId="5AEBE05C">
            <w:pPr>
              <w:keepNext w:val="0"/>
              <w:keepLines w:val="0"/>
              <w:pageBreakBefore w:val="0"/>
              <w:widowControl w:val="0"/>
              <w:kinsoku/>
              <w:wordWrap/>
              <w:overflowPunct/>
              <w:topLinePunct/>
              <w:autoSpaceDE w:val="0"/>
              <w:bidi w:val="0"/>
              <w:adjustRightInd/>
              <w:snapToGrid/>
              <w:spacing w:line="360" w:lineRule="auto"/>
              <w:ind w:left="0" w:right="0" w:firstLine="472" w:firstLineChars="200"/>
              <w:textAlignment w:val="auto"/>
              <w:rPr>
                <w:rFonts w:hint="default" w:ascii="Times New Roman" w:hAnsi="Times New Roman" w:eastAsia="宋体" w:cs="Times New Roman"/>
                <w:color w:val="auto"/>
                <w:spacing w:val="-2"/>
                <w:sz w:val="24"/>
                <w:szCs w:val="24"/>
                <w:highlight w:val="none"/>
              </w:rPr>
            </w:pPr>
            <w:r>
              <w:rPr>
                <w:rFonts w:hint="eastAsia" w:ascii="Times New Roman" w:hAnsi="Times New Roman" w:eastAsia="宋体" w:cs="Times New Roman"/>
                <w:color w:val="auto"/>
                <w:spacing w:val="-2"/>
                <w:sz w:val="24"/>
                <w:szCs w:val="24"/>
                <w:highlight w:val="none"/>
                <w:lang w:val="en-US" w:eastAsia="zh-CN"/>
              </w:rPr>
              <w:t>根据建设单位提供的资料和同类企业经验数据，碱洗用水量为</w:t>
            </w:r>
            <w:r>
              <w:rPr>
                <w:rFonts w:hint="eastAsia" w:cs="Times New Roman"/>
                <w:color w:val="auto"/>
                <w:spacing w:val="-2"/>
                <w:sz w:val="24"/>
                <w:szCs w:val="24"/>
                <w:highlight w:val="none"/>
                <w:lang w:val="en-US" w:eastAsia="zh-CN"/>
              </w:rPr>
              <w:t>12.0</w:t>
            </w:r>
            <w:r>
              <w:rPr>
                <w:rFonts w:hint="default" w:ascii="Times New Roman" w:hAnsi="Times New Roman" w:eastAsia="宋体" w:cs="Times New Roman"/>
                <w:color w:val="auto"/>
                <w:spacing w:val="-2"/>
                <w:sz w:val="24"/>
                <w:szCs w:val="24"/>
                <w:highlight w:val="none"/>
                <w:lang w:val="en-US" w:eastAsia="zh-CN"/>
              </w:rPr>
              <w:t>m</w:t>
            </w:r>
            <w:r>
              <w:rPr>
                <w:rFonts w:hint="default" w:ascii="Times New Roman" w:hAnsi="Times New Roman" w:eastAsia="宋体"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lang w:val="en-US" w:eastAsia="zh-CN"/>
              </w:rPr>
              <w:t>/d</w:t>
            </w:r>
            <w:r>
              <w:rPr>
                <w:rFonts w:hint="eastAsia" w:ascii="Times New Roman" w:hAnsi="Times New Roman" w:eastAsia="宋体" w:cs="Times New Roman"/>
                <w:color w:val="auto"/>
                <w:spacing w:val="-2"/>
                <w:sz w:val="24"/>
                <w:szCs w:val="24"/>
                <w:highlight w:val="none"/>
                <w:lang w:val="en-US" w:eastAsia="zh-CN"/>
              </w:rPr>
              <w:t>，蒸发损耗水量为2.0</w:t>
            </w:r>
            <w:r>
              <w:rPr>
                <w:rFonts w:hint="default" w:ascii="Times New Roman" w:hAnsi="Times New Roman" w:eastAsia="宋体" w:cs="Times New Roman"/>
                <w:color w:val="auto"/>
                <w:spacing w:val="-2"/>
                <w:sz w:val="24"/>
                <w:szCs w:val="24"/>
                <w:highlight w:val="none"/>
                <w:lang w:val="en-US" w:eastAsia="zh-CN"/>
              </w:rPr>
              <w:t>m</w:t>
            </w:r>
            <w:r>
              <w:rPr>
                <w:rFonts w:hint="default" w:ascii="Times New Roman" w:hAnsi="Times New Roman" w:eastAsia="宋体"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lang w:val="en-US" w:eastAsia="zh-CN"/>
              </w:rPr>
              <w:t>/d</w:t>
            </w:r>
            <w:r>
              <w:rPr>
                <w:rFonts w:hint="eastAsia"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rPr>
              <w:t>废水产生量</w:t>
            </w:r>
            <w:r>
              <w:rPr>
                <w:rFonts w:hint="default" w:ascii="Times New Roman" w:hAnsi="Times New Roman" w:eastAsia="宋体" w:cs="Times New Roman"/>
                <w:color w:val="auto"/>
                <w:spacing w:val="-2"/>
                <w:sz w:val="24"/>
                <w:szCs w:val="24"/>
                <w:highlight w:val="none"/>
                <w:lang w:val="en-US" w:eastAsia="zh-CN"/>
              </w:rPr>
              <w:t>约</w:t>
            </w:r>
            <w:r>
              <w:rPr>
                <w:rFonts w:hint="default" w:ascii="Times New Roman" w:hAnsi="Times New Roman" w:eastAsia="宋体" w:cs="Times New Roman"/>
                <w:color w:val="auto"/>
                <w:spacing w:val="-2"/>
                <w:sz w:val="24"/>
                <w:szCs w:val="24"/>
                <w:highlight w:val="none"/>
              </w:rPr>
              <w:t>为</w:t>
            </w:r>
            <w:r>
              <w:rPr>
                <w:rFonts w:hint="eastAsia" w:ascii="Times New Roman" w:hAnsi="Times New Roman" w:eastAsia="宋体" w:cs="Times New Roman"/>
                <w:color w:val="auto"/>
                <w:spacing w:val="-2"/>
                <w:sz w:val="24"/>
                <w:szCs w:val="24"/>
                <w:highlight w:val="none"/>
                <w:lang w:val="en-US" w:eastAsia="zh-CN"/>
              </w:rPr>
              <w:t>10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lang w:val="en-US" w:eastAsia="zh-CN"/>
              </w:rPr>
              <w:t>碱洗</w:t>
            </w:r>
            <w:r>
              <w:rPr>
                <w:rFonts w:hint="eastAsia" w:cs="Times New Roman"/>
                <w:color w:val="auto"/>
                <w:spacing w:val="-2"/>
                <w:sz w:val="24"/>
                <w:szCs w:val="24"/>
                <w:highlight w:val="none"/>
                <w:lang w:val="en-US" w:eastAsia="zh-CN"/>
              </w:rPr>
              <w:t>废水经收集部分</w:t>
            </w:r>
            <w:r>
              <w:rPr>
                <w:rFonts w:hint="eastAsia" w:ascii="Times New Roman" w:hAnsi="Times New Roman" w:eastAsia="宋体" w:cs="Times New Roman"/>
                <w:color w:val="auto"/>
                <w:spacing w:val="-2"/>
                <w:sz w:val="24"/>
                <w:szCs w:val="24"/>
                <w:highlight w:val="none"/>
                <w:lang w:val="en-US" w:eastAsia="zh-CN"/>
              </w:rPr>
              <w:t>循环利用，定期向</w:t>
            </w:r>
            <w:r>
              <w:rPr>
                <w:rFonts w:hint="eastAsia" w:cs="Times New Roman"/>
                <w:color w:val="auto"/>
                <w:spacing w:val="-2"/>
                <w:sz w:val="24"/>
                <w:szCs w:val="24"/>
                <w:highlight w:val="none"/>
                <w:lang w:val="en-US" w:eastAsia="zh-CN"/>
              </w:rPr>
              <w:t>生化</w:t>
            </w:r>
            <w:r>
              <w:rPr>
                <w:rFonts w:hint="eastAsia" w:ascii="Times New Roman" w:hAnsi="Times New Roman" w:eastAsia="宋体" w:cs="Times New Roman"/>
                <w:color w:val="auto"/>
                <w:spacing w:val="-2"/>
                <w:sz w:val="24"/>
                <w:szCs w:val="24"/>
                <w:highlight w:val="none"/>
                <w:lang w:val="en-US" w:eastAsia="zh-CN"/>
              </w:rPr>
              <w:t>污水站排放</w:t>
            </w:r>
            <w:r>
              <w:rPr>
                <w:rFonts w:hint="eastAsia" w:cs="Times New Roman"/>
                <w:color w:val="auto"/>
                <w:spacing w:val="-2"/>
                <w:sz w:val="24"/>
                <w:szCs w:val="24"/>
                <w:highlight w:val="none"/>
                <w:lang w:val="en-US" w:eastAsia="zh-CN"/>
              </w:rPr>
              <w:t>5</w:t>
            </w:r>
            <w:r>
              <w:rPr>
                <w:rFonts w:hint="default" w:ascii="Times New Roman" w:hAnsi="Times New Roman" w:eastAsia="宋体" w:cs="Times New Roman"/>
                <w:color w:val="auto"/>
                <w:spacing w:val="-2"/>
                <w:sz w:val="24"/>
                <w:szCs w:val="24"/>
                <w:highlight w:val="none"/>
                <w:lang w:val="en-US" w:eastAsia="zh-CN"/>
              </w:rPr>
              <w:t>m</w:t>
            </w:r>
            <w:r>
              <w:rPr>
                <w:rFonts w:hint="default" w:ascii="Times New Roman" w:hAnsi="Times New Roman" w:eastAsia="宋体"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lang w:val="en-US" w:eastAsia="zh-CN"/>
              </w:rPr>
              <w:t>/d</w:t>
            </w:r>
            <w:r>
              <w:rPr>
                <w:rFonts w:hint="eastAsia" w:ascii="Times New Roman" w:hAnsi="Times New Roman" w:eastAsia="宋体" w:cs="Times New Roman"/>
                <w:color w:val="auto"/>
                <w:spacing w:val="-2"/>
                <w:sz w:val="24"/>
                <w:szCs w:val="24"/>
                <w:highlight w:val="none"/>
                <w:lang w:val="en-US" w:eastAsia="zh-CN"/>
              </w:rPr>
              <w:t>废水，</w:t>
            </w:r>
            <w:r>
              <w:rPr>
                <w:rFonts w:hint="default" w:ascii="Times New Roman" w:hAnsi="Times New Roman" w:eastAsia="宋体" w:cs="Times New Roman"/>
                <w:color w:val="auto"/>
                <w:spacing w:val="-1"/>
                <w:sz w:val="24"/>
                <w:szCs w:val="24"/>
                <w:highlight w:val="none"/>
                <w:lang w:val="en-US" w:eastAsia="zh-CN"/>
              </w:rPr>
              <w:t>则该工序循环水量约</w:t>
            </w:r>
            <w:r>
              <w:rPr>
                <w:rFonts w:hint="default" w:ascii="Times New Roman" w:hAnsi="Times New Roman" w:eastAsia="宋体" w:cs="Times New Roman"/>
                <w:color w:val="auto"/>
                <w:spacing w:val="-1"/>
                <w:sz w:val="24"/>
                <w:szCs w:val="24"/>
                <w:highlight w:val="none"/>
              </w:rPr>
              <w:t>为</w:t>
            </w:r>
            <w:r>
              <w:rPr>
                <w:rFonts w:hint="eastAsia" w:ascii="Times New Roman" w:hAnsi="Times New Roman" w:eastAsia="宋体" w:cs="Times New Roman"/>
                <w:color w:val="auto"/>
                <w:spacing w:val="-1"/>
                <w:sz w:val="24"/>
                <w:szCs w:val="24"/>
                <w:highlight w:val="none"/>
                <w:lang w:val="en-US" w:eastAsia="zh-CN"/>
              </w:rPr>
              <w:t>5.0</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1"/>
                <w:sz w:val="24"/>
                <w:szCs w:val="24"/>
                <w:highlight w:val="none"/>
                <w:lang w:val="en-US" w:eastAsia="zh-CN"/>
              </w:rPr>
              <w:t>，</w:t>
            </w:r>
            <w:r>
              <w:rPr>
                <w:rFonts w:hint="eastAsia" w:ascii="Times New Roman" w:hAnsi="Times New Roman" w:eastAsia="宋体" w:cs="Times New Roman"/>
                <w:color w:val="auto"/>
                <w:spacing w:val="-2"/>
                <w:sz w:val="24"/>
                <w:szCs w:val="24"/>
                <w:highlight w:val="none"/>
                <w:lang w:val="en-US" w:eastAsia="zh-CN"/>
              </w:rPr>
              <w:t>碱液补充量为</w:t>
            </w:r>
            <w:r>
              <w:rPr>
                <w:rFonts w:hint="default" w:ascii="Times New Roman" w:hAnsi="Times New Roman" w:eastAsia="宋体" w:cs="Times New Roman"/>
                <w:color w:val="auto"/>
                <w:spacing w:val="-2"/>
                <w:sz w:val="24"/>
                <w:szCs w:val="24"/>
                <w:highlight w:val="none"/>
                <w:lang w:val="en-US" w:eastAsia="zh-CN"/>
              </w:rPr>
              <w:t>3</w:t>
            </w:r>
            <w:r>
              <w:rPr>
                <w:rFonts w:hint="eastAsia"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lang w:val="en-US" w:eastAsia="zh-CN"/>
              </w:rPr>
              <w:t>m</w:t>
            </w:r>
            <w:r>
              <w:rPr>
                <w:rFonts w:hint="default" w:ascii="Times New Roman" w:hAnsi="Times New Roman" w:eastAsia="宋体"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lang w:val="en-US" w:eastAsia="zh-CN"/>
              </w:rPr>
              <w:t>/d</w:t>
            </w:r>
            <w:r>
              <w:rPr>
                <w:rFonts w:hint="eastAsia" w:ascii="Times New Roman" w:hAnsi="Times New Roman" w:eastAsia="宋体" w:cs="Times New Roman"/>
                <w:color w:val="auto"/>
                <w:spacing w:val="-2"/>
                <w:sz w:val="24"/>
                <w:szCs w:val="24"/>
                <w:highlight w:val="none"/>
                <w:lang w:val="en-US" w:eastAsia="zh-CN"/>
              </w:rPr>
              <w:t>，</w:t>
            </w:r>
            <w:r>
              <w:rPr>
                <w:rFonts w:hint="eastAsia" w:cs="Times New Roman"/>
                <w:color w:val="auto"/>
                <w:spacing w:val="-2"/>
                <w:sz w:val="24"/>
                <w:szCs w:val="24"/>
                <w:highlight w:val="none"/>
                <w:lang w:val="en-US" w:eastAsia="zh-CN"/>
              </w:rPr>
              <w:t>则</w:t>
            </w:r>
            <w:r>
              <w:rPr>
                <w:rFonts w:hint="eastAsia" w:ascii="Times New Roman" w:hAnsi="Times New Roman" w:eastAsia="宋体" w:cs="Times New Roman"/>
                <w:color w:val="auto"/>
                <w:spacing w:val="-2"/>
                <w:sz w:val="24"/>
                <w:szCs w:val="24"/>
                <w:highlight w:val="none"/>
                <w:lang w:val="en-US" w:eastAsia="zh-CN"/>
              </w:rPr>
              <w:t>碱洗</w:t>
            </w:r>
            <w:r>
              <w:rPr>
                <w:rFonts w:hint="default" w:ascii="Times New Roman" w:hAnsi="Times New Roman" w:eastAsia="宋体" w:cs="Times New Roman"/>
                <w:color w:val="auto"/>
                <w:sz w:val="24"/>
                <w:szCs w:val="24"/>
                <w:highlight w:val="none"/>
                <w:lang w:val="en-US" w:eastAsia="zh-CN"/>
              </w:rPr>
              <w:t>补充</w:t>
            </w:r>
            <w:r>
              <w:rPr>
                <w:rFonts w:hint="eastAsia" w:ascii="Times New Roman" w:hAnsi="Times New Roman" w:eastAsia="宋体" w:cs="Times New Roman"/>
                <w:color w:val="auto"/>
                <w:spacing w:val="-2"/>
                <w:sz w:val="24"/>
                <w:szCs w:val="24"/>
                <w:highlight w:val="none"/>
                <w:lang w:val="en-US" w:eastAsia="zh-CN"/>
              </w:rPr>
              <w:t>水量为</w:t>
            </w:r>
            <w:r>
              <w:rPr>
                <w:rFonts w:hint="eastAsia" w:cs="Times New Roman"/>
                <w:color w:val="auto"/>
                <w:spacing w:val="-2"/>
                <w:sz w:val="24"/>
                <w:szCs w:val="24"/>
                <w:highlight w:val="none"/>
                <w:lang w:val="en-US" w:eastAsia="zh-CN"/>
              </w:rPr>
              <w:t>4.0</w:t>
            </w:r>
            <w:r>
              <w:rPr>
                <w:rFonts w:hint="default" w:ascii="Times New Roman" w:hAnsi="Times New Roman" w:eastAsia="宋体" w:cs="Times New Roman"/>
                <w:color w:val="auto"/>
                <w:spacing w:val="-2"/>
                <w:sz w:val="24"/>
                <w:szCs w:val="24"/>
                <w:highlight w:val="none"/>
                <w:lang w:val="en-US" w:eastAsia="zh-CN"/>
              </w:rPr>
              <w:t>m</w:t>
            </w:r>
            <w:r>
              <w:rPr>
                <w:rFonts w:hint="default" w:ascii="Times New Roman" w:hAnsi="Times New Roman" w:eastAsia="宋体"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lang w:val="en-US" w:eastAsia="zh-CN"/>
              </w:rPr>
              <w:t>/d</w:t>
            </w:r>
            <w:r>
              <w:rPr>
                <w:rFonts w:hint="eastAsia" w:ascii="Times New Roman" w:hAnsi="Times New Roman" w:eastAsia="宋体" w:cs="Times New Roman"/>
                <w:color w:val="auto"/>
                <w:spacing w:val="-2"/>
                <w:sz w:val="24"/>
                <w:szCs w:val="24"/>
                <w:highlight w:val="none"/>
                <w:lang w:val="en-US" w:eastAsia="zh-CN"/>
              </w:rPr>
              <w:t>。</w:t>
            </w:r>
          </w:p>
          <w:p w14:paraId="519EDBE8">
            <w:pPr>
              <w:keepNext w:val="0"/>
              <w:keepLines w:val="0"/>
              <w:pageBreakBefore w:val="0"/>
              <w:widowControl w:val="0"/>
              <w:kinsoku/>
              <w:wordWrap/>
              <w:overflowPunct/>
              <w:topLinePunct/>
              <w:autoSpaceDE w:val="0"/>
              <w:bidi w:val="0"/>
              <w:adjustRightInd/>
              <w:snapToGrid/>
              <w:spacing w:line="360" w:lineRule="auto"/>
              <w:ind w:left="0" w:right="0" w:firstLine="472"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该过程中碱液中NaOH浓度逐渐降低，为保证弱碱性以满足清洗要求，</w:t>
            </w:r>
            <w:r>
              <w:rPr>
                <w:rFonts w:hint="default" w:ascii="Times New Roman" w:hAnsi="Times New Roman" w:eastAsia="宋体" w:cs="Times New Roman"/>
                <w:color w:val="auto"/>
                <w:spacing w:val="-2"/>
                <w:sz w:val="24"/>
                <w:szCs w:val="24"/>
                <w:highlight w:val="none"/>
                <w:lang w:val="en-US" w:eastAsia="zh-CN"/>
              </w:rPr>
              <w:t>定期</w:t>
            </w:r>
            <w:r>
              <w:rPr>
                <w:rFonts w:hint="default" w:ascii="Times New Roman" w:hAnsi="Times New Roman" w:eastAsia="宋体" w:cs="Times New Roman"/>
                <w:color w:val="auto"/>
                <w:spacing w:val="-2"/>
                <w:sz w:val="24"/>
                <w:szCs w:val="24"/>
                <w:highlight w:val="none"/>
              </w:rPr>
              <w:t>向碱洗液中补充少量片碱</w:t>
            </w:r>
            <w:r>
              <w:rPr>
                <w:rFonts w:hint="default" w:ascii="Times New Roman" w:hAnsi="Times New Roman" w:eastAsia="宋体" w:cs="Times New Roman"/>
                <w:color w:val="auto"/>
                <w:spacing w:val="-2"/>
                <w:sz w:val="24"/>
                <w:szCs w:val="24"/>
                <w:highlight w:val="none"/>
                <w:lang w:eastAsia="zh-CN"/>
              </w:rPr>
              <w:t>使浸洗碱液浓度保持在1%左右</w:t>
            </w:r>
            <w:r>
              <w:rPr>
                <w:rFonts w:hint="default" w:ascii="Times New Roman" w:hAnsi="Times New Roman" w:eastAsia="宋体" w:cs="Times New Roman"/>
                <w:color w:val="auto"/>
                <w:spacing w:val="-2"/>
                <w:sz w:val="24"/>
                <w:szCs w:val="24"/>
                <w:highlight w:val="none"/>
              </w:rPr>
              <w:t>。</w:t>
            </w:r>
          </w:p>
          <w:p w14:paraId="38685C06">
            <w:pPr>
              <w:keepNext w:val="0"/>
              <w:keepLines w:val="0"/>
              <w:pageBreakBefore w:val="0"/>
              <w:widowControl w:val="0"/>
              <w:kinsoku/>
              <w:wordWrap/>
              <w:overflowPunct/>
              <w:topLinePunct/>
              <w:autoSpaceDE w:val="0"/>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）碱洗后清洗用水（W4）</w:t>
            </w:r>
          </w:p>
          <w:p w14:paraId="60AA6FAA">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color w:val="auto"/>
              </w:rPr>
            </w:pPr>
            <w:r>
              <w:rPr>
                <w:rFonts w:hint="default" w:ascii="Times New Roman" w:hAnsi="Times New Roman" w:eastAsia="宋体" w:cs="Times New Roman"/>
                <w:color w:val="auto"/>
                <w:spacing w:val="-4"/>
                <w:sz w:val="24"/>
                <w:szCs w:val="24"/>
                <w:highlight w:val="none"/>
              </w:rPr>
              <w:t>本项目</w:t>
            </w:r>
            <w:r>
              <w:rPr>
                <w:rFonts w:hint="default" w:ascii="Times New Roman" w:hAnsi="Times New Roman" w:eastAsia="宋体" w:cs="Times New Roman"/>
                <w:color w:val="auto"/>
                <w:spacing w:val="-1"/>
                <w:sz w:val="24"/>
                <w:szCs w:val="24"/>
                <w:highlight w:val="none"/>
              </w:rPr>
              <w:t>烫钻</w:t>
            </w:r>
            <w:r>
              <w:rPr>
                <w:rFonts w:hint="default" w:ascii="Times New Roman" w:hAnsi="Times New Roman" w:eastAsia="宋体" w:cs="Times New Roman"/>
                <w:color w:val="auto"/>
                <w:spacing w:val="-4"/>
                <w:sz w:val="24"/>
                <w:szCs w:val="24"/>
                <w:highlight w:val="none"/>
              </w:rPr>
              <w:t>半成品碱清洗后采用自来水对产品进行清洗，</w:t>
            </w:r>
            <w:r>
              <w:rPr>
                <w:rFonts w:hint="default" w:ascii="Times New Roman" w:hAnsi="Times New Roman" w:eastAsia="宋体" w:cs="Times New Roman"/>
                <w:color w:val="auto"/>
                <w:spacing w:val="-1"/>
                <w:sz w:val="24"/>
                <w:szCs w:val="24"/>
                <w:highlight w:val="none"/>
              </w:rPr>
              <w:t>碱洗后产品清洗废水</w:t>
            </w:r>
            <w:r>
              <w:rPr>
                <w:rFonts w:hint="default" w:ascii="Times New Roman" w:hAnsi="Times New Roman" w:eastAsia="宋体" w:cs="Times New Roman"/>
                <w:strike w:val="0"/>
                <w:dstrike w:val="0"/>
                <w:color w:val="auto"/>
                <w:spacing w:val="-2"/>
                <w:sz w:val="24"/>
                <w:szCs w:val="24"/>
                <w:highlight w:val="none"/>
              </w:rPr>
              <w:t>经</w:t>
            </w:r>
            <w:r>
              <w:rPr>
                <w:rFonts w:hint="default" w:ascii="Times New Roman" w:hAnsi="Times New Roman" w:eastAsia="宋体" w:cs="Times New Roman"/>
                <w:strike w:val="0"/>
                <w:dstrike w:val="0"/>
                <w:color w:val="auto"/>
                <w:spacing w:val="-2"/>
                <w:sz w:val="24"/>
                <w:szCs w:val="24"/>
                <w:highlight w:val="none"/>
                <w:lang w:val="en-US" w:eastAsia="zh-CN"/>
              </w:rPr>
              <w:t>大部分循环使用，少部分收集后进入</w:t>
            </w:r>
            <w:r>
              <w:rPr>
                <w:rFonts w:hint="default" w:ascii="Times New Roman" w:hAnsi="Times New Roman" w:eastAsia="宋体" w:cs="Times New Roman"/>
                <w:color w:val="auto"/>
                <w:spacing w:val="-1"/>
                <w:sz w:val="24"/>
                <w:szCs w:val="24"/>
                <w:highlight w:val="none"/>
              </w:rPr>
              <w:t>生化污水处理站</w:t>
            </w:r>
            <w:r>
              <w:rPr>
                <w:rFonts w:hint="default" w:ascii="Times New Roman" w:hAnsi="Times New Roman" w:eastAsia="宋体" w:cs="Times New Roman"/>
                <w:strike w:val="0"/>
                <w:dstrike w:val="0"/>
                <w:color w:val="auto"/>
                <w:spacing w:val="-2"/>
                <w:sz w:val="24"/>
                <w:szCs w:val="24"/>
                <w:highlight w:val="none"/>
              </w:rPr>
              <w:t>处理</w:t>
            </w:r>
            <w:r>
              <w:rPr>
                <w:rFonts w:hint="default" w:ascii="Times New Roman" w:hAnsi="Times New Roman" w:eastAsia="宋体" w:cs="Times New Roman"/>
                <w:strike w:val="0"/>
                <w:dstrike w:val="0"/>
                <w:color w:val="auto"/>
                <w:spacing w:val="-8"/>
                <w:sz w:val="24"/>
                <w:szCs w:val="24"/>
                <w:highlight w:val="none"/>
              </w:rPr>
              <w:t>。</w:t>
            </w:r>
            <w:r>
              <w:rPr>
                <w:rFonts w:hint="default" w:ascii="Times New Roman" w:hAnsi="Times New Roman" w:eastAsia="宋体" w:cs="Times New Roman"/>
                <w:strike w:val="0"/>
                <w:dstrike w:val="0"/>
                <w:color w:val="auto"/>
                <w:spacing w:val="-4"/>
                <w:sz w:val="24"/>
                <w:szCs w:val="24"/>
                <w:highlight w:val="none"/>
                <w:lang w:val="en-US" w:eastAsia="zh-CN"/>
              </w:rPr>
              <w:t>根据生产工艺</w:t>
            </w:r>
            <w:r>
              <w:rPr>
                <w:rFonts w:hint="eastAsia" w:cs="Times New Roman"/>
                <w:strike w:val="0"/>
                <w:dstrike w:val="0"/>
                <w:color w:val="auto"/>
                <w:spacing w:val="-4"/>
                <w:sz w:val="24"/>
                <w:szCs w:val="24"/>
                <w:highlight w:val="none"/>
                <w:lang w:val="en-US" w:eastAsia="zh-CN"/>
              </w:rPr>
              <w:t>方案</w:t>
            </w:r>
            <w:r>
              <w:rPr>
                <w:rFonts w:hint="default" w:ascii="Times New Roman" w:hAnsi="Times New Roman" w:eastAsia="宋体" w:cs="Times New Roman"/>
                <w:strike w:val="0"/>
                <w:dstrike w:val="0"/>
                <w:color w:val="auto"/>
                <w:spacing w:val="-4"/>
                <w:sz w:val="24"/>
                <w:szCs w:val="24"/>
                <w:highlight w:val="none"/>
                <w:lang w:val="en-US" w:eastAsia="zh-CN"/>
              </w:rPr>
              <w:t>，</w:t>
            </w:r>
            <w:r>
              <w:rPr>
                <w:rFonts w:hint="eastAsia" w:cs="Times New Roman"/>
                <w:strike w:val="0"/>
                <w:dstrike w:val="0"/>
                <w:color w:val="auto"/>
                <w:spacing w:val="-4"/>
                <w:sz w:val="24"/>
                <w:szCs w:val="24"/>
                <w:highlight w:val="none"/>
                <w:lang w:val="en-US" w:eastAsia="zh-CN"/>
              </w:rPr>
              <w:t>为了提高清洗水利用率，</w:t>
            </w:r>
            <w:r>
              <w:rPr>
                <w:rFonts w:hint="default" w:ascii="Times New Roman" w:hAnsi="Times New Roman" w:eastAsia="宋体" w:cs="Times New Roman"/>
                <w:strike w:val="0"/>
                <w:dstrike w:val="0"/>
                <w:color w:val="auto"/>
                <w:spacing w:val="-4"/>
                <w:sz w:val="24"/>
                <w:szCs w:val="24"/>
                <w:highlight w:val="none"/>
                <w:lang w:val="en-US" w:eastAsia="zh-CN"/>
              </w:rPr>
              <w:t>清洗</w:t>
            </w:r>
            <w:r>
              <w:rPr>
                <w:rFonts w:hint="default" w:ascii="Times New Roman" w:hAnsi="Times New Roman" w:eastAsia="宋体" w:cs="Times New Roman"/>
                <w:color w:val="auto"/>
                <w:spacing w:val="-2"/>
                <w:sz w:val="24"/>
                <w:szCs w:val="24"/>
                <w:highlight w:val="none"/>
                <w:lang w:val="en-US" w:eastAsia="zh-CN"/>
              </w:rPr>
              <w:t>工序采用逆流</w:t>
            </w:r>
            <w:r>
              <w:rPr>
                <w:rFonts w:hint="eastAsia" w:cs="Times New Roman"/>
                <w:color w:val="auto"/>
                <w:spacing w:val="-2"/>
                <w:sz w:val="24"/>
                <w:szCs w:val="24"/>
                <w:highlight w:val="none"/>
                <w:lang w:val="en-US" w:eastAsia="zh-CN"/>
              </w:rPr>
              <w:t>漂洗</w:t>
            </w:r>
            <w:r>
              <w:rPr>
                <w:rFonts w:hint="default" w:ascii="Times New Roman" w:hAnsi="Times New Roman" w:eastAsia="宋体" w:cs="Times New Roman"/>
                <w:color w:val="auto"/>
                <w:spacing w:val="-2"/>
                <w:sz w:val="24"/>
                <w:szCs w:val="24"/>
                <w:highlight w:val="none"/>
                <w:lang w:val="en-US" w:eastAsia="zh-CN"/>
              </w:rPr>
              <w:t>，共</w:t>
            </w:r>
            <w:r>
              <w:rPr>
                <w:rFonts w:hint="default" w:ascii="Times New Roman" w:hAnsi="Times New Roman" w:eastAsia="宋体" w:cs="Times New Roman"/>
                <w:strike w:val="0"/>
                <w:dstrike w:val="0"/>
                <w:color w:val="auto"/>
                <w:spacing w:val="-4"/>
                <w:sz w:val="24"/>
                <w:szCs w:val="24"/>
                <w:highlight w:val="none"/>
                <w:lang w:val="en-US" w:eastAsia="zh-CN"/>
              </w:rPr>
              <w:t>设有</w:t>
            </w:r>
            <w:r>
              <w:rPr>
                <w:rFonts w:hint="default" w:ascii="Times New Roman" w:hAnsi="Times New Roman" w:eastAsia="宋体" w:cs="Times New Roman"/>
                <w:strike w:val="0"/>
                <w:dstrike w:val="0"/>
                <w:color w:val="auto"/>
                <w:spacing w:val="-5"/>
                <w:sz w:val="24"/>
                <w:szCs w:val="24"/>
                <w:highlight w:val="none"/>
                <w:lang w:val="en-US" w:eastAsia="zh-CN"/>
              </w:rPr>
              <w:t>4个</w:t>
            </w:r>
            <w:r>
              <w:rPr>
                <w:rFonts w:hint="eastAsia" w:cs="Times New Roman"/>
                <w:strike w:val="0"/>
                <w:dstrike w:val="0"/>
                <w:color w:val="auto"/>
                <w:spacing w:val="-5"/>
                <w:sz w:val="24"/>
                <w:szCs w:val="24"/>
                <w:highlight w:val="none"/>
                <w:lang w:val="en-US" w:eastAsia="zh-CN"/>
              </w:rPr>
              <w:t>清洗槽</w:t>
            </w:r>
            <w:r>
              <w:rPr>
                <w:rFonts w:hint="default" w:ascii="Times New Roman" w:hAnsi="Times New Roman" w:eastAsia="宋体" w:cs="Times New Roman"/>
                <w:strike w:val="0"/>
                <w:dstrike w:val="0"/>
                <w:color w:val="auto"/>
                <w:spacing w:val="-4"/>
                <w:sz w:val="24"/>
                <w:szCs w:val="24"/>
                <w:highlight w:val="none"/>
                <w:lang w:eastAsia="zh-CN"/>
              </w:rPr>
              <w:t>，</w:t>
            </w:r>
            <w:r>
              <w:rPr>
                <w:rFonts w:hint="default" w:ascii="Times New Roman" w:hAnsi="Times New Roman" w:eastAsia="宋体" w:cs="Times New Roman"/>
                <w:strike w:val="0"/>
                <w:dstrike w:val="0"/>
                <w:color w:val="auto"/>
                <w:spacing w:val="-4"/>
                <w:sz w:val="24"/>
                <w:szCs w:val="24"/>
                <w:highlight w:val="none"/>
                <w:lang w:val="en-US" w:eastAsia="zh-CN"/>
              </w:rPr>
              <w:t>定期补充最后1个</w:t>
            </w:r>
            <w:r>
              <w:rPr>
                <w:rFonts w:hint="default" w:ascii="Times New Roman" w:hAnsi="Times New Roman" w:eastAsia="宋体" w:cs="Times New Roman"/>
                <w:strike w:val="0"/>
                <w:dstrike w:val="0"/>
                <w:color w:val="auto"/>
                <w:spacing w:val="-5"/>
                <w:sz w:val="24"/>
                <w:szCs w:val="24"/>
                <w:highlight w:val="none"/>
                <w:lang w:val="en-US" w:eastAsia="zh-CN"/>
              </w:rPr>
              <w:t>清水槽用水，其余各清</w:t>
            </w:r>
            <w:r>
              <w:rPr>
                <w:rFonts w:hint="default" w:ascii="Times New Roman" w:hAnsi="Times New Roman" w:eastAsia="宋体" w:cs="Times New Roman"/>
                <w:strike w:val="0"/>
                <w:dstrike w:val="0"/>
                <w:color w:val="auto"/>
                <w:spacing w:val="-4"/>
                <w:sz w:val="24"/>
                <w:szCs w:val="24"/>
                <w:highlight w:val="none"/>
                <w:lang w:val="en-US" w:eastAsia="zh-CN"/>
              </w:rPr>
              <w:t>洗</w:t>
            </w:r>
            <w:r>
              <w:rPr>
                <w:rFonts w:hint="default" w:ascii="Times New Roman" w:hAnsi="Times New Roman" w:eastAsia="宋体" w:cs="Times New Roman"/>
                <w:strike w:val="0"/>
                <w:dstrike w:val="0"/>
                <w:color w:val="auto"/>
                <w:spacing w:val="-5"/>
                <w:sz w:val="24"/>
                <w:szCs w:val="24"/>
                <w:highlight w:val="none"/>
              </w:rPr>
              <w:t>槽</w:t>
            </w:r>
            <w:r>
              <w:rPr>
                <w:rFonts w:hint="default" w:ascii="Times New Roman" w:hAnsi="Times New Roman" w:eastAsia="宋体" w:cs="Times New Roman"/>
                <w:strike w:val="0"/>
                <w:dstrike w:val="0"/>
                <w:color w:val="auto"/>
                <w:spacing w:val="-5"/>
                <w:sz w:val="24"/>
                <w:szCs w:val="24"/>
                <w:highlight w:val="none"/>
                <w:lang w:val="en-US" w:eastAsia="zh-CN"/>
              </w:rPr>
              <w:t>内逐级向上一级补充，定期更换</w:t>
            </w:r>
            <w:r>
              <w:rPr>
                <w:rFonts w:hint="default" w:ascii="Times New Roman" w:hAnsi="Times New Roman" w:eastAsia="宋体" w:cs="Times New Roman"/>
                <w:strike w:val="0"/>
                <w:dstrike w:val="0"/>
                <w:color w:val="auto"/>
                <w:spacing w:val="-4"/>
                <w:sz w:val="24"/>
                <w:szCs w:val="24"/>
                <w:highlight w:val="none"/>
                <w:lang w:val="en-US" w:eastAsia="zh-CN"/>
              </w:rPr>
              <w:t>碱洗</w:t>
            </w:r>
            <w:r>
              <w:rPr>
                <w:rFonts w:hint="default" w:ascii="Times New Roman" w:hAnsi="Times New Roman" w:eastAsia="宋体" w:cs="Times New Roman"/>
                <w:strike w:val="0"/>
                <w:dstrike w:val="0"/>
                <w:color w:val="auto"/>
                <w:spacing w:val="-5"/>
                <w:sz w:val="24"/>
                <w:szCs w:val="24"/>
                <w:highlight w:val="none"/>
              </w:rPr>
              <w:t>槽</w:t>
            </w:r>
            <w:r>
              <w:rPr>
                <w:rFonts w:hint="default" w:ascii="Times New Roman" w:hAnsi="Times New Roman" w:eastAsia="宋体" w:cs="Times New Roman"/>
                <w:strike w:val="0"/>
                <w:dstrike w:val="0"/>
                <w:color w:val="auto"/>
                <w:spacing w:val="-5"/>
                <w:sz w:val="24"/>
                <w:szCs w:val="24"/>
                <w:highlight w:val="none"/>
                <w:lang w:val="en-US" w:eastAsia="zh-CN"/>
              </w:rPr>
              <w:t>浓水</w:t>
            </w:r>
            <w:r>
              <w:rPr>
                <w:rFonts w:hint="default" w:ascii="Times New Roman" w:hAnsi="Times New Roman" w:eastAsia="宋体" w:cs="Times New Roman"/>
                <w:strike w:val="0"/>
                <w:dstrike w:val="0"/>
                <w:color w:val="auto"/>
                <w:spacing w:val="-2"/>
                <w:sz w:val="24"/>
                <w:szCs w:val="24"/>
                <w:highlight w:val="none"/>
                <w:lang w:eastAsia="zh-CN"/>
              </w:rPr>
              <w:t>。</w:t>
            </w:r>
            <w:r>
              <w:rPr>
                <w:rFonts w:hint="default" w:ascii="Times New Roman" w:hAnsi="Times New Roman" w:eastAsia="宋体" w:cs="Times New Roman"/>
                <w:color w:val="auto"/>
                <w:spacing w:val="-4"/>
                <w:sz w:val="24"/>
                <w:szCs w:val="24"/>
                <w:highlight w:val="none"/>
              </w:rPr>
              <w:t>根据建设单位提供的资</w:t>
            </w:r>
            <w:r>
              <w:rPr>
                <w:rFonts w:hint="default" w:ascii="Times New Roman" w:hAnsi="Times New Roman" w:eastAsia="宋体" w:cs="Times New Roman"/>
                <w:color w:val="auto"/>
                <w:spacing w:val="-2"/>
                <w:sz w:val="24"/>
                <w:szCs w:val="24"/>
                <w:highlight w:val="none"/>
              </w:rPr>
              <w:t>料，</w:t>
            </w:r>
            <w:r>
              <w:rPr>
                <w:rFonts w:hint="eastAsia" w:ascii="Times New Roman" w:hAnsi="Times New Roman" w:eastAsia="宋体" w:cs="Times New Roman"/>
                <w:strike w:val="0"/>
                <w:dstrike w:val="0"/>
                <w:color w:val="auto"/>
                <w:spacing w:val="-5"/>
                <w:sz w:val="24"/>
                <w:szCs w:val="24"/>
                <w:highlight w:val="none"/>
                <w:lang w:val="en-US" w:eastAsia="zh-CN"/>
              </w:rPr>
              <w:t>逆流系统流量约为</w:t>
            </w:r>
            <w:r>
              <w:rPr>
                <w:rFonts w:hint="default" w:ascii="Times New Roman" w:hAnsi="Times New Roman" w:eastAsia="宋体" w:cs="Times New Roman"/>
                <w:strike w:val="0"/>
                <w:dstrike w:val="0"/>
                <w:color w:val="auto"/>
                <w:spacing w:val="-5"/>
                <w:sz w:val="24"/>
                <w:szCs w:val="24"/>
                <w:highlight w:val="none"/>
                <w:lang w:val="en-US" w:eastAsia="zh-CN"/>
              </w:rPr>
              <w:t>50L/min</w:t>
            </w:r>
            <w:r>
              <w:rPr>
                <w:rFonts w:hint="eastAsia" w:ascii="Times New Roman" w:hAnsi="Times New Roman" w:eastAsia="宋体" w:cs="Times New Roman"/>
                <w:strike w:val="0"/>
                <w:dstrike w:val="0"/>
                <w:color w:val="auto"/>
                <w:spacing w:val="-5"/>
                <w:sz w:val="24"/>
                <w:szCs w:val="24"/>
                <w:highlight w:val="none"/>
                <w:lang w:val="en-US" w:eastAsia="zh-CN"/>
              </w:rPr>
              <w:t>，按每日工作</w:t>
            </w:r>
            <w:r>
              <w:rPr>
                <w:rFonts w:hint="default" w:ascii="Times New Roman" w:hAnsi="Times New Roman" w:eastAsia="宋体" w:cs="Times New Roman"/>
                <w:strike w:val="0"/>
                <w:dstrike w:val="0"/>
                <w:color w:val="auto"/>
                <w:spacing w:val="-5"/>
                <w:sz w:val="24"/>
                <w:szCs w:val="24"/>
                <w:highlight w:val="none"/>
                <w:lang w:val="en-US" w:eastAsia="zh-CN"/>
              </w:rPr>
              <w:t>24h</w:t>
            </w:r>
            <w:r>
              <w:rPr>
                <w:rFonts w:hint="eastAsia" w:ascii="Times New Roman" w:hAnsi="Times New Roman" w:eastAsia="宋体" w:cs="Times New Roman"/>
                <w:strike w:val="0"/>
                <w:dstrike w:val="0"/>
                <w:color w:val="auto"/>
                <w:spacing w:val="-5"/>
                <w:sz w:val="24"/>
                <w:szCs w:val="24"/>
                <w:highlight w:val="none"/>
                <w:lang w:val="en-US" w:eastAsia="zh-CN"/>
              </w:rPr>
              <w:t>计算，则单日逆流用水量约为</w:t>
            </w:r>
            <w:r>
              <w:rPr>
                <w:rFonts w:hint="default" w:ascii="Times New Roman" w:hAnsi="Times New Roman" w:eastAsia="宋体" w:cs="Times New Roman"/>
                <w:strike w:val="0"/>
                <w:dstrike w:val="0"/>
                <w:color w:val="auto"/>
                <w:spacing w:val="-5"/>
                <w:sz w:val="24"/>
                <w:szCs w:val="24"/>
                <w:highlight w:val="none"/>
                <w:lang w:val="en-US" w:eastAsia="zh-CN"/>
              </w:rPr>
              <w:t>50×60×24/1000m</w:t>
            </w:r>
            <w:r>
              <w:rPr>
                <w:rFonts w:hint="default" w:ascii="Times New Roman" w:hAnsi="Times New Roman" w:eastAsia="宋体" w:cs="Times New Roman"/>
                <w:strike w:val="0"/>
                <w:dstrike w:val="0"/>
                <w:color w:val="auto"/>
                <w:spacing w:val="-5"/>
                <w:sz w:val="24"/>
                <w:szCs w:val="24"/>
                <w:highlight w:val="none"/>
                <w:vertAlign w:val="superscript"/>
                <w:lang w:val="en-US" w:eastAsia="zh-CN"/>
              </w:rPr>
              <w:t>3</w:t>
            </w:r>
            <w:r>
              <w:rPr>
                <w:rFonts w:hint="default" w:ascii="Times New Roman" w:hAnsi="Times New Roman" w:eastAsia="宋体" w:cs="Times New Roman"/>
                <w:strike w:val="0"/>
                <w:dstrike w:val="0"/>
                <w:color w:val="auto"/>
                <w:spacing w:val="-5"/>
                <w:sz w:val="24"/>
                <w:szCs w:val="24"/>
                <w:highlight w:val="none"/>
                <w:lang w:val="en-US" w:eastAsia="zh-CN"/>
              </w:rPr>
              <w:t>/d=72m</w:t>
            </w:r>
            <w:r>
              <w:rPr>
                <w:rFonts w:hint="default" w:ascii="Times New Roman" w:hAnsi="Times New Roman" w:eastAsia="宋体" w:cs="Times New Roman"/>
                <w:strike w:val="0"/>
                <w:dstrike w:val="0"/>
                <w:color w:val="auto"/>
                <w:spacing w:val="-5"/>
                <w:sz w:val="24"/>
                <w:szCs w:val="24"/>
                <w:highlight w:val="none"/>
                <w:vertAlign w:val="superscript"/>
                <w:lang w:val="en-US" w:eastAsia="zh-CN"/>
              </w:rPr>
              <w:t>3</w:t>
            </w:r>
            <w:r>
              <w:rPr>
                <w:rFonts w:hint="default" w:ascii="Times New Roman" w:hAnsi="Times New Roman" w:eastAsia="宋体" w:cs="Times New Roman"/>
                <w:strike w:val="0"/>
                <w:dstrike w:val="0"/>
                <w:color w:val="auto"/>
                <w:spacing w:val="-5"/>
                <w:sz w:val="24"/>
                <w:szCs w:val="24"/>
                <w:highlight w:val="none"/>
                <w:lang w:val="en-US" w:eastAsia="zh-CN"/>
              </w:rPr>
              <w:t>/d</w:t>
            </w:r>
            <w:r>
              <w:rPr>
                <w:rFonts w:hint="eastAsia" w:ascii="Times New Roman" w:hAnsi="Times New Roman" w:eastAsia="宋体" w:cs="Times New Roman"/>
                <w:strike w:val="0"/>
                <w:dstrike w:val="0"/>
                <w:color w:val="auto"/>
                <w:spacing w:val="-5"/>
                <w:sz w:val="24"/>
                <w:szCs w:val="24"/>
                <w:highlight w:val="none"/>
                <w:lang w:val="en-US" w:eastAsia="zh-CN"/>
              </w:rPr>
              <w:t>，同时，清洗池蒸发损耗量约为</w:t>
            </w:r>
            <w:r>
              <w:rPr>
                <w:rFonts w:hint="default" w:ascii="Times New Roman" w:hAnsi="Times New Roman" w:eastAsia="宋体" w:cs="Times New Roman"/>
                <w:strike w:val="0"/>
                <w:dstrike w:val="0"/>
                <w:color w:val="auto"/>
                <w:spacing w:val="-5"/>
                <w:sz w:val="24"/>
                <w:szCs w:val="24"/>
                <w:highlight w:val="none"/>
                <w:lang w:val="en-US" w:eastAsia="zh-CN"/>
              </w:rPr>
              <w:t>2%</w:t>
            </w:r>
            <w:r>
              <w:rPr>
                <w:rFonts w:hint="eastAsia" w:ascii="Times New Roman" w:hAnsi="Times New Roman" w:eastAsia="宋体" w:cs="Times New Roman"/>
                <w:strike w:val="0"/>
                <w:dstrike w:val="0"/>
                <w:color w:val="auto"/>
                <w:spacing w:val="-5"/>
                <w:sz w:val="24"/>
                <w:szCs w:val="24"/>
                <w:highlight w:val="none"/>
                <w:lang w:val="en-US" w:eastAsia="zh-CN"/>
              </w:rPr>
              <w:t>，主要损耗在蒸发以及部分经工件带走，清洗损耗水量约为</w:t>
            </w:r>
            <w:r>
              <w:rPr>
                <w:rFonts w:hint="default" w:ascii="Times New Roman" w:hAnsi="Times New Roman" w:eastAsia="宋体" w:cs="Times New Roman"/>
                <w:strike w:val="0"/>
                <w:dstrike w:val="0"/>
                <w:color w:val="auto"/>
                <w:spacing w:val="-5"/>
                <w:sz w:val="24"/>
                <w:szCs w:val="24"/>
                <w:highlight w:val="none"/>
                <w:lang w:val="en-US" w:eastAsia="zh-CN"/>
              </w:rPr>
              <w:t>1.44m</w:t>
            </w:r>
            <w:r>
              <w:rPr>
                <w:rFonts w:hint="default" w:ascii="Times New Roman" w:hAnsi="Times New Roman" w:eastAsia="宋体" w:cs="Times New Roman"/>
                <w:strike w:val="0"/>
                <w:dstrike w:val="0"/>
                <w:color w:val="auto"/>
                <w:spacing w:val="-5"/>
                <w:sz w:val="24"/>
                <w:szCs w:val="24"/>
                <w:highlight w:val="none"/>
                <w:vertAlign w:val="superscript"/>
                <w:lang w:val="en-US" w:eastAsia="zh-CN"/>
              </w:rPr>
              <w:t>3</w:t>
            </w:r>
            <w:r>
              <w:rPr>
                <w:rFonts w:hint="default" w:ascii="Times New Roman" w:hAnsi="Times New Roman" w:eastAsia="宋体" w:cs="Times New Roman"/>
                <w:strike w:val="0"/>
                <w:dstrike w:val="0"/>
                <w:color w:val="auto"/>
                <w:spacing w:val="-5"/>
                <w:sz w:val="24"/>
                <w:szCs w:val="24"/>
                <w:highlight w:val="none"/>
                <w:lang w:val="en-US" w:eastAsia="zh-CN"/>
              </w:rPr>
              <w:t>/d</w:t>
            </w:r>
            <w:r>
              <w:rPr>
                <w:rFonts w:hint="eastAsia" w:ascii="Times New Roman" w:hAnsi="Times New Roman" w:eastAsia="宋体" w:cs="Times New Roman"/>
                <w:strike w:val="0"/>
                <w:dstrike w:val="0"/>
                <w:color w:val="auto"/>
                <w:spacing w:val="-5"/>
                <w:sz w:val="24"/>
                <w:szCs w:val="24"/>
                <w:highlight w:val="none"/>
                <w:lang w:val="en-US" w:eastAsia="zh-CN"/>
              </w:rPr>
              <w:t>，则清洗用水量为</w:t>
            </w:r>
            <w:r>
              <w:rPr>
                <w:rFonts w:hint="default" w:ascii="Times New Roman" w:hAnsi="Times New Roman" w:eastAsia="宋体" w:cs="Times New Roman"/>
                <w:strike w:val="0"/>
                <w:dstrike w:val="0"/>
                <w:color w:val="auto"/>
                <w:spacing w:val="-5"/>
                <w:sz w:val="24"/>
                <w:szCs w:val="24"/>
                <w:highlight w:val="none"/>
                <w:lang w:val="en-US" w:eastAsia="zh-CN"/>
              </w:rPr>
              <w:t>73.44m</w:t>
            </w:r>
            <w:r>
              <w:rPr>
                <w:rFonts w:hint="default" w:ascii="Times New Roman" w:hAnsi="Times New Roman" w:eastAsia="宋体" w:cs="Times New Roman"/>
                <w:strike w:val="0"/>
                <w:dstrike w:val="0"/>
                <w:color w:val="auto"/>
                <w:spacing w:val="-5"/>
                <w:sz w:val="24"/>
                <w:szCs w:val="24"/>
                <w:highlight w:val="none"/>
                <w:vertAlign w:val="superscript"/>
                <w:lang w:val="en-US" w:eastAsia="zh-CN"/>
              </w:rPr>
              <w:t>3</w:t>
            </w:r>
            <w:r>
              <w:rPr>
                <w:rFonts w:hint="default" w:ascii="Times New Roman" w:hAnsi="Times New Roman" w:eastAsia="宋体" w:cs="Times New Roman"/>
                <w:strike w:val="0"/>
                <w:dstrike w:val="0"/>
                <w:color w:val="auto"/>
                <w:spacing w:val="-5"/>
                <w:sz w:val="24"/>
                <w:szCs w:val="24"/>
                <w:highlight w:val="none"/>
                <w:lang w:val="en-US" w:eastAsia="zh-CN"/>
              </w:rPr>
              <w:t>/d</w:t>
            </w:r>
            <w:r>
              <w:rPr>
                <w:rFonts w:hint="eastAsia" w:ascii="Times New Roman" w:hAnsi="Times New Roman" w:eastAsia="宋体" w:cs="Times New Roman"/>
                <w:strike w:val="0"/>
                <w:dstrike w:val="0"/>
                <w:color w:val="auto"/>
                <w:spacing w:val="-5"/>
                <w:sz w:val="24"/>
                <w:szCs w:val="24"/>
                <w:highlight w:val="none"/>
                <w:lang w:val="en-US" w:eastAsia="zh-CN"/>
              </w:rPr>
              <w:t>。</w:t>
            </w:r>
          </w:p>
          <w:p w14:paraId="0CD07DEB">
            <w:pPr>
              <w:keepNext w:val="0"/>
              <w:keepLines w:val="0"/>
              <w:pageBreakBefore w:val="0"/>
              <w:widowControl w:val="0"/>
              <w:kinsoku/>
              <w:wordWrap/>
              <w:overflowPunct/>
              <w:topLinePunct/>
              <w:autoSpaceDE w:val="0"/>
              <w:bidi w:val="0"/>
              <w:adjustRightInd/>
              <w:snapToGrid/>
              <w:spacing w:line="360" w:lineRule="auto"/>
              <w:ind w:left="0" w:right="0" w:firstLine="47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）车间冲洗用水</w:t>
            </w:r>
            <w:r>
              <w:rPr>
                <w:rFonts w:hint="default" w:ascii="Times New Roman" w:hAnsi="Times New Roman" w:eastAsia="宋体" w:cs="Times New Roman"/>
                <w:color w:val="auto"/>
                <w:spacing w:val="-1"/>
                <w:sz w:val="24"/>
                <w:szCs w:val="24"/>
                <w:highlight w:val="none"/>
              </w:rPr>
              <w:t>（W</w:t>
            </w:r>
            <w:r>
              <w:rPr>
                <w:rFonts w:hint="default" w:ascii="Times New Roman" w:hAnsi="Times New Roman" w:eastAsia="宋体" w:cs="Times New Roman"/>
                <w:color w:val="auto"/>
                <w:spacing w:val="-1"/>
                <w:sz w:val="24"/>
                <w:szCs w:val="24"/>
                <w:highlight w:val="none"/>
                <w:lang w:val="en-US" w:eastAsia="zh-CN"/>
              </w:rPr>
              <w:t>9</w:t>
            </w:r>
            <w:r>
              <w:rPr>
                <w:rFonts w:hint="default" w:ascii="Times New Roman" w:hAnsi="Times New Roman" w:eastAsia="宋体" w:cs="Times New Roman"/>
                <w:color w:val="auto"/>
                <w:spacing w:val="-1"/>
                <w:sz w:val="24"/>
                <w:szCs w:val="24"/>
                <w:highlight w:val="none"/>
              </w:rPr>
              <w:t>）</w:t>
            </w:r>
          </w:p>
          <w:p w14:paraId="3B89AADC">
            <w:pPr>
              <w:pStyle w:val="59"/>
              <w:keepNext w:val="0"/>
              <w:keepLines w:val="0"/>
              <w:pageBreakBefore w:val="0"/>
              <w:widowControl w:val="0"/>
              <w:kinsoku/>
              <w:wordWrap/>
              <w:overflowPunct/>
              <w:topLinePunct/>
              <w:autoSpaceDE w:val="0"/>
              <w:autoSpaceDN w:val="0"/>
              <w:bidi w:val="0"/>
              <w:adjustRightInd/>
              <w:snapToGrid/>
              <w:spacing w:line="360" w:lineRule="auto"/>
              <w:ind w:left="0" w:leftChars="0" w:right="0" w:firstLine="464" w:firstLineChars="200"/>
              <w:jc w:val="both"/>
              <w:textAlignment w:val="auto"/>
              <w:rPr>
                <w:rFonts w:hint="default" w:ascii="Times New Roman" w:hAnsi="Times New Roman" w:eastAsia="宋体" w:cs="Times New Roman"/>
                <w:color w:val="auto"/>
                <w:spacing w:val="-38"/>
                <w:sz w:val="24"/>
                <w:szCs w:val="24"/>
                <w:highlight w:val="none"/>
              </w:rPr>
            </w:pPr>
            <w:r>
              <w:rPr>
                <w:rFonts w:hint="default" w:ascii="Times New Roman" w:hAnsi="Times New Roman" w:eastAsia="宋体" w:cs="Times New Roman"/>
                <w:color w:val="auto"/>
                <w:spacing w:val="-4"/>
                <w:sz w:val="24"/>
                <w:szCs w:val="24"/>
                <w:highlight w:val="none"/>
              </w:rPr>
              <w:t>根据建设单位提供资料，</w:t>
            </w:r>
            <w:r>
              <w:rPr>
                <w:rFonts w:hint="default" w:ascii="Times New Roman" w:hAnsi="Times New Roman" w:eastAsia="宋体" w:cs="Times New Roman"/>
                <w:color w:val="auto"/>
                <w:spacing w:val="-3"/>
                <w:sz w:val="24"/>
                <w:szCs w:val="24"/>
                <w:highlight w:val="none"/>
              </w:rPr>
              <w:t>车间需要清洗面积约1</w:t>
            </w:r>
            <w:r>
              <w:rPr>
                <w:rFonts w:hint="default" w:ascii="Times New Roman" w:hAnsi="Times New Roman" w:eastAsia="宋体" w:cs="Times New Roman"/>
                <w:color w:val="auto"/>
                <w:spacing w:val="-3"/>
                <w:sz w:val="24"/>
                <w:szCs w:val="24"/>
                <w:highlight w:val="none"/>
                <w:lang w:val="en-US" w:eastAsia="zh-CN"/>
              </w:rPr>
              <w:t>7</w:t>
            </w:r>
            <w:r>
              <w:rPr>
                <w:rFonts w:hint="default" w:ascii="Times New Roman" w:hAnsi="Times New Roman" w:eastAsia="宋体" w:cs="Times New Roman"/>
                <w:color w:val="auto"/>
                <w:spacing w:val="-3"/>
                <w:sz w:val="24"/>
                <w:szCs w:val="24"/>
                <w:highlight w:val="none"/>
              </w:rPr>
              <w:t>000m</w:t>
            </w:r>
            <w:r>
              <w:rPr>
                <w:rFonts w:hint="default" w:ascii="Times New Roman" w:hAnsi="Times New Roman" w:eastAsia="宋体" w:cs="Times New Roman"/>
                <w:color w:val="auto"/>
                <w:spacing w:val="-3"/>
                <w:sz w:val="24"/>
                <w:szCs w:val="24"/>
                <w:highlight w:val="none"/>
                <w:vertAlign w:val="superscript"/>
                <w:lang w:val="en-US" w:eastAsia="zh-CN"/>
              </w:rPr>
              <w:t>2</w:t>
            </w:r>
            <w:r>
              <w:rPr>
                <w:rFonts w:hint="default" w:ascii="Times New Roman" w:hAnsi="Times New Roman" w:eastAsia="宋体" w:cs="Times New Roman"/>
                <w:color w:val="auto"/>
                <w:spacing w:val="-17"/>
                <w:sz w:val="24"/>
                <w:szCs w:val="24"/>
                <w:highlight w:val="none"/>
              </w:rPr>
              <w:t>，根</w:t>
            </w:r>
            <w:r>
              <w:rPr>
                <w:rFonts w:hint="default" w:ascii="Times New Roman" w:hAnsi="Times New Roman" w:eastAsia="宋体" w:cs="Times New Roman"/>
                <w:color w:val="auto"/>
                <w:spacing w:val="-2"/>
                <w:kern w:val="2"/>
                <w:sz w:val="24"/>
                <w:szCs w:val="24"/>
                <w:highlight w:val="none"/>
                <w:lang w:val="en-US" w:eastAsia="zh-CN" w:bidi="ar-SA"/>
              </w:rPr>
              <w:t>据《建筑给水排水设计标准》（GB50015-2019），地面清洗用水额</w:t>
            </w:r>
            <w:r>
              <w:rPr>
                <w:rFonts w:hint="default" w:ascii="Times New Roman" w:hAnsi="Times New Roman" w:eastAsia="宋体" w:cs="Times New Roman"/>
                <w:color w:val="auto"/>
                <w:spacing w:val="-4"/>
                <w:sz w:val="24"/>
                <w:szCs w:val="24"/>
                <w:highlight w:val="none"/>
              </w:rPr>
              <w:t>取0.001m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4"/>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4"/>
                <w:sz w:val="24"/>
                <w:szCs w:val="24"/>
                <w:highlight w:val="none"/>
              </w:rPr>
              <w:t>•次，每周清洗2次，则车</w:t>
            </w:r>
            <w:r>
              <w:rPr>
                <w:rFonts w:hint="default" w:ascii="Times New Roman" w:hAnsi="Times New Roman" w:eastAsia="宋体" w:cs="Times New Roman"/>
                <w:color w:val="auto"/>
                <w:spacing w:val="-5"/>
                <w:sz w:val="24"/>
                <w:szCs w:val="24"/>
                <w:highlight w:val="none"/>
              </w:rPr>
              <w:t>间冲洗用水量</w:t>
            </w:r>
            <w:r>
              <w:rPr>
                <w:rFonts w:hint="default" w:ascii="Times New Roman" w:hAnsi="Times New Roman" w:eastAsia="宋体" w:cs="Times New Roman"/>
                <w:color w:val="auto"/>
                <w:spacing w:val="-5"/>
                <w:sz w:val="24"/>
                <w:szCs w:val="24"/>
                <w:highlight w:val="none"/>
                <w:lang w:val="en-US" w:eastAsia="zh-CN"/>
              </w:rPr>
              <w:t>17</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/次，即：</w:t>
            </w:r>
            <w:r>
              <w:rPr>
                <w:rFonts w:hint="default" w:ascii="Times New Roman" w:hAnsi="Times New Roman" w:eastAsia="宋体" w:cs="Times New Roman"/>
                <w:color w:val="auto"/>
                <w:spacing w:val="-1"/>
                <w:sz w:val="24"/>
                <w:szCs w:val="24"/>
                <w:highlight w:val="none"/>
                <w:lang w:val="en-US" w:eastAsia="zh-CN"/>
              </w:rPr>
              <w:t>4.86</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17"/>
                <w:sz w:val="24"/>
                <w:szCs w:val="24"/>
                <w:highlight w:val="none"/>
                <w:lang w:eastAsia="zh-CN"/>
              </w:rPr>
              <w:t>、</w:t>
            </w:r>
            <w:r>
              <w:rPr>
                <w:rFonts w:hint="default" w:ascii="Times New Roman" w:hAnsi="Times New Roman" w:eastAsia="宋体" w:cs="Times New Roman"/>
                <w:color w:val="auto"/>
                <w:spacing w:val="-17"/>
                <w:sz w:val="24"/>
                <w:szCs w:val="24"/>
                <w:highlight w:val="none"/>
                <w:lang w:val="en-US" w:eastAsia="zh-CN"/>
              </w:rPr>
              <w:t>160</w:t>
            </w:r>
            <w:r>
              <w:rPr>
                <w:rFonts w:hint="default" w:ascii="Times New Roman" w:hAnsi="Times New Roman" w:eastAsia="宋体" w:cs="Times New Roman"/>
                <w:color w:val="auto"/>
                <w:spacing w:val="-1"/>
                <w:sz w:val="24"/>
                <w:szCs w:val="24"/>
                <w:highlight w:val="none"/>
                <w:lang w:val="en-US" w:eastAsia="zh-CN"/>
              </w:rPr>
              <w:t>3.8</w:t>
            </w:r>
            <w:r>
              <w:rPr>
                <w:rFonts w:hint="default" w:ascii="Times New Roman" w:hAnsi="Times New Roman" w:eastAsia="宋体" w:cs="Times New Roman"/>
                <w:color w:val="auto"/>
                <w:spacing w:val="-1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/a</w:t>
            </w:r>
            <w:r>
              <w:rPr>
                <w:rFonts w:hint="default" w:ascii="Times New Roman" w:hAnsi="Times New Roman" w:eastAsia="宋体" w:cs="Times New Roman"/>
                <w:color w:val="auto"/>
                <w:spacing w:val="-8"/>
                <w:sz w:val="24"/>
                <w:szCs w:val="24"/>
                <w:highlight w:val="none"/>
              </w:rPr>
              <w:t>，排污</w:t>
            </w:r>
            <w:r>
              <w:rPr>
                <w:rFonts w:hint="default" w:ascii="Times New Roman" w:hAnsi="Times New Roman" w:eastAsia="宋体" w:cs="Times New Roman"/>
                <w:color w:val="auto"/>
                <w:spacing w:val="-2"/>
                <w:kern w:val="2"/>
                <w:sz w:val="24"/>
                <w:szCs w:val="24"/>
                <w:highlight w:val="none"/>
                <w:lang w:val="en-US" w:eastAsia="zh-CN" w:bidi="ar-SA"/>
              </w:rPr>
              <w:t>系数按0.85计，车</w:t>
            </w:r>
            <w:r>
              <w:rPr>
                <w:rFonts w:hint="default" w:ascii="Times New Roman" w:hAnsi="Times New Roman" w:eastAsia="宋体" w:cs="Times New Roman"/>
                <w:color w:val="auto"/>
                <w:spacing w:val="-8"/>
                <w:sz w:val="24"/>
                <w:szCs w:val="24"/>
                <w:highlight w:val="none"/>
              </w:rPr>
              <w:t>间冲洗废水产生</w:t>
            </w:r>
            <w:r>
              <w:rPr>
                <w:rFonts w:hint="default" w:ascii="Times New Roman" w:hAnsi="Times New Roman" w:eastAsia="宋体" w:cs="Times New Roman"/>
                <w:color w:val="auto"/>
                <w:spacing w:val="-9"/>
                <w:sz w:val="24"/>
                <w:szCs w:val="24"/>
                <w:highlight w:val="none"/>
              </w:rPr>
              <w:t>量为</w:t>
            </w:r>
            <w:r>
              <w:rPr>
                <w:rFonts w:hint="default" w:ascii="Times New Roman" w:hAnsi="Times New Roman" w:eastAsia="宋体" w:cs="Times New Roman"/>
                <w:color w:val="auto"/>
                <w:spacing w:val="-9"/>
                <w:sz w:val="24"/>
                <w:szCs w:val="24"/>
                <w:highlight w:val="none"/>
                <w:lang w:val="en-US" w:eastAsia="zh-CN"/>
              </w:rPr>
              <w:t>4.13</w:t>
            </w:r>
            <w:r>
              <w:rPr>
                <w:rFonts w:hint="default" w:ascii="Times New Roman" w:hAnsi="Times New Roman" w:eastAsia="宋体" w:cs="Times New Roman"/>
                <w:color w:val="auto"/>
                <w:spacing w:val="-9"/>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9"/>
                <w:sz w:val="24"/>
                <w:szCs w:val="24"/>
                <w:highlight w:val="none"/>
              </w:rPr>
              <w:t>/d</w:t>
            </w:r>
            <w:r>
              <w:rPr>
                <w:rFonts w:hint="default" w:ascii="Times New Roman" w:hAnsi="Times New Roman" w:eastAsia="宋体" w:cs="Times New Roman"/>
                <w:color w:val="auto"/>
                <w:spacing w:val="-9"/>
                <w:sz w:val="24"/>
                <w:szCs w:val="24"/>
                <w:highlight w:val="none"/>
                <w:lang w:eastAsia="zh-CN"/>
              </w:rPr>
              <w:t>、</w:t>
            </w:r>
            <w:r>
              <w:rPr>
                <w:rFonts w:hint="default" w:ascii="Times New Roman" w:hAnsi="Times New Roman" w:eastAsia="宋体" w:cs="Times New Roman"/>
                <w:color w:val="auto"/>
                <w:spacing w:val="-17"/>
                <w:sz w:val="24"/>
                <w:szCs w:val="24"/>
                <w:highlight w:val="none"/>
                <w:lang w:val="en-US" w:eastAsia="zh-CN"/>
              </w:rPr>
              <w:t>1362.</w:t>
            </w:r>
            <w:r>
              <w:rPr>
                <w:rFonts w:hint="default" w:ascii="Times New Roman" w:hAnsi="Times New Roman" w:eastAsia="宋体" w:cs="Times New Roman"/>
                <w:color w:val="auto"/>
                <w:spacing w:val="-1"/>
                <w:sz w:val="24"/>
                <w:szCs w:val="24"/>
                <w:highlight w:val="none"/>
                <w:lang w:val="en-US" w:eastAsia="zh-CN"/>
              </w:rPr>
              <w:t>43m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pacing w:val="-38"/>
                <w:sz w:val="24"/>
                <w:szCs w:val="24"/>
                <w:highlight w:val="none"/>
              </w:rPr>
              <w:t>。</w:t>
            </w:r>
          </w:p>
          <w:p w14:paraId="63192C12">
            <w:pPr>
              <w:keepNext w:val="0"/>
              <w:keepLines w:val="0"/>
              <w:pageBreakBefore w:val="0"/>
              <w:widowControl w:val="0"/>
              <w:kinsoku/>
              <w:wordWrap/>
              <w:overflowPunct/>
              <w:topLinePunct/>
              <w:autoSpaceDE w:val="0"/>
              <w:bidi w:val="0"/>
              <w:adjustRightInd/>
              <w:snapToGrid/>
              <w:spacing w:line="360" w:lineRule="auto"/>
              <w:ind w:left="0" w:right="0" w:firstLine="478"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1"/>
                <w:sz w:val="24"/>
                <w:szCs w:val="24"/>
                <w:highlight w:val="none"/>
                <w:lang w:val="en-US" w:eastAsia="zh-CN"/>
              </w:rPr>
              <w:t>（3）</w:t>
            </w:r>
            <w:r>
              <w:rPr>
                <w:rFonts w:hint="default" w:ascii="Times New Roman" w:hAnsi="Times New Roman" w:eastAsia="宋体" w:cs="Times New Roman"/>
                <w:b/>
                <w:bCs/>
                <w:color w:val="auto"/>
                <w:spacing w:val="-4"/>
                <w:sz w:val="24"/>
                <w:szCs w:val="24"/>
                <w:highlight w:val="none"/>
                <w:lang w:val="en-US" w:eastAsia="zh-CN"/>
              </w:rPr>
              <w:t>去离子水</w:t>
            </w:r>
            <w:r>
              <w:rPr>
                <w:rFonts w:hint="default" w:ascii="Times New Roman" w:hAnsi="Times New Roman" w:eastAsia="宋体" w:cs="Times New Roman"/>
                <w:b/>
                <w:bCs/>
                <w:color w:val="auto"/>
                <w:spacing w:val="-1"/>
                <w:sz w:val="24"/>
                <w:szCs w:val="24"/>
                <w:highlight w:val="none"/>
                <w:lang w:val="en-US" w:eastAsia="zh-CN"/>
              </w:rPr>
              <w:t>制备的浓水及反冲洗水</w:t>
            </w:r>
            <w:r>
              <w:rPr>
                <w:rFonts w:hint="default" w:ascii="Times New Roman" w:hAnsi="Times New Roman" w:eastAsia="宋体" w:cs="Times New Roman"/>
                <w:b/>
                <w:bCs/>
                <w:color w:val="auto"/>
                <w:spacing w:val="-1"/>
                <w:sz w:val="24"/>
                <w:szCs w:val="24"/>
                <w:highlight w:val="none"/>
              </w:rPr>
              <w:t>（W</w:t>
            </w:r>
            <w:r>
              <w:rPr>
                <w:rFonts w:hint="default" w:ascii="Times New Roman" w:hAnsi="Times New Roman" w:eastAsia="宋体" w:cs="Times New Roman"/>
                <w:b/>
                <w:bCs/>
                <w:color w:val="auto"/>
                <w:spacing w:val="-1"/>
                <w:sz w:val="24"/>
                <w:szCs w:val="24"/>
                <w:highlight w:val="none"/>
                <w:lang w:val="en-US" w:eastAsia="zh-CN"/>
              </w:rPr>
              <w:t>8</w:t>
            </w:r>
            <w:r>
              <w:rPr>
                <w:rFonts w:hint="default" w:ascii="Times New Roman" w:hAnsi="Times New Roman" w:eastAsia="宋体" w:cs="Times New Roman"/>
                <w:b/>
                <w:bCs/>
                <w:color w:val="auto"/>
                <w:spacing w:val="-1"/>
                <w:sz w:val="24"/>
                <w:szCs w:val="24"/>
                <w:highlight w:val="none"/>
              </w:rPr>
              <w:t>）</w:t>
            </w:r>
          </w:p>
          <w:p w14:paraId="1E30B5FF">
            <w:pPr>
              <w:keepNext w:val="0"/>
              <w:keepLines w:val="0"/>
              <w:pageBreakBefore w:val="0"/>
              <w:widowControl w:val="0"/>
              <w:kinsoku/>
              <w:wordWrap/>
              <w:overflowPunct/>
              <w:topLinePunct/>
              <w:autoSpaceDE w:val="0"/>
              <w:bidi w:val="0"/>
              <w:adjustRightInd/>
              <w:snapToGrid/>
              <w:spacing w:line="360" w:lineRule="auto"/>
              <w:ind w:left="0" w:right="0" w:firstLine="464" w:firstLineChars="200"/>
              <w:textAlignment w:val="auto"/>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4"/>
                <w:sz w:val="24"/>
                <w:szCs w:val="24"/>
                <w:highlight w:val="none"/>
              </w:rPr>
              <w:t>根据建设单位提供资料，项目设置</w:t>
            </w:r>
            <w:r>
              <w:rPr>
                <w:rFonts w:hint="default" w:ascii="Times New Roman" w:hAnsi="Times New Roman" w:eastAsia="宋体" w:cs="Times New Roman"/>
                <w:color w:val="auto"/>
                <w:spacing w:val="-4"/>
                <w:sz w:val="24"/>
                <w:szCs w:val="24"/>
                <w:highlight w:val="none"/>
                <w:lang w:val="en-US" w:eastAsia="zh-CN"/>
              </w:rPr>
              <w:t>0.5t</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h去离子水制备系统（可按需制备）</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pacing w:val="-4"/>
                <w:sz w:val="24"/>
                <w:szCs w:val="24"/>
                <w:highlight w:val="none"/>
              </w:rPr>
              <w:t>磨抛</w:t>
            </w:r>
            <w:r>
              <w:rPr>
                <w:rFonts w:hint="default" w:ascii="Times New Roman" w:hAnsi="Times New Roman" w:eastAsia="宋体" w:cs="Times New Roman"/>
                <w:color w:val="auto"/>
                <w:spacing w:val="-4"/>
                <w:sz w:val="24"/>
                <w:szCs w:val="24"/>
                <w:highlight w:val="none"/>
                <w:lang w:val="en-US" w:eastAsia="zh-CN"/>
              </w:rPr>
              <w:t>设备冷却使用去离子水</w:t>
            </w:r>
            <w:r>
              <w:rPr>
                <w:rFonts w:hint="default" w:ascii="Times New Roman" w:hAnsi="Times New Roman" w:eastAsia="宋体" w:cs="Times New Roman"/>
                <w:color w:val="auto"/>
                <w:spacing w:val="-2"/>
                <w:sz w:val="24"/>
                <w:szCs w:val="24"/>
                <w:highlight w:val="none"/>
              </w:rPr>
              <w:t>量为5m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制水率为70%，该工序制备</w:t>
            </w:r>
            <w:r>
              <w:rPr>
                <w:rFonts w:hint="default" w:ascii="Times New Roman" w:hAnsi="Times New Roman" w:eastAsia="宋体" w:cs="Times New Roman"/>
                <w:color w:val="auto"/>
                <w:spacing w:val="-2"/>
                <w:sz w:val="24"/>
                <w:szCs w:val="24"/>
                <w:highlight w:val="none"/>
              </w:rPr>
              <w:t>采用</w:t>
            </w:r>
            <w:r>
              <w:rPr>
                <w:rFonts w:hint="default" w:ascii="Times New Roman" w:hAnsi="Times New Roman" w:eastAsia="宋体" w:cs="Times New Roman"/>
                <w:color w:val="auto"/>
                <w:spacing w:val="-2"/>
                <w:sz w:val="24"/>
                <w:szCs w:val="24"/>
                <w:highlight w:val="none"/>
                <w:lang w:val="en-US" w:eastAsia="zh-CN"/>
              </w:rPr>
              <w:t>自来水</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则自来水用量约为7.15</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项目产生浓水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color w:val="auto"/>
                <w:spacing w:val="-2"/>
                <w:sz w:val="24"/>
                <w:szCs w:val="24"/>
                <w:highlight w:val="none"/>
                <w:lang w:val="en-US" w:eastAsia="zh-CN"/>
              </w:rPr>
              <w:t>量为2.15</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eastAsia="zh-CN"/>
              </w:rPr>
              <w:t>。</w:t>
            </w:r>
          </w:p>
          <w:p w14:paraId="3B2C1533">
            <w:pPr>
              <w:pStyle w:val="59"/>
              <w:keepNext w:val="0"/>
              <w:keepLines w:val="0"/>
              <w:pageBreakBefore w:val="0"/>
              <w:kinsoku/>
              <w:wordWrap/>
              <w:overflowPunct/>
              <w:topLinePunct/>
              <w:autoSpaceDE w:val="0"/>
              <w:autoSpaceDN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）生活用水</w:t>
            </w:r>
          </w:p>
          <w:p w14:paraId="0B76A760">
            <w:pPr>
              <w:keepNext w:val="0"/>
              <w:keepLines w:val="0"/>
              <w:pageBreakBefore w:val="0"/>
              <w:kinsoku/>
              <w:wordWrap/>
              <w:overflowPunct/>
              <w:topLinePunct/>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盥洗废水</w:t>
            </w:r>
          </w:p>
          <w:p w14:paraId="0CAD1F3E">
            <w:pPr>
              <w:keepNext w:val="0"/>
              <w:keepLines w:val="0"/>
              <w:pageBreakBefore w:val="0"/>
              <w:kinsoku/>
              <w:wordWrap/>
              <w:overflowPunct/>
              <w:topLinePunct/>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bidi="ar"/>
              </w:rPr>
            </w:pPr>
            <w:r>
              <w:rPr>
                <w:rFonts w:hint="default" w:ascii="Times New Roman" w:hAnsi="Times New Roman" w:eastAsia="宋体" w:cs="Times New Roman"/>
                <w:color w:val="auto"/>
                <w:sz w:val="24"/>
                <w:szCs w:val="24"/>
                <w:highlight w:val="none"/>
                <w:lang w:bidi="ar"/>
              </w:rPr>
              <w:t>项目劳动定员</w:t>
            </w:r>
            <w:r>
              <w:rPr>
                <w:rFonts w:hint="default" w:ascii="Times New Roman" w:hAnsi="Times New Roman" w:eastAsia="宋体" w:cs="Times New Roman"/>
                <w:color w:val="auto"/>
                <w:sz w:val="24"/>
                <w:szCs w:val="24"/>
                <w:highlight w:val="none"/>
                <w:lang w:val="en-US" w:eastAsia="zh-CN" w:bidi="ar"/>
              </w:rPr>
              <w:t>350</w:t>
            </w:r>
            <w:r>
              <w:rPr>
                <w:rFonts w:hint="default" w:ascii="Times New Roman" w:hAnsi="Times New Roman" w:eastAsia="宋体" w:cs="Times New Roman"/>
                <w:color w:val="auto"/>
                <w:sz w:val="24"/>
                <w:szCs w:val="24"/>
                <w:highlight w:val="none"/>
                <w:lang w:bidi="ar"/>
              </w:rPr>
              <w:t>人，其中</w:t>
            </w:r>
            <w:r>
              <w:rPr>
                <w:rFonts w:hint="default" w:ascii="Times New Roman" w:hAnsi="Times New Roman" w:eastAsia="宋体" w:cs="Times New Roman"/>
                <w:color w:val="auto"/>
                <w:sz w:val="24"/>
                <w:szCs w:val="24"/>
                <w:highlight w:val="none"/>
                <w:lang w:val="en-US" w:eastAsia="zh-CN" w:bidi="ar"/>
              </w:rPr>
              <w:t>240</w:t>
            </w:r>
            <w:r>
              <w:rPr>
                <w:rFonts w:hint="default" w:ascii="Times New Roman" w:hAnsi="Times New Roman" w:eastAsia="宋体" w:cs="Times New Roman"/>
                <w:color w:val="auto"/>
                <w:sz w:val="24"/>
                <w:szCs w:val="24"/>
                <w:highlight w:val="none"/>
                <w:lang w:bidi="ar"/>
              </w:rPr>
              <w:t>人在项目内住宿</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110</w:t>
            </w:r>
            <w:r>
              <w:rPr>
                <w:rFonts w:hint="default" w:ascii="Times New Roman" w:hAnsi="Times New Roman" w:eastAsia="宋体" w:cs="Times New Roman"/>
                <w:color w:val="auto"/>
                <w:sz w:val="24"/>
                <w:szCs w:val="24"/>
                <w:highlight w:val="none"/>
                <w:lang w:bidi="ar"/>
              </w:rPr>
              <w:t>人</w:t>
            </w:r>
            <w:r>
              <w:rPr>
                <w:rFonts w:hint="default" w:ascii="Times New Roman" w:hAnsi="Times New Roman" w:eastAsia="宋体" w:cs="Times New Roman"/>
                <w:color w:val="auto"/>
                <w:sz w:val="24"/>
                <w:szCs w:val="24"/>
                <w:highlight w:val="none"/>
                <w:lang w:val="en-US" w:eastAsia="zh-CN" w:bidi="ar"/>
              </w:rPr>
              <w:t>不</w:t>
            </w:r>
            <w:r>
              <w:rPr>
                <w:rFonts w:hint="default" w:ascii="Times New Roman" w:hAnsi="Times New Roman" w:eastAsia="宋体" w:cs="Times New Roman"/>
                <w:color w:val="auto"/>
                <w:sz w:val="24"/>
                <w:szCs w:val="24"/>
                <w:highlight w:val="none"/>
                <w:lang w:bidi="ar"/>
              </w:rPr>
              <w:t>在项目内住宿。</w:t>
            </w:r>
            <w:r>
              <w:rPr>
                <w:rFonts w:hint="default" w:ascii="Times New Roman" w:hAnsi="Times New Roman" w:eastAsia="宋体" w:cs="Times New Roman"/>
                <w:smallCaps w:val="0"/>
                <w:color w:val="auto"/>
                <w:kern w:val="2"/>
                <w:sz w:val="24"/>
                <w:szCs w:val="20"/>
                <w:highlight w:val="none"/>
                <w:lang w:val="en-US" w:eastAsia="zh-CN" w:bidi="ar"/>
              </w:rPr>
              <w:t>参照《云南省地方标准 用水定额》（</w:t>
            </w:r>
            <w:r>
              <w:rPr>
                <w:rFonts w:hint="eastAsia" w:cs="Times New Roman"/>
                <w:smallCaps w:val="0"/>
                <w:color w:val="auto"/>
                <w:kern w:val="2"/>
                <w:sz w:val="24"/>
                <w:szCs w:val="20"/>
                <w:highlight w:val="none"/>
                <w:lang w:val="en-US" w:eastAsia="zh-CN" w:bidi="ar"/>
              </w:rPr>
              <w:t>DB53/T168-2026</w:t>
            </w:r>
            <w:r>
              <w:rPr>
                <w:rFonts w:hint="default" w:ascii="Times New Roman" w:hAnsi="Times New Roman" w:eastAsia="宋体" w:cs="Times New Roman"/>
                <w:smallCaps w:val="0"/>
                <w:color w:val="auto"/>
                <w:kern w:val="2"/>
                <w:sz w:val="24"/>
                <w:szCs w:val="20"/>
                <w:highlight w:val="none"/>
                <w:lang w:val="en-US" w:eastAsia="zh-CN" w:bidi="ar"/>
              </w:rPr>
              <w:t>），居民用水定额按</w:t>
            </w:r>
            <w:r>
              <w:rPr>
                <w:rFonts w:hint="default" w:ascii="Times New Roman" w:hAnsi="Times New Roman" w:eastAsia="宋体" w:cs="Times New Roman"/>
                <w:smallCaps w:val="0"/>
                <w:color w:val="auto"/>
                <w:kern w:val="0"/>
                <w:sz w:val="24"/>
                <w:szCs w:val="24"/>
                <w:highlight w:val="none"/>
                <w:lang w:val="en-US" w:eastAsia="zh-CN" w:bidi="ar"/>
              </w:rPr>
              <w:t>100L/（人·d），</w:t>
            </w:r>
            <w:r>
              <w:rPr>
                <w:rFonts w:hint="default" w:ascii="Times New Roman" w:hAnsi="Times New Roman" w:eastAsia="宋体" w:cs="Times New Roman"/>
                <w:smallCaps w:val="0"/>
                <w:color w:val="auto"/>
                <w:kern w:val="2"/>
                <w:sz w:val="24"/>
                <w:szCs w:val="20"/>
                <w:highlight w:val="none"/>
                <w:lang w:val="en-US" w:eastAsia="zh-CN" w:bidi="ar"/>
              </w:rPr>
              <w:t>住宿员工盥洗</w:t>
            </w:r>
            <w:r>
              <w:rPr>
                <w:rFonts w:hint="default" w:ascii="Times New Roman" w:hAnsi="Times New Roman" w:eastAsia="宋体" w:cs="Times New Roman"/>
                <w:smallCaps w:val="0"/>
                <w:color w:val="auto"/>
                <w:kern w:val="0"/>
                <w:sz w:val="24"/>
                <w:szCs w:val="24"/>
                <w:highlight w:val="none"/>
                <w:lang w:val="en-US" w:eastAsia="zh-CN" w:bidi="ar"/>
              </w:rPr>
              <w:t>用水量按70L/（人·d），则</w:t>
            </w:r>
            <w:r>
              <w:rPr>
                <w:rFonts w:hint="default" w:ascii="Times New Roman" w:hAnsi="Times New Roman" w:eastAsia="宋体" w:cs="Times New Roman"/>
                <w:color w:val="auto"/>
                <w:sz w:val="24"/>
                <w:szCs w:val="24"/>
                <w:highlight w:val="none"/>
                <w:lang w:bidi="ar"/>
              </w:rPr>
              <w:t>住宿员工盥洗</w:t>
            </w:r>
            <w:r>
              <w:rPr>
                <w:rFonts w:hint="default" w:ascii="Times New Roman" w:hAnsi="Times New Roman" w:eastAsia="宋体" w:cs="Times New Roman"/>
                <w:color w:val="auto"/>
                <w:kern w:val="0"/>
                <w:sz w:val="24"/>
                <w:szCs w:val="24"/>
                <w:highlight w:val="none"/>
                <w:lang w:bidi="ar"/>
              </w:rPr>
              <w:t>用水量约</w:t>
            </w:r>
            <w:r>
              <w:rPr>
                <w:rFonts w:hint="default" w:ascii="Times New Roman" w:hAnsi="Times New Roman" w:eastAsia="宋体" w:cs="Times New Roman"/>
                <w:color w:val="auto"/>
                <w:kern w:val="0"/>
                <w:sz w:val="24"/>
                <w:szCs w:val="24"/>
                <w:highlight w:val="none"/>
                <w:lang w:val="en-US" w:eastAsia="zh-CN" w:bidi="ar"/>
              </w:rPr>
              <w:t>16.8</w:t>
            </w:r>
            <w:r>
              <w:rPr>
                <w:rFonts w:hint="default" w:ascii="Times New Roman" w:hAnsi="Times New Roman" w:eastAsia="宋体" w:cs="Times New Roman"/>
                <w:color w:val="auto"/>
                <w:kern w:val="0"/>
                <w:sz w:val="24"/>
                <w:szCs w:val="24"/>
                <w:highlight w:val="none"/>
                <w:lang w:bidi="ar"/>
              </w:rPr>
              <w:t>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/d，</w:t>
            </w:r>
            <w:r>
              <w:rPr>
                <w:rFonts w:hint="default" w:ascii="Times New Roman" w:hAnsi="Times New Roman" w:eastAsia="宋体" w:cs="Times New Roman"/>
                <w:color w:val="auto"/>
                <w:spacing w:val="-1"/>
                <w:sz w:val="24"/>
                <w:szCs w:val="24"/>
                <w:highlight w:val="none"/>
                <w:lang w:val="en-US" w:eastAsia="zh-CN"/>
              </w:rPr>
              <w:t>产污</w:t>
            </w:r>
            <w:r>
              <w:rPr>
                <w:rFonts w:hint="default" w:ascii="Times New Roman" w:hAnsi="Times New Roman" w:eastAsia="宋体" w:cs="Times New Roman"/>
                <w:color w:val="auto"/>
                <w:spacing w:val="-1"/>
                <w:sz w:val="24"/>
                <w:szCs w:val="24"/>
                <w:highlight w:val="none"/>
              </w:rPr>
              <w:t>按85%计，</w:t>
            </w:r>
            <w:r>
              <w:rPr>
                <w:rFonts w:hint="default" w:ascii="Times New Roman" w:hAnsi="Times New Roman" w:eastAsia="宋体" w:cs="Times New Roman"/>
                <w:smallCaps w:val="0"/>
                <w:color w:val="auto"/>
                <w:kern w:val="0"/>
                <w:sz w:val="24"/>
                <w:szCs w:val="24"/>
                <w:highlight w:val="none"/>
                <w:lang w:val="en-US" w:eastAsia="zh-CN" w:bidi="ar"/>
              </w:rPr>
              <w:t>则</w:t>
            </w:r>
            <w:r>
              <w:rPr>
                <w:rFonts w:hint="default" w:ascii="Times New Roman" w:hAnsi="Times New Roman" w:eastAsia="宋体" w:cs="Times New Roman"/>
                <w:color w:val="auto"/>
                <w:kern w:val="0"/>
                <w:sz w:val="24"/>
                <w:szCs w:val="24"/>
                <w:highlight w:val="none"/>
                <w:lang w:bidi="ar"/>
              </w:rPr>
              <w:t>污水产生量为</w:t>
            </w:r>
            <w:r>
              <w:rPr>
                <w:rFonts w:hint="default" w:ascii="Times New Roman" w:hAnsi="Times New Roman" w:eastAsia="宋体" w:cs="Times New Roman"/>
                <w:color w:val="auto"/>
                <w:kern w:val="0"/>
                <w:sz w:val="24"/>
                <w:szCs w:val="24"/>
                <w:highlight w:val="none"/>
                <w:lang w:val="en-US" w:eastAsia="zh-CN" w:bidi="ar"/>
              </w:rPr>
              <w:t>14.28</w:t>
            </w:r>
            <w:r>
              <w:rPr>
                <w:rFonts w:hint="default" w:ascii="Times New Roman" w:hAnsi="Times New Roman" w:eastAsia="宋体" w:cs="Times New Roman"/>
                <w:color w:val="auto"/>
                <w:kern w:val="0"/>
                <w:sz w:val="24"/>
                <w:szCs w:val="24"/>
                <w:highlight w:val="none"/>
                <w:lang w:bidi="ar"/>
              </w:rPr>
              <w:t>m</w:t>
            </w:r>
            <w:r>
              <w:rPr>
                <w:rFonts w:hint="default" w:ascii="Times New Roman" w:hAnsi="Times New Roman" w:eastAsia="宋体" w:cs="Times New Roman"/>
                <w:color w:val="auto"/>
                <w:kern w:val="0"/>
                <w:sz w:val="24"/>
                <w:szCs w:val="24"/>
                <w:highlight w:val="none"/>
                <w:vertAlign w:val="superscript"/>
                <w:lang w:bidi="ar"/>
              </w:rPr>
              <w:t>3</w:t>
            </w:r>
            <w:r>
              <w:rPr>
                <w:rFonts w:hint="default" w:ascii="Times New Roman" w:hAnsi="Times New Roman" w:eastAsia="宋体" w:cs="Times New Roman"/>
                <w:color w:val="auto"/>
                <w:kern w:val="0"/>
                <w:sz w:val="24"/>
                <w:szCs w:val="24"/>
                <w:highlight w:val="none"/>
                <w:lang w:bidi="ar"/>
              </w:rPr>
              <w:t>/d</w:t>
            </w:r>
            <w:r>
              <w:rPr>
                <w:rFonts w:hint="default" w:ascii="Times New Roman" w:hAnsi="Times New Roman" w:eastAsia="宋体" w:cs="Times New Roman"/>
                <w:color w:val="auto"/>
                <w:sz w:val="24"/>
                <w:szCs w:val="24"/>
                <w:highlight w:val="none"/>
                <w:lang w:bidi="ar"/>
              </w:rPr>
              <w:t>；非住宿员工日常用水主要为洗手水和冲厕水，</w:t>
            </w:r>
            <w:r>
              <w:rPr>
                <w:rFonts w:hint="default" w:ascii="Times New Roman" w:hAnsi="Times New Roman" w:eastAsia="宋体" w:cs="Times New Roman"/>
                <w:smallCaps w:val="0"/>
                <w:color w:val="auto"/>
                <w:kern w:val="2"/>
                <w:sz w:val="24"/>
                <w:szCs w:val="24"/>
                <w:highlight w:val="none"/>
                <w:lang w:val="en-US" w:eastAsia="zh-CN" w:bidi="ar"/>
              </w:rPr>
              <w:t>用水量40</w:t>
            </w:r>
            <w:r>
              <w:rPr>
                <w:rFonts w:hint="default" w:ascii="Times New Roman" w:hAnsi="Times New Roman" w:eastAsia="宋体" w:cs="Times New Roman"/>
                <w:bCs/>
                <w:smallCaps w:val="0"/>
                <w:color w:val="auto"/>
                <w:kern w:val="2"/>
                <w:sz w:val="24"/>
                <w:szCs w:val="24"/>
                <w:highlight w:val="none"/>
                <w:lang w:val="en-US" w:eastAsia="zh-CN" w:bidi="ar"/>
              </w:rPr>
              <w:t>L/（人·d）</w:t>
            </w:r>
            <w:r>
              <w:rPr>
                <w:rFonts w:hint="default" w:ascii="Times New Roman" w:hAnsi="Times New Roman" w:eastAsia="宋体" w:cs="Times New Roman"/>
                <w:smallCaps w:val="0"/>
                <w:color w:val="auto"/>
                <w:kern w:val="2"/>
                <w:sz w:val="24"/>
                <w:szCs w:val="24"/>
                <w:highlight w:val="none"/>
                <w:lang w:val="en-US" w:eastAsia="zh-CN" w:bidi="ar"/>
              </w:rPr>
              <w:t>计，则用水量为4.4m</w:t>
            </w:r>
            <w:r>
              <w:rPr>
                <w:rFonts w:hint="default" w:ascii="Times New Roman" w:hAnsi="Times New Roman" w:eastAsia="宋体" w:cs="Times New Roman"/>
                <w:smallCaps w:val="0"/>
                <w:color w:val="auto"/>
                <w:kern w:val="2"/>
                <w:sz w:val="24"/>
                <w:szCs w:val="24"/>
                <w:highlight w:val="none"/>
                <w:vertAlign w:val="superscript"/>
                <w:lang w:val="en-US" w:eastAsia="zh-CN" w:bidi="ar"/>
              </w:rPr>
              <w:t>3</w:t>
            </w:r>
            <w:r>
              <w:rPr>
                <w:rFonts w:hint="default" w:ascii="Times New Roman" w:hAnsi="Times New Roman" w:eastAsia="宋体" w:cs="Times New Roman"/>
                <w:smallCaps w:val="0"/>
                <w:color w:val="auto"/>
                <w:kern w:val="2"/>
                <w:sz w:val="24"/>
                <w:szCs w:val="24"/>
                <w:highlight w:val="none"/>
                <w:lang w:val="en-US" w:eastAsia="zh-CN" w:bidi="ar"/>
              </w:rPr>
              <w:t>/d，</w:t>
            </w:r>
            <w:r>
              <w:rPr>
                <w:rFonts w:hint="default" w:ascii="Times New Roman" w:hAnsi="Times New Roman" w:eastAsia="宋体" w:cs="Times New Roman"/>
                <w:color w:val="auto"/>
                <w:spacing w:val="-8"/>
                <w:sz w:val="24"/>
                <w:szCs w:val="24"/>
                <w:highlight w:val="none"/>
                <w:lang w:val="en-US" w:eastAsia="zh-CN"/>
              </w:rPr>
              <w:t>产</w:t>
            </w:r>
            <w:r>
              <w:rPr>
                <w:rFonts w:hint="default" w:ascii="Times New Roman" w:hAnsi="Times New Roman" w:eastAsia="宋体" w:cs="Times New Roman"/>
                <w:color w:val="auto"/>
                <w:spacing w:val="-8"/>
                <w:sz w:val="24"/>
                <w:szCs w:val="24"/>
                <w:highlight w:val="none"/>
              </w:rPr>
              <w:t>污</w:t>
            </w:r>
            <w:r>
              <w:rPr>
                <w:rFonts w:hint="default" w:ascii="Times New Roman" w:hAnsi="Times New Roman" w:eastAsia="宋体" w:cs="Times New Roman"/>
                <w:color w:val="auto"/>
                <w:spacing w:val="-2"/>
                <w:kern w:val="2"/>
                <w:sz w:val="24"/>
                <w:szCs w:val="24"/>
                <w:highlight w:val="none"/>
                <w:lang w:val="en-US" w:eastAsia="zh-CN" w:bidi="ar-SA"/>
              </w:rPr>
              <w:t>系数按0.85计，</w:t>
            </w:r>
            <w:r>
              <w:rPr>
                <w:rFonts w:hint="default" w:ascii="Times New Roman" w:hAnsi="Times New Roman" w:eastAsia="宋体" w:cs="Times New Roman"/>
                <w:color w:val="auto"/>
                <w:sz w:val="24"/>
                <w:szCs w:val="24"/>
                <w:highlight w:val="none"/>
                <w:lang w:eastAsia="zh-CN" w:bidi="ar"/>
              </w:rPr>
              <w:t>则污水</w:t>
            </w:r>
            <w:r>
              <w:rPr>
                <w:rFonts w:hint="default" w:ascii="Times New Roman" w:hAnsi="Times New Roman" w:eastAsia="宋体" w:cs="Times New Roman"/>
                <w:color w:val="auto"/>
                <w:sz w:val="24"/>
                <w:szCs w:val="24"/>
                <w:highlight w:val="none"/>
                <w:lang w:bidi="ar"/>
              </w:rPr>
              <w:t>产生量为</w:t>
            </w:r>
            <w:r>
              <w:rPr>
                <w:rFonts w:hint="default" w:ascii="Times New Roman" w:hAnsi="Times New Roman" w:eastAsia="宋体" w:cs="Times New Roman"/>
                <w:color w:val="auto"/>
                <w:sz w:val="24"/>
                <w:szCs w:val="24"/>
                <w:highlight w:val="none"/>
                <w:lang w:val="en-US" w:eastAsia="zh-CN" w:bidi="ar"/>
              </w:rPr>
              <w:t>3.74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/d。项目合计盥洗用水量为</w:t>
            </w:r>
            <w:r>
              <w:rPr>
                <w:rFonts w:hint="default" w:ascii="Times New Roman" w:hAnsi="Times New Roman" w:eastAsia="宋体" w:cs="Times New Roman"/>
                <w:color w:val="auto"/>
                <w:sz w:val="24"/>
                <w:szCs w:val="24"/>
                <w:highlight w:val="none"/>
                <w:lang w:val="en-US" w:eastAsia="zh-CN" w:bidi="ar"/>
              </w:rPr>
              <w:t>21.2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/d，污水产生量为</w:t>
            </w:r>
            <w:r>
              <w:rPr>
                <w:rFonts w:hint="default" w:ascii="Times New Roman" w:hAnsi="Times New Roman" w:eastAsia="宋体" w:cs="Times New Roman"/>
                <w:color w:val="auto"/>
                <w:sz w:val="24"/>
                <w:szCs w:val="24"/>
                <w:highlight w:val="none"/>
                <w:lang w:val="en-US" w:eastAsia="zh-CN" w:bidi="ar"/>
              </w:rPr>
              <w:t>18.02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p>
          <w:p w14:paraId="1DAB8B8D">
            <w:pPr>
              <w:keepNext w:val="0"/>
              <w:keepLines w:val="0"/>
              <w:pageBreakBefore w:val="0"/>
              <w:kinsoku/>
              <w:wordWrap/>
              <w:overflowPunct/>
              <w:topLinePunct/>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食堂餐饮废水</w:t>
            </w:r>
          </w:p>
          <w:p w14:paraId="0D8C125A">
            <w:pPr>
              <w:keepNext w:val="0"/>
              <w:keepLines w:val="0"/>
              <w:pageBreakBefore w:val="0"/>
              <w:widowControl w:val="0"/>
              <w:suppressLineNumbers w:val="0"/>
              <w:kinsoku/>
              <w:overflowPunct/>
              <w:topLinePunct/>
              <w:autoSpaceDE w:val="0"/>
              <w:bidi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smallCaps w:val="0"/>
                <w:color w:val="auto"/>
                <w:kern w:val="2"/>
                <w:sz w:val="24"/>
                <w:szCs w:val="20"/>
                <w:highlight w:val="none"/>
                <w:lang w:val="en-US" w:eastAsia="zh-CN" w:bidi="ar"/>
              </w:rPr>
            </w:pPr>
            <w:r>
              <w:rPr>
                <w:rFonts w:hint="default" w:ascii="Times New Roman" w:hAnsi="Times New Roman" w:eastAsia="宋体" w:cs="Times New Roman"/>
                <w:smallCaps w:val="0"/>
                <w:color w:val="auto"/>
                <w:kern w:val="2"/>
                <w:sz w:val="24"/>
                <w:szCs w:val="20"/>
                <w:highlight w:val="none"/>
                <w:lang w:val="en-US" w:eastAsia="zh-CN" w:bidi="ar"/>
              </w:rPr>
              <w:t>项目建设有食堂，用餐人数约200人，参照《云南省地方标准 用水定额》（</w:t>
            </w:r>
            <w:r>
              <w:rPr>
                <w:rFonts w:hint="eastAsia" w:cs="Times New Roman"/>
                <w:smallCaps w:val="0"/>
                <w:color w:val="auto"/>
                <w:kern w:val="2"/>
                <w:sz w:val="24"/>
                <w:szCs w:val="20"/>
                <w:highlight w:val="none"/>
                <w:lang w:val="en-US" w:eastAsia="zh-CN" w:bidi="ar"/>
              </w:rPr>
              <w:t>DB53/T168-2026</w:t>
            </w:r>
            <w:r>
              <w:rPr>
                <w:rFonts w:hint="default" w:ascii="Times New Roman" w:hAnsi="Times New Roman" w:eastAsia="宋体" w:cs="Times New Roman"/>
                <w:smallCaps w:val="0"/>
                <w:color w:val="auto"/>
                <w:kern w:val="2"/>
                <w:sz w:val="24"/>
                <w:szCs w:val="20"/>
                <w:highlight w:val="none"/>
                <w:lang w:val="en-US" w:eastAsia="zh-CN" w:bidi="ar"/>
              </w:rPr>
              <w:t>），食堂用水量按30L/人·d计，每天用水量6.0m</w:t>
            </w:r>
            <w:r>
              <w:rPr>
                <w:rFonts w:hint="default" w:ascii="Times New Roman" w:hAnsi="Times New Roman" w:eastAsia="宋体" w:cs="Times New Roman"/>
                <w:smallCaps w:val="0"/>
                <w:color w:val="auto"/>
                <w:kern w:val="2"/>
                <w:sz w:val="24"/>
                <w:szCs w:val="20"/>
                <w:highlight w:val="none"/>
                <w:vertAlign w:val="superscript"/>
                <w:lang w:val="en-US" w:eastAsia="zh-CN" w:bidi="ar"/>
              </w:rPr>
              <w:t>3</w:t>
            </w:r>
            <w:r>
              <w:rPr>
                <w:rFonts w:hint="default" w:ascii="Times New Roman" w:hAnsi="Times New Roman" w:eastAsia="宋体" w:cs="Times New Roman"/>
                <w:smallCaps w:val="0"/>
                <w:color w:val="auto"/>
                <w:kern w:val="2"/>
                <w:sz w:val="24"/>
                <w:szCs w:val="20"/>
                <w:highlight w:val="none"/>
                <w:lang w:val="en-US" w:eastAsia="zh-CN" w:bidi="ar"/>
              </w:rPr>
              <w:t>/d，</w:t>
            </w:r>
            <w:r>
              <w:rPr>
                <w:rFonts w:hint="default" w:ascii="Times New Roman" w:hAnsi="Times New Roman" w:eastAsia="宋体" w:cs="Times New Roman"/>
                <w:color w:val="auto"/>
                <w:spacing w:val="-1"/>
                <w:sz w:val="24"/>
                <w:szCs w:val="24"/>
                <w:highlight w:val="none"/>
                <w:lang w:val="en-US" w:eastAsia="zh-CN"/>
              </w:rPr>
              <w:t>产污系数</w:t>
            </w:r>
            <w:r>
              <w:rPr>
                <w:rFonts w:hint="default" w:ascii="Times New Roman" w:hAnsi="Times New Roman" w:eastAsia="宋体" w:cs="Times New Roman"/>
                <w:color w:val="auto"/>
                <w:spacing w:val="-1"/>
                <w:sz w:val="24"/>
                <w:szCs w:val="24"/>
                <w:highlight w:val="none"/>
              </w:rPr>
              <w:t>按85%计，</w:t>
            </w:r>
            <w:r>
              <w:rPr>
                <w:rFonts w:hint="default" w:ascii="Times New Roman" w:hAnsi="Times New Roman" w:eastAsia="宋体" w:cs="Times New Roman"/>
                <w:smallCaps w:val="0"/>
                <w:color w:val="auto"/>
                <w:kern w:val="2"/>
                <w:sz w:val="24"/>
                <w:szCs w:val="20"/>
                <w:highlight w:val="none"/>
                <w:lang w:val="en-US" w:eastAsia="zh-CN" w:bidi="ar"/>
              </w:rPr>
              <w:t>则食堂餐饮废水产生量为5.1m</w:t>
            </w:r>
            <w:r>
              <w:rPr>
                <w:rFonts w:hint="default" w:ascii="Times New Roman" w:hAnsi="Times New Roman" w:eastAsia="宋体" w:cs="Times New Roman"/>
                <w:smallCaps w:val="0"/>
                <w:color w:val="auto"/>
                <w:kern w:val="2"/>
                <w:sz w:val="24"/>
                <w:szCs w:val="20"/>
                <w:highlight w:val="none"/>
                <w:vertAlign w:val="superscript"/>
                <w:lang w:val="en-US" w:eastAsia="zh-CN" w:bidi="ar"/>
              </w:rPr>
              <w:t>3</w:t>
            </w:r>
            <w:r>
              <w:rPr>
                <w:rFonts w:hint="default" w:ascii="Times New Roman" w:hAnsi="Times New Roman" w:eastAsia="宋体" w:cs="Times New Roman"/>
                <w:smallCaps w:val="0"/>
                <w:color w:val="auto"/>
                <w:kern w:val="2"/>
                <w:sz w:val="24"/>
                <w:szCs w:val="20"/>
                <w:highlight w:val="none"/>
                <w:lang w:val="en-US" w:eastAsia="zh-CN" w:bidi="ar"/>
              </w:rPr>
              <w:t>/d。</w:t>
            </w:r>
          </w:p>
          <w:p w14:paraId="52142CF6">
            <w:pPr>
              <w:keepNext w:val="0"/>
              <w:keepLines w:val="0"/>
              <w:pageBreakBefore w:val="0"/>
              <w:widowControl w:val="0"/>
              <w:suppressLineNumbers w:val="0"/>
              <w:kinsoku/>
              <w:overflowPunct/>
              <w:topLinePunct/>
              <w:autoSpaceDE w:val="0"/>
              <w:bidi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smallCaps w:val="0"/>
                <w:color w:val="auto"/>
                <w:kern w:val="2"/>
                <w:sz w:val="24"/>
                <w:szCs w:val="20"/>
                <w:highlight w:val="none"/>
                <w:lang w:val="en-US" w:eastAsia="zh-CN" w:bidi="ar"/>
              </w:rPr>
            </w:pPr>
            <w:r>
              <w:rPr>
                <w:rFonts w:hint="default" w:ascii="Times New Roman" w:hAnsi="Times New Roman" w:eastAsia="宋体" w:cs="Times New Roman"/>
                <w:smallCaps w:val="0"/>
                <w:color w:val="auto"/>
                <w:kern w:val="2"/>
                <w:sz w:val="24"/>
                <w:szCs w:val="20"/>
                <w:highlight w:val="none"/>
                <w:lang w:val="en-US" w:eastAsia="zh-CN" w:bidi="ar"/>
              </w:rPr>
              <w:t>综上，项目生活用水</w:t>
            </w:r>
            <w:r>
              <w:rPr>
                <w:rFonts w:hint="default" w:ascii="Times New Roman" w:hAnsi="Times New Roman" w:eastAsia="宋体" w:cs="Times New Roman"/>
                <w:color w:val="auto"/>
                <w:sz w:val="24"/>
                <w:szCs w:val="24"/>
                <w:highlight w:val="none"/>
                <w:lang w:bidi="ar"/>
              </w:rPr>
              <w:t>量为</w:t>
            </w:r>
            <w:r>
              <w:rPr>
                <w:rFonts w:hint="default" w:ascii="Times New Roman" w:hAnsi="Times New Roman" w:eastAsia="宋体" w:cs="Times New Roman"/>
                <w:color w:val="auto"/>
                <w:sz w:val="24"/>
                <w:szCs w:val="24"/>
                <w:highlight w:val="none"/>
                <w:lang w:val="en-US" w:eastAsia="zh-CN" w:bidi="ar"/>
              </w:rPr>
              <w:t>27.2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/d，污水产生量为</w:t>
            </w:r>
            <w:r>
              <w:rPr>
                <w:rFonts w:hint="default" w:ascii="Times New Roman" w:hAnsi="Times New Roman" w:eastAsia="宋体" w:cs="Times New Roman"/>
                <w:color w:val="auto"/>
                <w:sz w:val="24"/>
                <w:szCs w:val="24"/>
                <w:highlight w:val="none"/>
                <w:lang w:val="en-US" w:eastAsia="zh-CN" w:bidi="ar"/>
              </w:rPr>
              <w:t>23.12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p>
          <w:p w14:paraId="7C35AB55">
            <w:pPr>
              <w:pStyle w:val="59"/>
              <w:keepNext w:val="0"/>
              <w:keepLines w:val="0"/>
              <w:pageBreakBefore w:val="0"/>
              <w:kinsoku/>
              <w:wordWrap/>
              <w:overflowPunct/>
              <w:topLinePunct/>
              <w:autoSpaceDE w:val="0"/>
              <w:autoSpaceDN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绿化</w:t>
            </w:r>
            <w:r>
              <w:rPr>
                <w:rFonts w:hint="default" w:ascii="Times New Roman" w:hAnsi="Times New Roman" w:eastAsia="宋体" w:cs="Times New Roman"/>
                <w:b/>
                <w:bCs/>
                <w:color w:val="auto"/>
                <w:sz w:val="24"/>
                <w:szCs w:val="24"/>
                <w:highlight w:val="none"/>
              </w:rPr>
              <w:t>用水</w:t>
            </w:r>
          </w:p>
          <w:p w14:paraId="2F3DE694">
            <w:pPr>
              <w:keepNext w:val="0"/>
              <w:keepLines w:val="0"/>
              <w:pageBreakBefore w:val="0"/>
              <w:widowControl w:val="0"/>
              <w:suppressLineNumbers w:val="0"/>
              <w:kinsoku/>
              <w:overflowPunct/>
              <w:topLinePunct/>
              <w:autoSpaceDE w:val="0"/>
              <w:bidi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strike w:val="0"/>
                <w:dstrike w:val="0"/>
                <w:color w:val="auto"/>
                <w:spacing w:val="-1"/>
                <w:sz w:val="24"/>
                <w:szCs w:val="24"/>
                <w:highlight w:val="none"/>
              </w:rPr>
            </w:pPr>
            <w:r>
              <w:rPr>
                <w:rFonts w:hint="default" w:ascii="Times New Roman" w:hAnsi="Times New Roman" w:eastAsia="宋体" w:cs="Times New Roman"/>
                <w:smallCaps w:val="0"/>
                <w:color w:val="auto"/>
                <w:kern w:val="2"/>
                <w:sz w:val="24"/>
                <w:szCs w:val="20"/>
                <w:highlight w:val="none"/>
                <w:lang w:val="en-US" w:eastAsia="zh-CN" w:bidi="ar"/>
              </w:rPr>
              <w:t>项目绿化面积约</w:t>
            </w:r>
            <w:r>
              <w:rPr>
                <w:rFonts w:hint="eastAsia" w:cs="Times New Roman"/>
                <w:smallCaps w:val="0"/>
                <w:color w:val="auto"/>
                <w:kern w:val="2"/>
                <w:sz w:val="24"/>
                <w:szCs w:val="20"/>
                <w:highlight w:val="none"/>
                <w:lang w:val="en-US" w:eastAsia="zh-CN" w:bidi="ar"/>
              </w:rPr>
              <w:t>620</w:t>
            </w:r>
            <w:r>
              <w:rPr>
                <w:rFonts w:hint="default" w:ascii="Times New Roman" w:hAnsi="Times New Roman" w:eastAsia="宋体" w:cs="Times New Roman"/>
                <w:smallCaps w:val="0"/>
                <w:color w:val="auto"/>
                <w:kern w:val="2"/>
                <w:sz w:val="24"/>
                <w:szCs w:val="20"/>
                <w:highlight w:val="none"/>
                <w:lang w:val="en-US" w:eastAsia="zh-CN" w:bidi="ar"/>
              </w:rPr>
              <w:t>m</w:t>
            </w:r>
            <w:r>
              <w:rPr>
                <w:rFonts w:hint="default" w:ascii="Times New Roman" w:hAnsi="Times New Roman" w:eastAsia="宋体" w:cs="Times New Roman"/>
                <w:smallCaps w:val="0"/>
                <w:color w:val="auto"/>
                <w:kern w:val="2"/>
                <w:sz w:val="24"/>
                <w:szCs w:val="20"/>
                <w:highlight w:val="none"/>
                <w:vertAlign w:val="superscript"/>
                <w:lang w:val="en-US" w:eastAsia="zh-CN" w:bidi="ar"/>
              </w:rPr>
              <w:t>2</w:t>
            </w:r>
            <w:r>
              <w:rPr>
                <w:rFonts w:hint="default" w:ascii="Times New Roman" w:hAnsi="Times New Roman" w:eastAsia="宋体" w:cs="Times New Roman"/>
                <w:smallCaps w:val="0"/>
                <w:color w:val="auto"/>
                <w:kern w:val="2"/>
                <w:sz w:val="24"/>
                <w:szCs w:val="20"/>
                <w:highlight w:val="none"/>
                <w:lang w:val="en-US" w:eastAsia="zh-CN" w:bidi="ar"/>
              </w:rPr>
              <w:t>，</w:t>
            </w:r>
            <w:r>
              <w:rPr>
                <w:rFonts w:hint="default" w:ascii="Times New Roman" w:hAnsi="Times New Roman" w:eastAsia="宋体" w:cs="Times New Roman"/>
                <w:strike w:val="0"/>
                <w:dstrike w:val="0"/>
                <w:color w:val="auto"/>
                <w:spacing w:val="-3"/>
                <w:sz w:val="24"/>
                <w:szCs w:val="24"/>
                <w:highlight w:val="none"/>
              </w:rPr>
              <w:t>根据</w:t>
            </w:r>
            <w:r>
              <w:rPr>
                <w:rFonts w:hint="default" w:ascii="Times New Roman" w:hAnsi="Times New Roman" w:eastAsia="宋体" w:cs="Times New Roman"/>
                <w:strike w:val="0"/>
                <w:dstrike w:val="0"/>
                <w:color w:val="auto"/>
                <w:spacing w:val="-4"/>
                <w:sz w:val="24"/>
                <w:szCs w:val="24"/>
                <w:highlight w:val="none"/>
              </w:rPr>
              <w:t>《云南省地方标准用水定</w:t>
            </w:r>
            <w:r>
              <w:rPr>
                <w:rFonts w:hint="default" w:ascii="Times New Roman" w:hAnsi="Times New Roman" w:eastAsia="宋体" w:cs="Times New Roman"/>
                <w:strike w:val="0"/>
                <w:dstrike w:val="0"/>
                <w:color w:val="auto"/>
                <w:spacing w:val="-1"/>
                <w:sz w:val="24"/>
                <w:szCs w:val="24"/>
                <w:highlight w:val="none"/>
              </w:rPr>
              <w:t>额》</w:t>
            </w:r>
            <w:r>
              <w:rPr>
                <w:rFonts w:hint="default" w:ascii="Times New Roman" w:hAnsi="Times New Roman" w:eastAsia="宋体" w:cs="Times New Roman"/>
                <w:strike w:val="0"/>
                <w:dstrike w:val="0"/>
                <w:color w:val="auto"/>
                <w:spacing w:val="-1"/>
                <w:sz w:val="24"/>
                <w:szCs w:val="24"/>
                <w:highlight w:val="none"/>
                <w:lang w:eastAsia="zh-CN"/>
              </w:rPr>
              <w:t>（</w:t>
            </w:r>
            <w:r>
              <w:rPr>
                <w:rFonts w:hint="eastAsia" w:cs="Times New Roman"/>
                <w:strike w:val="0"/>
                <w:dstrike w:val="0"/>
                <w:color w:val="auto"/>
                <w:spacing w:val="-3"/>
                <w:sz w:val="24"/>
                <w:szCs w:val="24"/>
                <w:highlight w:val="none"/>
                <w:lang w:eastAsia="zh-CN"/>
              </w:rPr>
              <w:t>DB53/T168-2026</w:t>
            </w:r>
            <w:r>
              <w:rPr>
                <w:rFonts w:hint="default" w:ascii="Times New Roman" w:hAnsi="Times New Roman" w:eastAsia="宋体" w:cs="Times New Roman"/>
                <w:strike w:val="0"/>
                <w:dstrike w:val="0"/>
                <w:color w:val="auto"/>
                <w:spacing w:val="-1"/>
                <w:sz w:val="24"/>
                <w:szCs w:val="24"/>
                <w:highlight w:val="none"/>
                <w:lang w:eastAsia="zh-CN"/>
              </w:rPr>
              <w:t>）</w:t>
            </w:r>
            <w:r>
              <w:rPr>
                <w:rFonts w:hint="default" w:ascii="Times New Roman" w:hAnsi="Times New Roman" w:eastAsia="宋体" w:cs="Times New Roman"/>
                <w:strike w:val="0"/>
                <w:dstrike w:val="0"/>
                <w:color w:val="auto"/>
                <w:spacing w:val="-1"/>
                <w:sz w:val="24"/>
                <w:szCs w:val="24"/>
                <w:highlight w:val="none"/>
              </w:rPr>
              <w:t>，绿化用水定额3L/（m</w:t>
            </w:r>
            <w:r>
              <w:rPr>
                <w:rFonts w:hint="default" w:ascii="Times New Roman" w:hAnsi="Times New Roman" w:eastAsia="宋体" w:cs="Times New Roman"/>
                <w:strike w:val="0"/>
                <w:dstrike w:val="0"/>
                <w:color w:val="auto"/>
                <w:spacing w:val="-1"/>
                <w:position w:val="7"/>
                <w:sz w:val="15"/>
                <w:szCs w:val="15"/>
                <w:highlight w:val="none"/>
              </w:rPr>
              <w:t>2</w:t>
            </w:r>
            <w:r>
              <w:rPr>
                <w:rFonts w:hint="default" w:ascii="Times New Roman" w:hAnsi="Times New Roman" w:eastAsia="宋体" w:cs="Times New Roman"/>
                <w:strike w:val="0"/>
                <w:dstrike w:val="0"/>
                <w:color w:val="auto"/>
                <w:spacing w:val="-1"/>
                <w:sz w:val="24"/>
                <w:szCs w:val="24"/>
                <w:highlight w:val="none"/>
              </w:rPr>
              <w:t>·次）。根据</w:t>
            </w:r>
            <w:r>
              <w:rPr>
                <w:rFonts w:hint="default" w:ascii="Times New Roman" w:hAnsi="Times New Roman" w:eastAsia="宋体" w:cs="Times New Roman"/>
                <w:strike w:val="0"/>
                <w:dstrike w:val="0"/>
                <w:color w:val="auto"/>
                <w:spacing w:val="-1"/>
                <w:sz w:val="24"/>
                <w:szCs w:val="24"/>
                <w:highlight w:val="none"/>
                <w:lang w:val="en-US" w:eastAsia="zh-CN"/>
              </w:rPr>
              <w:t>当地</w:t>
            </w:r>
            <w:r>
              <w:rPr>
                <w:rFonts w:hint="default" w:ascii="Times New Roman" w:hAnsi="Times New Roman" w:eastAsia="宋体" w:cs="Times New Roman"/>
                <w:strike w:val="0"/>
                <w:dstrike w:val="0"/>
                <w:color w:val="auto"/>
                <w:spacing w:val="-1"/>
                <w:sz w:val="24"/>
                <w:szCs w:val="24"/>
                <w:highlight w:val="none"/>
              </w:rPr>
              <w:t>多年气</w:t>
            </w:r>
            <w:r>
              <w:rPr>
                <w:rFonts w:hint="default" w:ascii="Times New Roman" w:hAnsi="Times New Roman" w:eastAsia="宋体" w:cs="Times New Roman"/>
                <w:strike w:val="0"/>
                <w:dstrike w:val="0"/>
                <w:color w:val="auto"/>
                <w:spacing w:val="-2"/>
                <w:sz w:val="24"/>
                <w:szCs w:val="24"/>
                <w:highlight w:val="none"/>
              </w:rPr>
              <w:t>象资料，非雨天</w:t>
            </w:r>
            <w:r>
              <w:rPr>
                <w:rFonts w:hint="default" w:ascii="Times New Roman" w:hAnsi="Times New Roman" w:eastAsia="宋体" w:cs="Times New Roman"/>
                <w:strike w:val="0"/>
                <w:dstrike w:val="0"/>
                <w:color w:val="auto"/>
                <w:spacing w:val="-5"/>
                <w:sz w:val="24"/>
                <w:szCs w:val="24"/>
                <w:highlight w:val="none"/>
              </w:rPr>
              <w:t>按2</w:t>
            </w:r>
            <w:r>
              <w:rPr>
                <w:rFonts w:hint="default" w:ascii="Times New Roman" w:hAnsi="Times New Roman" w:eastAsia="宋体" w:cs="Times New Roman"/>
                <w:strike w:val="0"/>
                <w:dstrike w:val="0"/>
                <w:color w:val="auto"/>
                <w:spacing w:val="-5"/>
                <w:sz w:val="24"/>
                <w:szCs w:val="24"/>
                <w:highlight w:val="none"/>
                <w:lang w:val="en-US" w:eastAsia="zh-CN"/>
              </w:rPr>
              <w:t>00</w:t>
            </w:r>
            <w:r>
              <w:rPr>
                <w:rFonts w:hint="default" w:ascii="Times New Roman" w:hAnsi="Times New Roman" w:eastAsia="宋体" w:cs="Times New Roman"/>
                <w:strike w:val="0"/>
                <w:dstrike w:val="0"/>
                <w:color w:val="auto"/>
                <w:spacing w:val="-5"/>
                <w:sz w:val="24"/>
                <w:szCs w:val="24"/>
                <w:highlight w:val="none"/>
              </w:rPr>
              <w:t>天计，雨天按</w:t>
            </w:r>
            <w:r>
              <w:rPr>
                <w:rFonts w:hint="default" w:ascii="Times New Roman" w:hAnsi="Times New Roman" w:eastAsia="宋体" w:cs="Times New Roman"/>
                <w:strike w:val="0"/>
                <w:dstrike w:val="0"/>
                <w:color w:val="auto"/>
                <w:spacing w:val="-5"/>
                <w:sz w:val="24"/>
                <w:szCs w:val="24"/>
                <w:highlight w:val="none"/>
                <w:lang w:val="en-US" w:eastAsia="zh-CN"/>
              </w:rPr>
              <w:t>165</w:t>
            </w:r>
            <w:r>
              <w:rPr>
                <w:rFonts w:hint="default" w:ascii="Times New Roman" w:hAnsi="Times New Roman" w:eastAsia="宋体" w:cs="Times New Roman"/>
                <w:strike w:val="0"/>
                <w:dstrike w:val="0"/>
                <w:color w:val="auto"/>
                <w:spacing w:val="-5"/>
                <w:sz w:val="24"/>
                <w:szCs w:val="24"/>
                <w:highlight w:val="none"/>
              </w:rPr>
              <w:t>天计，非雨天每</w:t>
            </w:r>
            <w:r>
              <w:rPr>
                <w:rFonts w:hint="default" w:ascii="Times New Roman" w:hAnsi="Times New Roman" w:eastAsia="宋体" w:cs="Times New Roman"/>
                <w:strike w:val="0"/>
                <w:dstrike w:val="0"/>
                <w:color w:val="auto"/>
                <w:spacing w:val="-5"/>
                <w:sz w:val="24"/>
                <w:szCs w:val="24"/>
                <w:highlight w:val="none"/>
                <w:lang w:val="en-US" w:eastAsia="zh-CN"/>
              </w:rPr>
              <w:t>2</w:t>
            </w:r>
            <w:r>
              <w:rPr>
                <w:rFonts w:hint="default" w:ascii="Times New Roman" w:hAnsi="Times New Roman" w:eastAsia="宋体" w:cs="Times New Roman"/>
                <w:strike w:val="0"/>
                <w:dstrike w:val="0"/>
                <w:color w:val="auto"/>
                <w:spacing w:val="-5"/>
                <w:sz w:val="24"/>
                <w:szCs w:val="24"/>
                <w:highlight w:val="none"/>
              </w:rPr>
              <w:t>天灌溉</w:t>
            </w:r>
            <w:r>
              <w:rPr>
                <w:rFonts w:hint="default" w:ascii="Times New Roman" w:hAnsi="Times New Roman" w:eastAsia="宋体" w:cs="Times New Roman"/>
                <w:strike w:val="0"/>
                <w:dstrike w:val="0"/>
                <w:color w:val="auto"/>
                <w:spacing w:val="-55"/>
                <w:sz w:val="24"/>
                <w:szCs w:val="24"/>
                <w:highlight w:val="none"/>
                <w:lang w:val="en-US" w:eastAsia="zh-CN"/>
              </w:rPr>
              <w:t>1</w:t>
            </w:r>
            <w:r>
              <w:rPr>
                <w:rFonts w:hint="default" w:ascii="Times New Roman" w:hAnsi="Times New Roman" w:eastAsia="宋体" w:cs="Times New Roman"/>
                <w:strike w:val="0"/>
                <w:dstrike w:val="0"/>
                <w:color w:val="auto"/>
                <w:spacing w:val="-5"/>
                <w:sz w:val="24"/>
                <w:szCs w:val="24"/>
                <w:highlight w:val="none"/>
              </w:rPr>
              <w:t>次，雨天无需灌溉，则项目</w:t>
            </w:r>
            <w:r>
              <w:rPr>
                <w:rFonts w:hint="default" w:ascii="Times New Roman" w:hAnsi="Times New Roman" w:eastAsia="宋体" w:cs="Times New Roman"/>
                <w:strike w:val="0"/>
                <w:dstrike w:val="0"/>
                <w:color w:val="auto"/>
                <w:spacing w:val="-1"/>
                <w:sz w:val="24"/>
                <w:szCs w:val="24"/>
                <w:highlight w:val="none"/>
              </w:rPr>
              <w:t>非雨天绿化用水量为</w:t>
            </w:r>
            <w:r>
              <w:rPr>
                <w:rFonts w:hint="eastAsia" w:cs="Times New Roman"/>
                <w:strike w:val="0"/>
                <w:dstrike w:val="0"/>
                <w:color w:val="auto"/>
                <w:spacing w:val="-1"/>
                <w:sz w:val="24"/>
                <w:szCs w:val="24"/>
                <w:highlight w:val="none"/>
                <w:lang w:val="en-US" w:eastAsia="zh-CN"/>
              </w:rPr>
              <w:t>1.86</w:t>
            </w:r>
            <w:r>
              <w:rPr>
                <w:rFonts w:hint="default" w:ascii="Times New Roman" w:hAnsi="Times New Roman" w:eastAsia="宋体" w:cs="Times New Roman"/>
                <w:strike w:val="0"/>
                <w:dstrike w:val="0"/>
                <w:color w:val="auto"/>
                <w:spacing w:val="-1"/>
                <w:sz w:val="24"/>
                <w:szCs w:val="24"/>
                <w:highlight w:val="none"/>
                <w:lang w:val="en-US" w:eastAsia="zh-CN"/>
              </w:rPr>
              <w:t>m</w:t>
            </w:r>
            <w:r>
              <w:rPr>
                <w:rFonts w:hint="default" w:ascii="Times New Roman" w:hAnsi="Times New Roman" w:eastAsia="宋体" w:cs="Times New Roman"/>
                <w:strike w:val="0"/>
                <w:dstrike w:val="0"/>
                <w:color w:val="auto"/>
                <w:spacing w:val="-1"/>
                <w:position w:val="7"/>
                <w:sz w:val="15"/>
                <w:szCs w:val="15"/>
                <w:highlight w:val="none"/>
              </w:rPr>
              <w:t>3</w:t>
            </w:r>
            <w:r>
              <w:rPr>
                <w:rFonts w:hint="default" w:ascii="Times New Roman" w:hAnsi="Times New Roman" w:eastAsia="宋体" w:cs="Times New Roman"/>
                <w:strike w:val="0"/>
                <w:dstrike w:val="0"/>
                <w:color w:val="auto"/>
                <w:spacing w:val="-1"/>
                <w:sz w:val="24"/>
                <w:szCs w:val="24"/>
                <w:highlight w:val="none"/>
              </w:rPr>
              <w:t>/</w:t>
            </w:r>
            <w:r>
              <w:rPr>
                <w:rFonts w:hint="default" w:ascii="Times New Roman" w:hAnsi="Times New Roman" w:eastAsia="宋体" w:cs="Times New Roman"/>
                <w:strike w:val="0"/>
                <w:dstrike w:val="0"/>
                <w:color w:val="auto"/>
                <w:spacing w:val="-1"/>
                <w:sz w:val="24"/>
                <w:szCs w:val="24"/>
                <w:highlight w:val="none"/>
                <w:lang w:val="en-US" w:eastAsia="zh-CN"/>
              </w:rPr>
              <w:t>次（</w:t>
            </w:r>
            <w:r>
              <w:rPr>
                <w:rFonts w:hint="eastAsia" w:cs="Times New Roman"/>
                <w:strike w:val="0"/>
                <w:dstrike w:val="0"/>
                <w:color w:val="auto"/>
                <w:spacing w:val="-1"/>
                <w:sz w:val="24"/>
                <w:szCs w:val="24"/>
                <w:highlight w:val="none"/>
                <w:lang w:val="en-US" w:eastAsia="zh-CN"/>
              </w:rPr>
              <w:t>0.93</w:t>
            </w:r>
            <w:r>
              <w:rPr>
                <w:rFonts w:hint="default" w:ascii="Times New Roman" w:hAnsi="Times New Roman" w:eastAsia="宋体" w:cs="Times New Roman"/>
                <w:strike w:val="0"/>
                <w:dstrike w:val="0"/>
                <w:color w:val="auto"/>
                <w:spacing w:val="-1"/>
                <w:sz w:val="24"/>
                <w:szCs w:val="24"/>
                <w:highlight w:val="none"/>
                <w:lang w:val="en-US" w:eastAsia="zh-CN"/>
              </w:rPr>
              <w:t>m</w:t>
            </w:r>
            <w:r>
              <w:rPr>
                <w:rFonts w:hint="default" w:ascii="Times New Roman" w:hAnsi="Times New Roman" w:eastAsia="宋体" w:cs="Times New Roman"/>
                <w:strike w:val="0"/>
                <w:dstrike w:val="0"/>
                <w:color w:val="auto"/>
                <w:spacing w:val="-1"/>
                <w:position w:val="7"/>
                <w:sz w:val="15"/>
                <w:szCs w:val="15"/>
                <w:highlight w:val="none"/>
              </w:rPr>
              <w:t>3</w:t>
            </w:r>
            <w:r>
              <w:rPr>
                <w:rFonts w:hint="default" w:ascii="Times New Roman" w:hAnsi="Times New Roman" w:eastAsia="宋体" w:cs="Times New Roman"/>
                <w:strike w:val="0"/>
                <w:dstrike w:val="0"/>
                <w:color w:val="auto"/>
                <w:spacing w:val="-1"/>
                <w:sz w:val="24"/>
                <w:szCs w:val="24"/>
                <w:highlight w:val="none"/>
              </w:rPr>
              <w:t>/</w:t>
            </w:r>
            <w:r>
              <w:rPr>
                <w:rFonts w:hint="default" w:ascii="Times New Roman" w:hAnsi="Times New Roman" w:eastAsia="宋体" w:cs="Times New Roman"/>
                <w:strike w:val="0"/>
                <w:dstrike w:val="0"/>
                <w:color w:val="auto"/>
                <w:spacing w:val="-1"/>
                <w:sz w:val="24"/>
                <w:szCs w:val="24"/>
                <w:highlight w:val="none"/>
                <w:lang w:val="en-US" w:eastAsia="zh-CN"/>
              </w:rPr>
              <w:t>d）</w:t>
            </w:r>
            <w:r>
              <w:rPr>
                <w:rFonts w:hint="default" w:ascii="Times New Roman" w:hAnsi="Times New Roman" w:eastAsia="宋体" w:cs="Times New Roman"/>
                <w:strike w:val="0"/>
                <w:dstrike w:val="0"/>
                <w:color w:val="auto"/>
                <w:spacing w:val="-1"/>
                <w:sz w:val="24"/>
                <w:szCs w:val="24"/>
                <w:highlight w:val="none"/>
                <w:lang w:eastAsia="zh-CN"/>
              </w:rPr>
              <w:t>、</w:t>
            </w:r>
            <w:r>
              <w:rPr>
                <w:rFonts w:hint="eastAsia" w:cs="Times New Roman"/>
                <w:strike w:val="0"/>
                <w:dstrike w:val="0"/>
                <w:color w:val="auto"/>
                <w:spacing w:val="-1"/>
                <w:sz w:val="24"/>
                <w:szCs w:val="24"/>
                <w:highlight w:val="none"/>
                <w:lang w:val="en-US" w:eastAsia="zh-CN"/>
              </w:rPr>
              <w:t>186</w:t>
            </w:r>
            <w:r>
              <w:rPr>
                <w:rFonts w:hint="default" w:ascii="Times New Roman" w:hAnsi="Times New Roman" w:eastAsia="宋体" w:cs="Times New Roman"/>
                <w:strike w:val="0"/>
                <w:dstrike w:val="0"/>
                <w:color w:val="auto"/>
                <w:spacing w:val="-1"/>
                <w:sz w:val="24"/>
                <w:szCs w:val="24"/>
                <w:highlight w:val="none"/>
              </w:rPr>
              <w:t>m</w:t>
            </w:r>
            <w:r>
              <w:rPr>
                <w:rFonts w:hint="default" w:ascii="Times New Roman" w:hAnsi="Times New Roman" w:eastAsia="宋体" w:cs="Times New Roman"/>
                <w:strike w:val="0"/>
                <w:dstrike w:val="0"/>
                <w:color w:val="auto"/>
                <w:spacing w:val="-1"/>
                <w:position w:val="7"/>
                <w:sz w:val="15"/>
                <w:szCs w:val="15"/>
                <w:highlight w:val="none"/>
              </w:rPr>
              <w:t>3</w:t>
            </w:r>
            <w:r>
              <w:rPr>
                <w:rFonts w:hint="default" w:ascii="Times New Roman" w:hAnsi="Times New Roman" w:eastAsia="宋体" w:cs="Times New Roman"/>
                <w:strike w:val="0"/>
                <w:dstrike w:val="0"/>
                <w:color w:val="auto"/>
                <w:spacing w:val="-1"/>
                <w:sz w:val="24"/>
                <w:szCs w:val="24"/>
                <w:highlight w:val="none"/>
              </w:rPr>
              <w:t>/a。项目厂区绿化及道路降尘用水全部自然蒸发，不外排。</w:t>
            </w:r>
          </w:p>
          <w:p w14:paraId="168CE05D">
            <w:pPr>
              <w:pStyle w:val="59"/>
              <w:keepNext w:val="0"/>
              <w:keepLines w:val="0"/>
              <w:pageBreakBefore w:val="0"/>
              <w:kinsoku/>
              <w:wordWrap/>
              <w:overflowPunct/>
              <w:topLinePunct/>
              <w:autoSpaceDE w:val="0"/>
              <w:autoSpaceDN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初期雨水</w:t>
            </w:r>
          </w:p>
          <w:p w14:paraId="634B1B8E">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lang w:val="en-US" w:eastAsia="zh-CN"/>
              </w:rPr>
              <w:t>属于非金属矿物制品业，不涉及电镀工艺，故废水、废气不含重金属等污染物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rPr>
              <w:t>厂区内由于雨水冲刷，使初期雨水中含有一定量的SS和杂质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且</w:t>
            </w:r>
            <w:r>
              <w:rPr>
                <w:rFonts w:hint="default" w:ascii="Times New Roman" w:hAnsi="Times New Roman" w:eastAsia="宋体" w:cs="Times New Roman"/>
                <w:color w:val="auto"/>
                <w:sz w:val="24"/>
                <w:highlight w:val="none"/>
              </w:rPr>
              <w:t>项目不属于石化类，</w:t>
            </w:r>
            <w:r>
              <w:rPr>
                <w:rFonts w:hint="default" w:ascii="Times New Roman" w:hAnsi="Times New Roman" w:eastAsia="宋体" w:cs="Times New Roman"/>
                <w:color w:val="auto"/>
                <w:sz w:val="24"/>
                <w:highlight w:val="none"/>
                <w:lang w:val="en-US" w:eastAsia="zh-CN"/>
              </w:rPr>
              <w:t>仅</w:t>
            </w:r>
            <w:r>
              <w:rPr>
                <w:rFonts w:hint="default" w:ascii="Times New Roman" w:hAnsi="Times New Roman" w:eastAsia="宋体" w:cs="Times New Roman"/>
                <w:color w:val="auto"/>
                <w:sz w:val="24"/>
                <w:highlight w:val="none"/>
              </w:rPr>
              <w:t>考虑局部收集初期雨水。根据《雨水利用工程技术规范》（GB50400-2006），雨水径流总量的计算公式如下：</w:t>
            </w:r>
          </w:p>
          <w:p w14:paraId="06E32718">
            <w:pPr>
              <w:adjustRightInd w:val="0"/>
              <w:snapToGrid w:val="0"/>
              <w:spacing w:line="360" w:lineRule="auto"/>
              <w:ind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W=10ΨchyF</w:t>
            </w:r>
          </w:p>
          <w:p w14:paraId="723622DE">
            <w:pPr>
              <w:adjustRightInd w:val="0"/>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式中：W——雨水设计径流总量（m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3B404C61">
            <w:pPr>
              <w:adjustRightInd w:val="0"/>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Ψc——雨量径流系数（取值参照《室外排水设计标准（GB 50014-2021）》，</w:t>
            </w:r>
            <w:r>
              <w:rPr>
                <w:rFonts w:hint="default" w:ascii="Times New Roman" w:hAnsi="Times New Roman" w:eastAsia="宋体" w:cs="Times New Roman"/>
                <w:color w:val="auto"/>
                <w:sz w:val="24"/>
                <w:szCs w:val="24"/>
                <w:highlight w:val="none"/>
                <w:lang w:val="zh-CN" w:eastAsia="zh-CN" w:bidi="ar"/>
              </w:rPr>
              <w:t>一般取</w:t>
            </w:r>
            <w:r>
              <w:rPr>
                <w:rFonts w:hint="default" w:ascii="Times New Roman" w:hAnsi="Times New Roman" w:eastAsia="宋体" w:cs="Times New Roman"/>
                <w:color w:val="auto"/>
                <w:sz w:val="24"/>
                <w:szCs w:val="24"/>
                <w:highlight w:val="none"/>
                <w:lang w:eastAsia="zh-CN" w:bidi="ar"/>
              </w:rPr>
              <w:t>0.8</w:t>
            </w:r>
            <w:r>
              <w:rPr>
                <w:rFonts w:hint="default" w:ascii="Times New Roman" w:hAnsi="Times New Roman" w:eastAsia="宋体" w:cs="Times New Roman"/>
                <w:color w:val="auto"/>
                <w:sz w:val="24"/>
                <w:szCs w:val="24"/>
                <w:highlight w:val="none"/>
                <w:lang w:val="zh-CN" w:eastAsia="zh-CN" w:bidi="ar"/>
              </w:rPr>
              <w:t>-</w:t>
            </w:r>
            <w:r>
              <w:rPr>
                <w:rFonts w:hint="default" w:ascii="Times New Roman" w:hAnsi="Times New Roman" w:eastAsia="宋体" w:cs="Times New Roman"/>
                <w:color w:val="auto"/>
                <w:sz w:val="24"/>
                <w:szCs w:val="24"/>
                <w:highlight w:val="none"/>
                <w:lang w:eastAsia="zh-CN" w:bidi="ar"/>
              </w:rPr>
              <w:t>0.9</w:t>
            </w:r>
            <w:r>
              <w:rPr>
                <w:rFonts w:hint="default" w:ascii="Times New Roman" w:hAnsi="Times New Roman" w:eastAsia="宋体" w:cs="Times New Roman"/>
                <w:color w:val="auto"/>
                <w:sz w:val="24"/>
                <w:szCs w:val="24"/>
                <w:highlight w:val="none"/>
                <w:lang w:val="zh-CN" w:eastAsia="zh-CN" w:bidi="ar"/>
              </w:rPr>
              <w:t>，地面为水泥路面，考虑</w:t>
            </w:r>
            <w:r>
              <w:rPr>
                <w:rFonts w:hint="default" w:ascii="Times New Roman" w:hAnsi="Times New Roman" w:eastAsia="宋体" w:cs="Times New Roman"/>
                <w:color w:val="auto"/>
                <w:sz w:val="24"/>
                <w:szCs w:val="24"/>
                <w:highlight w:val="none"/>
                <w:lang w:eastAsia="zh-CN" w:bidi="ar"/>
              </w:rPr>
              <w:t>0.8</w:t>
            </w:r>
            <w:r>
              <w:rPr>
                <w:rFonts w:hint="default" w:ascii="Times New Roman" w:hAnsi="Times New Roman" w:eastAsia="宋体" w:cs="Times New Roman"/>
                <w:color w:val="auto"/>
                <w:sz w:val="24"/>
                <w:szCs w:val="24"/>
                <w:highlight w:val="none"/>
                <w:lang w:val="zh-CN" w:eastAsia="zh-CN" w:bidi="ar"/>
              </w:rPr>
              <w:t>的径流系数</w:t>
            </w:r>
            <w:r>
              <w:rPr>
                <w:rFonts w:hint="default" w:ascii="Times New Roman" w:hAnsi="Times New Roman" w:eastAsia="宋体" w:cs="Times New Roman"/>
                <w:color w:val="auto"/>
                <w:sz w:val="24"/>
                <w:szCs w:val="24"/>
                <w:highlight w:val="none"/>
              </w:rPr>
              <w:t>）；</w:t>
            </w:r>
          </w:p>
          <w:p w14:paraId="16E27327">
            <w:pPr>
              <w:adjustRightInd w:val="0"/>
              <w:snapToGri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hy——设计降雨厚度</w:t>
            </w:r>
            <w:r>
              <w:rPr>
                <w:rFonts w:hint="default" w:ascii="Times New Roman" w:hAnsi="Times New Roman" w:eastAsia="宋体" w:cs="Times New Roman"/>
                <w:color w:val="auto"/>
                <w:sz w:val="24"/>
                <w:highlight w:val="none"/>
              </w:rPr>
              <w:t>（mm，根据</w:t>
            </w:r>
            <w:r>
              <w:rPr>
                <w:rFonts w:hint="default" w:ascii="Times New Roman" w:hAnsi="Times New Roman" w:eastAsia="宋体" w:cs="Times New Roman"/>
                <w:color w:val="auto"/>
                <w:sz w:val="24"/>
                <w:highlight w:val="none"/>
                <w:lang w:val="en-US" w:eastAsia="zh-CN"/>
              </w:rPr>
              <w:t>收集易门县</w:t>
            </w:r>
            <w:r>
              <w:rPr>
                <w:rFonts w:hint="default" w:ascii="Times New Roman" w:hAnsi="Times New Roman" w:eastAsia="宋体" w:cs="Times New Roman"/>
                <w:color w:val="auto"/>
                <w:sz w:val="24"/>
                <w:highlight w:val="none"/>
              </w:rPr>
              <w:t>多年气象水文资料分析，项目区</w:t>
            </w:r>
            <w:r>
              <w:rPr>
                <w:rFonts w:hint="default" w:ascii="Times New Roman" w:hAnsi="Times New Roman" w:eastAsia="宋体" w:cs="Times New Roman"/>
                <w:color w:val="auto"/>
                <w:sz w:val="24"/>
                <w:szCs w:val="24"/>
                <w:highlight w:val="none"/>
              </w:rPr>
              <w:t>所在地20年</w:t>
            </w:r>
            <w:r>
              <w:rPr>
                <w:rFonts w:hint="default"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遇24h最大降雨量为</w:t>
            </w:r>
            <w:r>
              <w:rPr>
                <w:rFonts w:hint="default" w:ascii="Times New Roman" w:hAnsi="Times New Roman" w:eastAsia="宋体" w:cs="Times New Roman"/>
                <w:color w:val="auto"/>
                <w:sz w:val="24"/>
                <w:szCs w:val="24"/>
                <w:highlight w:val="none"/>
                <w:lang w:val="en-US" w:eastAsia="zh-CN"/>
              </w:rPr>
              <w:t>97.8</w:t>
            </w:r>
            <w:r>
              <w:rPr>
                <w:rFonts w:hint="default" w:ascii="Times New Roman" w:hAnsi="Times New Roman" w:eastAsia="宋体" w:cs="Times New Roman"/>
                <w:color w:val="auto"/>
                <w:sz w:val="24"/>
                <w:szCs w:val="24"/>
                <w:highlight w:val="none"/>
              </w:rPr>
              <w:t>mm）；</w:t>
            </w:r>
          </w:p>
          <w:p w14:paraId="409F15C7">
            <w:pPr>
              <w:pStyle w:val="72"/>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 ——汇水面积（hm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val="en-US" w:eastAsia="zh-CN"/>
              </w:rPr>
              <w:t>全厂</w:t>
            </w:r>
            <w:r>
              <w:rPr>
                <w:rFonts w:hint="default" w:ascii="Times New Roman" w:hAnsi="Times New Roman" w:eastAsia="宋体" w:cs="Times New Roman"/>
                <w:color w:val="auto"/>
                <w:kern w:val="0"/>
                <w:sz w:val="24"/>
                <w:szCs w:val="24"/>
                <w:highlight w:val="none"/>
              </w:rPr>
              <w:t>占地面积为</w:t>
            </w:r>
            <w:r>
              <w:rPr>
                <w:rFonts w:hint="default" w:ascii="Times New Roman" w:hAnsi="Times New Roman" w:eastAsia="宋体" w:cs="Times New Roman"/>
                <w:color w:val="auto"/>
                <w:spacing w:val="3"/>
                <w:sz w:val="24"/>
                <w:szCs w:val="24"/>
                <w:highlight w:val="none"/>
                <w:lang w:val="en-US" w:eastAsia="zh-CN"/>
              </w:rPr>
              <w:t>69682.96</w:t>
            </w:r>
            <w:r>
              <w:rPr>
                <w:rFonts w:hint="default" w:ascii="Times New Roman" w:hAnsi="Times New Roman" w:eastAsia="宋体" w:cs="Times New Roman"/>
                <w:color w:val="auto"/>
                <w:spacing w:val="7"/>
                <w:sz w:val="24"/>
                <w:szCs w:val="24"/>
                <w:highlight w:val="none"/>
                <w:lang w:val="zh-CN"/>
              </w:rPr>
              <w:t>m</w:t>
            </w:r>
            <w:r>
              <w:rPr>
                <w:rFonts w:hint="default" w:ascii="Times New Roman" w:hAnsi="Times New Roman" w:eastAsia="宋体" w:cs="Times New Roman"/>
                <w:color w:val="auto"/>
                <w:spacing w:val="7"/>
                <w:sz w:val="24"/>
                <w:szCs w:val="24"/>
                <w:highlight w:val="none"/>
                <w:vertAlign w:val="superscript"/>
                <w:lang w:val="zh-CN"/>
              </w:rPr>
              <w:t>2</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项目技术经济指标表</w:t>
            </w:r>
            <w:r>
              <w:rPr>
                <w:rFonts w:hint="default" w:ascii="Times New Roman" w:hAnsi="Times New Roman" w:eastAsia="宋体" w:cs="Times New Roman"/>
                <w:color w:val="auto"/>
                <w:sz w:val="24"/>
                <w:szCs w:val="24"/>
                <w:highlight w:val="none"/>
              </w:rPr>
              <w:t>，建筑占地面积</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pacing w:val="8"/>
                <w:sz w:val="24"/>
                <w:szCs w:val="24"/>
                <w:highlight w:val="none"/>
                <w:lang w:val="en-US" w:eastAsia="zh-CN"/>
              </w:rPr>
              <w:t>3</w:t>
            </w:r>
            <w:r>
              <w:rPr>
                <w:rFonts w:hint="eastAsia" w:ascii="Times New Roman" w:hAnsi="Times New Roman" w:eastAsia="宋体" w:cs="Times New Roman"/>
                <w:color w:val="auto"/>
                <w:spacing w:val="8"/>
                <w:sz w:val="24"/>
                <w:szCs w:val="24"/>
                <w:highlight w:val="none"/>
                <w:lang w:val="en-US" w:eastAsia="zh-CN"/>
              </w:rPr>
              <w:t>8246.63</w:t>
            </w:r>
            <w:r>
              <w:rPr>
                <w:rFonts w:hint="default" w:ascii="Times New Roman" w:hAnsi="Times New Roman" w:eastAsia="宋体" w:cs="Times New Roman"/>
                <w:color w:val="auto"/>
                <w:spacing w:val="7"/>
                <w:sz w:val="24"/>
                <w:szCs w:val="24"/>
                <w:highlight w:val="none"/>
                <w:lang w:val="zh-CN"/>
              </w:rPr>
              <w:t>m</w:t>
            </w:r>
            <w:r>
              <w:rPr>
                <w:rFonts w:hint="default" w:ascii="Times New Roman" w:hAnsi="Times New Roman" w:eastAsia="宋体" w:cs="Times New Roman"/>
                <w:color w:val="auto"/>
                <w:spacing w:val="7"/>
                <w:sz w:val="24"/>
                <w:szCs w:val="24"/>
                <w:highlight w:val="none"/>
                <w:vertAlign w:val="superscript"/>
                <w:lang w:val="zh-CN"/>
              </w:rPr>
              <w:t>2</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pacing w:val="3"/>
                <w:sz w:val="24"/>
                <w:szCs w:val="24"/>
                <w:highlight w:val="none"/>
                <w:lang w:val="en-US" w:eastAsia="zh-CN"/>
              </w:rPr>
              <w:t>绿地面积约</w:t>
            </w:r>
            <w:r>
              <w:rPr>
                <w:rFonts w:hint="eastAsia" w:cs="Times New Roman"/>
                <w:color w:val="auto"/>
                <w:spacing w:val="3"/>
                <w:sz w:val="24"/>
                <w:szCs w:val="24"/>
                <w:highlight w:val="none"/>
                <w:lang w:val="en-US" w:eastAsia="zh-CN"/>
              </w:rPr>
              <w:t>620</w:t>
            </w:r>
            <w:r>
              <w:rPr>
                <w:rFonts w:hint="default" w:ascii="Times New Roman" w:hAnsi="Times New Roman" w:eastAsia="宋体" w:cs="Times New Roman"/>
                <w:smallCaps w:val="0"/>
                <w:color w:val="auto"/>
                <w:kern w:val="2"/>
                <w:sz w:val="24"/>
                <w:szCs w:val="24"/>
                <w:highlight w:val="none"/>
                <w:lang w:val="en-US" w:eastAsia="zh-CN" w:bidi="ar"/>
              </w:rPr>
              <w:t>m</w:t>
            </w:r>
            <w:r>
              <w:rPr>
                <w:rFonts w:hint="default" w:ascii="Times New Roman" w:hAnsi="Times New Roman" w:eastAsia="宋体" w:cs="Times New Roman"/>
                <w:smallCaps w:val="0"/>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rPr>
              <w:t>，去除</w:t>
            </w:r>
            <w:r>
              <w:rPr>
                <w:rFonts w:hint="default" w:ascii="Times New Roman" w:hAnsi="Times New Roman" w:eastAsia="宋体" w:cs="Times New Roman"/>
                <w:color w:val="auto"/>
                <w:sz w:val="24"/>
                <w:szCs w:val="24"/>
                <w:highlight w:val="none"/>
              </w:rPr>
              <w:t>建筑占地</w:t>
            </w:r>
            <w:r>
              <w:rPr>
                <w:rFonts w:hint="default" w:ascii="Times New Roman" w:hAnsi="Times New Roman" w:eastAsia="宋体" w:cs="Times New Roman"/>
                <w:color w:val="auto"/>
                <w:kern w:val="0"/>
                <w:sz w:val="24"/>
                <w:szCs w:val="24"/>
                <w:highlight w:val="none"/>
              </w:rPr>
              <w:t>面积</w:t>
            </w:r>
            <w:r>
              <w:rPr>
                <w:rFonts w:hint="default" w:ascii="Times New Roman" w:hAnsi="Times New Roman" w:eastAsia="宋体" w:cs="Times New Roman"/>
                <w:color w:val="auto"/>
                <w:kern w:val="0"/>
                <w:sz w:val="24"/>
                <w:szCs w:val="24"/>
                <w:highlight w:val="none"/>
                <w:lang w:val="en-US" w:eastAsia="zh-CN"/>
              </w:rPr>
              <w:t>及绿化</w:t>
            </w:r>
            <w:r>
              <w:rPr>
                <w:rFonts w:hint="default" w:ascii="Times New Roman" w:hAnsi="Times New Roman" w:eastAsia="宋体" w:cs="Times New Roman"/>
                <w:color w:val="auto"/>
                <w:kern w:val="0"/>
                <w:sz w:val="24"/>
                <w:szCs w:val="24"/>
                <w:highlight w:val="none"/>
              </w:rPr>
              <w:t>后收集初期雨水的汇水面积约</w:t>
            </w:r>
            <w:r>
              <w:rPr>
                <w:rFonts w:hint="eastAsia" w:cs="Times New Roman"/>
                <w:color w:val="auto"/>
                <w:kern w:val="0"/>
                <w:sz w:val="24"/>
                <w:szCs w:val="24"/>
                <w:highlight w:val="none"/>
                <w:lang w:val="en-US" w:eastAsia="zh-CN"/>
              </w:rPr>
              <w:t>30816.33</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w:t>
            </w:r>
          </w:p>
          <w:p w14:paraId="6D61D252">
            <w:pPr>
              <w:pStyle w:val="72"/>
              <w:ind w:firstLine="480"/>
              <w:rPr>
                <w:rFonts w:hint="default" w:ascii="Times New Roman" w:hAnsi="Times New Roman" w:eastAsia="宋体" w:cs="Times New Roman"/>
                <w:smallCaps w:val="0"/>
                <w:color w:val="auto"/>
                <w:kern w:val="2"/>
                <w:sz w:val="24"/>
                <w:szCs w:val="20"/>
                <w:highlight w:val="none"/>
                <w:lang w:val="en-US" w:eastAsia="zh-CN" w:bidi="ar"/>
              </w:rPr>
            </w:pPr>
            <w:r>
              <w:rPr>
                <w:rFonts w:hint="default" w:ascii="Times New Roman" w:hAnsi="Times New Roman" w:eastAsia="宋体" w:cs="Times New Roman"/>
                <w:color w:val="auto"/>
                <w:sz w:val="24"/>
                <w:highlight w:val="none"/>
              </w:rPr>
              <w:t>计算得雨水量为：</w:t>
            </w:r>
            <w:r>
              <w:rPr>
                <w:rFonts w:hint="eastAsia" w:cs="Times New Roman"/>
                <w:color w:val="auto"/>
                <w:sz w:val="24"/>
                <w:highlight w:val="none"/>
                <w:lang w:val="en-US" w:eastAsia="zh-CN"/>
              </w:rPr>
              <w:t>1004.6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/h，收集前15min的雨水，收集雨水量约为</w:t>
            </w:r>
            <w:r>
              <w:rPr>
                <w:rFonts w:hint="eastAsia" w:cs="Times New Roman"/>
                <w:color w:val="auto"/>
                <w:sz w:val="24"/>
                <w:highlight w:val="none"/>
                <w:lang w:val="en-US" w:eastAsia="zh-CN"/>
              </w:rPr>
              <w:t>251.15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szCs w:val="24"/>
                <w:highlight w:val="none"/>
              </w:rPr>
              <w:t>初期雨水池容积考虑安全系数1.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highlight w:val="none"/>
              </w:rPr>
              <w:t>项目需</w:t>
            </w:r>
            <w:r>
              <w:rPr>
                <w:rFonts w:hint="default" w:ascii="Times New Roman" w:hAnsi="Times New Roman" w:eastAsia="宋体" w:cs="Times New Roman"/>
                <w:color w:val="auto"/>
                <w:highlight w:val="none"/>
                <w:lang w:val="en-US" w:eastAsia="zh-CN"/>
              </w:rPr>
              <w:t>建设</w:t>
            </w:r>
            <w:r>
              <w:rPr>
                <w:rFonts w:hint="default" w:ascii="Times New Roman" w:hAnsi="Times New Roman" w:eastAsia="宋体" w:cs="Times New Roman"/>
                <w:color w:val="auto"/>
                <w:szCs w:val="21"/>
                <w:highlight w:val="none"/>
              </w:rPr>
              <w:t>初期雨水收集池</w:t>
            </w:r>
            <w:r>
              <w:rPr>
                <w:rFonts w:hint="default" w:ascii="Times New Roman" w:hAnsi="Times New Roman" w:eastAsia="宋体" w:cs="Times New Roman"/>
                <w:color w:val="auto"/>
                <w:highlight w:val="none"/>
              </w:rPr>
              <w:t>容积不低于</w:t>
            </w:r>
            <w:r>
              <w:rPr>
                <w:rFonts w:hint="eastAsia" w:cs="Times New Roman"/>
                <w:color w:val="auto"/>
                <w:highlight w:val="none"/>
                <w:lang w:val="en-US" w:eastAsia="zh-CN"/>
              </w:rPr>
              <w:t>300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sz w:val="24"/>
                <w:szCs w:val="24"/>
                <w:highlight w:val="none"/>
              </w:rPr>
              <w:t>，可以满足</w:t>
            </w:r>
            <w:r>
              <w:rPr>
                <w:rFonts w:hint="default" w:ascii="Times New Roman" w:hAnsi="Times New Roman" w:eastAsia="宋体" w:cs="Times New Roman"/>
                <w:color w:val="auto"/>
                <w:sz w:val="24"/>
                <w:highlight w:val="none"/>
              </w:rPr>
              <w:t>要求</w:t>
            </w:r>
            <w:r>
              <w:rPr>
                <w:rFonts w:hint="default" w:ascii="Times New Roman" w:hAnsi="Times New Roman" w:eastAsia="宋体" w:cs="Times New Roman"/>
                <w:color w:val="auto"/>
                <w:highlight w:val="none"/>
              </w:rPr>
              <w:t>。初期雨水进入</w:t>
            </w:r>
            <w:r>
              <w:rPr>
                <w:rFonts w:hint="default" w:ascii="Times New Roman" w:hAnsi="Times New Roman" w:eastAsia="宋体" w:cs="Times New Roman"/>
                <w:color w:val="auto"/>
                <w:szCs w:val="21"/>
                <w:highlight w:val="none"/>
              </w:rPr>
              <w:t>初期雨水收集池</w:t>
            </w:r>
            <w:r>
              <w:rPr>
                <w:rFonts w:hint="default" w:ascii="Times New Roman" w:hAnsi="Times New Roman" w:eastAsia="宋体" w:cs="Times New Roman"/>
                <w:color w:val="auto"/>
                <w:highlight w:val="none"/>
              </w:rPr>
              <w:t>沉淀处理后回用于项目区</w:t>
            </w:r>
            <w:r>
              <w:rPr>
                <w:rFonts w:hint="default" w:ascii="Times New Roman" w:hAnsi="Times New Roman" w:eastAsia="宋体" w:cs="Times New Roman"/>
                <w:smallCaps w:val="0"/>
                <w:color w:val="auto"/>
                <w:kern w:val="2"/>
                <w:sz w:val="24"/>
                <w:szCs w:val="20"/>
                <w:highlight w:val="none"/>
                <w:lang w:val="en-US" w:eastAsia="zh-CN" w:bidi="ar"/>
              </w:rPr>
              <w:t>厂区绿化、道路洒水降尘</w:t>
            </w:r>
            <w:r>
              <w:rPr>
                <w:rFonts w:hint="default" w:ascii="Times New Roman" w:hAnsi="Times New Roman" w:eastAsia="宋体" w:cs="Times New Roman"/>
                <w:color w:val="auto"/>
                <w:highlight w:val="none"/>
              </w:rPr>
              <w:t>，</w:t>
            </w:r>
            <w:r>
              <w:rPr>
                <w:rFonts w:hint="default" w:ascii="Times New Roman" w:hAnsi="Times New Roman" w:eastAsia="宋体" w:cs="Times New Roman"/>
                <w:smallCaps w:val="0"/>
                <w:color w:val="auto"/>
                <w:kern w:val="2"/>
                <w:sz w:val="24"/>
                <w:szCs w:val="20"/>
                <w:highlight w:val="none"/>
                <w:lang w:val="en-US" w:eastAsia="zh-CN" w:bidi="ar"/>
              </w:rPr>
              <w:t>雨天储存，</w:t>
            </w:r>
            <w:r>
              <w:rPr>
                <w:rFonts w:hint="default" w:ascii="Times New Roman" w:hAnsi="Times New Roman" w:eastAsia="宋体" w:cs="Times New Roman"/>
                <w:color w:val="auto"/>
                <w:highlight w:val="none"/>
              </w:rPr>
              <w:t>不外排。</w:t>
            </w:r>
            <w:r>
              <w:rPr>
                <w:rFonts w:hint="default" w:ascii="Times New Roman" w:hAnsi="Times New Roman" w:eastAsia="宋体" w:cs="Times New Roman"/>
                <w:color w:val="auto"/>
                <w:sz w:val="24"/>
                <w:szCs w:val="24"/>
              </w:rPr>
              <w:t>由于降雨的不确定性，初期雨水不纳入水量平衡计算</w:t>
            </w:r>
            <w:r>
              <w:rPr>
                <w:rFonts w:hint="default" w:ascii="Times New Roman" w:hAnsi="Times New Roman" w:eastAsia="宋体" w:cs="Times New Roman"/>
                <w:color w:val="auto"/>
                <w:sz w:val="24"/>
                <w:szCs w:val="24"/>
                <w:lang w:eastAsia="zh-CN"/>
              </w:rPr>
              <w:t>。</w:t>
            </w:r>
          </w:p>
          <w:p w14:paraId="76362528">
            <w:pPr>
              <w:keepNext w:val="0"/>
              <w:keepLines w:val="0"/>
              <w:pageBreakBefore w:val="0"/>
              <w:widowControl w:val="0"/>
              <w:suppressLineNumbers w:val="0"/>
              <w:kinsoku/>
              <w:overflowPunct/>
              <w:topLinePunct/>
              <w:autoSpaceDE w:val="0"/>
              <w:bidi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smallCaps w:val="0"/>
                <w:color w:val="auto"/>
                <w:kern w:val="2"/>
                <w:sz w:val="24"/>
                <w:szCs w:val="20"/>
                <w:highlight w:val="none"/>
                <w:lang w:val="en-US" w:eastAsia="zh-CN" w:bidi="ar"/>
              </w:rPr>
            </w:pPr>
            <w:r>
              <w:rPr>
                <w:rFonts w:hint="default" w:ascii="Times New Roman" w:hAnsi="Times New Roman" w:eastAsia="宋体" w:cs="Times New Roman"/>
                <w:smallCaps w:val="0"/>
                <w:color w:val="auto"/>
                <w:kern w:val="2"/>
                <w:sz w:val="24"/>
                <w:szCs w:val="20"/>
                <w:highlight w:val="none"/>
                <w:lang w:val="en-US" w:eastAsia="zh-CN" w:bidi="ar"/>
              </w:rPr>
              <w:t>项目用排水情况如下表所示。</w:t>
            </w:r>
          </w:p>
          <w:p w14:paraId="3F87B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trike w:val="0"/>
                <w:dstrike w:val="0"/>
                <w:color w:val="auto"/>
                <w:sz w:val="21"/>
                <w:szCs w:val="21"/>
                <w:highlight w:val="none"/>
                <w:lang w:bidi="ar"/>
              </w:rPr>
            </w:pPr>
            <w:r>
              <w:rPr>
                <w:rFonts w:hint="default" w:ascii="Times New Roman" w:hAnsi="Times New Roman" w:eastAsia="宋体" w:cs="Times New Roman"/>
                <w:b/>
                <w:strike w:val="0"/>
                <w:dstrike w:val="0"/>
                <w:color w:val="auto"/>
                <w:sz w:val="21"/>
                <w:szCs w:val="21"/>
                <w:highlight w:val="none"/>
                <w:lang w:bidi="ar"/>
              </w:rPr>
              <w:t>表</w:t>
            </w:r>
            <w:r>
              <w:rPr>
                <w:rFonts w:hint="default" w:ascii="Times New Roman" w:hAnsi="Times New Roman" w:eastAsia="宋体" w:cs="Times New Roman"/>
                <w:b/>
                <w:strike w:val="0"/>
                <w:dstrike w:val="0"/>
                <w:color w:val="auto"/>
                <w:sz w:val="21"/>
                <w:szCs w:val="21"/>
                <w:highlight w:val="none"/>
                <w:lang w:val="en-US" w:eastAsia="zh-CN" w:bidi="ar"/>
              </w:rPr>
              <w:t>2-</w:t>
            </w:r>
            <w:r>
              <w:rPr>
                <w:rFonts w:hint="eastAsia" w:cs="Times New Roman"/>
                <w:b/>
                <w:strike w:val="0"/>
                <w:dstrike w:val="0"/>
                <w:color w:val="auto"/>
                <w:sz w:val="21"/>
                <w:szCs w:val="21"/>
                <w:highlight w:val="none"/>
                <w:lang w:val="en-US" w:eastAsia="zh-CN" w:bidi="ar"/>
              </w:rPr>
              <w:t>12</w:t>
            </w:r>
            <w:r>
              <w:rPr>
                <w:rFonts w:hint="default" w:ascii="Times New Roman" w:hAnsi="Times New Roman" w:eastAsia="宋体" w:cs="Times New Roman"/>
                <w:b/>
                <w:strike w:val="0"/>
                <w:dstrike w:val="0"/>
                <w:color w:val="auto"/>
                <w:sz w:val="21"/>
                <w:szCs w:val="21"/>
                <w:highlight w:val="none"/>
                <w:lang w:val="en-US" w:eastAsia="zh-CN" w:bidi="ar"/>
              </w:rPr>
              <w:t xml:space="preserve"> </w:t>
            </w:r>
            <w:r>
              <w:rPr>
                <w:rFonts w:hint="default" w:ascii="Times New Roman" w:hAnsi="Times New Roman" w:eastAsia="宋体" w:cs="Times New Roman"/>
                <w:b/>
                <w:strike w:val="0"/>
                <w:dstrike w:val="0"/>
                <w:color w:val="auto"/>
                <w:sz w:val="21"/>
                <w:szCs w:val="21"/>
                <w:highlight w:val="none"/>
                <w:lang w:bidi="ar"/>
              </w:rPr>
              <w:t xml:space="preserve"> 项目</w:t>
            </w:r>
            <w:r>
              <w:rPr>
                <w:rFonts w:hint="default" w:ascii="Times New Roman" w:hAnsi="Times New Roman" w:eastAsia="宋体" w:cs="Times New Roman"/>
                <w:b/>
                <w:strike w:val="0"/>
                <w:dstrike w:val="0"/>
                <w:color w:val="auto"/>
                <w:sz w:val="21"/>
                <w:szCs w:val="21"/>
                <w:highlight w:val="none"/>
                <w:lang w:val="en-US" w:eastAsia="zh-CN" w:bidi="ar"/>
              </w:rPr>
              <w:t>用水</w:t>
            </w:r>
            <w:r>
              <w:rPr>
                <w:rFonts w:hint="default" w:ascii="Times New Roman" w:hAnsi="Times New Roman" w:eastAsia="宋体" w:cs="Times New Roman"/>
                <w:b/>
                <w:strike w:val="0"/>
                <w:dstrike w:val="0"/>
                <w:color w:val="auto"/>
                <w:sz w:val="21"/>
                <w:szCs w:val="21"/>
                <w:highlight w:val="none"/>
                <w:lang w:bidi="ar"/>
              </w:rPr>
              <w:t>及排水情况一览表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950"/>
              <w:gridCol w:w="1167"/>
              <w:gridCol w:w="966"/>
              <w:gridCol w:w="1067"/>
              <w:gridCol w:w="1067"/>
              <w:gridCol w:w="1630"/>
            </w:tblGrid>
            <w:tr w14:paraId="149D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85" w:type="pct"/>
                  <w:noWrap w:val="0"/>
                  <w:vAlign w:val="center"/>
                </w:tcPr>
                <w:p w14:paraId="0E4591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bidi="ar"/>
                    </w:rPr>
                  </w:pPr>
                  <w:r>
                    <w:rPr>
                      <w:rFonts w:hint="default" w:ascii="Times New Roman" w:hAnsi="Times New Roman" w:eastAsia="宋体" w:cs="Times New Roman"/>
                      <w:b/>
                      <w:bCs w:val="0"/>
                      <w:strike w:val="0"/>
                      <w:dstrike w:val="0"/>
                      <w:color w:val="auto"/>
                      <w:sz w:val="21"/>
                      <w:szCs w:val="21"/>
                      <w:highlight w:val="none"/>
                      <w:lang w:bidi="ar"/>
                    </w:rPr>
                    <w:t>用水</w:t>
                  </w:r>
                  <w:r>
                    <w:rPr>
                      <w:rFonts w:hint="default" w:ascii="Times New Roman" w:hAnsi="Times New Roman" w:eastAsia="宋体" w:cs="Times New Roman"/>
                      <w:b/>
                      <w:bCs w:val="0"/>
                      <w:strike w:val="0"/>
                      <w:dstrike w:val="0"/>
                      <w:color w:val="auto"/>
                      <w:sz w:val="21"/>
                      <w:szCs w:val="21"/>
                      <w:highlight w:val="none"/>
                      <w:lang w:eastAsia="zh-CN" w:bidi="ar"/>
                    </w:rPr>
                    <w:t>环节</w:t>
                  </w:r>
                </w:p>
              </w:tc>
              <w:tc>
                <w:tcPr>
                  <w:tcW w:w="598" w:type="pct"/>
                  <w:noWrap w:val="0"/>
                  <w:vAlign w:val="center"/>
                </w:tcPr>
                <w:p w14:paraId="682AF3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eastAsia="zh-CN" w:bidi="ar"/>
                    </w:rPr>
                  </w:pPr>
                  <w:r>
                    <w:rPr>
                      <w:rFonts w:hint="default" w:ascii="Times New Roman" w:hAnsi="Times New Roman" w:eastAsia="宋体" w:cs="Times New Roman"/>
                      <w:b/>
                      <w:bCs w:val="0"/>
                      <w:strike w:val="0"/>
                      <w:dstrike w:val="0"/>
                      <w:color w:val="auto"/>
                      <w:sz w:val="21"/>
                      <w:szCs w:val="21"/>
                      <w:highlight w:val="none"/>
                      <w:lang w:bidi="ar"/>
                    </w:rPr>
                    <w:t>用水量</w:t>
                  </w:r>
                  <w:r>
                    <w:rPr>
                      <w:rFonts w:hint="default" w:ascii="Times New Roman" w:hAnsi="Times New Roman" w:eastAsia="宋体" w:cs="Times New Roman"/>
                      <w:b/>
                      <w:bCs w:val="0"/>
                      <w:strike w:val="0"/>
                      <w:dstrike w:val="0"/>
                      <w:color w:val="auto"/>
                      <w:sz w:val="21"/>
                      <w:szCs w:val="21"/>
                      <w:highlight w:val="none"/>
                      <w:lang w:val="en-US" w:eastAsia="zh-CN" w:bidi="ar"/>
                    </w:rPr>
                    <w:t>（</w:t>
                  </w:r>
                  <w:r>
                    <w:rPr>
                      <w:rFonts w:hint="default" w:ascii="Times New Roman" w:hAnsi="Times New Roman" w:eastAsia="宋体" w:cs="Times New Roman"/>
                      <w:b/>
                      <w:bCs w:val="0"/>
                      <w:strike w:val="0"/>
                      <w:dstrike w:val="0"/>
                      <w:color w:val="auto"/>
                      <w:sz w:val="21"/>
                      <w:szCs w:val="21"/>
                      <w:highlight w:val="none"/>
                      <w:lang w:bidi="ar"/>
                    </w:rPr>
                    <w:t>m</w:t>
                  </w:r>
                  <w:r>
                    <w:rPr>
                      <w:rFonts w:hint="default" w:ascii="Times New Roman" w:hAnsi="Times New Roman" w:eastAsia="宋体" w:cs="Times New Roman"/>
                      <w:b/>
                      <w:bCs w:val="0"/>
                      <w:strike w:val="0"/>
                      <w:dstrike w:val="0"/>
                      <w:color w:val="auto"/>
                      <w:sz w:val="21"/>
                      <w:szCs w:val="21"/>
                      <w:highlight w:val="none"/>
                      <w:vertAlign w:val="superscript"/>
                      <w:lang w:bidi="ar"/>
                    </w:rPr>
                    <w:t>3</w:t>
                  </w:r>
                  <w:r>
                    <w:rPr>
                      <w:rFonts w:hint="default" w:ascii="Times New Roman" w:hAnsi="Times New Roman" w:eastAsia="宋体" w:cs="Times New Roman"/>
                      <w:b/>
                      <w:bCs w:val="0"/>
                      <w:strike w:val="0"/>
                      <w:dstrike w:val="0"/>
                      <w:color w:val="auto"/>
                      <w:sz w:val="21"/>
                      <w:szCs w:val="21"/>
                      <w:highlight w:val="none"/>
                      <w:lang w:bidi="ar"/>
                    </w:rPr>
                    <w:t>/d</w:t>
                  </w:r>
                  <w:r>
                    <w:rPr>
                      <w:rFonts w:hint="default" w:ascii="Times New Roman" w:hAnsi="Times New Roman" w:eastAsia="宋体" w:cs="Times New Roman"/>
                      <w:b/>
                      <w:bCs w:val="0"/>
                      <w:strike w:val="0"/>
                      <w:dstrike w:val="0"/>
                      <w:color w:val="auto"/>
                      <w:sz w:val="21"/>
                      <w:szCs w:val="21"/>
                      <w:highlight w:val="none"/>
                      <w:lang w:val="en-US" w:eastAsia="zh-CN" w:bidi="ar"/>
                    </w:rPr>
                    <w:t>）</w:t>
                  </w:r>
                </w:p>
              </w:tc>
              <w:tc>
                <w:tcPr>
                  <w:tcW w:w="735" w:type="pct"/>
                  <w:noWrap w:val="0"/>
                  <w:vAlign w:val="center"/>
                </w:tcPr>
                <w:p w14:paraId="513AB7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z w:val="21"/>
                      <w:szCs w:val="21"/>
                      <w:highlight w:val="none"/>
                      <w:lang w:val="en-US" w:eastAsia="zh-CN" w:bidi="ar"/>
                    </w:rPr>
                    <w:t>循环量（</w:t>
                  </w:r>
                  <w:r>
                    <w:rPr>
                      <w:rFonts w:hint="default" w:ascii="Times New Roman" w:hAnsi="Times New Roman" w:eastAsia="宋体" w:cs="Times New Roman"/>
                      <w:b/>
                      <w:bCs w:val="0"/>
                      <w:strike w:val="0"/>
                      <w:dstrike w:val="0"/>
                      <w:color w:val="auto"/>
                      <w:sz w:val="21"/>
                      <w:szCs w:val="21"/>
                      <w:highlight w:val="none"/>
                      <w:lang w:bidi="ar"/>
                    </w:rPr>
                    <w:t>m</w:t>
                  </w:r>
                  <w:r>
                    <w:rPr>
                      <w:rFonts w:hint="default" w:ascii="Times New Roman" w:hAnsi="Times New Roman" w:eastAsia="宋体" w:cs="Times New Roman"/>
                      <w:b/>
                      <w:bCs w:val="0"/>
                      <w:strike w:val="0"/>
                      <w:dstrike w:val="0"/>
                      <w:color w:val="auto"/>
                      <w:sz w:val="21"/>
                      <w:szCs w:val="21"/>
                      <w:highlight w:val="none"/>
                      <w:vertAlign w:val="superscript"/>
                      <w:lang w:bidi="ar"/>
                    </w:rPr>
                    <w:t>3</w:t>
                  </w:r>
                  <w:r>
                    <w:rPr>
                      <w:rFonts w:hint="default" w:ascii="Times New Roman" w:hAnsi="Times New Roman" w:eastAsia="宋体" w:cs="Times New Roman"/>
                      <w:b/>
                      <w:bCs w:val="0"/>
                      <w:strike w:val="0"/>
                      <w:dstrike w:val="0"/>
                      <w:color w:val="auto"/>
                      <w:sz w:val="21"/>
                      <w:szCs w:val="21"/>
                      <w:highlight w:val="none"/>
                      <w:lang w:bidi="ar"/>
                    </w:rPr>
                    <w:t>/d</w:t>
                  </w:r>
                  <w:r>
                    <w:rPr>
                      <w:rFonts w:hint="default" w:ascii="Times New Roman" w:hAnsi="Times New Roman" w:eastAsia="宋体" w:cs="Times New Roman"/>
                      <w:b/>
                      <w:bCs w:val="0"/>
                      <w:strike w:val="0"/>
                      <w:dstrike w:val="0"/>
                      <w:color w:val="auto"/>
                      <w:sz w:val="21"/>
                      <w:szCs w:val="21"/>
                      <w:highlight w:val="none"/>
                      <w:lang w:val="en-US" w:eastAsia="zh-CN" w:bidi="ar"/>
                    </w:rPr>
                    <w:t>）</w:t>
                  </w:r>
                </w:p>
              </w:tc>
              <w:tc>
                <w:tcPr>
                  <w:tcW w:w="608" w:type="pct"/>
                  <w:noWrap w:val="0"/>
                  <w:vAlign w:val="center"/>
                </w:tcPr>
                <w:p w14:paraId="056D0CA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eastAsia="zh-CN" w:bidi="ar"/>
                    </w:rPr>
                  </w:pPr>
                  <w:r>
                    <w:rPr>
                      <w:rFonts w:hint="default" w:ascii="Times New Roman" w:hAnsi="Times New Roman" w:eastAsia="宋体" w:cs="Times New Roman"/>
                      <w:b/>
                      <w:bCs w:val="0"/>
                      <w:strike w:val="0"/>
                      <w:dstrike w:val="0"/>
                      <w:color w:val="auto"/>
                      <w:sz w:val="21"/>
                      <w:szCs w:val="21"/>
                      <w:highlight w:val="none"/>
                      <w:lang w:eastAsia="zh-CN" w:bidi="ar"/>
                    </w:rPr>
                    <w:t>损耗量（</w:t>
                  </w:r>
                  <w:r>
                    <w:rPr>
                      <w:rFonts w:hint="default" w:ascii="Times New Roman" w:hAnsi="Times New Roman" w:eastAsia="宋体" w:cs="Times New Roman"/>
                      <w:b/>
                      <w:bCs w:val="0"/>
                      <w:strike w:val="0"/>
                      <w:dstrike w:val="0"/>
                      <w:color w:val="auto"/>
                      <w:sz w:val="21"/>
                      <w:szCs w:val="21"/>
                      <w:highlight w:val="none"/>
                      <w:lang w:bidi="ar"/>
                    </w:rPr>
                    <w:t>m</w:t>
                  </w:r>
                  <w:r>
                    <w:rPr>
                      <w:rFonts w:hint="default" w:ascii="Times New Roman" w:hAnsi="Times New Roman" w:eastAsia="宋体" w:cs="Times New Roman"/>
                      <w:b/>
                      <w:bCs w:val="0"/>
                      <w:strike w:val="0"/>
                      <w:dstrike w:val="0"/>
                      <w:color w:val="auto"/>
                      <w:sz w:val="21"/>
                      <w:szCs w:val="21"/>
                      <w:highlight w:val="none"/>
                      <w:vertAlign w:val="superscript"/>
                      <w:lang w:bidi="ar"/>
                    </w:rPr>
                    <w:t>3</w:t>
                  </w:r>
                  <w:r>
                    <w:rPr>
                      <w:rFonts w:hint="default" w:ascii="Times New Roman" w:hAnsi="Times New Roman" w:eastAsia="宋体" w:cs="Times New Roman"/>
                      <w:b/>
                      <w:bCs w:val="0"/>
                      <w:strike w:val="0"/>
                      <w:dstrike w:val="0"/>
                      <w:color w:val="auto"/>
                      <w:sz w:val="21"/>
                      <w:szCs w:val="21"/>
                      <w:highlight w:val="none"/>
                      <w:lang w:bidi="ar"/>
                    </w:rPr>
                    <w:t>/d</w:t>
                  </w:r>
                  <w:r>
                    <w:rPr>
                      <w:rFonts w:hint="default" w:ascii="Times New Roman" w:hAnsi="Times New Roman" w:eastAsia="宋体" w:cs="Times New Roman"/>
                      <w:b/>
                      <w:bCs w:val="0"/>
                      <w:strike w:val="0"/>
                      <w:dstrike w:val="0"/>
                      <w:color w:val="auto"/>
                      <w:sz w:val="21"/>
                      <w:szCs w:val="21"/>
                      <w:highlight w:val="none"/>
                      <w:lang w:eastAsia="zh-CN" w:bidi="ar"/>
                    </w:rPr>
                    <w:t>）</w:t>
                  </w:r>
                </w:p>
              </w:tc>
              <w:tc>
                <w:tcPr>
                  <w:tcW w:w="672" w:type="pct"/>
                  <w:noWrap w:val="0"/>
                  <w:vAlign w:val="center"/>
                </w:tcPr>
                <w:p w14:paraId="3812E00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z w:val="21"/>
                      <w:szCs w:val="21"/>
                      <w:highlight w:val="none"/>
                      <w:lang w:eastAsia="zh-CN" w:bidi="ar"/>
                    </w:rPr>
                    <w:t>废水</w:t>
                  </w:r>
                  <w:r>
                    <w:rPr>
                      <w:rFonts w:hint="default" w:ascii="Times New Roman" w:hAnsi="Times New Roman" w:eastAsia="宋体" w:cs="Times New Roman"/>
                      <w:b/>
                      <w:bCs w:val="0"/>
                      <w:strike w:val="0"/>
                      <w:dstrike w:val="0"/>
                      <w:color w:val="auto"/>
                      <w:sz w:val="21"/>
                      <w:szCs w:val="21"/>
                      <w:highlight w:val="none"/>
                      <w:lang w:bidi="ar"/>
                    </w:rPr>
                    <w:t>量</w:t>
                  </w:r>
                  <w:r>
                    <w:rPr>
                      <w:rFonts w:hint="default" w:ascii="Times New Roman" w:hAnsi="Times New Roman" w:eastAsia="宋体" w:cs="Times New Roman"/>
                      <w:b/>
                      <w:bCs w:val="0"/>
                      <w:strike w:val="0"/>
                      <w:dstrike w:val="0"/>
                      <w:color w:val="auto"/>
                      <w:sz w:val="21"/>
                      <w:szCs w:val="21"/>
                      <w:highlight w:val="none"/>
                      <w:lang w:val="en-US" w:eastAsia="zh-CN" w:bidi="ar"/>
                    </w:rPr>
                    <w:t>（</w:t>
                  </w:r>
                  <w:r>
                    <w:rPr>
                      <w:rFonts w:hint="default" w:ascii="Times New Roman" w:hAnsi="Times New Roman" w:eastAsia="宋体" w:cs="Times New Roman"/>
                      <w:b/>
                      <w:bCs w:val="0"/>
                      <w:strike w:val="0"/>
                      <w:dstrike w:val="0"/>
                      <w:color w:val="auto"/>
                      <w:sz w:val="21"/>
                      <w:szCs w:val="21"/>
                      <w:highlight w:val="none"/>
                      <w:lang w:bidi="ar"/>
                    </w:rPr>
                    <w:t>m</w:t>
                  </w:r>
                  <w:r>
                    <w:rPr>
                      <w:rFonts w:hint="default" w:ascii="Times New Roman" w:hAnsi="Times New Roman" w:eastAsia="宋体" w:cs="Times New Roman"/>
                      <w:b/>
                      <w:bCs w:val="0"/>
                      <w:strike w:val="0"/>
                      <w:dstrike w:val="0"/>
                      <w:color w:val="auto"/>
                      <w:sz w:val="21"/>
                      <w:szCs w:val="21"/>
                      <w:highlight w:val="none"/>
                      <w:vertAlign w:val="superscript"/>
                      <w:lang w:bidi="ar"/>
                    </w:rPr>
                    <w:t>3</w:t>
                  </w:r>
                  <w:r>
                    <w:rPr>
                      <w:rFonts w:hint="default" w:ascii="Times New Roman" w:hAnsi="Times New Roman" w:eastAsia="宋体" w:cs="Times New Roman"/>
                      <w:b/>
                      <w:bCs w:val="0"/>
                      <w:strike w:val="0"/>
                      <w:dstrike w:val="0"/>
                      <w:color w:val="auto"/>
                      <w:sz w:val="21"/>
                      <w:szCs w:val="21"/>
                      <w:highlight w:val="none"/>
                      <w:lang w:bidi="ar"/>
                    </w:rPr>
                    <w:t>/d</w:t>
                  </w:r>
                  <w:r>
                    <w:rPr>
                      <w:rFonts w:hint="default" w:ascii="Times New Roman" w:hAnsi="Times New Roman" w:eastAsia="宋体" w:cs="Times New Roman"/>
                      <w:b/>
                      <w:bCs w:val="0"/>
                      <w:strike w:val="0"/>
                      <w:dstrike w:val="0"/>
                      <w:color w:val="auto"/>
                      <w:sz w:val="21"/>
                      <w:szCs w:val="21"/>
                      <w:highlight w:val="none"/>
                      <w:lang w:val="en-US" w:eastAsia="zh-CN" w:bidi="ar"/>
                    </w:rPr>
                    <w:t>）</w:t>
                  </w:r>
                </w:p>
              </w:tc>
              <w:tc>
                <w:tcPr>
                  <w:tcW w:w="672" w:type="pct"/>
                  <w:noWrap w:val="0"/>
                  <w:vAlign w:val="center"/>
                </w:tcPr>
                <w:p w14:paraId="04586A8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z w:val="21"/>
                      <w:szCs w:val="21"/>
                      <w:highlight w:val="none"/>
                      <w:lang w:val="en-US" w:eastAsia="zh-CN" w:bidi="ar"/>
                    </w:rPr>
                    <w:t>外排量（</w:t>
                  </w:r>
                  <w:r>
                    <w:rPr>
                      <w:rFonts w:hint="default" w:ascii="Times New Roman" w:hAnsi="Times New Roman" w:eastAsia="宋体" w:cs="Times New Roman"/>
                      <w:b/>
                      <w:bCs w:val="0"/>
                      <w:strike w:val="0"/>
                      <w:dstrike w:val="0"/>
                      <w:color w:val="auto"/>
                      <w:sz w:val="21"/>
                      <w:szCs w:val="21"/>
                      <w:highlight w:val="none"/>
                      <w:lang w:bidi="ar"/>
                    </w:rPr>
                    <w:t>m</w:t>
                  </w:r>
                  <w:r>
                    <w:rPr>
                      <w:rFonts w:hint="default" w:ascii="Times New Roman" w:hAnsi="Times New Roman" w:eastAsia="宋体" w:cs="Times New Roman"/>
                      <w:b/>
                      <w:bCs w:val="0"/>
                      <w:strike w:val="0"/>
                      <w:dstrike w:val="0"/>
                      <w:color w:val="auto"/>
                      <w:sz w:val="21"/>
                      <w:szCs w:val="21"/>
                      <w:highlight w:val="none"/>
                      <w:vertAlign w:val="superscript"/>
                      <w:lang w:bidi="ar"/>
                    </w:rPr>
                    <w:t>3</w:t>
                  </w:r>
                  <w:r>
                    <w:rPr>
                      <w:rFonts w:hint="default" w:ascii="Times New Roman" w:hAnsi="Times New Roman" w:eastAsia="宋体" w:cs="Times New Roman"/>
                      <w:b/>
                      <w:bCs w:val="0"/>
                      <w:strike w:val="0"/>
                      <w:dstrike w:val="0"/>
                      <w:color w:val="auto"/>
                      <w:sz w:val="21"/>
                      <w:szCs w:val="21"/>
                      <w:highlight w:val="none"/>
                      <w:lang w:bidi="ar"/>
                    </w:rPr>
                    <w:t>/d</w:t>
                  </w:r>
                  <w:r>
                    <w:rPr>
                      <w:rFonts w:hint="default" w:ascii="Times New Roman" w:hAnsi="Times New Roman" w:eastAsia="宋体" w:cs="Times New Roman"/>
                      <w:b/>
                      <w:bCs w:val="0"/>
                      <w:strike w:val="0"/>
                      <w:dstrike w:val="0"/>
                      <w:color w:val="auto"/>
                      <w:sz w:val="21"/>
                      <w:szCs w:val="21"/>
                      <w:highlight w:val="none"/>
                      <w:lang w:val="en-US" w:eastAsia="zh-CN" w:bidi="ar"/>
                    </w:rPr>
                    <w:t>）</w:t>
                  </w:r>
                </w:p>
              </w:tc>
              <w:tc>
                <w:tcPr>
                  <w:tcW w:w="1027" w:type="pct"/>
                  <w:noWrap w:val="0"/>
                  <w:vAlign w:val="center"/>
                </w:tcPr>
                <w:p w14:paraId="2EF6C6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eastAsia="zh-CN" w:bidi="ar"/>
                    </w:rPr>
                  </w:pPr>
                  <w:r>
                    <w:rPr>
                      <w:rFonts w:hint="default" w:ascii="Times New Roman" w:hAnsi="Times New Roman" w:eastAsia="宋体" w:cs="Times New Roman"/>
                      <w:b/>
                      <w:bCs w:val="0"/>
                      <w:strike w:val="0"/>
                      <w:dstrike w:val="0"/>
                      <w:color w:val="auto"/>
                      <w:sz w:val="21"/>
                      <w:szCs w:val="21"/>
                      <w:highlight w:val="none"/>
                      <w:lang w:val="en-US" w:eastAsia="zh-CN" w:bidi="ar"/>
                    </w:rPr>
                    <w:t>去向</w:t>
                  </w:r>
                </w:p>
              </w:tc>
            </w:tr>
            <w:tr w14:paraId="2747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noWrap w:val="0"/>
                  <w:vAlign w:val="center"/>
                </w:tcPr>
                <w:p w14:paraId="2BCB22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z w:val="21"/>
                      <w:szCs w:val="21"/>
                      <w:highlight w:val="none"/>
                      <w:lang w:val="en-US" w:eastAsia="zh-CN" w:bidi="ar"/>
                    </w:rPr>
                    <w:t>生产过程</w:t>
                  </w:r>
                </w:p>
              </w:tc>
            </w:tr>
            <w:tr w14:paraId="22B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18817A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eastAsia" w:cs="Times New Roman"/>
                      <w:strike w:val="0"/>
                      <w:dstrike w:val="0"/>
                      <w:color w:val="auto"/>
                      <w:spacing w:val="6"/>
                      <w:sz w:val="21"/>
                      <w:szCs w:val="21"/>
                      <w:highlight w:val="none"/>
                      <w:lang w:val="en-US" w:eastAsia="zh-CN"/>
                    </w:rPr>
                    <w:t>珠胚清洗</w:t>
                  </w:r>
                  <w:r>
                    <w:rPr>
                      <w:rFonts w:hint="default" w:ascii="Times New Roman" w:hAnsi="Times New Roman" w:eastAsia="宋体" w:cs="Times New Roman"/>
                      <w:strike w:val="0"/>
                      <w:dstrike w:val="0"/>
                      <w:color w:val="auto"/>
                      <w:spacing w:val="6"/>
                      <w:sz w:val="21"/>
                      <w:szCs w:val="21"/>
                      <w:highlight w:val="none"/>
                    </w:rPr>
                    <w:t>用水</w:t>
                  </w:r>
                </w:p>
              </w:tc>
              <w:tc>
                <w:tcPr>
                  <w:tcW w:w="598" w:type="pct"/>
                  <w:noWrap w:val="0"/>
                  <w:vAlign w:val="center"/>
                </w:tcPr>
                <w:p w14:paraId="02477F1A">
                  <w:pPr>
                    <w:keepNext w:val="0"/>
                    <w:keepLines w:val="0"/>
                    <w:widowControl/>
                    <w:suppressLineNumbers w:val="0"/>
                    <w:jc w:val="center"/>
                    <w:textAlignment w:val="center"/>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8.88</w:t>
                  </w:r>
                </w:p>
              </w:tc>
              <w:tc>
                <w:tcPr>
                  <w:tcW w:w="735" w:type="pct"/>
                  <w:noWrap w:val="0"/>
                  <w:vAlign w:val="center"/>
                </w:tcPr>
                <w:p w14:paraId="5AE6A3F6">
                  <w:pPr>
                    <w:keepNext w:val="0"/>
                    <w:keepLines w:val="0"/>
                    <w:widowControl/>
                    <w:suppressLineNumbers w:val="0"/>
                    <w:jc w:val="center"/>
                    <w:textAlignment w:val="center"/>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71.12</w:t>
                  </w:r>
                </w:p>
              </w:tc>
              <w:tc>
                <w:tcPr>
                  <w:tcW w:w="608" w:type="pct"/>
                  <w:noWrap w:val="0"/>
                  <w:vAlign w:val="center"/>
                </w:tcPr>
                <w:p w14:paraId="36E65694">
                  <w:pPr>
                    <w:keepNext w:val="0"/>
                    <w:keepLines w:val="0"/>
                    <w:widowControl/>
                    <w:suppressLineNumbers w:val="0"/>
                    <w:jc w:val="center"/>
                    <w:textAlignment w:val="center"/>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672" w:type="pct"/>
                  <w:noWrap w:val="0"/>
                  <w:vAlign w:val="center"/>
                </w:tcPr>
                <w:p w14:paraId="473495F8">
                  <w:pPr>
                    <w:keepNext w:val="0"/>
                    <w:keepLines w:val="0"/>
                    <w:widowControl/>
                    <w:suppressLineNumbers w:val="0"/>
                    <w:jc w:val="center"/>
                    <w:textAlignment w:val="center"/>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74.40</w:t>
                  </w:r>
                </w:p>
              </w:tc>
              <w:tc>
                <w:tcPr>
                  <w:tcW w:w="672" w:type="pct"/>
                  <w:noWrap w:val="0"/>
                  <w:vAlign w:val="center"/>
                </w:tcPr>
                <w:p w14:paraId="7C44DBFD">
                  <w:pPr>
                    <w:keepNext w:val="0"/>
                    <w:keepLines w:val="0"/>
                    <w:widowControl/>
                    <w:suppressLineNumbers w:val="0"/>
                    <w:jc w:val="center"/>
                    <w:textAlignment w:val="center"/>
                    <w:rPr>
                      <w:rFonts w:hint="default" w:ascii="Times New Roman" w:hAnsi="Times New Roman" w:eastAsia="宋体" w:cs="Times New Roman"/>
                      <w:bCs/>
                      <w:strike w:val="0"/>
                      <w:dstrike w:val="0"/>
                      <w:color w:val="auto"/>
                      <w:sz w:val="21"/>
                      <w:szCs w:val="21"/>
                      <w:highlight w:val="green"/>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027" w:type="pct"/>
                  <w:noWrap w:val="0"/>
                  <w:vAlign w:val="center"/>
                </w:tcPr>
                <w:p w14:paraId="5697030C">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lang w:eastAsia="zh-CN"/>
                    </w:rPr>
                    <w:t>珠胚循环水池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9"/>
                      <w:sz w:val="21"/>
                      <w:szCs w:val="21"/>
                      <w:highlight w:val="none"/>
                    </w:rPr>
                    <w:t>大部分循环回用，</w:t>
                  </w:r>
                  <w:r>
                    <w:rPr>
                      <w:rFonts w:hint="default" w:ascii="Times New Roman" w:hAnsi="Times New Roman" w:eastAsia="宋体" w:cs="Times New Roman"/>
                      <w:color w:val="auto"/>
                      <w:spacing w:val="4"/>
                      <w:sz w:val="21"/>
                      <w:szCs w:val="21"/>
                      <w:highlight w:val="none"/>
                    </w:rPr>
                    <w:t>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7DA0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127654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磨抛工段</w:t>
                  </w:r>
                  <w:r>
                    <w:rPr>
                      <w:rFonts w:hint="default" w:ascii="Times New Roman" w:hAnsi="Times New Roman" w:eastAsia="宋体" w:cs="Times New Roman"/>
                      <w:strike w:val="0"/>
                      <w:dstrike w:val="0"/>
                      <w:color w:val="auto"/>
                      <w:spacing w:val="6"/>
                      <w:sz w:val="21"/>
                      <w:szCs w:val="21"/>
                      <w:highlight w:val="none"/>
                    </w:rPr>
                    <w:t>用水</w:t>
                  </w:r>
                </w:p>
              </w:tc>
              <w:tc>
                <w:tcPr>
                  <w:tcW w:w="598" w:type="pct"/>
                  <w:noWrap w:val="0"/>
                  <w:vAlign w:val="center"/>
                </w:tcPr>
                <w:p w14:paraId="0028D40C">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973.37</w:t>
                  </w:r>
                </w:p>
              </w:tc>
              <w:tc>
                <w:tcPr>
                  <w:tcW w:w="735" w:type="pct"/>
                  <w:noWrap w:val="0"/>
                  <w:vAlign w:val="center"/>
                </w:tcPr>
                <w:p w14:paraId="7CCDC849">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11026.63</w:t>
                  </w:r>
                </w:p>
              </w:tc>
              <w:tc>
                <w:tcPr>
                  <w:tcW w:w="608" w:type="pct"/>
                  <w:noWrap w:val="0"/>
                  <w:vAlign w:val="center"/>
                </w:tcPr>
                <w:p w14:paraId="4EE84199">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840</w:t>
                  </w:r>
                </w:p>
              </w:tc>
              <w:tc>
                <w:tcPr>
                  <w:tcW w:w="672" w:type="pct"/>
                  <w:noWrap w:val="0"/>
                  <w:vAlign w:val="center"/>
                </w:tcPr>
                <w:p w14:paraId="2C86844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11160.00</w:t>
                  </w:r>
                </w:p>
              </w:tc>
              <w:tc>
                <w:tcPr>
                  <w:tcW w:w="672" w:type="pct"/>
                  <w:noWrap w:val="0"/>
                  <w:vAlign w:val="center"/>
                </w:tcPr>
                <w:p w14:paraId="4A371345">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green"/>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027" w:type="pct"/>
                  <w:noWrap w:val="0"/>
                  <w:vAlign w:val="center"/>
                </w:tcPr>
                <w:p w14:paraId="7D21B503">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lang w:eastAsia="zh-CN"/>
                    </w:rPr>
                    <w:t>磨抛</w:t>
                  </w:r>
                  <w:r>
                    <w:rPr>
                      <w:rFonts w:hint="default" w:ascii="Times New Roman" w:hAnsi="Times New Roman" w:eastAsia="宋体" w:cs="Times New Roman"/>
                      <w:color w:val="auto"/>
                      <w:spacing w:val="7"/>
                      <w:sz w:val="21"/>
                      <w:szCs w:val="21"/>
                      <w:highlight w:val="none"/>
                    </w:rPr>
                    <w:t>循环</w:t>
                  </w:r>
                  <w:r>
                    <w:rPr>
                      <w:rFonts w:hint="default" w:ascii="Times New Roman" w:hAnsi="Times New Roman" w:eastAsia="宋体" w:cs="Times New Roman"/>
                      <w:color w:val="auto"/>
                      <w:spacing w:val="7"/>
                      <w:sz w:val="21"/>
                      <w:szCs w:val="21"/>
                      <w:highlight w:val="none"/>
                      <w:lang w:val="en-US" w:eastAsia="zh-CN"/>
                    </w:rPr>
                    <w:t>水</w:t>
                  </w:r>
                  <w:r>
                    <w:rPr>
                      <w:rFonts w:hint="default" w:ascii="Times New Roman" w:hAnsi="Times New Roman" w:eastAsia="宋体" w:cs="Times New Roman"/>
                      <w:color w:val="auto"/>
                      <w:sz w:val="21"/>
                      <w:szCs w:val="21"/>
                      <w:highlight w:val="none"/>
                    </w:rPr>
                    <w:t>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9"/>
                      <w:sz w:val="21"/>
                      <w:szCs w:val="21"/>
                      <w:highlight w:val="none"/>
                    </w:rPr>
                    <w:t>大部分循环回用，</w:t>
                  </w:r>
                  <w:r>
                    <w:rPr>
                      <w:rFonts w:hint="default" w:ascii="Times New Roman" w:hAnsi="Times New Roman" w:eastAsia="宋体" w:cs="Times New Roman"/>
                      <w:color w:val="auto"/>
                      <w:spacing w:val="4"/>
                      <w:sz w:val="21"/>
                      <w:szCs w:val="21"/>
                      <w:highlight w:val="none"/>
                    </w:rPr>
                    <w:t>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4F78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26A8A1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圆磨工段</w:t>
                  </w:r>
                  <w:r>
                    <w:rPr>
                      <w:rFonts w:hint="default" w:ascii="Times New Roman" w:hAnsi="Times New Roman" w:eastAsia="宋体" w:cs="Times New Roman"/>
                      <w:strike w:val="0"/>
                      <w:dstrike w:val="0"/>
                      <w:color w:val="auto"/>
                      <w:spacing w:val="6"/>
                      <w:sz w:val="21"/>
                      <w:szCs w:val="21"/>
                      <w:highlight w:val="none"/>
                    </w:rPr>
                    <w:t>用水</w:t>
                  </w:r>
                </w:p>
              </w:tc>
              <w:tc>
                <w:tcPr>
                  <w:tcW w:w="598" w:type="pct"/>
                  <w:noWrap w:val="0"/>
                  <w:vAlign w:val="center"/>
                </w:tcPr>
                <w:p w14:paraId="752ACF86">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1278.59</w:t>
                  </w:r>
                </w:p>
              </w:tc>
              <w:tc>
                <w:tcPr>
                  <w:tcW w:w="735" w:type="pct"/>
                  <w:noWrap w:val="0"/>
                  <w:vAlign w:val="center"/>
                </w:tcPr>
                <w:p w14:paraId="3F304270">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15521.41</w:t>
                  </w:r>
                </w:p>
              </w:tc>
              <w:tc>
                <w:tcPr>
                  <w:tcW w:w="608" w:type="pct"/>
                  <w:noWrap w:val="0"/>
                  <w:vAlign w:val="center"/>
                </w:tcPr>
                <w:p w14:paraId="3C3EF991">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1176</w:t>
                  </w:r>
                </w:p>
              </w:tc>
              <w:tc>
                <w:tcPr>
                  <w:tcW w:w="672" w:type="pct"/>
                  <w:noWrap w:val="0"/>
                  <w:vAlign w:val="center"/>
                </w:tcPr>
                <w:p w14:paraId="5E82B64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15624.00</w:t>
                  </w:r>
                </w:p>
              </w:tc>
              <w:tc>
                <w:tcPr>
                  <w:tcW w:w="672" w:type="pct"/>
                  <w:noWrap w:val="0"/>
                  <w:vAlign w:val="center"/>
                </w:tcPr>
                <w:p w14:paraId="5CFD39F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green"/>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027" w:type="pct"/>
                  <w:noWrap w:val="0"/>
                  <w:vAlign w:val="center"/>
                </w:tcPr>
                <w:p w14:paraId="64F11A52">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rPr>
                    <w:t>圆磨循环水池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4"/>
                      <w:sz w:val="21"/>
                      <w:szCs w:val="21"/>
                      <w:highlight w:val="none"/>
                    </w:rPr>
                    <w:t>大部分循环回用，小部分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4640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7185D2D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cs="Times New Roman"/>
                      <w:bCs/>
                      <w:strike w:val="0"/>
                      <w:dstrike w:val="0"/>
                      <w:color w:val="auto"/>
                      <w:kern w:val="2"/>
                      <w:sz w:val="21"/>
                      <w:szCs w:val="21"/>
                      <w:highlight w:val="none"/>
                      <w:lang w:val="en-US" w:eastAsia="zh-CN" w:bidi="ar"/>
                    </w:rPr>
                    <w:t>配碱用水</w:t>
                  </w:r>
                </w:p>
              </w:tc>
              <w:tc>
                <w:tcPr>
                  <w:tcW w:w="598" w:type="pct"/>
                  <w:noWrap w:val="0"/>
                  <w:vAlign w:val="center"/>
                </w:tcPr>
                <w:p w14:paraId="7B05928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bCs/>
                      <w:strike w:val="0"/>
                      <w:dstrike w:val="0"/>
                      <w:color w:val="auto"/>
                      <w:kern w:val="2"/>
                      <w:sz w:val="21"/>
                      <w:szCs w:val="21"/>
                      <w:highlight w:val="none"/>
                      <w:lang w:val="en-US" w:eastAsia="zh-CN" w:bidi="ar"/>
                    </w:rPr>
                    <w:t>3.0（</w:t>
                  </w:r>
                  <w:r>
                    <w:rPr>
                      <w:rFonts w:hint="eastAsia" w:ascii="Times New Roman" w:hAnsi="Times New Roman" w:eastAsia="宋体" w:cs="Times New Roman"/>
                      <w:i w:val="0"/>
                      <w:iCs w:val="0"/>
                      <w:color w:val="auto"/>
                      <w:kern w:val="0"/>
                      <w:sz w:val="21"/>
                      <w:szCs w:val="21"/>
                      <w:u w:val="none"/>
                      <w:lang w:val="en-US" w:eastAsia="zh-CN" w:bidi="ar"/>
                    </w:rPr>
                    <w:t>碱液</w:t>
                  </w:r>
                  <w:r>
                    <w:rPr>
                      <w:rFonts w:hint="eastAsia" w:ascii="Times New Roman" w:hAnsi="Times New Roman" w:eastAsia="宋体" w:cs="Times New Roman"/>
                      <w:bCs/>
                      <w:strike w:val="0"/>
                      <w:dstrike w:val="0"/>
                      <w:color w:val="auto"/>
                      <w:kern w:val="2"/>
                      <w:sz w:val="21"/>
                      <w:szCs w:val="21"/>
                      <w:highlight w:val="none"/>
                      <w:lang w:val="en-US" w:eastAsia="zh-CN" w:bidi="ar"/>
                    </w:rPr>
                    <w:t>）</w:t>
                  </w:r>
                </w:p>
              </w:tc>
              <w:tc>
                <w:tcPr>
                  <w:tcW w:w="735" w:type="pct"/>
                  <w:noWrap w:val="0"/>
                  <w:vAlign w:val="center"/>
                </w:tcPr>
                <w:p w14:paraId="1544B6C4">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bCs/>
                      <w:strike w:val="0"/>
                      <w:dstrike w:val="0"/>
                      <w:color w:val="auto"/>
                      <w:kern w:val="2"/>
                      <w:sz w:val="21"/>
                      <w:szCs w:val="21"/>
                      <w:highlight w:val="none"/>
                      <w:lang w:val="en-US" w:eastAsia="zh-CN" w:bidi="ar"/>
                    </w:rPr>
                    <w:t>/</w:t>
                  </w:r>
                </w:p>
              </w:tc>
              <w:tc>
                <w:tcPr>
                  <w:tcW w:w="608" w:type="pct"/>
                  <w:noWrap w:val="0"/>
                  <w:vAlign w:val="center"/>
                </w:tcPr>
                <w:p w14:paraId="2F3654D9">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bCs/>
                      <w:strike w:val="0"/>
                      <w:dstrike w:val="0"/>
                      <w:color w:val="auto"/>
                      <w:kern w:val="2"/>
                      <w:sz w:val="21"/>
                      <w:szCs w:val="21"/>
                      <w:highlight w:val="none"/>
                      <w:lang w:val="en-US" w:eastAsia="zh-CN" w:bidi="ar"/>
                    </w:rPr>
                    <w:t>/</w:t>
                  </w:r>
                </w:p>
              </w:tc>
              <w:tc>
                <w:tcPr>
                  <w:tcW w:w="672" w:type="pct"/>
                  <w:noWrap w:val="0"/>
                  <w:vAlign w:val="center"/>
                </w:tcPr>
                <w:p w14:paraId="5BBFF2B9">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bCs/>
                      <w:strike w:val="0"/>
                      <w:dstrike w:val="0"/>
                      <w:color w:val="auto"/>
                      <w:kern w:val="2"/>
                      <w:sz w:val="21"/>
                      <w:szCs w:val="21"/>
                      <w:highlight w:val="none"/>
                      <w:lang w:val="en-US" w:eastAsia="zh-CN" w:bidi="ar"/>
                    </w:rPr>
                    <w:t>/</w:t>
                  </w:r>
                </w:p>
              </w:tc>
              <w:tc>
                <w:tcPr>
                  <w:tcW w:w="672" w:type="pct"/>
                  <w:noWrap w:val="0"/>
                  <w:vAlign w:val="center"/>
                </w:tcPr>
                <w:p w14:paraId="344A0DD6">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bCs/>
                      <w:strike w:val="0"/>
                      <w:dstrike w:val="0"/>
                      <w:color w:val="auto"/>
                      <w:kern w:val="2"/>
                      <w:sz w:val="21"/>
                      <w:szCs w:val="21"/>
                      <w:highlight w:val="none"/>
                      <w:lang w:val="en-US" w:eastAsia="zh-CN" w:bidi="ar"/>
                    </w:rPr>
                    <w:t>/</w:t>
                  </w:r>
                </w:p>
              </w:tc>
              <w:tc>
                <w:tcPr>
                  <w:tcW w:w="1027" w:type="pct"/>
                  <w:vMerge w:val="restart"/>
                  <w:noWrap w:val="0"/>
                  <w:vAlign w:val="center"/>
                </w:tcPr>
                <w:p w14:paraId="6E1AA0E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w:t>
                  </w:r>
                  <w:r>
                    <w:rPr>
                      <w:rFonts w:hint="eastAsia" w:cs="Times New Roman"/>
                      <w:strike w:val="0"/>
                      <w:dstrike w:val="0"/>
                      <w:color w:val="auto"/>
                      <w:sz w:val="21"/>
                      <w:szCs w:val="21"/>
                      <w:highlight w:val="none"/>
                      <w:lang w:val="en-US" w:eastAsia="zh-CN"/>
                    </w:rPr>
                    <w:t>碱液收集池沉淀后</w:t>
                  </w:r>
                  <w:r>
                    <w:rPr>
                      <w:rFonts w:hint="default" w:ascii="Times New Roman" w:hAnsi="Times New Roman" w:eastAsia="宋体" w:cs="Times New Roman"/>
                      <w:strike w:val="0"/>
                      <w:dstrike w:val="0"/>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上层澄清液经管道输送回车间循环使用</w:t>
                  </w:r>
                  <w:r>
                    <w:rPr>
                      <w:rFonts w:hint="default" w:ascii="Times New Roman" w:hAnsi="Times New Roman" w:eastAsia="宋体" w:cs="Times New Roman"/>
                      <w:color w:val="auto"/>
                      <w:spacing w:val="-2"/>
                      <w:sz w:val="21"/>
                      <w:szCs w:val="21"/>
                      <w:highlight w:val="none"/>
                      <w:lang w:val="en-US" w:eastAsia="zh-CN"/>
                    </w:rPr>
                    <w:t>，</w:t>
                  </w:r>
                  <w:r>
                    <w:rPr>
                      <w:rFonts w:hint="eastAsia" w:cs="Times New Roman"/>
                      <w:color w:val="auto"/>
                      <w:sz w:val="21"/>
                      <w:szCs w:val="21"/>
                      <w:highlight w:val="none"/>
                      <w:lang w:val="en-US" w:eastAsia="zh-CN"/>
                    </w:rPr>
                    <w:t>其</w:t>
                  </w:r>
                  <w:r>
                    <w:rPr>
                      <w:rFonts w:hint="eastAsia" w:ascii="Times New Roman" w:hAnsi="Times New Roman" w:eastAsia="宋体" w:cs="Times New Roman"/>
                      <w:color w:val="auto"/>
                      <w:sz w:val="21"/>
                      <w:szCs w:val="21"/>
                      <w:highlight w:val="none"/>
                      <w:lang w:val="en-US" w:eastAsia="zh-CN"/>
                    </w:rPr>
                    <w:t>余经调节池进行</w:t>
                  </w:r>
                  <w:r>
                    <w:rPr>
                      <w:rFonts w:hint="eastAsia"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H调节后</w:t>
                  </w:r>
                  <w:r>
                    <w:rPr>
                      <w:rFonts w:hint="default" w:ascii="Times New Roman" w:hAnsi="Times New Roman" w:eastAsia="宋体" w:cs="Times New Roman"/>
                      <w:color w:val="auto"/>
                      <w:sz w:val="21"/>
                      <w:szCs w:val="21"/>
                      <w:highlight w:val="none"/>
                      <w:lang w:val="en-US" w:eastAsia="zh-CN"/>
                    </w:rPr>
                    <w:t>排至生化污水处理站处理</w:t>
                  </w:r>
                </w:p>
              </w:tc>
            </w:tr>
            <w:tr w14:paraId="0E45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26953BA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碱洗用水</w:t>
                  </w:r>
                </w:p>
              </w:tc>
              <w:tc>
                <w:tcPr>
                  <w:tcW w:w="598" w:type="pct"/>
                  <w:shd w:val="clear" w:color="auto" w:fill="auto"/>
                  <w:noWrap w:val="0"/>
                  <w:vAlign w:val="center"/>
                </w:tcPr>
                <w:p w14:paraId="1BC5BEB7">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735" w:type="pct"/>
                  <w:shd w:val="clear" w:color="auto" w:fill="auto"/>
                  <w:noWrap w:val="0"/>
                  <w:vAlign w:val="center"/>
                </w:tcPr>
                <w:p w14:paraId="336AC5C9">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8" w:type="pct"/>
                  <w:shd w:val="clear" w:color="auto" w:fill="auto"/>
                  <w:noWrap w:val="0"/>
                  <w:vAlign w:val="center"/>
                </w:tcPr>
                <w:p w14:paraId="5C68D5D6">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72" w:type="pct"/>
                  <w:shd w:val="clear" w:color="auto" w:fill="auto"/>
                  <w:noWrap w:val="0"/>
                  <w:vAlign w:val="center"/>
                </w:tcPr>
                <w:p w14:paraId="6AEDAA3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72" w:type="pct"/>
                  <w:shd w:val="clear" w:color="auto" w:fill="auto"/>
                  <w:noWrap w:val="0"/>
                  <w:vAlign w:val="center"/>
                </w:tcPr>
                <w:p w14:paraId="02C67A4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27" w:type="pct"/>
                  <w:vMerge w:val="continue"/>
                  <w:noWrap w:val="0"/>
                  <w:vAlign w:val="center"/>
                </w:tcPr>
                <w:p w14:paraId="7F804B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p>
              </w:tc>
            </w:tr>
            <w:tr w14:paraId="4224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1D3AA88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碱洗后清洗</w:t>
                  </w:r>
                  <w:r>
                    <w:rPr>
                      <w:rFonts w:hint="default" w:ascii="Times New Roman" w:hAnsi="Times New Roman" w:eastAsia="宋体" w:cs="Times New Roman"/>
                      <w:strike w:val="0"/>
                      <w:dstrike w:val="0"/>
                      <w:color w:val="auto"/>
                      <w:spacing w:val="6"/>
                      <w:sz w:val="21"/>
                      <w:szCs w:val="21"/>
                      <w:highlight w:val="none"/>
                    </w:rPr>
                    <w:t>用水</w:t>
                  </w:r>
                </w:p>
              </w:tc>
              <w:tc>
                <w:tcPr>
                  <w:tcW w:w="598" w:type="pct"/>
                  <w:noWrap w:val="0"/>
                  <w:vAlign w:val="center"/>
                </w:tcPr>
                <w:p w14:paraId="1C065074">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73.44</w:t>
                  </w:r>
                </w:p>
              </w:tc>
              <w:tc>
                <w:tcPr>
                  <w:tcW w:w="735" w:type="pct"/>
                  <w:noWrap w:val="0"/>
                  <w:vAlign w:val="center"/>
                </w:tcPr>
                <w:p w14:paraId="784E9441">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08" w:type="pct"/>
                  <w:noWrap w:val="0"/>
                  <w:vAlign w:val="center"/>
                </w:tcPr>
                <w:p w14:paraId="35583CC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672" w:type="pct"/>
                  <w:noWrap w:val="0"/>
                  <w:vAlign w:val="center"/>
                </w:tcPr>
                <w:p w14:paraId="60E59F52">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w:t>
                  </w:r>
                </w:p>
              </w:tc>
              <w:tc>
                <w:tcPr>
                  <w:tcW w:w="672" w:type="pct"/>
                  <w:noWrap w:val="0"/>
                  <w:vAlign w:val="center"/>
                </w:tcPr>
                <w:p w14:paraId="111CC427">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027" w:type="pct"/>
                  <w:noWrap w:val="0"/>
                  <w:vAlign w:val="center"/>
                </w:tcPr>
                <w:p w14:paraId="4579662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经排至生化废水处理站</w:t>
                  </w:r>
                </w:p>
              </w:tc>
            </w:tr>
            <w:tr w14:paraId="3A33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06F4DF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磨抛工段循环冷却</w:t>
                  </w:r>
                  <w:r>
                    <w:rPr>
                      <w:rFonts w:hint="default" w:ascii="Times New Roman" w:hAnsi="Times New Roman" w:eastAsia="宋体" w:cs="Times New Roman"/>
                      <w:strike w:val="0"/>
                      <w:dstrike w:val="0"/>
                      <w:color w:val="auto"/>
                      <w:spacing w:val="3"/>
                      <w:sz w:val="21"/>
                      <w:szCs w:val="21"/>
                      <w:highlight w:val="none"/>
                    </w:rPr>
                    <w:t>用水</w:t>
                  </w:r>
                </w:p>
              </w:tc>
              <w:tc>
                <w:tcPr>
                  <w:tcW w:w="598" w:type="pct"/>
                  <w:noWrap w:val="0"/>
                  <w:vAlign w:val="center"/>
                </w:tcPr>
                <w:p w14:paraId="584D6352">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735" w:type="pct"/>
                  <w:noWrap w:val="0"/>
                  <w:vAlign w:val="center"/>
                </w:tcPr>
                <w:p w14:paraId="521DDE3B">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08" w:type="pct"/>
                  <w:noWrap w:val="0"/>
                  <w:vAlign w:val="center"/>
                </w:tcPr>
                <w:p w14:paraId="2C6C9EA4">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72" w:type="pct"/>
                  <w:noWrap w:val="0"/>
                  <w:vAlign w:val="center"/>
                </w:tcPr>
                <w:p w14:paraId="7D0EF0F5">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2" w:type="pct"/>
                  <w:noWrap w:val="0"/>
                  <w:vAlign w:val="center"/>
                </w:tcPr>
                <w:p w14:paraId="17B3672B">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27" w:type="pct"/>
                  <w:noWrap w:val="0"/>
                  <w:vAlign w:val="center"/>
                </w:tcPr>
                <w:p w14:paraId="6957C8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循环使用，不外排</w:t>
                  </w:r>
                </w:p>
              </w:tc>
            </w:tr>
            <w:tr w14:paraId="5053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6171029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吸塑工段循环冷却</w:t>
                  </w:r>
                  <w:r>
                    <w:rPr>
                      <w:rFonts w:hint="default" w:ascii="Times New Roman" w:hAnsi="Times New Roman" w:eastAsia="宋体" w:cs="Times New Roman"/>
                      <w:strike w:val="0"/>
                      <w:dstrike w:val="0"/>
                      <w:color w:val="auto"/>
                      <w:spacing w:val="3"/>
                      <w:sz w:val="21"/>
                      <w:szCs w:val="21"/>
                      <w:highlight w:val="none"/>
                    </w:rPr>
                    <w:t>用水</w:t>
                  </w:r>
                </w:p>
              </w:tc>
              <w:tc>
                <w:tcPr>
                  <w:tcW w:w="598" w:type="pct"/>
                  <w:noWrap w:val="0"/>
                  <w:vAlign w:val="center"/>
                </w:tcPr>
                <w:p w14:paraId="34F7840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735" w:type="pct"/>
                  <w:noWrap w:val="0"/>
                  <w:vAlign w:val="center"/>
                </w:tcPr>
                <w:p w14:paraId="21C4339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608" w:type="pct"/>
                  <w:noWrap w:val="0"/>
                  <w:vAlign w:val="center"/>
                </w:tcPr>
                <w:p w14:paraId="57AF22EC">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672" w:type="pct"/>
                  <w:noWrap w:val="0"/>
                  <w:vAlign w:val="center"/>
                </w:tcPr>
                <w:p w14:paraId="61B3E30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2" w:type="pct"/>
                  <w:noWrap w:val="0"/>
                  <w:vAlign w:val="center"/>
                </w:tcPr>
                <w:p w14:paraId="65908CC2">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27" w:type="pct"/>
                  <w:noWrap w:val="0"/>
                  <w:vAlign w:val="center"/>
                </w:tcPr>
                <w:p w14:paraId="7FBC04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循环使用，不外排</w:t>
                  </w:r>
                </w:p>
              </w:tc>
            </w:tr>
            <w:tr w14:paraId="7298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4D6B0D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6"/>
                      <w:sz w:val="21"/>
                      <w:szCs w:val="21"/>
                      <w:highlight w:val="none"/>
                      <w:lang w:val="en-US" w:eastAsia="zh-CN"/>
                    </w:rPr>
                    <w:t>车间</w:t>
                  </w:r>
                  <w:r>
                    <w:rPr>
                      <w:rFonts w:hint="eastAsia" w:cs="Times New Roman"/>
                      <w:strike w:val="0"/>
                      <w:dstrike w:val="0"/>
                      <w:color w:val="auto"/>
                      <w:spacing w:val="6"/>
                      <w:sz w:val="21"/>
                      <w:szCs w:val="21"/>
                      <w:highlight w:val="none"/>
                      <w:lang w:val="en-US" w:eastAsia="zh-CN"/>
                    </w:rPr>
                    <w:t>地面清洗</w:t>
                  </w:r>
                  <w:r>
                    <w:rPr>
                      <w:rFonts w:hint="default" w:ascii="Times New Roman" w:hAnsi="Times New Roman" w:eastAsia="宋体" w:cs="Times New Roman"/>
                      <w:strike w:val="0"/>
                      <w:dstrike w:val="0"/>
                      <w:color w:val="auto"/>
                      <w:spacing w:val="6"/>
                      <w:sz w:val="21"/>
                      <w:szCs w:val="21"/>
                      <w:highlight w:val="none"/>
                      <w:lang w:val="en-US" w:eastAsia="zh-CN"/>
                    </w:rPr>
                    <w:t>用水</w:t>
                  </w:r>
                </w:p>
              </w:tc>
              <w:tc>
                <w:tcPr>
                  <w:tcW w:w="598" w:type="pct"/>
                  <w:noWrap w:val="0"/>
                  <w:vAlign w:val="center"/>
                </w:tcPr>
                <w:p w14:paraId="7C809517">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4.86</w:t>
                  </w:r>
                </w:p>
              </w:tc>
              <w:tc>
                <w:tcPr>
                  <w:tcW w:w="735" w:type="pct"/>
                  <w:noWrap w:val="0"/>
                  <w:vAlign w:val="center"/>
                </w:tcPr>
                <w:p w14:paraId="6A9DE5A1">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08" w:type="pct"/>
                  <w:noWrap w:val="0"/>
                  <w:vAlign w:val="center"/>
                </w:tcPr>
                <w:p w14:paraId="50E8F73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0.73</w:t>
                  </w:r>
                </w:p>
              </w:tc>
              <w:tc>
                <w:tcPr>
                  <w:tcW w:w="672" w:type="pct"/>
                  <w:noWrap w:val="0"/>
                  <w:vAlign w:val="center"/>
                </w:tcPr>
                <w:p w14:paraId="37504B1C">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4.13</w:t>
                  </w:r>
                </w:p>
              </w:tc>
              <w:tc>
                <w:tcPr>
                  <w:tcW w:w="672" w:type="pct"/>
                  <w:noWrap w:val="0"/>
                  <w:vAlign w:val="center"/>
                </w:tcPr>
                <w:p w14:paraId="11C256C4">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4.13</w:t>
                  </w:r>
                </w:p>
              </w:tc>
              <w:tc>
                <w:tcPr>
                  <w:tcW w:w="1027" w:type="pct"/>
                  <w:noWrap w:val="0"/>
                  <w:vAlign w:val="center"/>
                </w:tcPr>
                <w:p w14:paraId="637675B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排至生化废水处理站</w:t>
                  </w:r>
                </w:p>
              </w:tc>
            </w:tr>
            <w:tr w14:paraId="0C45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37D5605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7"/>
                      <w:kern w:val="2"/>
                      <w:sz w:val="21"/>
                      <w:szCs w:val="21"/>
                      <w:highlight w:val="none"/>
                      <w:lang w:val="en-US" w:eastAsia="zh-CN" w:bidi="ar-SA"/>
                    </w:rPr>
                  </w:pPr>
                  <w:r>
                    <w:rPr>
                      <w:rFonts w:hint="default" w:ascii="Times New Roman" w:hAnsi="Times New Roman" w:eastAsia="宋体" w:cs="Times New Roman"/>
                      <w:strike w:val="0"/>
                      <w:dstrike w:val="0"/>
                      <w:color w:val="auto"/>
                      <w:spacing w:val="7"/>
                      <w:sz w:val="21"/>
                      <w:szCs w:val="21"/>
                      <w:highlight w:val="none"/>
                      <w:lang w:val="en-US" w:eastAsia="zh-CN"/>
                    </w:rPr>
                    <w:t>去离子水制备</w:t>
                  </w:r>
                </w:p>
              </w:tc>
              <w:tc>
                <w:tcPr>
                  <w:tcW w:w="598" w:type="pct"/>
                  <w:noWrap w:val="0"/>
                  <w:vAlign w:val="center"/>
                </w:tcPr>
                <w:p w14:paraId="700940D8">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7.15</w:t>
                  </w:r>
                </w:p>
              </w:tc>
              <w:tc>
                <w:tcPr>
                  <w:tcW w:w="735" w:type="pct"/>
                  <w:noWrap w:val="0"/>
                  <w:vAlign w:val="center"/>
                </w:tcPr>
                <w:p w14:paraId="273E7DA2">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08" w:type="pct"/>
                  <w:noWrap w:val="0"/>
                  <w:vAlign w:val="center"/>
                </w:tcPr>
                <w:p w14:paraId="33A223B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2" w:type="pct"/>
                  <w:noWrap w:val="0"/>
                  <w:vAlign w:val="center"/>
                </w:tcPr>
                <w:p w14:paraId="4F9A7986">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672" w:type="pct"/>
                  <w:noWrap w:val="0"/>
                  <w:vAlign w:val="center"/>
                </w:tcPr>
                <w:p w14:paraId="1BAB639A">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1027" w:type="pct"/>
                  <w:noWrap w:val="0"/>
                  <w:vAlign w:val="center"/>
                </w:tcPr>
                <w:p w14:paraId="3B4BC9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lang w:val="en-US" w:eastAsia="zh-CN"/>
                    </w:rPr>
                    <w:t>经总排口进入市政管网</w:t>
                  </w:r>
                </w:p>
              </w:tc>
            </w:tr>
            <w:tr w14:paraId="0AB7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29DDADE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strike w:val="0"/>
                      <w:dstrike w:val="0"/>
                      <w:color w:val="auto"/>
                      <w:spacing w:val="7"/>
                      <w:sz w:val="21"/>
                      <w:szCs w:val="21"/>
                      <w:highlight w:val="none"/>
                      <w:lang w:val="en-US" w:eastAsia="zh-CN"/>
                    </w:rPr>
                  </w:pPr>
                  <w:r>
                    <w:rPr>
                      <w:rFonts w:hint="default" w:ascii="Times New Roman" w:hAnsi="Times New Roman" w:eastAsia="宋体" w:cs="Times New Roman"/>
                      <w:b/>
                      <w:bCs/>
                      <w:strike w:val="0"/>
                      <w:dstrike w:val="0"/>
                      <w:color w:val="auto"/>
                      <w:spacing w:val="7"/>
                      <w:sz w:val="21"/>
                      <w:szCs w:val="21"/>
                      <w:highlight w:val="none"/>
                      <w:lang w:val="en-US" w:eastAsia="zh-CN"/>
                    </w:rPr>
                    <w:t>小计</w:t>
                  </w:r>
                </w:p>
              </w:tc>
              <w:tc>
                <w:tcPr>
                  <w:tcW w:w="598" w:type="pct"/>
                  <w:noWrap w:val="0"/>
                  <w:vAlign w:val="center"/>
                </w:tcPr>
                <w:p w14:paraId="4473FEB6">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2360.22</w:t>
                  </w:r>
                </w:p>
              </w:tc>
              <w:tc>
                <w:tcPr>
                  <w:tcW w:w="735" w:type="pct"/>
                  <w:noWrap w:val="0"/>
                  <w:vAlign w:val="center"/>
                </w:tcPr>
                <w:p w14:paraId="0D4339BC">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spacing w:val="2"/>
                      <w:position w:val="1"/>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27316.1</w:t>
                  </w:r>
                  <w:r>
                    <w:rPr>
                      <w:rFonts w:hint="eastAsia" w:ascii="Times New Roman" w:hAnsi="Times New Roman" w:eastAsia="宋体" w:cs="Times New Roman"/>
                      <w:b/>
                      <w:bCs/>
                      <w:i w:val="0"/>
                      <w:iCs w:val="0"/>
                      <w:color w:val="auto"/>
                      <w:kern w:val="0"/>
                      <w:sz w:val="21"/>
                      <w:szCs w:val="21"/>
                      <w:u w:val="none"/>
                      <w:lang w:val="en-US" w:eastAsia="zh-CN" w:bidi="ar"/>
                    </w:rPr>
                    <w:t>6</w:t>
                  </w:r>
                </w:p>
              </w:tc>
              <w:tc>
                <w:tcPr>
                  <w:tcW w:w="608" w:type="pct"/>
                  <w:noWrap w:val="0"/>
                  <w:vAlign w:val="center"/>
                </w:tcPr>
                <w:p w14:paraId="2239E788">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2032.69</w:t>
                  </w:r>
                </w:p>
              </w:tc>
              <w:tc>
                <w:tcPr>
                  <w:tcW w:w="672" w:type="pct"/>
                  <w:noWrap w:val="0"/>
                  <w:vAlign w:val="center"/>
                </w:tcPr>
                <w:p w14:paraId="52E45202">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26946.68</w:t>
                  </w:r>
                </w:p>
              </w:tc>
              <w:tc>
                <w:tcPr>
                  <w:tcW w:w="672" w:type="pct"/>
                  <w:noWrap w:val="0"/>
                  <w:vAlign w:val="center"/>
                </w:tcPr>
                <w:p w14:paraId="35EBFA64">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316.48</w:t>
                  </w:r>
                </w:p>
              </w:tc>
              <w:tc>
                <w:tcPr>
                  <w:tcW w:w="1027" w:type="pct"/>
                  <w:noWrap w:val="0"/>
                  <w:vAlign w:val="center"/>
                </w:tcPr>
                <w:p w14:paraId="10E65D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pacing w:val="6"/>
                      <w:sz w:val="21"/>
                      <w:szCs w:val="21"/>
                      <w:highlight w:val="none"/>
                      <w:lang w:val="en-US" w:eastAsia="zh-CN"/>
                    </w:rPr>
                  </w:pPr>
                  <w:r>
                    <w:rPr>
                      <w:rFonts w:hint="default" w:ascii="Times New Roman" w:hAnsi="Times New Roman" w:eastAsia="宋体" w:cs="Times New Roman"/>
                      <w:b/>
                      <w:bCs/>
                      <w:strike w:val="0"/>
                      <w:dstrike w:val="0"/>
                      <w:color w:val="auto"/>
                      <w:spacing w:val="6"/>
                      <w:sz w:val="21"/>
                      <w:szCs w:val="21"/>
                      <w:highlight w:val="none"/>
                      <w:lang w:val="en-US" w:eastAsia="zh-CN"/>
                    </w:rPr>
                    <w:t>/</w:t>
                  </w:r>
                </w:p>
              </w:tc>
            </w:tr>
            <w:tr w14:paraId="0358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noWrap w:val="0"/>
                  <w:vAlign w:val="center"/>
                </w:tcPr>
                <w:p w14:paraId="632D61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pacing w:val="6"/>
                      <w:sz w:val="21"/>
                      <w:szCs w:val="21"/>
                      <w:highlight w:val="none"/>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bidi="ar"/>
                    </w:rPr>
                    <w:t>生活办公</w:t>
                  </w:r>
                </w:p>
              </w:tc>
            </w:tr>
            <w:tr w14:paraId="4494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0E9BDA8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7"/>
                      <w:sz w:val="21"/>
                      <w:szCs w:val="21"/>
                      <w:highlight w:val="none"/>
                      <w:lang w:val="en-US" w:eastAsia="zh-CN"/>
                    </w:rPr>
                  </w:pPr>
                  <w:r>
                    <w:rPr>
                      <w:rFonts w:hint="default" w:ascii="Times New Roman" w:hAnsi="Times New Roman" w:eastAsia="宋体" w:cs="Times New Roman"/>
                      <w:strike w:val="0"/>
                      <w:dstrike w:val="0"/>
                      <w:color w:val="auto"/>
                      <w:spacing w:val="7"/>
                      <w:sz w:val="21"/>
                      <w:szCs w:val="21"/>
                      <w:highlight w:val="none"/>
                      <w:lang w:val="en-US" w:eastAsia="zh-CN"/>
                    </w:rPr>
                    <w:t>食堂</w:t>
                  </w:r>
                </w:p>
              </w:tc>
              <w:tc>
                <w:tcPr>
                  <w:tcW w:w="598" w:type="pct"/>
                  <w:noWrap w:val="0"/>
                  <w:vAlign w:val="center"/>
                </w:tcPr>
                <w:p w14:paraId="5AE6D2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6</w:t>
                  </w:r>
                </w:p>
              </w:tc>
              <w:tc>
                <w:tcPr>
                  <w:tcW w:w="735" w:type="pct"/>
                  <w:noWrap w:val="0"/>
                  <w:vAlign w:val="center"/>
                </w:tcPr>
                <w:p w14:paraId="2D582F8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strike w:val="0"/>
                      <w:dstrike w:val="0"/>
                      <w:color w:val="auto"/>
                      <w:spacing w:val="2"/>
                      <w:position w:val="1"/>
                      <w:sz w:val="21"/>
                      <w:szCs w:val="21"/>
                      <w:highlight w:val="none"/>
                    </w:rPr>
                    <w:t>/</w:t>
                  </w:r>
                </w:p>
              </w:tc>
              <w:tc>
                <w:tcPr>
                  <w:tcW w:w="608" w:type="pct"/>
                  <w:noWrap w:val="0"/>
                  <w:vAlign w:val="center"/>
                </w:tcPr>
                <w:p w14:paraId="58C7DD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0.9</w:t>
                  </w:r>
                </w:p>
              </w:tc>
              <w:tc>
                <w:tcPr>
                  <w:tcW w:w="672" w:type="pct"/>
                  <w:noWrap w:val="0"/>
                  <w:vAlign w:val="center"/>
                </w:tcPr>
                <w:p w14:paraId="40EF3E0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5.1</w:t>
                  </w:r>
                </w:p>
              </w:tc>
              <w:tc>
                <w:tcPr>
                  <w:tcW w:w="672" w:type="pct"/>
                  <w:noWrap w:val="0"/>
                  <w:vAlign w:val="center"/>
                </w:tcPr>
                <w:p w14:paraId="5EA9233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5.1</w:t>
                  </w:r>
                </w:p>
              </w:tc>
              <w:tc>
                <w:tcPr>
                  <w:tcW w:w="1027" w:type="pct"/>
                  <w:vMerge w:val="restart"/>
                  <w:noWrap w:val="0"/>
                  <w:vAlign w:val="center"/>
                </w:tcPr>
                <w:p w14:paraId="6AB0ED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strike w:val="0"/>
                      <w:dstrike w:val="0"/>
                      <w:color w:val="auto"/>
                      <w:spacing w:val="6"/>
                      <w:sz w:val="21"/>
                      <w:szCs w:val="21"/>
                      <w:highlight w:val="none"/>
                      <w:lang w:val="en-US" w:eastAsia="zh-CN"/>
                    </w:rPr>
                    <w:t>经隔油池、化粪池处理后经总排口进入市政管网</w:t>
                  </w:r>
                </w:p>
              </w:tc>
            </w:tr>
            <w:tr w14:paraId="60FA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399D6AB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strike w:val="0"/>
                      <w:dstrike w:val="0"/>
                      <w:color w:val="auto"/>
                      <w:spacing w:val="5"/>
                      <w:sz w:val="21"/>
                      <w:szCs w:val="21"/>
                      <w:highlight w:val="none"/>
                    </w:rPr>
                    <w:t>办公生</w:t>
                  </w:r>
                  <w:r>
                    <w:rPr>
                      <w:rFonts w:hint="default" w:ascii="Times New Roman" w:hAnsi="Times New Roman" w:eastAsia="宋体" w:cs="Times New Roman"/>
                      <w:strike w:val="0"/>
                      <w:dstrike w:val="0"/>
                      <w:color w:val="auto"/>
                      <w:sz w:val="21"/>
                      <w:szCs w:val="21"/>
                      <w:highlight w:val="none"/>
                    </w:rPr>
                    <w:t>活</w:t>
                  </w:r>
                </w:p>
              </w:tc>
              <w:tc>
                <w:tcPr>
                  <w:tcW w:w="598" w:type="pct"/>
                  <w:noWrap w:val="0"/>
                  <w:vAlign w:val="center"/>
                </w:tcPr>
                <w:p w14:paraId="1BE667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bCs/>
                      <w:strike w:val="0"/>
                      <w:dstrike w:val="0"/>
                      <w:color w:val="auto"/>
                      <w:kern w:val="2"/>
                      <w:sz w:val="21"/>
                      <w:szCs w:val="21"/>
                      <w:highlight w:val="none"/>
                      <w:lang w:val="en-US" w:eastAsia="zh-CN" w:bidi="ar"/>
                    </w:rPr>
                    <w:t>21.2</w:t>
                  </w:r>
                </w:p>
              </w:tc>
              <w:tc>
                <w:tcPr>
                  <w:tcW w:w="735" w:type="pct"/>
                  <w:noWrap w:val="0"/>
                  <w:vAlign w:val="center"/>
                </w:tcPr>
                <w:p w14:paraId="1F6C6F1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strike w:val="0"/>
                      <w:dstrike w:val="0"/>
                      <w:color w:val="auto"/>
                      <w:spacing w:val="2"/>
                      <w:position w:val="1"/>
                      <w:sz w:val="21"/>
                      <w:szCs w:val="21"/>
                      <w:highlight w:val="none"/>
                    </w:rPr>
                    <w:t>/</w:t>
                  </w:r>
                </w:p>
              </w:tc>
              <w:tc>
                <w:tcPr>
                  <w:tcW w:w="608" w:type="pct"/>
                  <w:noWrap w:val="0"/>
                  <w:vAlign w:val="center"/>
                </w:tcPr>
                <w:p w14:paraId="1B2B1E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3.18</w:t>
                  </w:r>
                </w:p>
              </w:tc>
              <w:tc>
                <w:tcPr>
                  <w:tcW w:w="672" w:type="pct"/>
                  <w:noWrap w:val="0"/>
                  <w:vAlign w:val="center"/>
                </w:tcPr>
                <w:p w14:paraId="45C9AD5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bCs/>
                      <w:strike w:val="0"/>
                      <w:dstrike w:val="0"/>
                      <w:color w:val="auto"/>
                      <w:kern w:val="2"/>
                      <w:sz w:val="21"/>
                      <w:szCs w:val="21"/>
                      <w:highlight w:val="none"/>
                      <w:lang w:val="en-US" w:eastAsia="zh-CN" w:bidi="ar"/>
                    </w:rPr>
                    <w:t>18.02</w:t>
                  </w:r>
                </w:p>
              </w:tc>
              <w:tc>
                <w:tcPr>
                  <w:tcW w:w="672" w:type="pct"/>
                  <w:noWrap w:val="0"/>
                  <w:vAlign w:val="center"/>
                </w:tcPr>
                <w:p w14:paraId="4F9D71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kern w:val="2"/>
                      <w:sz w:val="21"/>
                      <w:szCs w:val="21"/>
                      <w:highlight w:val="none"/>
                      <w:lang w:val="en-US" w:eastAsia="zh-CN" w:bidi="ar"/>
                    </w:rPr>
                    <w:t>18.02</w:t>
                  </w:r>
                </w:p>
              </w:tc>
              <w:tc>
                <w:tcPr>
                  <w:tcW w:w="1027" w:type="pct"/>
                  <w:vMerge w:val="continue"/>
                  <w:noWrap w:val="0"/>
                  <w:vAlign w:val="center"/>
                </w:tcPr>
                <w:p w14:paraId="15B430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p>
              </w:tc>
            </w:tr>
            <w:tr w14:paraId="4BB2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5D32DE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bidi="ar"/>
                    </w:rPr>
                  </w:pPr>
                  <w:r>
                    <w:rPr>
                      <w:rFonts w:hint="default" w:ascii="Times New Roman" w:hAnsi="Times New Roman" w:eastAsia="宋体" w:cs="Times New Roman"/>
                      <w:b/>
                      <w:bCs/>
                      <w:strike w:val="0"/>
                      <w:dstrike w:val="0"/>
                      <w:color w:val="auto"/>
                      <w:spacing w:val="6"/>
                      <w:sz w:val="21"/>
                      <w:szCs w:val="21"/>
                      <w:highlight w:val="none"/>
                      <w:lang w:val="en-US" w:eastAsia="zh-CN"/>
                    </w:rPr>
                    <w:t>小计</w:t>
                  </w:r>
                </w:p>
              </w:tc>
              <w:tc>
                <w:tcPr>
                  <w:tcW w:w="598" w:type="pct"/>
                  <w:shd w:val="clear" w:color="auto" w:fill="auto"/>
                  <w:noWrap w:val="0"/>
                  <w:vAlign w:val="center"/>
                </w:tcPr>
                <w:p w14:paraId="322152E4">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strike w:val="0"/>
                      <w:dstrike w:val="0"/>
                      <w:color w:val="auto"/>
                      <w:kern w:val="2"/>
                      <w:sz w:val="21"/>
                      <w:szCs w:val="21"/>
                      <w:highlight w:val="none"/>
                      <w:lang w:val="en-US" w:eastAsia="zh-CN" w:bidi="ar"/>
                    </w:rPr>
                    <w:t>27.2</w:t>
                  </w:r>
                </w:p>
              </w:tc>
              <w:tc>
                <w:tcPr>
                  <w:tcW w:w="735" w:type="pct"/>
                  <w:shd w:val="clear" w:color="auto" w:fill="auto"/>
                  <w:noWrap w:val="0"/>
                  <w:vAlign w:val="center"/>
                </w:tcPr>
                <w:p w14:paraId="5CF1662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strike w:val="0"/>
                      <w:dstrike w:val="0"/>
                      <w:color w:val="auto"/>
                      <w:spacing w:val="2"/>
                      <w:position w:val="1"/>
                      <w:sz w:val="21"/>
                      <w:szCs w:val="21"/>
                      <w:highlight w:val="none"/>
                    </w:rPr>
                    <w:t>/</w:t>
                  </w:r>
                </w:p>
              </w:tc>
              <w:tc>
                <w:tcPr>
                  <w:tcW w:w="608" w:type="pct"/>
                  <w:shd w:val="clear" w:color="auto" w:fill="auto"/>
                  <w:noWrap w:val="0"/>
                  <w:vAlign w:val="center"/>
                </w:tcPr>
                <w:p w14:paraId="442565A4">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strike w:val="0"/>
                      <w:dstrike w:val="0"/>
                      <w:color w:val="auto"/>
                      <w:kern w:val="2"/>
                      <w:sz w:val="21"/>
                      <w:szCs w:val="21"/>
                      <w:highlight w:val="none"/>
                      <w:lang w:val="en-US" w:eastAsia="zh-CN" w:bidi="ar"/>
                    </w:rPr>
                    <w:t>4.08</w:t>
                  </w:r>
                </w:p>
              </w:tc>
              <w:tc>
                <w:tcPr>
                  <w:tcW w:w="672" w:type="pct"/>
                  <w:noWrap w:val="0"/>
                  <w:vAlign w:val="center"/>
                </w:tcPr>
                <w:p w14:paraId="09B8E8E9">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strike w:val="0"/>
                      <w:dstrike w:val="0"/>
                      <w:color w:val="auto"/>
                      <w:kern w:val="2"/>
                      <w:sz w:val="21"/>
                      <w:szCs w:val="21"/>
                      <w:highlight w:val="none"/>
                      <w:lang w:val="en-US" w:eastAsia="zh-CN" w:bidi="ar"/>
                    </w:rPr>
                    <w:t>23.12</w:t>
                  </w:r>
                </w:p>
              </w:tc>
              <w:tc>
                <w:tcPr>
                  <w:tcW w:w="672" w:type="pct"/>
                  <w:noWrap w:val="0"/>
                  <w:vAlign w:val="center"/>
                </w:tcPr>
                <w:p w14:paraId="21A529F0">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
                      <w:bCs/>
                      <w:strike w:val="0"/>
                      <w:dstrike w:val="0"/>
                      <w:color w:val="auto"/>
                      <w:sz w:val="21"/>
                      <w:szCs w:val="21"/>
                      <w:highlight w:val="none"/>
                      <w:lang w:val="en-US" w:eastAsia="zh-CN" w:bidi="ar"/>
                    </w:rPr>
                  </w:pPr>
                  <w:r>
                    <w:rPr>
                      <w:rFonts w:hint="default" w:ascii="Times New Roman" w:hAnsi="Times New Roman" w:eastAsia="宋体" w:cs="Times New Roman"/>
                      <w:b/>
                      <w:bCs/>
                      <w:strike w:val="0"/>
                      <w:dstrike w:val="0"/>
                      <w:color w:val="auto"/>
                      <w:kern w:val="2"/>
                      <w:sz w:val="21"/>
                      <w:szCs w:val="21"/>
                      <w:highlight w:val="none"/>
                      <w:lang w:val="en-US" w:eastAsia="zh-CN" w:bidi="ar"/>
                    </w:rPr>
                    <w:t>23.12</w:t>
                  </w:r>
                </w:p>
              </w:tc>
              <w:tc>
                <w:tcPr>
                  <w:tcW w:w="1027" w:type="pct"/>
                  <w:noWrap w:val="0"/>
                  <w:vAlign w:val="center"/>
                </w:tcPr>
                <w:p w14:paraId="383DAED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Cs/>
                      <w:strike w:val="0"/>
                      <w:dstrike w:val="0"/>
                      <w:color w:val="auto"/>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w:t>
                  </w:r>
                </w:p>
              </w:tc>
            </w:tr>
            <w:tr w14:paraId="6FB6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shd w:val="clear" w:color="auto" w:fill="auto"/>
                  <w:noWrap w:val="0"/>
                  <w:vAlign w:val="center"/>
                </w:tcPr>
                <w:p w14:paraId="64ACA69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strike w:val="0"/>
                      <w:dstrike w:val="0"/>
                      <w:color w:val="auto"/>
                      <w:spacing w:val="6"/>
                      <w:sz w:val="21"/>
                      <w:szCs w:val="21"/>
                      <w:highlight w:val="none"/>
                    </w:rPr>
                    <w:t>绿化用</w:t>
                  </w:r>
                  <w:r>
                    <w:rPr>
                      <w:rFonts w:hint="default" w:ascii="Times New Roman" w:hAnsi="Times New Roman" w:eastAsia="宋体" w:cs="Times New Roman"/>
                      <w:strike w:val="0"/>
                      <w:dstrike w:val="0"/>
                      <w:color w:val="auto"/>
                      <w:sz w:val="21"/>
                      <w:szCs w:val="21"/>
                      <w:highlight w:val="none"/>
                    </w:rPr>
                    <w:t>水</w:t>
                  </w:r>
                </w:p>
              </w:tc>
              <w:tc>
                <w:tcPr>
                  <w:tcW w:w="598" w:type="pct"/>
                  <w:shd w:val="clear" w:color="auto" w:fill="auto"/>
                  <w:noWrap w:val="0"/>
                  <w:vAlign w:val="center"/>
                </w:tcPr>
                <w:p w14:paraId="0DE604AB">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eastAsia" w:cs="Times New Roman"/>
                      <w:bCs/>
                      <w:strike w:val="0"/>
                      <w:dstrike w:val="0"/>
                      <w:color w:val="auto"/>
                      <w:kern w:val="2"/>
                      <w:sz w:val="21"/>
                      <w:szCs w:val="21"/>
                      <w:highlight w:val="none"/>
                      <w:lang w:val="en-US" w:eastAsia="zh-CN" w:bidi="ar"/>
                    </w:rPr>
                    <w:t>0.93</w:t>
                  </w:r>
                </w:p>
              </w:tc>
              <w:tc>
                <w:tcPr>
                  <w:tcW w:w="735" w:type="pct"/>
                  <w:shd w:val="clear" w:color="auto" w:fill="auto"/>
                  <w:noWrap w:val="0"/>
                  <w:vAlign w:val="center"/>
                </w:tcPr>
                <w:p w14:paraId="33E8701D">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bCs/>
                      <w:strike w:val="0"/>
                      <w:dstrike w:val="0"/>
                      <w:color w:val="auto"/>
                      <w:kern w:val="2"/>
                      <w:sz w:val="21"/>
                      <w:szCs w:val="21"/>
                      <w:highlight w:val="none"/>
                      <w:lang w:val="en-US" w:eastAsia="zh-CN" w:bidi="ar"/>
                    </w:rPr>
                    <w:t>/</w:t>
                  </w:r>
                </w:p>
              </w:tc>
              <w:tc>
                <w:tcPr>
                  <w:tcW w:w="608" w:type="pct"/>
                  <w:shd w:val="clear" w:color="auto" w:fill="auto"/>
                  <w:noWrap w:val="0"/>
                  <w:vAlign w:val="center"/>
                </w:tcPr>
                <w:p w14:paraId="0DBFB8AE">
                  <w:pPr>
                    <w:keepNext w:val="0"/>
                    <w:keepLines w:val="0"/>
                    <w:widowControl/>
                    <w:suppressLineNumbers w:val="0"/>
                    <w:jc w:val="center"/>
                    <w:textAlignment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bCs/>
                      <w:strike w:val="0"/>
                      <w:dstrike w:val="0"/>
                      <w:color w:val="auto"/>
                      <w:sz w:val="21"/>
                      <w:szCs w:val="21"/>
                      <w:highlight w:val="none"/>
                      <w:lang w:val="en-US" w:eastAsia="zh-CN" w:bidi="ar"/>
                    </w:rPr>
                    <w:t>2.87</w:t>
                  </w:r>
                </w:p>
              </w:tc>
              <w:tc>
                <w:tcPr>
                  <w:tcW w:w="672" w:type="pct"/>
                  <w:shd w:val="clear" w:color="auto" w:fill="auto"/>
                  <w:noWrap w:val="0"/>
                  <w:vAlign w:val="center"/>
                </w:tcPr>
                <w:p w14:paraId="4BEE22A2">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strike w:val="0"/>
                      <w:dstrike w:val="0"/>
                      <w:color w:val="auto"/>
                      <w:spacing w:val="2"/>
                      <w:position w:val="1"/>
                      <w:sz w:val="21"/>
                      <w:szCs w:val="21"/>
                      <w:highlight w:val="none"/>
                    </w:rPr>
                    <w:t>/</w:t>
                  </w:r>
                </w:p>
              </w:tc>
              <w:tc>
                <w:tcPr>
                  <w:tcW w:w="672" w:type="pct"/>
                  <w:shd w:val="clear" w:color="auto" w:fill="auto"/>
                  <w:noWrap w:val="0"/>
                  <w:vAlign w:val="center"/>
                </w:tcPr>
                <w:p w14:paraId="2F1F4513">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strike w:val="0"/>
                      <w:dstrike w:val="0"/>
                      <w:color w:val="auto"/>
                      <w:spacing w:val="2"/>
                      <w:position w:val="1"/>
                      <w:sz w:val="21"/>
                      <w:szCs w:val="21"/>
                      <w:highlight w:val="none"/>
                    </w:rPr>
                    <w:t>/</w:t>
                  </w:r>
                </w:p>
              </w:tc>
              <w:tc>
                <w:tcPr>
                  <w:tcW w:w="1027" w:type="pct"/>
                  <w:shd w:val="clear" w:color="auto" w:fill="auto"/>
                  <w:noWrap w:val="0"/>
                  <w:vAlign w:val="center"/>
                </w:tcPr>
                <w:p w14:paraId="29837C9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strike w:val="0"/>
                      <w:dstrike w:val="0"/>
                      <w:color w:val="auto"/>
                      <w:kern w:val="2"/>
                      <w:sz w:val="21"/>
                      <w:szCs w:val="21"/>
                      <w:highlight w:val="none"/>
                      <w:lang w:val="en-US" w:eastAsia="zh-CN" w:bidi="ar"/>
                    </w:rPr>
                  </w:pPr>
                  <w:r>
                    <w:rPr>
                      <w:rFonts w:hint="default" w:ascii="Times New Roman" w:hAnsi="Times New Roman" w:eastAsia="宋体" w:cs="Times New Roman"/>
                      <w:strike w:val="0"/>
                      <w:dstrike w:val="0"/>
                      <w:color w:val="auto"/>
                      <w:spacing w:val="6"/>
                      <w:sz w:val="21"/>
                      <w:szCs w:val="21"/>
                      <w:highlight w:val="none"/>
                    </w:rPr>
                    <w:t>蒸发</w:t>
                  </w:r>
                </w:p>
              </w:tc>
            </w:tr>
            <w:tr w14:paraId="3A1F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5" w:type="pct"/>
                  <w:noWrap w:val="0"/>
                  <w:vAlign w:val="center"/>
                </w:tcPr>
                <w:p w14:paraId="7F7D72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z w:val="21"/>
                      <w:szCs w:val="21"/>
                      <w:highlight w:val="none"/>
                      <w:lang w:val="en-US" w:eastAsia="zh-CN" w:bidi="ar"/>
                    </w:rPr>
                    <w:t>全厂合计</w:t>
                  </w:r>
                </w:p>
              </w:tc>
              <w:tc>
                <w:tcPr>
                  <w:tcW w:w="598" w:type="pct"/>
                  <w:noWrap w:val="0"/>
                  <w:vAlign w:val="center"/>
                </w:tcPr>
                <w:p w14:paraId="134EACC8">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238</w:t>
                  </w:r>
                  <w:r>
                    <w:rPr>
                      <w:rFonts w:hint="eastAsia" w:ascii="Times New Roman" w:hAnsi="Times New Roman" w:eastAsia="宋体" w:cs="Times New Roman"/>
                      <w:b/>
                      <w:bCs/>
                      <w:i w:val="0"/>
                      <w:iCs w:val="0"/>
                      <w:color w:val="auto"/>
                      <w:kern w:val="0"/>
                      <w:sz w:val="21"/>
                      <w:szCs w:val="21"/>
                      <w:u w:val="none"/>
                      <w:lang w:val="en-US" w:eastAsia="zh-CN" w:bidi="ar"/>
                    </w:rPr>
                    <w:t>8.35</w:t>
                  </w:r>
                </w:p>
              </w:tc>
              <w:tc>
                <w:tcPr>
                  <w:tcW w:w="735" w:type="pct"/>
                  <w:noWrap w:val="0"/>
                  <w:vAlign w:val="center"/>
                </w:tcPr>
                <w:p w14:paraId="5E0AB29F">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27316.155</w:t>
                  </w:r>
                </w:p>
              </w:tc>
              <w:tc>
                <w:tcPr>
                  <w:tcW w:w="608" w:type="pct"/>
                  <w:noWrap w:val="0"/>
                  <w:vAlign w:val="center"/>
                </w:tcPr>
                <w:p w14:paraId="4BA4625C">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203</w:t>
                  </w:r>
                  <w:r>
                    <w:rPr>
                      <w:rFonts w:hint="eastAsia" w:ascii="Times New Roman" w:hAnsi="Times New Roman" w:eastAsia="宋体" w:cs="Times New Roman"/>
                      <w:b/>
                      <w:bCs/>
                      <w:i w:val="0"/>
                      <w:iCs w:val="0"/>
                      <w:color w:val="auto"/>
                      <w:kern w:val="0"/>
                      <w:sz w:val="21"/>
                      <w:szCs w:val="21"/>
                      <w:u w:val="none"/>
                      <w:lang w:val="en-US" w:eastAsia="zh-CN" w:bidi="ar"/>
                    </w:rPr>
                    <w:t>7.7</w:t>
                  </w:r>
                </w:p>
              </w:tc>
              <w:tc>
                <w:tcPr>
                  <w:tcW w:w="672" w:type="pct"/>
                  <w:noWrap w:val="0"/>
                  <w:vAlign w:val="center"/>
                </w:tcPr>
                <w:p w14:paraId="66A61033">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kern w:val="2"/>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26969.8</w:t>
                  </w:r>
                </w:p>
              </w:tc>
              <w:tc>
                <w:tcPr>
                  <w:tcW w:w="672" w:type="pct"/>
                  <w:noWrap w:val="0"/>
                  <w:vAlign w:val="center"/>
                </w:tcPr>
                <w:p w14:paraId="4D67C4AC">
                  <w:pPr>
                    <w:keepNext w:val="0"/>
                    <w:keepLines w:val="0"/>
                    <w:widowControl/>
                    <w:suppressLineNumbers w:val="0"/>
                    <w:jc w:val="center"/>
                    <w:textAlignment w:val="center"/>
                    <w:rPr>
                      <w:rFonts w:hint="default" w:ascii="Times New Roman" w:hAnsi="Times New Roman" w:eastAsia="宋体" w:cs="Times New Roman"/>
                      <w:b/>
                      <w:bCs/>
                      <w:strike w:val="0"/>
                      <w:dstrike w:val="0"/>
                      <w:color w:val="auto"/>
                      <w:sz w:val="21"/>
                      <w:szCs w:val="21"/>
                      <w:highlight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339.6</w:t>
                  </w:r>
                </w:p>
              </w:tc>
              <w:tc>
                <w:tcPr>
                  <w:tcW w:w="1027" w:type="pct"/>
                  <w:noWrap w:val="0"/>
                  <w:vAlign w:val="center"/>
                </w:tcPr>
                <w:p w14:paraId="41C48E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val="0"/>
                      <w:strike w:val="0"/>
                      <w:dstrike w:val="0"/>
                      <w:color w:val="auto"/>
                      <w:sz w:val="21"/>
                      <w:szCs w:val="21"/>
                      <w:highlight w:val="none"/>
                      <w:lang w:val="en-US" w:eastAsia="zh-CN" w:bidi="ar"/>
                    </w:rPr>
                  </w:pPr>
                  <w:r>
                    <w:rPr>
                      <w:rFonts w:hint="default" w:ascii="Times New Roman" w:hAnsi="Times New Roman" w:eastAsia="宋体" w:cs="Times New Roman"/>
                      <w:b/>
                      <w:bCs w:val="0"/>
                      <w:strike w:val="0"/>
                      <w:dstrike w:val="0"/>
                      <w:color w:val="auto"/>
                      <w:spacing w:val="2"/>
                      <w:position w:val="1"/>
                      <w:sz w:val="21"/>
                      <w:szCs w:val="21"/>
                      <w:highlight w:val="none"/>
                    </w:rPr>
                    <w:t>/</w:t>
                  </w:r>
                </w:p>
              </w:tc>
            </w:tr>
          </w:tbl>
          <w:p w14:paraId="00C3B2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项目生产过程中用水量为2360.22</w:t>
            </w:r>
            <w:r>
              <w:rPr>
                <w:rFonts w:hint="default" w:ascii="Times New Roman" w:hAnsi="Times New Roman" w:eastAsia="宋体" w:cs="Times New Roman"/>
                <w:strike w:val="0"/>
                <w:dstrike w:val="0"/>
                <w:color w:val="auto"/>
                <w:spacing w:val="-1"/>
                <w:sz w:val="24"/>
                <w:szCs w:val="24"/>
                <w:highlight w:val="none"/>
                <w:lang w:val="en-US" w:eastAsia="zh-CN"/>
              </w:rPr>
              <w:t>m</w:t>
            </w:r>
            <w:r>
              <w:rPr>
                <w:rFonts w:hint="eastAsia" w:ascii="Times New Roman" w:hAnsi="Times New Roman" w:eastAsia="宋体" w:cs="Times New Roman"/>
                <w:strike w:val="0"/>
                <w:dstrike w:val="0"/>
                <w:color w:val="auto"/>
                <w:spacing w:val="-1"/>
                <w:sz w:val="24"/>
                <w:szCs w:val="24"/>
                <w:highlight w:val="none"/>
                <w:vertAlign w:val="superscript"/>
                <w:lang w:val="en-US" w:eastAsia="zh-CN"/>
              </w:rPr>
              <w:t>3</w:t>
            </w:r>
            <w:r>
              <w:rPr>
                <w:rFonts w:hint="default" w:ascii="Times New Roman" w:hAnsi="Times New Roman" w:eastAsia="宋体" w:cs="Times New Roman"/>
                <w:strike w:val="0"/>
                <w:dstrike w:val="0"/>
                <w:color w:val="auto"/>
                <w:spacing w:val="-1"/>
                <w:sz w:val="24"/>
                <w:szCs w:val="24"/>
                <w:highlight w:val="none"/>
              </w:rPr>
              <w:t>/</w:t>
            </w:r>
            <w:r>
              <w:rPr>
                <w:rFonts w:hint="default" w:ascii="Times New Roman" w:hAnsi="Times New Roman" w:eastAsia="宋体" w:cs="Times New Roman"/>
                <w:strike w:val="0"/>
                <w:dstrike w:val="0"/>
                <w:color w:val="auto"/>
                <w:spacing w:val="-1"/>
                <w:sz w:val="24"/>
                <w:szCs w:val="24"/>
                <w:highlight w:val="none"/>
                <w:lang w:val="en-US" w:eastAsia="zh-CN"/>
              </w:rPr>
              <w:t>d</w:t>
            </w:r>
            <w:r>
              <w:rPr>
                <w:rFonts w:hint="default" w:ascii="Times New Roman" w:hAnsi="Times New Roman" w:eastAsia="宋体" w:cs="Times New Roman"/>
                <w:strike w:val="0"/>
                <w:dstrike w:val="0"/>
                <w:color w:val="auto"/>
                <w:sz w:val="24"/>
                <w:szCs w:val="24"/>
                <w:highlight w:val="none"/>
                <w:lang w:val="en-US" w:eastAsia="zh-CN"/>
              </w:rPr>
              <w:t>，循环用水</w:t>
            </w:r>
            <w:r>
              <w:rPr>
                <w:rFonts w:hint="default" w:ascii="Times New Roman" w:hAnsi="Times New Roman" w:eastAsia="宋体" w:cs="Times New Roman"/>
                <w:b w:val="0"/>
                <w:bCs w:val="0"/>
                <w:strike w:val="0"/>
                <w:dstrike w:val="0"/>
                <w:color w:val="auto"/>
                <w:sz w:val="24"/>
                <w:szCs w:val="24"/>
                <w:highlight w:val="none"/>
                <w:lang w:val="en-US" w:eastAsia="zh-CN"/>
              </w:rPr>
              <w:t>量为</w:t>
            </w:r>
            <w:r>
              <w:rPr>
                <w:rFonts w:hint="default" w:ascii="Times New Roman" w:hAnsi="Times New Roman" w:eastAsia="宋体" w:cs="Times New Roman"/>
                <w:b w:val="0"/>
                <w:bCs w:val="0"/>
                <w:i w:val="0"/>
                <w:iCs w:val="0"/>
                <w:color w:val="auto"/>
                <w:kern w:val="0"/>
                <w:sz w:val="24"/>
                <w:szCs w:val="24"/>
                <w:u w:val="none"/>
                <w:lang w:val="en-US" w:eastAsia="zh-CN" w:bidi="ar"/>
              </w:rPr>
              <w:t>27316.16</w:t>
            </w:r>
            <w:r>
              <w:rPr>
                <w:rFonts w:hint="default" w:ascii="Times New Roman" w:hAnsi="Times New Roman" w:eastAsia="宋体" w:cs="Times New Roman"/>
                <w:b w:val="0"/>
                <w:bCs w:val="0"/>
                <w:strike w:val="0"/>
                <w:dstrike w:val="0"/>
                <w:color w:val="auto"/>
                <w:spacing w:val="-1"/>
                <w:sz w:val="24"/>
                <w:szCs w:val="24"/>
                <w:highlight w:val="none"/>
                <w:lang w:val="en-US" w:eastAsia="zh-CN"/>
              </w:rPr>
              <w:t>m</w:t>
            </w:r>
            <w:r>
              <w:rPr>
                <w:rFonts w:hint="eastAsia" w:ascii="Times New Roman" w:hAnsi="Times New Roman" w:eastAsia="宋体" w:cs="Times New Roman"/>
                <w:b w:val="0"/>
                <w:bCs w:val="0"/>
                <w:strike w:val="0"/>
                <w:dstrike w:val="0"/>
                <w:color w:val="auto"/>
                <w:spacing w:val="-1"/>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pacing w:val="-1"/>
                <w:sz w:val="24"/>
                <w:szCs w:val="24"/>
                <w:highlight w:val="none"/>
              </w:rPr>
              <w:t>/</w:t>
            </w:r>
            <w:r>
              <w:rPr>
                <w:rFonts w:hint="default" w:ascii="Times New Roman" w:hAnsi="Times New Roman" w:eastAsia="宋体" w:cs="Times New Roman"/>
                <w:b w:val="0"/>
                <w:bCs w:val="0"/>
                <w:strike w:val="0"/>
                <w:dstrike w:val="0"/>
                <w:color w:val="auto"/>
                <w:spacing w:val="-1"/>
                <w:sz w:val="24"/>
                <w:szCs w:val="24"/>
                <w:highlight w:val="none"/>
                <w:lang w:val="en-US" w:eastAsia="zh-CN"/>
              </w:rPr>
              <w:t>d</w:t>
            </w:r>
            <w:r>
              <w:rPr>
                <w:rFonts w:hint="eastAsia" w:ascii="Times New Roman" w:hAnsi="Times New Roman" w:eastAsia="宋体" w:cs="Times New Roman"/>
                <w:b w:val="0"/>
                <w:bCs w:val="0"/>
                <w:strike w:val="0"/>
                <w:dstrike w:val="0"/>
                <w:color w:val="auto"/>
                <w:spacing w:val="-1"/>
                <w:sz w:val="24"/>
                <w:szCs w:val="24"/>
                <w:highlight w:val="none"/>
                <w:lang w:val="en-US" w:eastAsia="zh-CN"/>
              </w:rPr>
              <w:t>，工业用水循环利用率为92.05%。</w:t>
            </w:r>
            <w:r>
              <w:rPr>
                <w:rFonts w:hint="default" w:ascii="Times New Roman" w:hAnsi="Times New Roman" w:eastAsia="宋体" w:cs="Times New Roman"/>
                <w:strike w:val="0"/>
                <w:dstrike w:val="0"/>
                <w:color w:val="auto"/>
                <w:sz w:val="24"/>
                <w:szCs w:val="24"/>
                <w:highlight w:val="none"/>
                <w:lang w:val="en-US" w:eastAsia="zh-CN"/>
              </w:rPr>
              <w:t>项目水量平衡图详见下图所示。</w:t>
            </w:r>
            <w:r>
              <w:rPr>
                <w:rFonts w:hint="default" w:ascii="Times New Roman" w:hAnsi="Times New Roman" w:eastAsia="宋体" w:cs="Times New Roman"/>
                <w:strike w:val="0"/>
                <w:dstrike w:val="0"/>
                <w:color w:val="auto"/>
                <w:sz w:val="24"/>
                <w:szCs w:val="24"/>
                <w:highlight w:val="none"/>
                <w:lang w:val="en-US" w:eastAsia="zh-CN"/>
              </w:rPr>
              <w:object>
                <v:shape id="_x0000_i1025" o:spt="75" type="#_x0000_t75" style="height:586.75pt;width:388.35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5" r:id="rId12">
                  <o:LockedField>false</o:LockedField>
                </o:OLEObject>
              </w:object>
            </w:r>
          </w:p>
          <w:p w14:paraId="1F4BEBC8">
            <w:pPr>
              <w:keepNext w:val="0"/>
              <w:keepLines w:val="0"/>
              <w:pageBreakBefore w:val="0"/>
              <w:widowControl w:val="0"/>
              <w:kinsoku/>
              <w:wordWrap/>
              <w:overflowPunct/>
              <w:topLinePunct/>
              <w:autoSpaceDE w:val="0"/>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2-1  本项目水量平衡图    单位：m</w:t>
            </w:r>
            <w:r>
              <w:rPr>
                <w:rFonts w:hint="default" w:ascii="Times New Roman" w:hAnsi="Times New Roman" w:eastAsia="宋体" w:cs="Times New Roman"/>
                <w:b/>
                <w:bCs/>
                <w:color w:val="auto"/>
                <w:highlight w:val="none"/>
                <w:vertAlign w:val="superscript"/>
                <w:lang w:val="en-US" w:eastAsia="zh-CN"/>
              </w:rPr>
              <w:t>3</w:t>
            </w:r>
            <w:r>
              <w:rPr>
                <w:rFonts w:hint="default" w:ascii="Times New Roman" w:hAnsi="Times New Roman" w:eastAsia="宋体" w:cs="Times New Roman"/>
                <w:b/>
                <w:bCs/>
                <w:color w:val="auto"/>
                <w:highlight w:val="none"/>
                <w:lang w:val="en-US" w:eastAsia="zh-CN"/>
              </w:rPr>
              <w:t>/d</w:t>
            </w:r>
          </w:p>
          <w:p w14:paraId="4CF2BC2E">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9、</w:t>
            </w:r>
            <w:r>
              <w:rPr>
                <w:rFonts w:hint="default" w:ascii="Times New Roman" w:hAnsi="Times New Roman" w:eastAsia="宋体" w:cs="Times New Roman"/>
                <w:b/>
                <w:bCs w:val="0"/>
                <w:color w:val="auto"/>
                <w:sz w:val="24"/>
                <w:szCs w:val="24"/>
                <w:highlight w:val="none"/>
                <w:lang w:val="en-US" w:eastAsia="zh-CN"/>
              </w:rPr>
              <w:t>工作制度及劳动定员</w:t>
            </w:r>
          </w:p>
          <w:p w14:paraId="00266409">
            <w:pPr>
              <w:keepNext w:val="0"/>
              <w:keepLines w:val="0"/>
              <w:pageBreakBefore w:val="0"/>
              <w:widowControl w:val="0"/>
              <w:kinsoku/>
              <w:wordWrap/>
              <w:overflowPunct/>
              <w:topLinePunct/>
              <w:autoSpaceDE w:val="0"/>
              <w:autoSpaceDN/>
              <w:bidi w:val="0"/>
              <w:spacing w:line="360" w:lineRule="auto"/>
              <w:ind w:firstLine="480"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本项目劳动定员350</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每天约200人</w:t>
            </w:r>
            <w:r>
              <w:rPr>
                <w:rFonts w:hint="default" w:ascii="Times New Roman" w:hAnsi="Times New Roman" w:eastAsia="宋体" w:cs="Times New Roman"/>
                <w:color w:val="auto"/>
                <w:sz w:val="24"/>
                <w:szCs w:val="24"/>
                <w:highlight w:val="none"/>
                <w:lang w:eastAsia="zh-CN"/>
              </w:rPr>
              <w:t>在项目区内</w:t>
            </w:r>
            <w:r>
              <w:rPr>
                <w:rFonts w:hint="default" w:ascii="Times New Roman" w:hAnsi="Times New Roman" w:eastAsia="宋体" w:cs="Times New Roman"/>
                <w:color w:val="auto"/>
                <w:sz w:val="24"/>
                <w:szCs w:val="24"/>
                <w:highlight w:val="none"/>
                <w:lang w:val="en-US" w:eastAsia="zh-CN"/>
              </w:rPr>
              <w:t>用餐、240人在</w:t>
            </w:r>
            <w:r>
              <w:rPr>
                <w:rFonts w:hint="default" w:ascii="Times New Roman" w:hAnsi="Times New Roman" w:eastAsia="宋体" w:cs="Times New Roman"/>
                <w:color w:val="auto"/>
                <w:spacing w:val="-2"/>
                <w:sz w:val="24"/>
                <w:szCs w:val="24"/>
                <w:highlight w:val="none"/>
              </w:rPr>
              <w:t>项目区住宿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项目年生产</w:t>
            </w:r>
            <w:r>
              <w:rPr>
                <w:rFonts w:hint="default" w:ascii="Times New Roman" w:hAnsi="Times New Roman" w:eastAsia="宋体" w:cs="Times New Roman"/>
                <w:color w:val="auto"/>
                <w:sz w:val="24"/>
                <w:szCs w:val="24"/>
                <w:highlight w:val="none"/>
                <w:lang w:val="en-US" w:eastAsia="zh-CN"/>
              </w:rPr>
              <w:t>330</w:t>
            </w:r>
            <w:r>
              <w:rPr>
                <w:rFonts w:hint="default" w:ascii="Times New Roman" w:hAnsi="Times New Roman" w:eastAsia="宋体" w:cs="Times New Roman"/>
                <w:color w:val="auto"/>
                <w:sz w:val="24"/>
                <w:szCs w:val="24"/>
                <w:highlight w:val="none"/>
              </w:rPr>
              <w:t>天，项目内实行</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班制，每班8小时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年工作7920小时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3BA7EC2F">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10、</w:t>
            </w:r>
            <w:r>
              <w:rPr>
                <w:rFonts w:hint="default" w:ascii="Times New Roman" w:hAnsi="Times New Roman" w:eastAsia="宋体" w:cs="Times New Roman"/>
                <w:b/>
                <w:bCs w:val="0"/>
                <w:color w:val="auto"/>
                <w:sz w:val="24"/>
                <w:szCs w:val="24"/>
                <w:highlight w:val="none"/>
                <w:lang w:val="en-US" w:eastAsia="zh-CN"/>
              </w:rPr>
              <w:t>项目平面布置</w:t>
            </w:r>
          </w:p>
          <w:p w14:paraId="72332FD3">
            <w:pPr>
              <w:keepNext w:val="0"/>
              <w:keepLines w:val="0"/>
              <w:pageBreakBefore w:val="0"/>
              <w:widowControl w:val="0"/>
              <w:kinsoku/>
              <w:wordWrap/>
              <w:overflowPunct/>
              <w:topLinePunct/>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总平面布置</w:t>
            </w:r>
            <w:r>
              <w:rPr>
                <w:rFonts w:hint="default" w:ascii="Times New Roman" w:hAnsi="Times New Roman" w:eastAsia="宋体" w:cs="Times New Roman"/>
                <w:color w:val="auto"/>
                <w:kern w:val="0"/>
                <w:sz w:val="24"/>
                <w:szCs w:val="24"/>
                <w:highlight w:val="none"/>
              </w:rPr>
              <w:t>按照建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筑物的生产性质和使用功能，项目总体设计根据要求功能分区明确，人流、物流便捷流畅，生产工艺流程顺畅简捷，</w:t>
            </w:r>
            <w:r>
              <w:rPr>
                <w:rFonts w:hint="default" w:ascii="Times New Roman" w:hAnsi="Times New Roman" w:eastAsia="宋体" w:cs="Times New Roman"/>
                <w:color w:val="auto"/>
                <w:sz w:val="24"/>
                <w:szCs w:val="24"/>
                <w:highlight w:val="none"/>
              </w:rPr>
              <w:t>管线短捷，交通运输组织合理，节约用地等原则。从厂区总平面布置图可以看出，项目厂区</w:t>
            </w:r>
            <w:r>
              <w:rPr>
                <w:rFonts w:hint="default" w:ascii="Times New Roman" w:hAnsi="Times New Roman" w:eastAsia="宋体" w:cs="Times New Roman"/>
                <w:color w:val="auto"/>
                <w:sz w:val="24"/>
                <w:szCs w:val="24"/>
                <w:highlight w:val="none"/>
                <w:lang w:val="en-US" w:eastAsia="zh-CN"/>
              </w:rPr>
              <w:t>主</w:t>
            </w:r>
            <w:r>
              <w:rPr>
                <w:rFonts w:hint="default" w:ascii="Times New Roman" w:hAnsi="Times New Roman" w:eastAsia="宋体" w:cs="Times New Roman"/>
                <w:color w:val="auto"/>
                <w:sz w:val="24"/>
                <w:szCs w:val="24"/>
                <w:highlight w:val="none"/>
              </w:rPr>
              <w:t>出入口设置于</w:t>
            </w:r>
            <w:r>
              <w:rPr>
                <w:rFonts w:hint="default" w:ascii="Times New Roman" w:hAnsi="Times New Roman" w:eastAsia="宋体"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rPr>
              <w:t>侧，</w:t>
            </w:r>
            <w:r>
              <w:rPr>
                <w:rFonts w:hint="default" w:ascii="Times New Roman" w:hAnsi="Times New Roman" w:eastAsia="宋体" w:cs="Times New Roman"/>
                <w:color w:val="auto"/>
                <w:sz w:val="24"/>
                <w:szCs w:val="24"/>
                <w:highlight w:val="none"/>
                <w:lang w:val="en-US" w:eastAsia="zh-CN"/>
              </w:rPr>
              <w:t>北侧与园区市政道路（广平路）</w:t>
            </w:r>
            <w:r>
              <w:rPr>
                <w:rFonts w:hint="default" w:ascii="Times New Roman" w:hAnsi="Times New Roman" w:eastAsia="宋体" w:cs="Times New Roman"/>
                <w:color w:val="auto"/>
                <w:sz w:val="24"/>
                <w:szCs w:val="24"/>
                <w:highlight w:val="none"/>
              </w:rPr>
              <w:t>相连，便于运输；整个项目区主要分为生产区和生活区两个部分，生产区位于厂区</w:t>
            </w:r>
            <w:r>
              <w:rPr>
                <w:rFonts w:hint="default"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rPr>
              <w:t>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北侧及</w:t>
            </w:r>
            <w:r>
              <w:rPr>
                <w:rFonts w:hint="default" w:ascii="Times New Roman" w:hAnsi="Times New Roman" w:eastAsia="宋体" w:cs="Times New Roman"/>
                <w:color w:val="auto"/>
                <w:sz w:val="24"/>
                <w:szCs w:val="24"/>
                <w:highlight w:val="none"/>
                <w:lang w:val="en-US" w:eastAsia="zh-CN"/>
              </w:rPr>
              <w:t>南侧</w:t>
            </w:r>
            <w:r>
              <w:rPr>
                <w:rFonts w:hint="default" w:ascii="Times New Roman" w:hAnsi="Times New Roman" w:eastAsia="宋体" w:cs="Times New Roman"/>
                <w:color w:val="auto"/>
                <w:sz w:val="24"/>
                <w:szCs w:val="24"/>
                <w:highlight w:val="none"/>
              </w:rPr>
              <w:t>，生活区</w:t>
            </w:r>
            <w:r>
              <w:rPr>
                <w:rFonts w:hint="eastAsia" w:cs="Times New Roman"/>
                <w:color w:val="auto"/>
                <w:sz w:val="24"/>
                <w:szCs w:val="24"/>
                <w:highlight w:val="none"/>
                <w:lang w:val="en-US" w:eastAsia="zh-CN"/>
              </w:rPr>
              <w:t>宿舍楼及办公楼分别</w:t>
            </w:r>
            <w:r>
              <w:rPr>
                <w:rFonts w:hint="default" w:ascii="Times New Roman" w:hAnsi="Times New Roman" w:eastAsia="宋体" w:cs="Times New Roman"/>
                <w:color w:val="auto"/>
                <w:sz w:val="24"/>
                <w:szCs w:val="24"/>
                <w:highlight w:val="none"/>
              </w:rPr>
              <w:t>布置于</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东</w:t>
            </w:r>
            <w:r>
              <w:rPr>
                <w:rFonts w:hint="eastAsia"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w:t>
            </w:r>
            <w:r>
              <w:rPr>
                <w:rFonts w:hint="eastAsia" w:cs="Times New Roman"/>
                <w:color w:val="auto"/>
                <w:sz w:val="24"/>
                <w:szCs w:val="24"/>
                <w:highlight w:val="none"/>
                <w:lang w:val="en-US" w:eastAsia="zh-CN"/>
              </w:rPr>
              <w:t>及东</w:t>
            </w:r>
            <w:r>
              <w:rPr>
                <w:rFonts w:hint="default" w:ascii="Times New Roman" w:hAnsi="Times New Roman" w:eastAsia="宋体" w:cs="Times New Roman"/>
                <w:color w:val="auto"/>
                <w:sz w:val="24"/>
                <w:szCs w:val="24"/>
                <w:highlight w:val="none"/>
                <w:lang w:val="en-US" w:eastAsia="zh-CN"/>
              </w:rPr>
              <w:t>南</w:t>
            </w:r>
            <w:r>
              <w:rPr>
                <w:rFonts w:hint="eastAsia"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rPr>
              <w:t>，与生产区之间功能分区明确，生产区按照生产工艺流程进行布置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具</w:t>
            </w:r>
            <w:r>
              <w:rPr>
                <w:rFonts w:hint="default" w:ascii="Times New Roman" w:hAnsi="Times New Roman" w:eastAsia="宋体" w:cs="Times New Roman"/>
                <w:color w:val="auto"/>
                <w:sz w:val="24"/>
                <w:szCs w:val="24"/>
                <w:highlight w:val="none"/>
              </w:rPr>
              <w:t>有合理的功能区分。</w:t>
            </w:r>
          </w:p>
          <w:p w14:paraId="15D89670">
            <w:pPr>
              <w:pStyle w:val="19"/>
              <w:keepNext w:val="0"/>
              <w:keepLines w:val="0"/>
              <w:pageBreakBefore w:val="0"/>
              <w:widowControl w:val="0"/>
              <w:kinsoku/>
              <w:wordWrap/>
              <w:overflowPunct/>
              <w:topLinePunct/>
              <w:autoSpaceDE w:val="0"/>
              <w:bidi w:val="0"/>
              <w:adjustRightInd/>
              <w:snapToGrid/>
              <w:spacing w:before="0" w:after="0" w:line="360" w:lineRule="auto"/>
              <w:ind w:firstLine="480"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环保设施布局主要为：隔油池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化粪池</w:t>
            </w:r>
            <w:r>
              <w:rPr>
                <w:rFonts w:hint="eastAsia"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设置于</w:t>
            </w:r>
            <w:r>
              <w:rPr>
                <w:rFonts w:hint="default" w:ascii="Times New Roman" w:hAnsi="Times New Roman" w:eastAsia="宋体" w:cs="Times New Roman"/>
                <w:color w:val="auto"/>
                <w:sz w:val="24"/>
                <w:szCs w:val="24"/>
                <w:highlight w:val="none"/>
                <w:lang w:val="en-US" w:eastAsia="zh-CN"/>
              </w:rPr>
              <w:t>宿舍楼南侧</w:t>
            </w:r>
            <w:r>
              <w:rPr>
                <w:rFonts w:hint="default" w:ascii="Times New Roman" w:hAnsi="Times New Roman" w:eastAsia="宋体" w:cs="Times New Roman"/>
                <w:color w:val="auto"/>
                <w:sz w:val="24"/>
                <w:szCs w:val="24"/>
                <w:highlight w:val="none"/>
              </w:rPr>
              <w:t>的绿化带内，</w:t>
            </w:r>
            <w:r>
              <w:rPr>
                <w:rFonts w:hint="eastAsia" w:cs="Times New Roman"/>
                <w:color w:val="auto"/>
                <w:sz w:val="24"/>
                <w:szCs w:val="24"/>
                <w:highlight w:val="none"/>
                <w:lang w:val="en-US" w:eastAsia="zh-CN"/>
              </w:rPr>
              <w:t>初期雨水收集池拟布置于办公楼南侧</w:t>
            </w:r>
            <w:r>
              <w:rPr>
                <w:rFonts w:hint="default" w:ascii="Times New Roman" w:hAnsi="Times New Roman" w:eastAsia="宋体" w:cs="Times New Roman"/>
                <w:color w:val="auto"/>
                <w:sz w:val="24"/>
                <w:szCs w:val="24"/>
                <w:highlight w:val="none"/>
              </w:rPr>
              <w:t>；污水处理站</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磨抛循环水池、圆磨循环水池、</w:t>
            </w:r>
            <w:r>
              <w:rPr>
                <w:rFonts w:hint="eastAsia" w:cs="Times New Roman"/>
                <w:color w:val="auto"/>
                <w:sz w:val="24"/>
                <w:szCs w:val="24"/>
                <w:highlight w:val="none"/>
                <w:lang w:eastAsia="zh-CN"/>
              </w:rPr>
              <w:t>危险废物贮存库、</w:t>
            </w:r>
            <w:r>
              <w:rPr>
                <w:rFonts w:hint="eastAsia" w:cs="Times New Roman"/>
                <w:color w:val="auto"/>
                <w:sz w:val="24"/>
                <w:szCs w:val="24"/>
                <w:highlight w:val="none"/>
                <w:lang w:val="en-US" w:eastAsia="zh-CN"/>
              </w:rPr>
              <w:t>事故池等拟</w:t>
            </w:r>
            <w:r>
              <w:rPr>
                <w:rFonts w:hint="default" w:ascii="Times New Roman" w:hAnsi="Times New Roman" w:eastAsia="宋体" w:cs="Times New Roman"/>
                <w:color w:val="auto"/>
                <w:sz w:val="24"/>
                <w:szCs w:val="24"/>
                <w:highlight w:val="none"/>
              </w:rPr>
              <w:t>设置于项目区</w:t>
            </w:r>
            <w:r>
              <w:rPr>
                <w:rFonts w:hint="default" w:ascii="Times New Roman" w:hAnsi="Times New Roman" w:eastAsia="宋体" w:cs="Times New Roman"/>
                <w:color w:val="auto"/>
                <w:sz w:val="24"/>
                <w:szCs w:val="24"/>
                <w:highlight w:val="none"/>
                <w:lang w:val="en-US" w:eastAsia="zh-CN"/>
              </w:rPr>
              <w:t>北侧</w:t>
            </w:r>
            <w:r>
              <w:rPr>
                <w:rFonts w:hint="default" w:ascii="Times New Roman" w:hAnsi="Times New Roman" w:eastAsia="宋体" w:cs="Times New Roman"/>
                <w:color w:val="auto"/>
                <w:sz w:val="24"/>
                <w:szCs w:val="24"/>
                <w:highlight w:val="none"/>
              </w:rPr>
              <w:t>，位于项目厂区常年主导风向的</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风向；根据气象条件，该地区常年主导风向为南风，项目排气筒和生产车间位于下风向，生活区位于</w:t>
            </w:r>
            <w:r>
              <w:rPr>
                <w:rFonts w:hint="default" w:ascii="Times New Roman" w:hAnsi="Times New Roman" w:eastAsia="宋体" w:cs="Times New Roman"/>
                <w:color w:val="auto"/>
                <w:sz w:val="24"/>
                <w:szCs w:val="24"/>
                <w:highlight w:val="none"/>
                <w:lang w:val="en-US" w:eastAsia="zh-CN"/>
              </w:rPr>
              <w:t>侧</w:t>
            </w:r>
            <w:r>
              <w:rPr>
                <w:rFonts w:hint="default" w:ascii="Times New Roman" w:hAnsi="Times New Roman" w:eastAsia="宋体" w:cs="Times New Roman"/>
                <w:color w:val="auto"/>
                <w:sz w:val="24"/>
                <w:szCs w:val="24"/>
                <w:highlight w:val="none"/>
              </w:rPr>
              <w:t>风向，</w:t>
            </w:r>
            <w:r>
              <w:rPr>
                <w:rFonts w:hint="eastAsia"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产生的生产废气对生活办公区影响较小。</w:t>
            </w:r>
            <w:r>
              <w:rPr>
                <w:rFonts w:hint="default" w:ascii="Times New Roman" w:hAnsi="Times New Roman" w:eastAsia="宋体" w:cs="Times New Roman"/>
                <w:strike w:val="0"/>
                <w:dstrike w:val="0"/>
                <w:color w:val="auto"/>
                <w:sz w:val="24"/>
                <w:szCs w:val="24"/>
                <w:highlight w:val="none"/>
                <w:lang w:val="en-US" w:eastAsia="zh-CN"/>
              </w:rPr>
              <w:t>项目总平面布置详见附图4。</w:t>
            </w:r>
          </w:p>
          <w:p w14:paraId="60B60FCF">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11、</w:t>
            </w:r>
            <w:r>
              <w:rPr>
                <w:rFonts w:hint="default" w:ascii="Times New Roman" w:hAnsi="Times New Roman" w:eastAsia="宋体" w:cs="Times New Roman"/>
                <w:b/>
                <w:bCs w:val="0"/>
                <w:color w:val="auto"/>
                <w:sz w:val="24"/>
                <w:szCs w:val="24"/>
                <w:highlight w:val="none"/>
                <w:lang w:val="en-US" w:eastAsia="zh-CN"/>
              </w:rPr>
              <w:t>施工进度</w:t>
            </w:r>
          </w:p>
          <w:p w14:paraId="1E76D1B9">
            <w:pPr>
              <w:keepNext w:val="0"/>
              <w:keepLines w:val="0"/>
              <w:pageBreakBefore w:val="0"/>
              <w:widowControl w:val="0"/>
              <w:kinsoku/>
              <w:wordWrap/>
              <w:overflowPunct/>
              <w:topLinePunct/>
              <w:autoSpaceDE w:val="0"/>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项目</w:t>
            </w:r>
            <w:r>
              <w:rPr>
                <w:rFonts w:hint="default" w:ascii="Times New Roman" w:hAnsi="Times New Roman" w:eastAsia="宋体" w:cs="Times New Roman"/>
                <w:strike w:val="0"/>
                <w:dstrike w:val="0"/>
                <w:color w:val="auto"/>
                <w:spacing w:val="-2"/>
                <w:sz w:val="24"/>
                <w:szCs w:val="24"/>
                <w:highlight w:val="none"/>
              </w:rPr>
              <w:t>施工期为</w:t>
            </w:r>
            <w:r>
              <w:rPr>
                <w:rFonts w:hint="default" w:ascii="Times New Roman" w:hAnsi="Times New Roman" w:eastAsia="宋体" w:cs="Times New Roman"/>
                <w:strike w:val="0"/>
                <w:dstrike w:val="0"/>
                <w:color w:val="auto"/>
                <w:spacing w:val="-2"/>
                <w:sz w:val="24"/>
                <w:szCs w:val="24"/>
                <w:highlight w:val="none"/>
                <w:lang w:val="en-US" w:eastAsia="zh-CN"/>
              </w:rPr>
              <w:t>12</w:t>
            </w:r>
            <w:r>
              <w:rPr>
                <w:rFonts w:hint="eastAsia" w:cs="Times New Roman"/>
                <w:strike w:val="0"/>
                <w:dstrike w:val="0"/>
                <w:color w:val="auto"/>
                <w:spacing w:val="-2"/>
                <w:sz w:val="24"/>
                <w:szCs w:val="24"/>
                <w:highlight w:val="none"/>
                <w:lang w:val="en-US" w:eastAsia="zh-CN"/>
              </w:rPr>
              <w:t>个</w:t>
            </w:r>
            <w:r>
              <w:rPr>
                <w:rFonts w:hint="default" w:ascii="Times New Roman" w:hAnsi="Times New Roman" w:eastAsia="宋体" w:cs="Times New Roman"/>
                <w:strike w:val="0"/>
                <w:dstrike w:val="0"/>
                <w:color w:val="auto"/>
                <w:spacing w:val="-2"/>
                <w:sz w:val="24"/>
                <w:szCs w:val="24"/>
                <w:highlight w:val="none"/>
              </w:rPr>
              <w:t>月，</w:t>
            </w:r>
            <w:r>
              <w:rPr>
                <w:rFonts w:hint="default" w:ascii="Times New Roman" w:hAnsi="Times New Roman" w:eastAsia="宋体" w:cs="Times New Roman"/>
                <w:strike w:val="0"/>
                <w:dstrike w:val="0"/>
                <w:color w:val="auto"/>
                <w:spacing w:val="-2"/>
                <w:sz w:val="24"/>
                <w:szCs w:val="24"/>
                <w:highlight w:val="none"/>
                <w:lang w:val="en-US" w:eastAsia="zh-CN"/>
              </w:rPr>
              <w:t>计划</w:t>
            </w:r>
            <w:r>
              <w:rPr>
                <w:rFonts w:hint="default" w:ascii="Times New Roman" w:hAnsi="Times New Roman" w:eastAsia="宋体" w:cs="Times New Roman"/>
                <w:strike w:val="0"/>
                <w:dstrike w:val="0"/>
                <w:color w:val="auto"/>
                <w:spacing w:val="-2"/>
                <w:sz w:val="24"/>
                <w:szCs w:val="24"/>
                <w:highlight w:val="none"/>
              </w:rPr>
              <w:t>202</w:t>
            </w:r>
            <w:r>
              <w:rPr>
                <w:rFonts w:hint="default" w:ascii="Times New Roman" w:hAnsi="Times New Roman" w:eastAsia="宋体" w:cs="Times New Roman"/>
                <w:strike w:val="0"/>
                <w:dstrike w:val="0"/>
                <w:color w:val="auto"/>
                <w:spacing w:val="-2"/>
                <w:sz w:val="24"/>
                <w:szCs w:val="24"/>
                <w:highlight w:val="none"/>
                <w:lang w:val="en-US" w:eastAsia="zh-CN"/>
              </w:rPr>
              <w:t>6</w:t>
            </w:r>
            <w:r>
              <w:rPr>
                <w:rFonts w:hint="default" w:ascii="Times New Roman" w:hAnsi="Times New Roman" w:eastAsia="宋体" w:cs="Times New Roman"/>
                <w:strike w:val="0"/>
                <w:dstrike w:val="0"/>
                <w:color w:val="auto"/>
                <w:spacing w:val="-2"/>
                <w:sz w:val="24"/>
                <w:szCs w:val="24"/>
                <w:highlight w:val="none"/>
              </w:rPr>
              <w:t>年</w:t>
            </w:r>
            <w:r>
              <w:rPr>
                <w:rFonts w:hint="eastAsia" w:cs="Times New Roman"/>
                <w:strike w:val="0"/>
                <w:dstrike w:val="0"/>
                <w:color w:val="auto"/>
                <w:spacing w:val="-2"/>
                <w:sz w:val="24"/>
                <w:szCs w:val="24"/>
                <w:highlight w:val="none"/>
                <w:lang w:val="en-US" w:eastAsia="zh-CN"/>
              </w:rPr>
              <w:t>6</w:t>
            </w:r>
            <w:r>
              <w:rPr>
                <w:rFonts w:hint="default" w:ascii="Times New Roman" w:hAnsi="Times New Roman" w:eastAsia="宋体" w:cs="Times New Roman"/>
                <w:strike w:val="0"/>
                <w:dstrike w:val="0"/>
                <w:color w:val="auto"/>
                <w:spacing w:val="-2"/>
                <w:sz w:val="24"/>
                <w:szCs w:val="24"/>
                <w:highlight w:val="none"/>
              </w:rPr>
              <w:t>月开工，202</w:t>
            </w:r>
            <w:r>
              <w:rPr>
                <w:rFonts w:hint="default" w:ascii="Times New Roman" w:hAnsi="Times New Roman" w:eastAsia="宋体" w:cs="Times New Roman"/>
                <w:strike w:val="0"/>
                <w:dstrike w:val="0"/>
                <w:color w:val="auto"/>
                <w:spacing w:val="-2"/>
                <w:sz w:val="24"/>
                <w:szCs w:val="24"/>
                <w:highlight w:val="none"/>
                <w:lang w:val="en-US" w:eastAsia="zh-CN"/>
              </w:rPr>
              <w:t>7</w:t>
            </w:r>
            <w:r>
              <w:rPr>
                <w:rFonts w:hint="default" w:ascii="Times New Roman" w:hAnsi="Times New Roman" w:eastAsia="宋体" w:cs="Times New Roman"/>
                <w:strike w:val="0"/>
                <w:dstrike w:val="0"/>
                <w:color w:val="auto"/>
                <w:spacing w:val="-6"/>
                <w:sz w:val="24"/>
                <w:szCs w:val="24"/>
                <w:highlight w:val="none"/>
              </w:rPr>
              <w:t>年</w:t>
            </w:r>
            <w:r>
              <w:rPr>
                <w:rFonts w:hint="eastAsia" w:cs="Times New Roman"/>
                <w:strike w:val="0"/>
                <w:dstrike w:val="0"/>
                <w:color w:val="auto"/>
                <w:spacing w:val="-6"/>
                <w:sz w:val="24"/>
                <w:szCs w:val="24"/>
                <w:highlight w:val="none"/>
                <w:lang w:val="en-US" w:eastAsia="zh-CN"/>
              </w:rPr>
              <w:t>5</w:t>
            </w:r>
            <w:r>
              <w:rPr>
                <w:rFonts w:hint="default" w:ascii="Times New Roman" w:hAnsi="Times New Roman" w:eastAsia="宋体" w:cs="Times New Roman"/>
                <w:strike w:val="0"/>
                <w:dstrike w:val="0"/>
                <w:color w:val="auto"/>
                <w:spacing w:val="-6"/>
                <w:sz w:val="24"/>
                <w:szCs w:val="24"/>
                <w:highlight w:val="none"/>
              </w:rPr>
              <w:t>月竣工。</w:t>
            </w:r>
          </w:p>
          <w:p w14:paraId="468AB158">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kern w:val="2"/>
                <w:sz w:val="24"/>
                <w:szCs w:val="24"/>
                <w:lang w:val="en-US" w:eastAsia="zh-CN" w:bidi="ar-SA"/>
              </w:rPr>
              <w:t>12、</w:t>
            </w:r>
            <w:r>
              <w:rPr>
                <w:rFonts w:hint="default" w:ascii="Times New Roman" w:hAnsi="Times New Roman" w:eastAsia="宋体" w:cs="Times New Roman"/>
                <w:b/>
                <w:bCs w:val="0"/>
                <w:color w:val="auto"/>
                <w:sz w:val="24"/>
                <w:szCs w:val="24"/>
                <w:highlight w:val="none"/>
                <w:lang w:val="en-US" w:eastAsia="zh-CN"/>
              </w:rPr>
              <w:t>环保投资</w:t>
            </w:r>
          </w:p>
          <w:p w14:paraId="66DAA9BC">
            <w:pPr>
              <w:keepNext w:val="0"/>
              <w:keepLines w:val="0"/>
              <w:pageBreakBefore w:val="0"/>
              <w:kinsoku/>
              <w:overflowPunct/>
              <w:topLine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项目总投资为</w:t>
            </w:r>
            <w:r>
              <w:rPr>
                <w:rFonts w:hint="default" w:ascii="Times New Roman" w:hAnsi="Times New Roman" w:eastAsia="宋体" w:cs="Times New Roman"/>
                <w:color w:val="auto"/>
                <w:sz w:val="24"/>
                <w:szCs w:val="24"/>
                <w:highlight w:val="none"/>
                <w:lang w:val="en-US" w:eastAsia="zh-CN"/>
              </w:rPr>
              <w:t>50000万</w:t>
            </w:r>
            <w:r>
              <w:rPr>
                <w:rFonts w:hint="default" w:ascii="Times New Roman" w:hAnsi="Times New Roman" w:eastAsia="宋体" w:cs="Times New Roman"/>
                <w:color w:val="auto"/>
                <w:sz w:val="24"/>
                <w:szCs w:val="24"/>
                <w:highlight w:val="none"/>
              </w:rPr>
              <w:t>元，其中环保投资</w:t>
            </w:r>
            <w:r>
              <w:rPr>
                <w:rFonts w:hint="default" w:ascii="Times New Roman" w:hAnsi="Times New Roman" w:eastAsia="宋体" w:cs="Times New Roman"/>
                <w:strike w:val="0"/>
                <w:dstrike w:val="0"/>
                <w:color w:val="auto"/>
                <w:sz w:val="24"/>
                <w:szCs w:val="24"/>
                <w:highlight w:val="none"/>
                <w:lang w:val="en-US" w:eastAsia="zh-CN"/>
              </w:rPr>
              <w:t>8</w:t>
            </w:r>
            <w:r>
              <w:rPr>
                <w:rFonts w:hint="eastAsia" w:cs="Times New Roman"/>
                <w:strike w:val="0"/>
                <w:dstrike w:val="0"/>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万元，占总投资比例</w:t>
            </w:r>
            <w:r>
              <w:rPr>
                <w:rFonts w:hint="default" w:ascii="Times New Roman" w:hAnsi="Times New Roman" w:eastAsia="宋体" w:cs="Times New Roman"/>
                <w:color w:val="auto"/>
                <w:sz w:val="24"/>
                <w:szCs w:val="24"/>
                <w:highlight w:val="none"/>
                <w:lang w:val="en-US" w:eastAsia="zh-CN"/>
              </w:rPr>
              <w:t>1.6</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%。环保投资分项估算见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6E4A91F1">
            <w:pPr>
              <w:keepNext w:val="0"/>
              <w:keepLines w:val="0"/>
              <w:pageBreakBefore w:val="0"/>
              <w:widowControl w:val="0"/>
              <w:kinsoku/>
              <w:wordWrap/>
              <w:overflowPunct/>
              <w:topLinePunct/>
              <w:autoSpaceDE w:val="0"/>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1</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 xml:space="preserve">  项目</w:t>
            </w:r>
            <w:r>
              <w:rPr>
                <w:rFonts w:hint="default" w:ascii="Times New Roman" w:hAnsi="Times New Roman" w:eastAsia="宋体" w:cs="Times New Roman"/>
                <w:b/>
                <w:color w:val="auto"/>
                <w:sz w:val="21"/>
                <w:szCs w:val="21"/>
                <w:highlight w:val="none"/>
              </w:rPr>
              <w:t>环保投资估算表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32"/>
              <w:gridCol w:w="5604"/>
              <w:gridCol w:w="1001"/>
            </w:tblGrid>
            <w:tr w14:paraId="5817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noWrap w:val="0"/>
                  <w:vAlign w:val="center"/>
                </w:tcPr>
                <w:p w14:paraId="622AA7D1">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阶段</w:t>
                  </w:r>
                </w:p>
              </w:tc>
              <w:tc>
                <w:tcPr>
                  <w:tcW w:w="832" w:type="dxa"/>
                  <w:noWrap w:val="0"/>
                  <w:vAlign w:val="center"/>
                </w:tcPr>
                <w:p w14:paraId="0416764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处理对象</w:t>
                  </w:r>
                </w:p>
              </w:tc>
              <w:tc>
                <w:tcPr>
                  <w:tcW w:w="5604" w:type="dxa"/>
                  <w:noWrap w:val="0"/>
                  <w:vAlign w:val="center"/>
                </w:tcPr>
                <w:p w14:paraId="7B61004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处理设施</w:t>
                  </w:r>
                </w:p>
              </w:tc>
              <w:tc>
                <w:tcPr>
                  <w:tcW w:w="1001" w:type="dxa"/>
                  <w:noWrap w:val="0"/>
                  <w:vAlign w:val="center"/>
                </w:tcPr>
                <w:p w14:paraId="7D95C6C0">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投资（万元）</w:t>
                  </w:r>
                </w:p>
              </w:tc>
            </w:tr>
            <w:tr w14:paraId="66BE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restart"/>
                  <w:noWrap w:val="0"/>
                  <w:vAlign w:val="center"/>
                </w:tcPr>
                <w:p w14:paraId="45A79AF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施工期</w:t>
                  </w:r>
                </w:p>
              </w:tc>
              <w:tc>
                <w:tcPr>
                  <w:tcW w:w="832" w:type="dxa"/>
                  <w:noWrap w:val="0"/>
                  <w:vAlign w:val="center"/>
                </w:tcPr>
                <w:p w14:paraId="39E49D1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废气</w:t>
                  </w:r>
                </w:p>
              </w:tc>
              <w:tc>
                <w:tcPr>
                  <w:tcW w:w="5604" w:type="dxa"/>
                  <w:noWrap w:val="0"/>
                  <w:vAlign w:val="center"/>
                </w:tcPr>
                <w:p w14:paraId="2DB908AA">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Cs/>
                      <w:strike w:val="0"/>
                      <w:dstrike w:val="0"/>
                      <w:color w:val="auto"/>
                      <w:sz w:val="21"/>
                      <w:szCs w:val="21"/>
                      <w:highlight w:val="none"/>
                    </w:rPr>
                    <w:t>设置临时施工围挡、洒水降尘、建筑材料覆盖等</w:t>
                  </w:r>
                </w:p>
              </w:tc>
              <w:tc>
                <w:tcPr>
                  <w:tcW w:w="1001" w:type="dxa"/>
                  <w:noWrap w:val="0"/>
                  <w:vAlign w:val="center"/>
                </w:tcPr>
                <w:p w14:paraId="18BE2661">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6</w:t>
                  </w:r>
                  <w:r>
                    <w:rPr>
                      <w:rFonts w:hint="default" w:ascii="Times New Roman" w:hAnsi="Times New Roman" w:eastAsia="宋体" w:cs="Times New Roman"/>
                      <w:strike w:val="0"/>
                      <w:dstrike w:val="0"/>
                      <w:color w:val="auto"/>
                      <w:sz w:val="21"/>
                      <w:szCs w:val="21"/>
                      <w:highlight w:val="none"/>
                    </w:rPr>
                    <w:t>.5</w:t>
                  </w:r>
                </w:p>
              </w:tc>
            </w:tr>
            <w:tr w14:paraId="3D2B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54577BBC">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p>
              </w:tc>
              <w:tc>
                <w:tcPr>
                  <w:tcW w:w="832" w:type="dxa"/>
                  <w:noWrap w:val="0"/>
                  <w:vAlign w:val="center"/>
                </w:tcPr>
                <w:p w14:paraId="41304005">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废水</w:t>
                  </w:r>
                </w:p>
              </w:tc>
              <w:tc>
                <w:tcPr>
                  <w:tcW w:w="5604" w:type="dxa"/>
                  <w:noWrap w:val="0"/>
                  <w:vAlign w:val="center"/>
                </w:tcPr>
                <w:p w14:paraId="225FCBC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Cs/>
                      <w:strike w:val="0"/>
                      <w:dstrike w:val="0"/>
                      <w:color w:val="auto"/>
                      <w:sz w:val="21"/>
                      <w:szCs w:val="21"/>
                      <w:highlight w:val="none"/>
                    </w:rPr>
                    <w:t>施工临时沉淀池、沉砂池</w:t>
                  </w:r>
                </w:p>
              </w:tc>
              <w:tc>
                <w:tcPr>
                  <w:tcW w:w="1001" w:type="dxa"/>
                  <w:noWrap w:val="0"/>
                  <w:vAlign w:val="center"/>
                </w:tcPr>
                <w:p w14:paraId="28AC604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5</w:t>
                  </w:r>
                  <w:r>
                    <w:rPr>
                      <w:rFonts w:hint="default" w:ascii="Times New Roman" w:hAnsi="Times New Roman" w:eastAsia="宋体" w:cs="Times New Roman"/>
                      <w:strike w:val="0"/>
                      <w:dstrike w:val="0"/>
                      <w:color w:val="auto"/>
                      <w:sz w:val="21"/>
                      <w:szCs w:val="21"/>
                      <w:highlight w:val="none"/>
                    </w:rPr>
                    <w:t>.0</w:t>
                  </w:r>
                </w:p>
              </w:tc>
            </w:tr>
            <w:tr w14:paraId="155E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3402462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p>
              </w:tc>
              <w:tc>
                <w:tcPr>
                  <w:tcW w:w="832" w:type="dxa"/>
                  <w:noWrap w:val="0"/>
                  <w:vAlign w:val="center"/>
                </w:tcPr>
                <w:p w14:paraId="1702A381">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噪声</w:t>
                  </w:r>
                </w:p>
              </w:tc>
              <w:tc>
                <w:tcPr>
                  <w:tcW w:w="5604" w:type="dxa"/>
                  <w:noWrap w:val="0"/>
                  <w:vAlign w:val="center"/>
                </w:tcPr>
                <w:p w14:paraId="57C5007B">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Cs/>
                      <w:strike w:val="0"/>
                      <w:dstrike w:val="0"/>
                      <w:color w:val="auto"/>
                      <w:sz w:val="21"/>
                      <w:szCs w:val="21"/>
                      <w:highlight w:val="none"/>
                    </w:rPr>
                    <w:t>选用低噪声设备、设备减震、设置临时围挡</w:t>
                  </w:r>
                  <w:r>
                    <w:rPr>
                      <w:rFonts w:hint="default" w:ascii="Times New Roman" w:hAnsi="Times New Roman" w:eastAsia="宋体" w:cs="Times New Roman"/>
                      <w:bCs/>
                      <w:strike w:val="0"/>
                      <w:dstrike w:val="0"/>
                      <w:color w:val="auto"/>
                      <w:sz w:val="21"/>
                      <w:szCs w:val="21"/>
                      <w:highlight w:val="none"/>
                      <w:lang w:eastAsia="zh-CN"/>
                    </w:rPr>
                    <w:t>、</w:t>
                  </w:r>
                  <w:r>
                    <w:rPr>
                      <w:rFonts w:hint="default" w:ascii="Times New Roman" w:hAnsi="Times New Roman" w:eastAsia="宋体" w:cs="Times New Roman"/>
                      <w:color w:val="auto"/>
                      <w:spacing w:val="9"/>
                      <w:sz w:val="21"/>
                      <w:szCs w:val="21"/>
                      <w:highlight w:val="none"/>
                    </w:rPr>
                    <w:t>加强施工机械的维修、管理</w:t>
                  </w:r>
                </w:p>
              </w:tc>
              <w:tc>
                <w:tcPr>
                  <w:tcW w:w="1001" w:type="dxa"/>
                  <w:noWrap w:val="0"/>
                  <w:vAlign w:val="center"/>
                </w:tcPr>
                <w:p w14:paraId="72D9B5C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w:t>
                  </w:r>
                  <w:r>
                    <w:rPr>
                      <w:rFonts w:hint="default" w:ascii="Times New Roman" w:hAnsi="Times New Roman" w:eastAsia="宋体" w:cs="Times New Roman"/>
                      <w:strike w:val="0"/>
                      <w:dstrike w:val="0"/>
                      <w:color w:val="auto"/>
                      <w:sz w:val="21"/>
                      <w:szCs w:val="21"/>
                      <w:highlight w:val="none"/>
                    </w:rPr>
                    <w:t>.5</w:t>
                  </w:r>
                </w:p>
              </w:tc>
            </w:tr>
            <w:tr w14:paraId="7976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1ECBFE4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p>
              </w:tc>
              <w:tc>
                <w:tcPr>
                  <w:tcW w:w="832" w:type="dxa"/>
                  <w:noWrap w:val="0"/>
                  <w:vAlign w:val="center"/>
                </w:tcPr>
                <w:p w14:paraId="36474F2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固废</w:t>
                  </w:r>
                </w:p>
              </w:tc>
              <w:tc>
                <w:tcPr>
                  <w:tcW w:w="5604" w:type="dxa"/>
                  <w:noWrap w:val="0"/>
                  <w:vAlign w:val="center"/>
                </w:tcPr>
                <w:p w14:paraId="4786FD0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Cs/>
                      <w:strike w:val="0"/>
                      <w:dstrike w:val="0"/>
                      <w:color w:val="auto"/>
                      <w:sz w:val="21"/>
                      <w:szCs w:val="21"/>
                      <w:highlight w:val="none"/>
                    </w:rPr>
                    <w:t>建筑垃圾等清运、处置</w:t>
                  </w:r>
                </w:p>
              </w:tc>
              <w:tc>
                <w:tcPr>
                  <w:tcW w:w="1001" w:type="dxa"/>
                  <w:noWrap w:val="0"/>
                  <w:vAlign w:val="center"/>
                </w:tcPr>
                <w:p w14:paraId="460A0F4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7</w:t>
                  </w:r>
                  <w:r>
                    <w:rPr>
                      <w:rFonts w:hint="default" w:ascii="Times New Roman" w:hAnsi="Times New Roman" w:eastAsia="宋体" w:cs="Times New Roman"/>
                      <w:strike w:val="0"/>
                      <w:dstrike w:val="0"/>
                      <w:color w:val="auto"/>
                      <w:sz w:val="21"/>
                      <w:szCs w:val="21"/>
                      <w:highlight w:val="none"/>
                    </w:rPr>
                    <w:t>.0</w:t>
                  </w:r>
                </w:p>
              </w:tc>
            </w:tr>
            <w:tr w14:paraId="09E6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restart"/>
                  <w:noWrap w:val="0"/>
                  <w:vAlign w:val="center"/>
                </w:tcPr>
                <w:p w14:paraId="62EBC06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运营期</w:t>
                  </w:r>
                </w:p>
              </w:tc>
              <w:tc>
                <w:tcPr>
                  <w:tcW w:w="832" w:type="dxa"/>
                  <w:vMerge w:val="restart"/>
                  <w:noWrap w:val="0"/>
                  <w:vAlign w:val="center"/>
                </w:tcPr>
                <w:p w14:paraId="27C44927">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废气</w:t>
                  </w:r>
                </w:p>
              </w:tc>
              <w:tc>
                <w:tcPr>
                  <w:tcW w:w="5604" w:type="dxa"/>
                  <w:noWrap w:val="0"/>
                  <w:vAlign w:val="center"/>
                </w:tcPr>
                <w:p w14:paraId="3DE0E17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color w:val="auto"/>
                      <w:spacing w:val="1"/>
                      <w:sz w:val="21"/>
                      <w:szCs w:val="21"/>
                      <w:highlight w:val="none"/>
                      <w:lang w:eastAsia="zh-CN"/>
                    </w:rPr>
                    <w:t>珠胚生产</w:t>
                  </w:r>
                  <w:r>
                    <w:rPr>
                      <w:rFonts w:hint="default" w:ascii="Times New Roman" w:hAnsi="Times New Roman" w:eastAsia="宋体" w:cs="Times New Roman"/>
                      <w:color w:val="auto"/>
                      <w:spacing w:val="1"/>
                      <w:sz w:val="21"/>
                      <w:szCs w:val="21"/>
                      <w:highlight w:val="none"/>
                    </w:rPr>
                    <w:t>线</w:t>
                  </w:r>
                  <w:r>
                    <w:rPr>
                      <w:rFonts w:hint="default" w:ascii="Times New Roman" w:hAnsi="Times New Roman" w:eastAsia="宋体" w:cs="Times New Roman"/>
                      <w:color w:val="auto"/>
                      <w:sz w:val="21"/>
                      <w:szCs w:val="21"/>
                      <w:highlight w:val="none"/>
                    </w:rPr>
                    <w:t>配料</w:t>
                  </w:r>
                  <w:r>
                    <w:rPr>
                      <w:rFonts w:hint="eastAsia" w:cs="Times New Roman"/>
                      <w:color w:val="auto"/>
                      <w:sz w:val="21"/>
                      <w:szCs w:val="21"/>
                      <w:highlight w:val="none"/>
                      <w:lang w:val="en-US" w:eastAsia="zh-CN"/>
                    </w:rPr>
                    <w:t>粉尘</w:t>
                  </w:r>
                  <w:r>
                    <w:rPr>
                      <w:rFonts w:hint="default" w:ascii="Times New Roman" w:hAnsi="Times New Roman" w:eastAsia="宋体" w:cs="Times New Roman"/>
                      <w:color w:val="auto"/>
                      <w:sz w:val="21"/>
                      <w:szCs w:val="21"/>
                      <w:highlight w:val="none"/>
                    </w:rPr>
                    <w:t>、电炉</w:t>
                  </w:r>
                  <w:r>
                    <w:rPr>
                      <w:rFonts w:hint="eastAsia" w:cs="Times New Roman"/>
                      <w:color w:val="auto"/>
                      <w:sz w:val="21"/>
                      <w:szCs w:val="21"/>
                      <w:highlight w:val="none"/>
                      <w:lang w:val="en-US" w:eastAsia="zh-CN"/>
                    </w:rPr>
                    <w:t>烟尘</w:t>
                  </w:r>
                  <w:r>
                    <w:rPr>
                      <w:rFonts w:hint="default" w:ascii="Times New Roman" w:hAnsi="Times New Roman" w:eastAsia="宋体" w:cs="Times New Roman"/>
                      <w:color w:val="auto"/>
                      <w:spacing w:val="-6"/>
                      <w:sz w:val="21"/>
                      <w:szCs w:val="21"/>
                      <w:highlight w:val="none"/>
                    </w:rPr>
                    <w:t>、滚</w:t>
                  </w:r>
                  <w:r>
                    <w:rPr>
                      <w:rFonts w:hint="default" w:ascii="Times New Roman" w:hAnsi="Times New Roman" w:eastAsia="宋体" w:cs="Times New Roman"/>
                      <w:color w:val="auto"/>
                      <w:sz w:val="21"/>
                      <w:szCs w:val="21"/>
                      <w:highlight w:val="none"/>
                    </w:rPr>
                    <w:t>抛</w:t>
                  </w:r>
                  <w:r>
                    <w:rPr>
                      <w:rFonts w:hint="default" w:ascii="Times New Roman" w:hAnsi="Times New Roman" w:eastAsia="宋体" w:cs="Times New Roman"/>
                      <w:color w:val="auto"/>
                      <w:sz w:val="21"/>
                      <w:szCs w:val="21"/>
                      <w:highlight w:val="none"/>
                      <w:lang w:val="en-US" w:eastAsia="zh-CN"/>
                    </w:rPr>
                    <w:t>粉尘</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投料、滚抛</w:t>
                  </w:r>
                  <w:r>
                    <w:rPr>
                      <w:rFonts w:hint="default" w:ascii="Times New Roman" w:hAnsi="Times New Roman" w:eastAsia="宋体" w:cs="Times New Roman"/>
                      <w:strike w:val="0"/>
                      <w:dstrike w:val="0"/>
                      <w:color w:val="auto"/>
                      <w:sz w:val="21"/>
                      <w:szCs w:val="21"/>
                      <w:highlight w:val="none"/>
                      <w:lang w:val="en-US" w:eastAsia="zh-CN"/>
                    </w:rPr>
                    <w:t>集气罩</w:t>
                  </w:r>
                  <w:r>
                    <w:rPr>
                      <w:rFonts w:hint="eastAsia" w:cs="Times New Roman"/>
                      <w:strike w:val="0"/>
                      <w:dstrike w:val="0"/>
                      <w:color w:val="auto"/>
                      <w:sz w:val="21"/>
                      <w:szCs w:val="21"/>
                      <w:highlight w:val="none"/>
                      <w:lang w:val="en-US" w:eastAsia="zh-CN"/>
                    </w:rPr>
                    <w:t>/电炉密闭管道</w:t>
                  </w:r>
                  <w:r>
                    <w:rPr>
                      <w:rFonts w:hint="default" w:ascii="Times New Roman" w:hAnsi="Times New Roman" w:eastAsia="宋体" w:cs="Times New Roman"/>
                      <w:strike w:val="0"/>
                      <w:dstrike w:val="0"/>
                      <w:color w:val="auto"/>
                      <w:sz w:val="21"/>
                      <w:szCs w:val="21"/>
                      <w:highlight w:val="none"/>
                      <w:lang w:val="en-US" w:eastAsia="zh-CN"/>
                    </w:rPr>
                    <w:t>+布袋除尘器+15m高排气筒（DA001），1套</w:t>
                  </w:r>
                </w:p>
              </w:tc>
              <w:tc>
                <w:tcPr>
                  <w:tcW w:w="1001" w:type="dxa"/>
                  <w:noWrap w:val="0"/>
                  <w:vAlign w:val="center"/>
                </w:tcPr>
                <w:p w14:paraId="05CE1F74">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18.0</w:t>
                  </w:r>
                </w:p>
              </w:tc>
            </w:tr>
            <w:tr w14:paraId="7838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2638777">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28EC6A8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6187E53A">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吸塑片</w:t>
                  </w:r>
                  <w:r>
                    <w:rPr>
                      <w:rFonts w:hint="default" w:ascii="Times New Roman" w:hAnsi="Times New Roman" w:eastAsia="宋体" w:cs="Times New Roman"/>
                      <w:color w:val="auto"/>
                      <w:sz w:val="21"/>
                      <w:szCs w:val="21"/>
                      <w:highlight w:val="none"/>
                    </w:rPr>
                    <w:t>生产线</w:t>
                  </w:r>
                  <w:r>
                    <w:rPr>
                      <w:rFonts w:hint="default" w:ascii="Times New Roman" w:hAnsi="Times New Roman" w:eastAsia="宋体" w:cs="Times New Roman"/>
                      <w:color w:val="auto"/>
                      <w:sz w:val="21"/>
                      <w:szCs w:val="21"/>
                      <w:highlight w:val="none"/>
                      <w:lang w:val="en-US" w:eastAsia="zh-CN"/>
                    </w:rPr>
                    <w:t>投料粉尘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lang w:val="en-US" w:eastAsia="zh-CN"/>
                    </w:rPr>
                    <w:t>集气罩+布袋除尘器+15m高排气筒（DA002），1套</w:t>
                  </w:r>
                </w:p>
              </w:tc>
              <w:tc>
                <w:tcPr>
                  <w:tcW w:w="1001" w:type="dxa"/>
                  <w:noWrap w:val="0"/>
                  <w:vAlign w:val="center"/>
                </w:tcPr>
                <w:p w14:paraId="4925972F">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15.0</w:t>
                  </w:r>
                </w:p>
              </w:tc>
            </w:tr>
            <w:tr w14:paraId="013B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60C77497">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109E9FD6">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6B697E28">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吸塑片</w:t>
                  </w:r>
                  <w:r>
                    <w:rPr>
                      <w:rFonts w:hint="default" w:ascii="Times New Roman" w:hAnsi="Times New Roman" w:eastAsia="宋体" w:cs="Times New Roman"/>
                      <w:color w:val="auto"/>
                      <w:sz w:val="21"/>
                      <w:szCs w:val="21"/>
                      <w:highlight w:val="none"/>
                    </w:rPr>
                    <w:t>生产线</w:t>
                  </w:r>
                  <w:r>
                    <w:rPr>
                      <w:rFonts w:hint="default" w:ascii="Times New Roman" w:hAnsi="Times New Roman" w:eastAsia="宋体" w:cs="Times New Roman"/>
                      <w:color w:val="auto"/>
                      <w:sz w:val="21"/>
                      <w:szCs w:val="21"/>
                      <w:highlight w:val="none"/>
                      <w:lang w:val="en-US" w:eastAsia="zh-CN"/>
                    </w:rPr>
                    <w:t>生产废气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lang w:val="en-US" w:eastAsia="zh-CN"/>
                    </w:rPr>
                    <w:t>集气罩+三级活性炭吸附+15m高排气筒（DA003），1套</w:t>
                  </w:r>
                </w:p>
              </w:tc>
              <w:tc>
                <w:tcPr>
                  <w:tcW w:w="1001" w:type="dxa"/>
                  <w:noWrap w:val="0"/>
                  <w:vAlign w:val="center"/>
                </w:tcPr>
                <w:p w14:paraId="6494C402">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20.0</w:t>
                  </w:r>
                </w:p>
              </w:tc>
            </w:tr>
            <w:tr w14:paraId="6005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607B12B">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0F0BF1F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51386F7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抛轮生</w:t>
                  </w:r>
                  <w:r>
                    <w:rPr>
                      <w:rFonts w:hint="default" w:ascii="Times New Roman" w:hAnsi="Times New Roman" w:eastAsia="宋体" w:cs="Times New Roman"/>
                      <w:color w:val="auto"/>
                      <w:spacing w:val="1"/>
                      <w:sz w:val="21"/>
                      <w:szCs w:val="21"/>
                      <w:highlight w:val="none"/>
                    </w:rPr>
                    <w:t>产线投料、车圆</w:t>
                  </w:r>
                  <w:r>
                    <w:rPr>
                      <w:rFonts w:hint="default" w:ascii="Times New Roman" w:hAnsi="Times New Roman" w:eastAsia="宋体" w:cs="Times New Roman"/>
                      <w:color w:val="auto"/>
                      <w:spacing w:val="1"/>
                      <w:sz w:val="21"/>
                      <w:szCs w:val="21"/>
                      <w:highlight w:val="none"/>
                      <w:lang w:val="en-US" w:eastAsia="zh-CN"/>
                    </w:rPr>
                    <w:t>粉尘</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strike w:val="0"/>
                      <w:dstrike w:val="0"/>
                      <w:color w:val="auto"/>
                      <w:sz w:val="21"/>
                      <w:szCs w:val="21"/>
                      <w:highlight w:val="none"/>
                      <w:lang w:val="en-US" w:eastAsia="zh-CN"/>
                    </w:rPr>
                    <w:t>集气罩+布袋除尘器+15m高排气筒（DA004），1套</w:t>
                  </w:r>
                </w:p>
              </w:tc>
              <w:tc>
                <w:tcPr>
                  <w:tcW w:w="1001" w:type="dxa"/>
                  <w:noWrap w:val="0"/>
                  <w:vAlign w:val="center"/>
                </w:tcPr>
                <w:p w14:paraId="4ED10E39">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Fonts w:hint="eastAsia" w:cs="Times New Roman"/>
                      <w:i w:val="0"/>
                      <w:iCs w:val="0"/>
                      <w:color w:val="auto"/>
                      <w:kern w:val="0"/>
                      <w:sz w:val="21"/>
                      <w:szCs w:val="21"/>
                      <w:highlight w:val="none"/>
                      <w:u w:val="none"/>
                      <w:lang w:val="en-US" w:eastAsia="zh-CN" w:bidi="ar"/>
                    </w:rPr>
                    <w:t>.0</w:t>
                  </w:r>
                </w:p>
              </w:tc>
            </w:tr>
            <w:tr w14:paraId="49B6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7F5AC55">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540E851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646C7B7A">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1套食堂油烟净化器</w:t>
                  </w:r>
                </w:p>
              </w:tc>
              <w:tc>
                <w:tcPr>
                  <w:tcW w:w="1001" w:type="dxa"/>
                  <w:noWrap w:val="0"/>
                  <w:vAlign w:val="center"/>
                </w:tcPr>
                <w:p w14:paraId="5B3C247C">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2.5</w:t>
                  </w:r>
                </w:p>
              </w:tc>
            </w:tr>
            <w:tr w14:paraId="65A2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7B16A64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restart"/>
                  <w:noWrap w:val="0"/>
                  <w:vAlign w:val="center"/>
                </w:tcPr>
                <w:p w14:paraId="52E3B1E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废水</w:t>
                  </w:r>
                </w:p>
              </w:tc>
              <w:tc>
                <w:tcPr>
                  <w:tcW w:w="5604" w:type="dxa"/>
                  <w:noWrap w:val="0"/>
                  <w:vAlign w:val="center"/>
                </w:tcPr>
                <w:p w14:paraId="0DD0EFAD">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5"/>
                      <w:position w:val="1"/>
                      <w:sz w:val="21"/>
                      <w:szCs w:val="21"/>
                      <w:highlight w:val="none"/>
                      <w:lang w:val="en-US" w:eastAsia="zh-CN"/>
                    </w:rPr>
                  </w:pPr>
                  <w:r>
                    <w:rPr>
                      <w:rFonts w:hint="default" w:ascii="Times New Roman" w:hAnsi="Times New Roman" w:eastAsia="宋体" w:cs="Times New Roman"/>
                      <w:strike w:val="0"/>
                      <w:dstrike w:val="0"/>
                      <w:color w:val="auto"/>
                      <w:spacing w:val="5"/>
                      <w:position w:val="1"/>
                      <w:sz w:val="21"/>
                      <w:szCs w:val="21"/>
                      <w:highlight w:val="none"/>
                    </w:rPr>
                    <w:t>一整套雨污分流系统</w:t>
                  </w:r>
                </w:p>
              </w:tc>
              <w:tc>
                <w:tcPr>
                  <w:tcW w:w="1001" w:type="dxa"/>
                  <w:noWrap w:val="0"/>
                  <w:vAlign w:val="center"/>
                </w:tcPr>
                <w:p w14:paraId="1BDC1D56">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5"/>
                      <w:position w:val="1"/>
                      <w:sz w:val="21"/>
                      <w:szCs w:val="21"/>
                      <w:highlight w:val="none"/>
                      <w:lang w:val="en-US" w:eastAsia="zh-CN"/>
                    </w:rPr>
                  </w:pPr>
                  <w:r>
                    <w:rPr>
                      <w:rFonts w:hint="default" w:ascii="Times New Roman" w:hAnsi="Times New Roman" w:eastAsia="宋体" w:cs="Times New Roman"/>
                      <w:strike w:val="0"/>
                      <w:dstrike w:val="0"/>
                      <w:color w:val="auto"/>
                      <w:spacing w:val="5"/>
                      <w:position w:val="1"/>
                      <w:sz w:val="21"/>
                      <w:szCs w:val="21"/>
                      <w:highlight w:val="none"/>
                    </w:rPr>
                    <w:t>1</w:t>
                  </w:r>
                  <w:r>
                    <w:rPr>
                      <w:rFonts w:hint="eastAsia" w:cs="Times New Roman"/>
                      <w:strike w:val="0"/>
                      <w:dstrike w:val="0"/>
                      <w:color w:val="auto"/>
                      <w:spacing w:val="5"/>
                      <w:position w:val="1"/>
                      <w:sz w:val="21"/>
                      <w:szCs w:val="21"/>
                      <w:highlight w:val="none"/>
                      <w:lang w:val="en-US" w:eastAsia="zh-CN"/>
                    </w:rPr>
                    <w:t>5</w:t>
                  </w:r>
                  <w:r>
                    <w:rPr>
                      <w:rFonts w:hint="default" w:ascii="Times New Roman" w:hAnsi="Times New Roman" w:eastAsia="宋体" w:cs="Times New Roman"/>
                      <w:strike w:val="0"/>
                      <w:dstrike w:val="0"/>
                      <w:color w:val="auto"/>
                      <w:spacing w:val="5"/>
                      <w:position w:val="1"/>
                      <w:sz w:val="21"/>
                      <w:szCs w:val="21"/>
                      <w:highlight w:val="none"/>
                    </w:rPr>
                    <w:t>0.0</w:t>
                  </w:r>
                </w:p>
              </w:tc>
            </w:tr>
            <w:tr w14:paraId="04BB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081B011B">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3F6CEAD2">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1EB1CBD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pacing w:val="5"/>
                      <w:position w:val="1"/>
                      <w:sz w:val="21"/>
                      <w:szCs w:val="21"/>
                      <w:highlight w:val="none"/>
                    </w:rPr>
                  </w:pPr>
                  <w:r>
                    <w:rPr>
                      <w:rFonts w:hint="default" w:ascii="Times New Roman" w:hAnsi="Times New Roman" w:eastAsia="宋体" w:cs="Times New Roman"/>
                      <w:color w:val="auto"/>
                      <w:spacing w:val="3"/>
                      <w:sz w:val="21"/>
                      <w:szCs w:val="21"/>
                      <w:highlight w:val="none"/>
                      <w:lang w:val="en-US" w:eastAsia="zh-CN"/>
                    </w:rPr>
                    <w:t>1座隔油池</w:t>
                  </w: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容积不小于1.0m</w:t>
                  </w:r>
                  <w:r>
                    <w:rPr>
                      <w:rFonts w:hint="default" w:ascii="Times New Roman" w:hAnsi="Times New Roman" w:eastAsia="宋体" w:cs="Times New Roman"/>
                      <w:color w:val="auto"/>
                      <w:spacing w:val="3"/>
                      <w:sz w:val="21"/>
                      <w:szCs w:val="21"/>
                      <w:highlight w:val="none"/>
                      <w:vertAlign w:val="superscript"/>
                      <w:lang w:val="en-US" w:eastAsia="zh-CN"/>
                    </w:rPr>
                    <w:t>3</w:t>
                  </w:r>
                </w:p>
              </w:tc>
              <w:tc>
                <w:tcPr>
                  <w:tcW w:w="1001" w:type="dxa"/>
                  <w:noWrap w:val="0"/>
                  <w:vAlign w:val="center"/>
                </w:tcPr>
                <w:p w14:paraId="141AA4AA">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5"/>
                      <w:position w:val="1"/>
                      <w:sz w:val="21"/>
                      <w:szCs w:val="21"/>
                      <w:highlight w:val="none"/>
                      <w:lang w:val="en-US" w:eastAsia="zh-CN"/>
                    </w:rPr>
                  </w:pPr>
                  <w:r>
                    <w:rPr>
                      <w:rFonts w:hint="default" w:ascii="Times New Roman" w:hAnsi="Times New Roman" w:eastAsia="宋体" w:cs="Times New Roman"/>
                      <w:strike w:val="0"/>
                      <w:dstrike w:val="0"/>
                      <w:color w:val="auto"/>
                      <w:spacing w:val="5"/>
                      <w:position w:val="1"/>
                      <w:sz w:val="21"/>
                      <w:szCs w:val="21"/>
                      <w:highlight w:val="none"/>
                      <w:lang w:val="en-US" w:eastAsia="zh-CN"/>
                    </w:rPr>
                    <w:t>1.0</w:t>
                  </w:r>
                </w:p>
              </w:tc>
            </w:tr>
            <w:tr w14:paraId="54CC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5AA7341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372FF4A1">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7B28557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pacing w:val="5"/>
                      <w:position w:val="1"/>
                      <w:sz w:val="21"/>
                      <w:szCs w:val="21"/>
                      <w:highlight w:val="none"/>
                    </w:rPr>
                  </w:pPr>
                  <w:r>
                    <w:rPr>
                      <w:rFonts w:hint="default" w:ascii="Times New Roman" w:hAnsi="Times New Roman" w:eastAsia="宋体" w:cs="Times New Roman"/>
                      <w:color w:val="auto"/>
                      <w:spacing w:val="3"/>
                      <w:sz w:val="21"/>
                      <w:szCs w:val="21"/>
                      <w:highlight w:val="none"/>
                      <w:lang w:val="en-US" w:eastAsia="zh-CN"/>
                    </w:rPr>
                    <w:t>化粪池</w:t>
                  </w: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总容积不小于30m</w:t>
                  </w:r>
                  <w:r>
                    <w:rPr>
                      <w:rFonts w:hint="default" w:ascii="Times New Roman" w:hAnsi="Times New Roman" w:eastAsia="宋体" w:cs="Times New Roman"/>
                      <w:color w:val="auto"/>
                      <w:spacing w:val="3"/>
                      <w:sz w:val="21"/>
                      <w:szCs w:val="21"/>
                      <w:highlight w:val="none"/>
                      <w:vertAlign w:val="superscript"/>
                      <w:lang w:val="en-US" w:eastAsia="zh-CN"/>
                    </w:rPr>
                    <w:t>3</w:t>
                  </w:r>
                </w:p>
              </w:tc>
              <w:tc>
                <w:tcPr>
                  <w:tcW w:w="1001" w:type="dxa"/>
                  <w:noWrap w:val="0"/>
                  <w:vAlign w:val="center"/>
                </w:tcPr>
                <w:p w14:paraId="65ADD67B">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pacing w:val="5"/>
                      <w:position w:val="1"/>
                      <w:sz w:val="21"/>
                      <w:szCs w:val="21"/>
                      <w:highlight w:val="none"/>
                      <w:lang w:val="en-US" w:eastAsia="zh-CN"/>
                    </w:rPr>
                  </w:pPr>
                  <w:r>
                    <w:rPr>
                      <w:rFonts w:hint="default" w:ascii="Times New Roman" w:hAnsi="Times New Roman" w:eastAsia="宋体" w:cs="Times New Roman"/>
                      <w:strike w:val="0"/>
                      <w:dstrike w:val="0"/>
                      <w:color w:val="auto"/>
                      <w:spacing w:val="5"/>
                      <w:position w:val="1"/>
                      <w:sz w:val="21"/>
                      <w:szCs w:val="21"/>
                      <w:highlight w:val="none"/>
                      <w:lang w:val="en-US" w:eastAsia="zh-CN"/>
                    </w:rPr>
                    <w:t>5.0</w:t>
                  </w:r>
                </w:p>
              </w:tc>
            </w:tr>
            <w:tr w14:paraId="44B2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3F0D8E25">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CB1FF5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49B90B2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1座</w:t>
                  </w:r>
                  <w:r>
                    <w:rPr>
                      <w:rFonts w:hint="eastAsia" w:ascii="Times New Roman" w:hAnsi="Times New Roman" w:eastAsia="宋体" w:cs="Times New Roman"/>
                      <w:color w:val="auto"/>
                      <w:spacing w:val="3"/>
                      <w:sz w:val="21"/>
                      <w:szCs w:val="21"/>
                      <w:highlight w:val="none"/>
                      <w:lang w:val="en-US" w:eastAsia="zh-CN"/>
                    </w:rPr>
                    <w:t>珠胚循环水池，</w:t>
                  </w:r>
                  <w:r>
                    <w:rPr>
                      <w:rFonts w:hint="default" w:ascii="Times New Roman" w:hAnsi="Times New Roman" w:eastAsia="宋体" w:cs="Times New Roman"/>
                      <w:color w:val="auto"/>
                      <w:spacing w:val="3"/>
                      <w:sz w:val="21"/>
                      <w:szCs w:val="21"/>
                      <w:highlight w:val="none"/>
                      <w:lang w:val="en-US" w:eastAsia="zh-CN"/>
                    </w:rPr>
                    <w:t>容积不小于</w:t>
                  </w:r>
                  <w:r>
                    <w:rPr>
                      <w:rFonts w:hint="eastAsia" w:ascii="Times New Roman" w:hAnsi="Times New Roman" w:eastAsia="宋体" w:cs="Times New Roman"/>
                      <w:color w:val="auto"/>
                      <w:spacing w:val="3"/>
                      <w:sz w:val="21"/>
                      <w:szCs w:val="21"/>
                      <w:highlight w:val="none"/>
                      <w:lang w:val="en-US" w:eastAsia="zh-CN"/>
                    </w:rPr>
                    <w:t>8</w:t>
                  </w:r>
                  <w:r>
                    <w:rPr>
                      <w:rFonts w:hint="default" w:ascii="Times New Roman" w:hAnsi="Times New Roman" w:eastAsia="宋体" w:cs="Times New Roman"/>
                      <w:color w:val="auto"/>
                      <w:spacing w:val="3"/>
                      <w:sz w:val="21"/>
                      <w:szCs w:val="21"/>
                      <w:highlight w:val="none"/>
                      <w:lang w:val="en-US" w:eastAsia="zh-CN"/>
                    </w:rPr>
                    <w:t>0m</w:t>
                  </w:r>
                  <w:r>
                    <w:rPr>
                      <w:rFonts w:hint="default" w:ascii="Times New Roman" w:hAnsi="Times New Roman" w:eastAsia="宋体" w:cs="Times New Roman"/>
                      <w:color w:val="auto"/>
                      <w:spacing w:val="3"/>
                      <w:sz w:val="21"/>
                      <w:szCs w:val="21"/>
                      <w:highlight w:val="none"/>
                      <w:vertAlign w:val="superscript"/>
                      <w:lang w:val="en-US" w:eastAsia="zh-CN"/>
                    </w:rPr>
                    <w:t>3</w:t>
                  </w:r>
                </w:p>
              </w:tc>
              <w:tc>
                <w:tcPr>
                  <w:tcW w:w="1001" w:type="dxa"/>
                  <w:noWrap w:val="0"/>
                  <w:vAlign w:val="center"/>
                </w:tcPr>
                <w:p w14:paraId="3D40507B">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10.0</w:t>
                  </w:r>
                </w:p>
              </w:tc>
            </w:tr>
            <w:tr w14:paraId="7184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46C5121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F570350">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2001BEF7">
                  <w:pPr>
                    <w:keepNext w:val="0"/>
                    <w:keepLines w:val="0"/>
                    <w:pageBreakBefore w:val="0"/>
                    <w:widowControl/>
                    <w:suppressLineNumbers w:val="0"/>
                    <w:kinsoku/>
                    <w:wordWrap/>
                    <w:overflowPunct/>
                    <w:bidi w:val="0"/>
                    <w:spacing w:line="240" w:lineRule="auto"/>
                    <w:ind w:left="0" w:leftChars="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1座磨抛循环</w:t>
                  </w:r>
                  <w:r>
                    <w:rPr>
                      <w:rFonts w:hint="eastAsia" w:ascii="Times New Roman" w:hAnsi="Times New Roman" w:eastAsia="宋体" w:cs="Times New Roman"/>
                      <w:color w:val="auto"/>
                      <w:spacing w:val="3"/>
                      <w:sz w:val="21"/>
                      <w:szCs w:val="21"/>
                      <w:highlight w:val="none"/>
                      <w:lang w:val="en-US" w:eastAsia="zh-CN"/>
                    </w:rPr>
                    <w:t>水</w:t>
                  </w:r>
                  <w:r>
                    <w:rPr>
                      <w:rFonts w:hint="default" w:ascii="Times New Roman" w:hAnsi="Times New Roman" w:eastAsia="宋体" w:cs="Times New Roman"/>
                      <w:i w:val="0"/>
                      <w:iCs w:val="0"/>
                      <w:color w:val="auto"/>
                      <w:kern w:val="0"/>
                      <w:sz w:val="21"/>
                      <w:szCs w:val="21"/>
                      <w:highlight w:val="none"/>
                      <w:u w:val="none"/>
                      <w:lang w:val="en-US" w:eastAsia="zh-CN" w:bidi="ar"/>
                    </w:rPr>
                    <w:t>池</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12</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01" w:type="dxa"/>
                  <w:noWrap w:val="0"/>
                  <w:vAlign w:val="center"/>
                </w:tcPr>
                <w:p w14:paraId="67B00880">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06D5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69F87DD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5A3B921">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69947560">
                  <w:pPr>
                    <w:keepNext w:val="0"/>
                    <w:keepLines w:val="0"/>
                    <w:pageBreakBefore w:val="0"/>
                    <w:widowControl/>
                    <w:suppressLineNumbers w:val="0"/>
                    <w:kinsoku/>
                    <w:wordWrap/>
                    <w:overflowPunct/>
                    <w:bidi w:val="0"/>
                    <w:spacing w:line="240" w:lineRule="auto"/>
                    <w:ind w:left="0" w:leftChars="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1座圆磨循环</w:t>
                  </w:r>
                  <w:r>
                    <w:rPr>
                      <w:rFonts w:hint="eastAsia" w:ascii="Times New Roman" w:hAnsi="Times New Roman" w:eastAsia="宋体" w:cs="Times New Roman"/>
                      <w:color w:val="auto"/>
                      <w:spacing w:val="3"/>
                      <w:sz w:val="21"/>
                      <w:szCs w:val="21"/>
                      <w:highlight w:val="none"/>
                      <w:lang w:val="en-US" w:eastAsia="zh-CN"/>
                    </w:rPr>
                    <w:t>水</w:t>
                  </w:r>
                  <w:r>
                    <w:rPr>
                      <w:rFonts w:hint="default" w:ascii="Times New Roman" w:hAnsi="Times New Roman" w:eastAsia="宋体" w:cs="Times New Roman"/>
                      <w:i w:val="0"/>
                      <w:iCs w:val="0"/>
                      <w:color w:val="auto"/>
                      <w:kern w:val="0"/>
                      <w:sz w:val="21"/>
                      <w:szCs w:val="21"/>
                      <w:highlight w:val="none"/>
                      <w:u w:val="none"/>
                      <w:lang w:val="en-US" w:eastAsia="zh-CN" w:bidi="ar"/>
                    </w:rPr>
                    <w:t>池</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12</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01" w:type="dxa"/>
                  <w:noWrap w:val="0"/>
                  <w:vAlign w:val="center"/>
                </w:tcPr>
                <w:p w14:paraId="714C9138">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7F3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0F4A4436">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72F643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6C304FF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1座</w:t>
                  </w:r>
                  <w:r>
                    <w:rPr>
                      <w:rFonts w:hint="eastAsia" w:ascii="Times New Roman" w:hAnsi="Times New Roman" w:eastAsia="宋体" w:cs="Times New Roman"/>
                      <w:color w:val="auto"/>
                      <w:spacing w:val="3"/>
                      <w:sz w:val="21"/>
                      <w:szCs w:val="21"/>
                      <w:highlight w:val="none"/>
                      <w:lang w:val="en-US" w:eastAsia="zh-CN"/>
                    </w:rPr>
                    <w:t>碱液收集池，</w:t>
                  </w:r>
                  <w:r>
                    <w:rPr>
                      <w:rFonts w:hint="default" w:ascii="Times New Roman" w:hAnsi="Times New Roman" w:eastAsia="宋体" w:cs="Times New Roman"/>
                      <w:i w:val="0"/>
                      <w:iCs w:val="0"/>
                      <w:color w:val="auto"/>
                      <w:kern w:val="0"/>
                      <w:sz w:val="21"/>
                      <w:szCs w:val="21"/>
                      <w:highlight w:val="none"/>
                      <w:u w:val="none"/>
                      <w:lang w:val="en-US" w:eastAsia="zh-CN" w:bidi="ar"/>
                    </w:rPr>
                    <w:t>容积不小于</w:t>
                  </w:r>
                  <w:r>
                    <w:rPr>
                      <w:rStyle w:val="68"/>
                      <w:rFonts w:hint="eastAsia" w:cs="Times New Roman"/>
                      <w:color w:val="auto"/>
                      <w:sz w:val="21"/>
                      <w:szCs w:val="21"/>
                      <w:highlight w:val="none"/>
                      <w:lang w:val="en-US" w:eastAsia="zh-CN" w:bidi="ar"/>
                    </w:rPr>
                    <w:t>1</w:t>
                  </w:r>
                  <w:r>
                    <w:rPr>
                      <w:rStyle w:val="68"/>
                      <w:rFonts w:hint="default" w:ascii="Times New Roman" w:hAnsi="Times New Roman" w:eastAsia="宋体" w:cs="Times New Roman"/>
                      <w:color w:val="auto"/>
                      <w:sz w:val="21"/>
                      <w:szCs w:val="21"/>
                      <w:highlight w:val="none"/>
                      <w:lang w:val="en-US" w:eastAsia="zh-CN" w:bidi="ar"/>
                    </w:rPr>
                    <w:t>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01" w:type="dxa"/>
                  <w:noWrap w:val="0"/>
                  <w:vAlign w:val="center"/>
                </w:tcPr>
                <w:p w14:paraId="45567C8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5</w:t>
                  </w:r>
                  <w:r>
                    <w:rPr>
                      <w:rFonts w:hint="default" w:ascii="Times New Roman" w:hAnsi="Times New Roman" w:eastAsia="宋体" w:cs="Times New Roman"/>
                      <w:strike w:val="0"/>
                      <w:dstrike w:val="0"/>
                      <w:color w:val="auto"/>
                      <w:sz w:val="21"/>
                      <w:szCs w:val="21"/>
                      <w:highlight w:val="none"/>
                      <w:lang w:val="en-US" w:eastAsia="zh-CN"/>
                    </w:rPr>
                    <w:t>.0</w:t>
                  </w:r>
                </w:p>
              </w:tc>
            </w:tr>
            <w:tr w14:paraId="2677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01A4F272">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A7996C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shd w:val="clear" w:color="auto" w:fill="auto"/>
                  <w:noWrap w:val="0"/>
                  <w:vAlign w:val="center"/>
                </w:tcPr>
                <w:p w14:paraId="043605D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trike w:val="0"/>
                      <w:dstrike w:val="0"/>
                      <w:color w:val="auto"/>
                      <w:kern w:val="2"/>
                      <w:sz w:val="21"/>
                      <w:szCs w:val="21"/>
                      <w:highlight w:val="green"/>
                      <w:lang w:val="en-US" w:eastAsia="zh-CN" w:bidi="ar-SA"/>
                    </w:rPr>
                  </w:pPr>
                  <w:r>
                    <w:rPr>
                      <w:rFonts w:hint="default" w:ascii="Times New Roman" w:hAnsi="Times New Roman" w:eastAsia="宋体" w:cs="Times New Roman"/>
                      <w:color w:val="auto"/>
                      <w:spacing w:val="3"/>
                      <w:sz w:val="21"/>
                      <w:szCs w:val="21"/>
                      <w:highlight w:val="none"/>
                      <w:lang w:val="en-US" w:eastAsia="zh-CN"/>
                    </w:rPr>
                    <w:t>1座生化污水处理站</w:t>
                  </w:r>
                  <w:r>
                    <w:rPr>
                      <w:rFonts w:hint="eastAsia" w:ascii="Times New Roman" w:hAnsi="Times New Roman" w:eastAsia="宋体" w:cs="Times New Roman"/>
                      <w:color w:val="auto"/>
                      <w:spacing w:val="3"/>
                      <w:sz w:val="21"/>
                      <w:szCs w:val="21"/>
                      <w:highlight w:val="none"/>
                      <w:lang w:val="en-US" w:eastAsia="zh-CN"/>
                    </w:rPr>
                    <w:t>，处理规模36</w:t>
                  </w:r>
                  <w:r>
                    <w:rPr>
                      <w:rFonts w:hint="default" w:ascii="Times New Roman" w:hAnsi="Times New Roman" w:eastAsia="宋体" w:cs="Times New Roman"/>
                      <w:color w:val="auto"/>
                      <w:spacing w:val="3"/>
                      <w:sz w:val="21"/>
                      <w:szCs w:val="21"/>
                      <w:highlight w:val="none"/>
                      <w:lang w:val="en-US" w:eastAsia="zh-CN"/>
                    </w:rPr>
                    <w:t>0m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lang w:val="en-US" w:eastAsia="zh-CN"/>
                    </w:rPr>
                    <w:t>/d</w:t>
                  </w:r>
                </w:p>
              </w:tc>
              <w:tc>
                <w:tcPr>
                  <w:tcW w:w="1001" w:type="dxa"/>
                  <w:shd w:val="clear" w:color="auto" w:fill="auto"/>
                  <w:noWrap w:val="0"/>
                  <w:vAlign w:val="center"/>
                </w:tcPr>
                <w:p w14:paraId="17871355">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b w:val="0"/>
                      <w:bCs w:val="0"/>
                      <w:strike w:val="0"/>
                      <w:dstrike w:val="0"/>
                      <w:color w:val="auto"/>
                      <w:kern w:val="2"/>
                      <w:sz w:val="21"/>
                      <w:szCs w:val="21"/>
                      <w:highlight w:val="green"/>
                      <w:lang w:val="en-US" w:eastAsia="zh-CN" w:bidi="ar-SA"/>
                    </w:rPr>
                  </w:pPr>
                  <w:r>
                    <w:rPr>
                      <w:rFonts w:hint="default" w:ascii="Times New Roman" w:hAnsi="Times New Roman" w:eastAsia="宋体" w:cs="Times New Roman"/>
                      <w:b w:val="0"/>
                      <w:bCs w:val="0"/>
                      <w:strike w:val="0"/>
                      <w:dstrike w:val="0"/>
                      <w:color w:val="auto"/>
                      <w:sz w:val="21"/>
                      <w:szCs w:val="21"/>
                      <w:highlight w:val="none"/>
                      <w:lang w:val="en-US" w:eastAsia="zh-CN"/>
                    </w:rPr>
                    <w:t>350.0</w:t>
                  </w:r>
                </w:p>
              </w:tc>
            </w:tr>
            <w:tr w14:paraId="0B0D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53AC9378">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6940BC6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315269F2">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初期雨水收集池</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color w:val="auto"/>
                      <w:spacing w:val="3"/>
                      <w:sz w:val="21"/>
                      <w:szCs w:val="21"/>
                      <w:highlight w:val="none"/>
                      <w:lang w:val="en-US" w:eastAsia="zh-CN"/>
                    </w:rPr>
                    <w:t>容积不小于</w:t>
                  </w:r>
                  <w:r>
                    <w:rPr>
                      <w:rStyle w:val="68"/>
                      <w:rFonts w:hint="default" w:ascii="Times New Roman" w:hAnsi="Times New Roman" w:eastAsia="宋体" w:cs="Times New Roman"/>
                      <w:color w:val="auto"/>
                      <w:sz w:val="21"/>
                      <w:szCs w:val="21"/>
                      <w:highlight w:val="none"/>
                      <w:lang w:val="en-US" w:eastAsia="zh-CN" w:bidi="ar"/>
                    </w:rPr>
                    <w:t>300m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001" w:type="dxa"/>
                  <w:noWrap w:val="0"/>
                  <w:vAlign w:val="center"/>
                </w:tcPr>
                <w:p w14:paraId="33AD933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15.0</w:t>
                  </w:r>
                </w:p>
              </w:tc>
            </w:tr>
            <w:tr w14:paraId="1D4D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BF3FD2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restart"/>
                  <w:noWrap w:val="0"/>
                  <w:vAlign w:val="center"/>
                </w:tcPr>
                <w:p w14:paraId="1CEA4DD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固废</w:t>
                  </w:r>
                </w:p>
              </w:tc>
              <w:tc>
                <w:tcPr>
                  <w:tcW w:w="5604" w:type="dxa"/>
                  <w:noWrap w:val="0"/>
                  <w:vAlign w:val="center"/>
                </w:tcPr>
                <w:p w14:paraId="0B2FBD5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生活垃圾桶若干</w:t>
                  </w:r>
                </w:p>
              </w:tc>
              <w:tc>
                <w:tcPr>
                  <w:tcW w:w="1001" w:type="dxa"/>
                  <w:noWrap w:val="0"/>
                  <w:vAlign w:val="center"/>
                </w:tcPr>
                <w:p w14:paraId="1AAD6CB4">
                  <w:pPr>
                    <w:keepNext w:val="0"/>
                    <w:keepLines w:val="0"/>
                    <w:pageBreakBefore w:val="0"/>
                    <w:widowControl w:val="0"/>
                    <w:kinsoku/>
                    <w:wordWrap/>
                    <w:overflowPunct/>
                    <w:topLinePunct/>
                    <w:autoSpaceDE w:val="0"/>
                    <w:autoSpaceDN/>
                    <w:bidi w:val="0"/>
                    <w:adjustRightInd/>
                    <w:snapToGrid/>
                    <w:spacing w:line="240" w:lineRule="auto"/>
                    <w:ind w:left="0" w:left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r w14:paraId="5BD7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AD0CE62">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43A1356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4D3E58E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1间面积为30m</w:t>
                  </w:r>
                  <w:r>
                    <w:rPr>
                      <w:rFonts w:hint="default" w:ascii="Times New Roman" w:hAnsi="Times New Roman" w:eastAsia="宋体" w:cs="Times New Roman"/>
                      <w:b w:val="0"/>
                      <w:bCs w:val="0"/>
                      <w:strike w:val="0"/>
                      <w:dstrike w:val="0"/>
                      <w:color w:val="auto"/>
                      <w:sz w:val="21"/>
                      <w:szCs w:val="21"/>
                      <w:highlight w:val="none"/>
                      <w:vertAlign w:val="superscript"/>
                      <w:lang w:val="en-US" w:eastAsia="zh-CN"/>
                    </w:rPr>
                    <w:t>2</w:t>
                  </w:r>
                  <w:r>
                    <w:rPr>
                      <w:rFonts w:hint="default" w:ascii="Times New Roman" w:hAnsi="Times New Roman" w:eastAsia="宋体" w:cs="Times New Roman"/>
                      <w:b w:val="0"/>
                      <w:bCs w:val="0"/>
                      <w:strike w:val="0"/>
                      <w:dstrike w:val="0"/>
                      <w:color w:val="auto"/>
                      <w:sz w:val="21"/>
                      <w:szCs w:val="21"/>
                      <w:highlight w:val="none"/>
                      <w:lang w:val="en-US" w:eastAsia="zh-CN"/>
                    </w:rPr>
                    <w:t>的</w:t>
                  </w:r>
                  <w:r>
                    <w:rPr>
                      <w:rFonts w:hint="eastAsia" w:cs="Times New Roman"/>
                      <w:b w:val="0"/>
                      <w:bCs w:val="0"/>
                      <w:strike w:val="0"/>
                      <w:dstrike w:val="0"/>
                      <w:color w:val="auto"/>
                      <w:sz w:val="21"/>
                      <w:szCs w:val="21"/>
                      <w:highlight w:val="none"/>
                      <w:lang w:val="en-US" w:eastAsia="zh-CN"/>
                    </w:rPr>
                    <w:t>危险废物贮存库</w:t>
                  </w:r>
                </w:p>
              </w:tc>
              <w:tc>
                <w:tcPr>
                  <w:tcW w:w="1001" w:type="dxa"/>
                  <w:noWrap w:val="0"/>
                  <w:vAlign w:val="center"/>
                </w:tcPr>
                <w:p w14:paraId="6E936E0A">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8.0</w:t>
                  </w:r>
                </w:p>
              </w:tc>
            </w:tr>
            <w:tr w14:paraId="71E9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75BEADE0">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3F0A2B1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5604" w:type="dxa"/>
                  <w:noWrap w:val="0"/>
                  <w:vAlign w:val="center"/>
                </w:tcPr>
                <w:p w14:paraId="4ACEBDC0">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1间面积为600m</w:t>
                  </w:r>
                  <w:r>
                    <w:rPr>
                      <w:rFonts w:hint="default" w:ascii="Times New Roman" w:hAnsi="Times New Roman" w:eastAsia="宋体" w:cs="Times New Roman"/>
                      <w:b w:val="0"/>
                      <w:bCs w:val="0"/>
                      <w:strike w:val="0"/>
                      <w:dstrike w:val="0"/>
                      <w:color w:val="auto"/>
                      <w:sz w:val="21"/>
                      <w:szCs w:val="21"/>
                      <w:highlight w:val="none"/>
                      <w:vertAlign w:val="superscript"/>
                      <w:lang w:val="en-US" w:eastAsia="zh-CN"/>
                    </w:rPr>
                    <w:t>2</w:t>
                  </w:r>
                  <w:r>
                    <w:rPr>
                      <w:rFonts w:hint="default" w:ascii="Times New Roman" w:hAnsi="Times New Roman" w:eastAsia="宋体" w:cs="Times New Roman"/>
                      <w:b w:val="0"/>
                      <w:bCs w:val="0"/>
                      <w:strike w:val="0"/>
                      <w:dstrike w:val="0"/>
                      <w:color w:val="auto"/>
                      <w:sz w:val="21"/>
                      <w:szCs w:val="21"/>
                      <w:highlight w:val="none"/>
                      <w:lang w:val="en-US" w:eastAsia="zh-CN"/>
                    </w:rPr>
                    <w:t>的一般固体暂存间</w:t>
                  </w:r>
                </w:p>
              </w:tc>
              <w:tc>
                <w:tcPr>
                  <w:tcW w:w="1001" w:type="dxa"/>
                  <w:noWrap w:val="0"/>
                  <w:vAlign w:val="center"/>
                </w:tcPr>
                <w:p w14:paraId="6F85FA7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10.0</w:t>
                  </w:r>
                </w:p>
              </w:tc>
            </w:tr>
            <w:tr w14:paraId="21E5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8EF3656">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noWrap w:val="0"/>
                  <w:vAlign w:val="center"/>
                </w:tcPr>
                <w:p w14:paraId="14F07D62">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噪声</w:t>
                  </w:r>
                </w:p>
              </w:tc>
              <w:tc>
                <w:tcPr>
                  <w:tcW w:w="5604" w:type="dxa"/>
                  <w:noWrap w:val="0"/>
                  <w:vAlign w:val="center"/>
                </w:tcPr>
                <w:p w14:paraId="4D4719C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设备安装减震垫</w:t>
                  </w:r>
                  <w:r>
                    <w:rPr>
                      <w:rFonts w:hint="default" w:ascii="Times New Roman" w:hAnsi="Times New Roman" w:eastAsia="宋体" w:cs="Times New Roman"/>
                      <w:color w:val="auto"/>
                      <w:spacing w:val="9"/>
                      <w:sz w:val="21"/>
                      <w:szCs w:val="21"/>
                      <w:highlight w:val="none"/>
                    </w:rPr>
                    <w:t>、</w:t>
                  </w:r>
                  <w:r>
                    <w:rPr>
                      <w:rFonts w:hint="default" w:ascii="Times New Roman" w:hAnsi="Times New Roman" w:eastAsia="宋体" w:cs="Times New Roman"/>
                      <w:color w:val="auto"/>
                      <w:spacing w:val="9"/>
                      <w:sz w:val="21"/>
                      <w:szCs w:val="21"/>
                      <w:highlight w:val="none"/>
                      <w:lang w:val="en-US" w:eastAsia="zh-CN"/>
                    </w:rPr>
                    <w:t>低噪声</w:t>
                  </w:r>
                  <w:r>
                    <w:rPr>
                      <w:rFonts w:hint="default" w:ascii="Times New Roman" w:hAnsi="Times New Roman" w:eastAsia="宋体" w:cs="Times New Roman"/>
                      <w:color w:val="auto"/>
                      <w:spacing w:val="9"/>
                      <w:sz w:val="21"/>
                      <w:szCs w:val="21"/>
                      <w:highlight w:val="none"/>
                    </w:rPr>
                    <w:t>设备</w:t>
                  </w:r>
                  <w:r>
                    <w:rPr>
                      <w:rFonts w:hint="default" w:ascii="Times New Roman" w:hAnsi="Times New Roman" w:eastAsia="宋体" w:cs="Times New Roman"/>
                      <w:color w:val="auto"/>
                      <w:spacing w:val="9"/>
                      <w:sz w:val="21"/>
                      <w:szCs w:val="21"/>
                      <w:highlight w:val="none"/>
                      <w:lang w:val="en-US" w:eastAsia="zh-CN"/>
                    </w:rPr>
                    <w:t>等</w:t>
                  </w:r>
                </w:p>
              </w:tc>
              <w:tc>
                <w:tcPr>
                  <w:tcW w:w="1001" w:type="dxa"/>
                  <w:noWrap w:val="0"/>
                  <w:vAlign w:val="center"/>
                </w:tcPr>
                <w:p w14:paraId="5514F464">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12.0</w:t>
                  </w:r>
                </w:p>
              </w:tc>
            </w:tr>
            <w:tr w14:paraId="1186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D21D96C">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noWrap w:val="0"/>
                  <w:vAlign w:val="center"/>
                </w:tcPr>
                <w:p w14:paraId="6D0FE09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地下水</w:t>
                  </w:r>
                </w:p>
              </w:tc>
              <w:tc>
                <w:tcPr>
                  <w:tcW w:w="5604" w:type="dxa"/>
                  <w:noWrap w:val="0"/>
                  <w:vAlign w:val="center"/>
                </w:tcPr>
                <w:p w14:paraId="69824B35">
                  <w:pPr>
                    <w:keepNext w:val="0"/>
                    <w:keepLines w:val="0"/>
                    <w:pageBreakBefore w:val="0"/>
                    <w:kinsoku/>
                    <w:overflowPunct/>
                    <w:topLinePunct/>
                    <w:autoSpaceDE w:val="0"/>
                    <w:autoSpaceDN w:val="0"/>
                    <w:bidi w:val="0"/>
                    <w:adjustRightIn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项目区进行分区防渗，主要分为</w:t>
                  </w:r>
                  <w:r>
                    <w:rPr>
                      <w:rFonts w:hint="default" w:ascii="Times New Roman" w:hAnsi="Times New Roman" w:eastAsia="宋体" w:cs="Times New Roman"/>
                      <w:b w:val="0"/>
                      <w:bCs w:val="0"/>
                      <w:color w:val="auto"/>
                      <w:sz w:val="21"/>
                      <w:szCs w:val="21"/>
                      <w:highlight w:val="none"/>
                    </w:rPr>
                    <w:t>重点防渗</w:t>
                  </w:r>
                  <w:r>
                    <w:rPr>
                      <w:rFonts w:hint="default" w:ascii="Times New Roman" w:hAnsi="Times New Roman" w:eastAsia="宋体" w:cs="Times New Roman"/>
                      <w:b w:val="0"/>
                      <w:bCs w:val="0"/>
                      <w:color w:val="auto"/>
                      <w:sz w:val="21"/>
                      <w:szCs w:val="21"/>
                      <w:highlight w:val="none"/>
                      <w:lang w:val="en-US" w:eastAsia="zh-CN"/>
                    </w:rPr>
                    <w:t>区、</w:t>
                  </w:r>
                </w:p>
                <w:p w14:paraId="6E95D268">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一般防渗</w:t>
                  </w:r>
                  <w:r>
                    <w:rPr>
                      <w:rFonts w:hint="default" w:ascii="Times New Roman" w:hAnsi="Times New Roman" w:eastAsia="宋体" w:cs="Times New Roman"/>
                      <w:color w:val="auto"/>
                      <w:spacing w:val="8"/>
                      <w:sz w:val="21"/>
                      <w:szCs w:val="21"/>
                      <w:highlight w:val="none"/>
                    </w:rPr>
                    <w:t>区</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b w:val="0"/>
                      <w:bCs w:val="0"/>
                      <w:color w:val="auto"/>
                      <w:sz w:val="21"/>
                      <w:szCs w:val="21"/>
                      <w:highlight w:val="none"/>
                    </w:rPr>
                    <w:t>简单防渗区</w:t>
                  </w:r>
                </w:p>
              </w:tc>
              <w:tc>
                <w:tcPr>
                  <w:tcW w:w="1001" w:type="dxa"/>
                  <w:noWrap w:val="0"/>
                  <w:vAlign w:val="center"/>
                </w:tcPr>
                <w:p w14:paraId="7D0CA10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2</w:t>
                  </w:r>
                  <w:r>
                    <w:rPr>
                      <w:rFonts w:hint="default" w:ascii="Times New Roman" w:hAnsi="Times New Roman" w:eastAsia="宋体" w:cs="Times New Roman"/>
                      <w:b w:val="0"/>
                      <w:bCs w:val="0"/>
                      <w:strike w:val="0"/>
                      <w:dstrike w:val="0"/>
                      <w:color w:val="auto"/>
                      <w:sz w:val="21"/>
                      <w:szCs w:val="21"/>
                      <w:highlight w:val="none"/>
                      <w:lang w:val="en-US" w:eastAsia="zh-CN"/>
                    </w:rPr>
                    <w:t>5.0</w:t>
                  </w:r>
                </w:p>
              </w:tc>
            </w:tr>
            <w:tr w14:paraId="57C8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2054C4DA">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noWrap w:val="0"/>
                  <w:vAlign w:val="center"/>
                </w:tcPr>
                <w:p w14:paraId="1AB7F0B2">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风险</w:t>
                  </w:r>
                </w:p>
              </w:tc>
              <w:tc>
                <w:tcPr>
                  <w:tcW w:w="5604" w:type="dxa"/>
                  <w:noWrap w:val="0"/>
                  <w:vAlign w:val="center"/>
                </w:tcPr>
                <w:p w14:paraId="31C3D0AC">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1个容积250m</w:t>
                  </w:r>
                  <w:r>
                    <w:rPr>
                      <w:rFonts w:hint="default" w:ascii="Times New Roman" w:hAnsi="Times New Roman" w:eastAsia="宋体" w:cs="Times New Roman"/>
                      <w:strike w:val="0"/>
                      <w:dstrike w:val="0"/>
                      <w:color w:val="auto"/>
                      <w:sz w:val="21"/>
                      <w:szCs w:val="21"/>
                      <w:highlight w:val="none"/>
                      <w:vertAlign w:val="superscript"/>
                      <w:lang w:val="en-US" w:eastAsia="zh-CN"/>
                    </w:rPr>
                    <w:t>3</w:t>
                  </w:r>
                  <w:r>
                    <w:rPr>
                      <w:rFonts w:hint="default" w:ascii="Times New Roman" w:hAnsi="Times New Roman" w:eastAsia="宋体" w:cs="Times New Roman"/>
                      <w:strike w:val="0"/>
                      <w:dstrike w:val="0"/>
                      <w:color w:val="auto"/>
                      <w:sz w:val="21"/>
                      <w:szCs w:val="21"/>
                      <w:highlight w:val="none"/>
                      <w:lang w:val="en-US" w:eastAsia="zh-CN"/>
                    </w:rPr>
                    <w:t>的事故应急池</w:t>
                  </w:r>
                </w:p>
              </w:tc>
              <w:tc>
                <w:tcPr>
                  <w:tcW w:w="1001" w:type="dxa"/>
                  <w:noWrap w:val="0"/>
                  <w:vAlign w:val="center"/>
                </w:tcPr>
                <w:p w14:paraId="476AB0C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30</w:t>
                  </w:r>
                  <w:r>
                    <w:rPr>
                      <w:rFonts w:hint="default" w:ascii="Times New Roman" w:hAnsi="Times New Roman" w:eastAsia="宋体" w:cs="Times New Roman"/>
                      <w:b w:val="0"/>
                      <w:bCs w:val="0"/>
                      <w:strike w:val="0"/>
                      <w:dstrike w:val="0"/>
                      <w:color w:val="auto"/>
                      <w:sz w:val="21"/>
                      <w:szCs w:val="21"/>
                      <w:highlight w:val="none"/>
                      <w:lang w:val="en-US" w:eastAsia="zh-CN"/>
                    </w:rPr>
                    <w:t>.0</w:t>
                  </w:r>
                </w:p>
              </w:tc>
            </w:tr>
            <w:tr w14:paraId="7483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445647B8">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restart"/>
                  <w:noWrap w:val="0"/>
                  <w:vAlign w:val="center"/>
                </w:tcPr>
                <w:p w14:paraId="55E96B5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其他</w:t>
                  </w:r>
                </w:p>
              </w:tc>
              <w:tc>
                <w:tcPr>
                  <w:tcW w:w="5604" w:type="dxa"/>
                  <w:noWrap w:val="0"/>
                  <w:vAlign w:val="center"/>
                </w:tcPr>
                <w:p w14:paraId="78131BE7">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环保标识、验收、监测及后期管理维护等</w:t>
                  </w:r>
                </w:p>
              </w:tc>
              <w:tc>
                <w:tcPr>
                  <w:tcW w:w="1001" w:type="dxa"/>
                  <w:noWrap w:val="0"/>
                  <w:vAlign w:val="center"/>
                </w:tcPr>
                <w:p w14:paraId="236D787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40</w:t>
                  </w:r>
                  <w:r>
                    <w:rPr>
                      <w:rFonts w:hint="default" w:ascii="Times New Roman" w:hAnsi="Times New Roman" w:eastAsia="宋体" w:cs="Times New Roman"/>
                      <w:b w:val="0"/>
                      <w:bCs w:val="0"/>
                      <w:strike w:val="0"/>
                      <w:dstrike w:val="0"/>
                      <w:color w:val="auto"/>
                      <w:sz w:val="21"/>
                      <w:szCs w:val="21"/>
                      <w:highlight w:val="none"/>
                      <w:lang w:val="en-US" w:eastAsia="zh-CN"/>
                    </w:rPr>
                    <w:t>.0</w:t>
                  </w:r>
                </w:p>
              </w:tc>
            </w:tr>
            <w:tr w14:paraId="4E14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noWrap w:val="0"/>
                  <w:vAlign w:val="center"/>
                </w:tcPr>
                <w:p w14:paraId="3E6F93C3">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832" w:type="dxa"/>
                  <w:vMerge w:val="continue"/>
                  <w:noWrap w:val="0"/>
                  <w:vAlign w:val="center"/>
                </w:tcPr>
                <w:p w14:paraId="2A8A9E57">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p>
              </w:tc>
              <w:tc>
                <w:tcPr>
                  <w:tcW w:w="5604" w:type="dxa"/>
                  <w:noWrap w:val="0"/>
                  <w:vAlign w:val="center"/>
                </w:tcPr>
                <w:p w14:paraId="22677825">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绿化投资</w:t>
                  </w:r>
                </w:p>
              </w:tc>
              <w:tc>
                <w:tcPr>
                  <w:tcW w:w="1001" w:type="dxa"/>
                  <w:noWrap w:val="0"/>
                  <w:vAlign w:val="center"/>
                </w:tcPr>
                <w:p w14:paraId="34B5E459">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w:t>
                  </w:r>
                  <w:r>
                    <w:rPr>
                      <w:rFonts w:hint="default" w:ascii="Times New Roman" w:hAnsi="Times New Roman" w:eastAsia="宋体" w:cs="Times New Roman"/>
                      <w:b w:val="0"/>
                      <w:bCs w:val="0"/>
                      <w:strike w:val="0"/>
                      <w:dstrike w:val="0"/>
                      <w:color w:val="auto"/>
                      <w:sz w:val="21"/>
                      <w:szCs w:val="21"/>
                      <w:highlight w:val="none"/>
                      <w:lang w:val="en-US" w:eastAsia="zh-CN"/>
                    </w:rPr>
                    <w:t>.0</w:t>
                  </w:r>
                </w:p>
              </w:tc>
            </w:tr>
            <w:tr w14:paraId="2435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gridSpan w:val="2"/>
                  <w:noWrap w:val="0"/>
                  <w:vAlign w:val="center"/>
                </w:tcPr>
                <w:p w14:paraId="2A69FCED">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合计</w:t>
                  </w:r>
                </w:p>
              </w:tc>
              <w:tc>
                <w:tcPr>
                  <w:tcW w:w="5604" w:type="dxa"/>
                  <w:noWrap w:val="0"/>
                  <w:vAlign w:val="center"/>
                </w:tcPr>
                <w:p w14:paraId="59F2E79E">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w:t>
                  </w:r>
                </w:p>
              </w:tc>
              <w:tc>
                <w:tcPr>
                  <w:tcW w:w="1001" w:type="dxa"/>
                  <w:noWrap w:val="0"/>
                  <w:vAlign w:val="center"/>
                </w:tcPr>
                <w:p w14:paraId="5F90BEEF">
                  <w:pPr>
                    <w:keepNext w:val="0"/>
                    <w:keepLines w:val="0"/>
                    <w:pageBreakBefore w:val="0"/>
                    <w:widowControl w:val="0"/>
                    <w:tabs>
                      <w:tab w:val="left" w:pos="5220"/>
                    </w:tabs>
                    <w:kinsoku/>
                    <w:wordWrap/>
                    <w:overflowPunct/>
                    <w:topLinePunct/>
                    <w:autoSpaceDE w:val="0"/>
                    <w:autoSpaceDN/>
                    <w:bidi w:val="0"/>
                    <w:adjustRightInd/>
                    <w:snapToGrid/>
                    <w:spacing w:line="240" w:lineRule="auto"/>
                    <w:ind w:lef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812.0</w:t>
                  </w:r>
                </w:p>
              </w:tc>
            </w:tr>
          </w:tbl>
          <w:p w14:paraId="177AC5FC">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tc>
      </w:tr>
      <w:tr w14:paraId="5197D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3" w:type="dxa"/>
            <w:vAlign w:val="center"/>
          </w:tcPr>
          <w:p w14:paraId="097BAEC6">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161" w:type="dxa"/>
            <w:vAlign w:val="top"/>
          </w:tcPr>
          <w:p w14:paraId="6CB2B447">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kern w:val="2"/>
                <w:sz w:val="21"/>
                <w:szCs w:val="24"/>
                <w:lang w:val="en-US" w:eastAsia="zh-CN" w:bidi="ar-SA"/>
              </w:rPr>
              <w:t>一、</w:t>
            </w:r>
            <w:r>
              <w:rPr>
                <w:rFonts w:hint="default" w:ascii="Times New Roman" w:hAnsi="Times New Roman" w:eastAsia="宋体" w:cs="Times New Roman"/>
                <w:b/>
                <w:bCs w:val="0"/>
                <w:color w:val="auto"/>
                <w:sz w:val="24"/>
                <w:szCs w:val="24"/>
                <w:highlight w:val="none"/>
                <w:lang w:val="en-US" w:eastAsia="zh-CN"/>
              </w:rPr>
              <w:t>施工期</w:t>
            </w:r>
          </w:p>
          <w:p w14:paraId="7EA786B9">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strike w:val="0"/>
                <w:dstrike w:val="0"/>
                <w:color w:val="auto"/>
                <w:kern w:val="0"/>
                <w:sz w:val="24"/>
                <w:highlight w:val="none"/>
                <w:lang w:val="zh-CN"/>
              </w:rPr>
            </w:pPr>
            <w:r>
              <w:rPr>
                <w:rFonts w:hint="default" w:ascii="Times New Roman" w:hAnsi="Times New Roman" w:eastAsia="宋体" w:cs="Times New Roman"/>
                <w:strike w:val="0"/>
                <w:dstrike w:val="0"/>
                <w:color w:val="auto"/>
                <w:kern w:val="0"/>
                <w:sz w:val="24"/>
                <w:highlight w:val="none"/>
                <w:lang w:val="zh-CN"/>
              </w:rPr>
              <w:t>项目</w:t>
            </w:r>
            <w:r>
              <w:rPr>
                <w:rFonts w:hint="default" w:ascii="Times New Roman" w:hAnsi="Times New Roman" w:eastAsia="宋体" w:cs="Times New Roman"/>
                <w:strike w:val="0"/>
                <w:dstrike w:val="0"/>
                <w:color w:val="auto"/>
                <w:kern w:val="0"/>
                <w:sz w:val="24"/>
                <w:highlight w:val="none"/>
              </w:rPr>
              <w:t>为</w:t>
            </w:r>
            <w:r>
              <w:rPr>
                <w:rFonts w:hint="default" w:ascii="Times New Roman" w:hAnsi="Times New Roman" w:eastAsia="宋体" w:cs="Times New Roman"/>
                <w:strike w:val="0"/>
                <w:dstrike w:val="0"/>
                <w:color w:val="auto"/>
                <w:kern w:val="0"/>
                <w:sz w:val="24"/>
                <w:highlight w:val="none"/>
                <w:lang w:val="zh-CN"/>
              </w:rPr>
              <w:t>新建项目，根据现场踏勘，场地已由</w:t>
            </w:r>
            <w:r>
              <w:rPr>
                <w:rFonts w:hint="default" w:ascii="Times New Roman" w:hAnsi="Times New Roman" w:eastAsia="宋体" w:cs="Times New Roman"/>
                <w:strike w:val="0"/>
                <w:dstrike w:val="0"/>
                <w:color w:val="auto"/>
                <w:kern w:val="0"/>
                <w:sz w:val="24"/>
                <w:highlight w:val="none"/>
                <w:lang w:val="en-US" w:eastAsia="zh-CN"/>
              </w:rPr>
              <w:t>园区完成进行</w:t>
            </w:r>
            <w:r>
              <w:rPr>
                <w:rFonts w:hint="default" w:ascii="Times New Roman" w:hAnsi="Times New Roman" w:eastAsia="宋体" w:cs="Times New Roman"/>
                <w:strike w:val="0"/>
                <w:dstrike w:val="0"/>
                <w:color w:val="auto"/>
                <w:kern w:val="0"/>
                <w:sz w:val="24"/>
                <w:highlight w:val="none"/>
              </w:rPr>
              <w:t>初步平整</w:t>
            </w:r>
            <w:r>
              <w:rPr>
                <w:rFonts w:hint="default" w:ascii="Times New Roman" w:hAnsi="Times New Roman" w:eastAsia="宋体" w:cs="Times New Roman"/>
                <w:strike w:val="0"/>
                <w:dstrike w:val="0"/>
                <w:color w:val="auto"/>
                <w:kern w:val="0"/>
                <w:sz w:val="24"/>
                <w:highlight w:val="none"/>
                <w:lang w:val="zh-CN"/>
              </w:rPr>
              <w:t>工作。项目主要建设</w:t>
            </w:r>
            <w:r>
              <w:rPr>
                <w:rFonts w:hint="default" w:ascii="Times New Roman" w:hAnsi="Times New Roman" w:eastAsia="宋体" w:cs="Times New Roman"/>
                <w:strike w:val="0"/>
                <w:dstrike w:val="0"/>
                <w:color w:val="auto"/>
                <w:kern w:val="0"/>
                <w:sz w:val="24"/>
                <w:highlight w:val="none"/>
                <w:lang w:val="en-US" w:eastAsia="zh-CN"/>
              </w:rPr>
              <w:t>生产厂房7栋</w:t>
            </w:r>
            <w:r>
              <w:rPr>
                <w:rFonts w:hint="default" w:ascii="Times New Roman" w:hAnsi="Times New Roman" w:eastAsia="宋体" w:cs="Times New Roman"/>
                <w:strike w:val="0"/>
                <w:dstrike w:val="0"/>
                <w:color w:val="auto"/>
                <w:kern w:val="0"/>
                <w:sz w:val="24"/>
                <w:highlight w:val="none"/>
                <w:lang w:val="zh-CN"/>
              </w:rPr>
              <w:t>、</w:t>
            </w:r>
            <w:r>
              <w:rPr>
                <w:rFonts w:hint="default" w:ascii="Times New Roman" w:hAnsi="Times New Roman" w:eastAsia="宋体" w:cs="Times New Roman"/>
                <w:strike w:val="0"/>
                <w:dstrike w:val="0"/>
                <w:color w:val="auto"/>
                <w:kern w:val="0"/>
                <w:sz w:val="24"/>
                <w:highlight w:val="none"/>
                <w:lang w:val="en-US" w:eastAsia="zh-CN"/>
              </w:rPr>
              <w:t>宿舍楼1栋、办公楼1栋</w:t>
            </w:r>
            <w:r>
              <w:rPr>
                <w:rFonts w:hint="default" w:ascii="Times New Roman" w:hAnsi="Times New Roman" w:eastAsia="宋体" w:cs="Times New Roman"/>
                <w:strike w:val="0"/>
                <w:dstrike w:val="0"/>
                <w:color w:val="auto"/>
                <w:kern w:val="0"/>
                <w:sz w:val="24"/>
                <w:highlight w:val="none"/>
                <w:lang w:val="zh-CN"/>
              </w:rPr>
              <w:t>及</w:t>
            </w:r>
            <w:r>
              <w:rPr>
                <w:rFonts w:hint="default" w:ascii="Times New Roman" w:hAnsi="Times New Roman" w:eastAsia="宋体" w:cs="Times New Roman"/>
                <w:strike w:val="0"/>
                <w:dstrike w:val="0"/>
                <w:color w:val="auto"/>
                <w:kern w:val="0"/>
                <w:sz w:val="24"/>
                <w:highlight w:val="none"/>
                <w:lang w:val="en-US" w:eastAsia="zh-CN"/>
              </w:rPr>
              <w:t>相关</w:t>
            </w:r>
            <w:r>
              <w:rPr>
                <w:rFonts w:hint="default" w:ascii="Times New Roman" w:hAnsi="Times New Roman" w:eastAsia="宋体" w:cs="Times New Roman"/>
                <w:strike w:val="0"/>
                <w:dstrike w:val="0"/>
                <w:color w:val="auto"/>
                <w:kern w:val="0"/>
                <w:sz w:val="24"/>
                <w:highlight w:val="none"/>
                <w:lang w:val="zh-CN"/>
              </w:rPr>
              <w:t>配套设施。施工工序主要为基础工程、主体工程、设备安装、</w:t>
            </w:r>
            <w:r>
              <w:rPr>
                <w:rFonts w:hint="default" w:ascii="Times New Roman" w:hAnsi="Times New Roman" w:eastAsia="宋体" w:cs="Times New Roman"/>
                <w:strike w:val="0"/>
                <w:dstrike w:val="0"/>
                <w:color w:val="auto"/>
                <w:kern w:val="0"/>
                <w:sz w:val="24"/>
                <w:highlight w:val="none"/>
              </w:rPr>
              <w:t>装饰工程</w:t>
            </w:r>
            <w:r>
              <w:rPr>
                <w:rFonts w:hint="default" w:ascii="Times New Roman" w:hAnsi="Times New Roman" w:eastAsia="宋体" w:cs="Times New Roman"/>
                <w:strike w:val="0"/>
                <w:dstrike w:val="0"/>
                <w:color w:val="auto"/>
                <w:kern w:val="0"/>
                <w:sz w:val="24"/>
                <w:highlight w:val="none"/>
                <w:lang w:val="zh-CN"/>
              </w:rPr>
              <w:t>（厂区绿化、地面硬化等）；施工期主要污染因子有施工废气、施工噪声、施工固体废物、施工废水等。</w:t>
            </w:r>
          </w:p>
          <w:p w14:paraId="6E0A2471">
            <w:pPr>
              <w:pStyle w:val="2"/>
              <w:rPr>
                <w:rFonts w:hint="default" w:ascii="Times New Roman" w:hAnsi="Times New Roman" w:eastAsia="宋体" w:cs="Times New Roman"/>
                <w:strike w:val="0"/>
                <w:dstrike w:val="0"/>
                <w:color w:val="auto"/>
                <w:kern w:val="0"/>
                <w:sz w:val="24"/>
                <w:highlight w:val="none"/>
                <w:lang w:val="zh-CN"/>
              </w:rPr>
            </w:pPr>
          </w:p>
          <w:p w14:paraId="3102C71F">
            <w:pPr>
              <w:pStyle w:val="3"/>
              <w:rPr>
                <w:rFonts w:hint="default" w:ascii="Times New Roman" w:hAnsi="Times New Roman" w:eastAsia="宋体" w:cs="Times New Roman"/>
                <w:strike w:val="0"/>
                <w:dstrike w:val="0"/>
                <w:color w:val="auto"/>
                <w:kern w:val="0"/>
                <w:sz w:val="24"/>
                <w:highlight w:val="none"/>
                <w:lang w:val="zh-CN"/>
              </w:rPr>
            </w:pPr>
          </w:p>
          <w:p w14:paraId="7B7F3D15">
            <w:pPr>
              <w:pStyle w:val="3"/>
              <w:rPr>
                <w:rFonts w:hint="default" w:ascii="Times New Roman" w:hAnsi="Times New Roman" w:eastAsia="宋体" w:cs="Times New Roman"/>
                <w:strike w:val="0"/>
                <w:dstrike w:val="0"/>
                <w:color w:val="auto"/>
                <w:kern w:val="0"/>
                <w:sz w:val="24"/>
                <w:highlight w:val="none"/>
                <w:lang w:val="zh-CN"/>
              </w:rPr>
            </w:pPr>
          </w:p>
          <w:p w14:paraId="47AF35D2">
            <w:pPr>
              <w:pStyle w:val="3"/>
              <w:rPr>
                <w:rFonts w:hint="default" w:ascii="Times New Roman" w:hAnsi="Times New Roman" w:eastAsia="宋体" w:cs="Times New Roman"/>
                <w:strike w:val="0"/>
                <w:dstrike w:val="0"/>
                <w:color w:val="auto"/>
                <w:kern w:val="0"/>
                <w:sz w:val="24"/>
                <w:highlight w:val="none"/>
                <w:lang w:val="zh-CN"/>
              </w:rPr>
            </w:pPr>
          </w:p>
          <w:p w14:paraId="7A5502D2">
            <w:pPr>
              <w:pStyle w:val="3"/>
              <w:rPr>
                <w:rFonts w:hint="default" w:ascii="Times New Roman" w:hAnsi="Times New Roman" w:eastAsia="宋体" w:cs="Times New Roman"/>
                <w:strike w:val="0"/>
                <w:dstrike w:val="0"/>
                <w:color w:val="auto"/>
                <w:kern w:val="0"/>
                <w:sz w:val="24"/>
                <w:highlight w:val="none"/>
                <w:lang w:val="zh-CN"/>
              </w:rPr>
            </w:pPr>
          </w:p>
          <w:p w14:paraId="0662ABE1">
            <w:pPr>
              <w:pStyle w:val="28"/>
              <w:keepNext w:val="0"/>
              <w:keepLines w:val="0"/>
              <w:pageBreakBefore w:val="0"/>
              <w:kinsoku/>
              <w:overflowPunct/>
              <w:topLinePunct/>
              <w:autoSpaceDE w:val="0"/>
              <w:bidi w:val="0"/>
              <w:spacing w:after="0" w:line="360" w:lineRule="auto"/>
              <w:ind w:left="0" w:leftChars="0" w:firstLine="0"/>
              <w:jc w:val="center"/>
              <w:rPr>
                <w:rFonts w:hint="default" w:ascii="Times New Roman" w:hAnsi="Times New Roman" w:eastAsia="宋体" w:cs="Times New Roman"/>
                <w:b/>
                <w:bCs/>
                <w:strike w:val="0"/>
                <w:dstrike w:val="0"/>
                <w:color w:val="auto"/>
                <w:highlight w:val="none"/>
              </w:rPr>
            </w:pPr>
            <w:r>
              <w:rPr>
                <w:rFonts w:hint="default" w:ascii="Times New Roman" w:hAnsi="Times New Roman" w:eastAsia="宋体" w:cs="Times New Roman"/>
                <w:b/>
                <w:bCs/>
                <w:strike w:val="0"/>
                <w:dstrike w:val="0"/>
                <w:color w:val="auto"/>
                <w:highlight w:val="none"/>
              </w:rPr>
              <w:object>
                <v:shape id="_x0000_i1033" o:spt="75" type="#_x0000_t75" style="height:147.4pt;width:387.9pt;" o:ole="t" filled="f" o:preferrelative="t" stroked="f" coordsize="21600,21600">
                  <v:path/>
                  <v:fill on="f" focussize="0,0"/>
                  <v:stroke on="f"/>
                  <v:imagedata r:id="rId15" o:title=""/>
                  <o:lock v:ext="edit" aspectratio="t"/>
                  <w10:wrap type="none"/>
                  <w10:anchorlock/>
                </v:shape>
                <o:OLEObject Type="Embed" ProgID="Visio.Drawing.15" ShapeID="_x0000_i1033" DrawAspect="Content" ObjectID="_1468075726" r:id="rId14">
                  <o:LockedField>false</o:LockedField>
                </o:OLEObject>
              </w:object>
            </w:r>
          </w:p>
          <w:p w14:paraId="0A619BAD">
            <w:pPr>
              <w:pStyle w:val="28"/>
              <w:keepNext w:val="0"/>
              <w:keepLines w:val="0"/>
              <w:pageBreakBefore w:val="0"/>
              <w:kinsoku/>
              <w:overflowPunct/>
              <w:topLinePunct/>
              <w:autoSpaceDE w:val="0"/>
              <w:bidi w:val="0"/>
              <w:spacing w:after="0" w:line="360" w:lineRule="auto"/>
              <w:ind w:left="0" w:leftChars="0" w:firstLine="0"/>
              <w:jc w:val="center"/>
              <w:rPr>
                <w:rFonts w:hint="default" w:ascii="Times New Roman" w:hAnsi="Times New Roman" w:eastAsia="宋体" w:cs="Times New Roman"/>
                <w:strike w:val="0"/>
                <w:dstrike w:val="0"/>
                <w:color w:val="auto"/>
                <w:highlight w:val="none"/>
              </w:rPr>
            </w:pPr>
            <w:r>
              <w:rPr>
                <w:rFonts w:hint="default" w:ascii="Times New Roman" w:hAnsi="Times New Roman" w:eastAsia="宋体" w:cs="Times New Roman"/>
                <w:b/>
                <w:bCs/>
                <w:strike w:val="0"/>
                <w:dstrike w:val="0"/>
                <w:color w:val="auto"/>
                <w:highlight w:val="none"/>
              </w:rPr>
              <w:t>图2-</w:t>
            </w:r>
            <w:r>
              <w:rPr>
                <w:rFonts w:hint="default" w:ascii="Times New Roman" w:hAnsi="Times New Roman" w:eastAsia="宋体" w:cs="Times New Roman"/>
                <w:b/>
                <w:bCs/>
                <w:strike w:val="0"/>
                <w:dstrike w:val="0"/>
                <w:color w:val="auto"/>
                <w:highlight w:val="none"/>
                <w:lang w:val="en-US" w:eastAsia="zh-CN"/>
              </w:rPr>
              <w:t xml:space="preserve">2 </w:t>
            </w:r>
            <w:r>
              <w:rPr>
                <w:rFonts w:hint="default" w:ascii="Times New Roman" w:hAnsi="Times New Roman" w:eastAsia="宋体" w:cs="Times New Roman"/>
                <w:b/>
                <w:bCs/>
                <w:strike w:val="0"/>
                <w:dstrike w:val="0"/>
                <w:color w:val="auto"/>
                <w:highlight w:val="none"/>
              </w:rPr>
              <w:t xml:space="preserve"> 施工期工艺流程及产污节点图</w:t>
            </w:r>
          </w:p>
          <w:p w14:paraId="5D02CB00">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kern w:val="2"/>
                <w:sz w:val="24"/>
                <w:szCs w:val="24"/>
                <w:lang w:val="en-US" w:eastAsia="zh-CN" w:bidi="ar-SA"/>
              </w:rPr>
              <w:t>二、</w:t>
            </w:r>
            <w:r>
              <w:rPr>
                <w:rFonts w:hint="default" w:ascii="Times New Roman" w:hAnsi="Times New Roman" w:eastAsia="宋体" w:cs="Times New Roman"/>
                <w:b/>
                <w:bCs w:val="0"/>
                <w:color w:val="auto"/>
                <w:sz w:val="24"/>
                <w:szCs w:val="24"/>
                <w:highlight w:val="none"/>
                <w:lang w:val="en-US" w:eastAsia="zh-CN"/>
              </w:rPr>
              <w:t>运营期</w:t>
            </w:r>
          </w:p>
          <w:p w14:paraId="10661F1B">
            <w:pPr>
              <w:pStyle w:val="27"/>
              <w:keepNext w:val="0"/>
              <w:keepLines w:val="0"/>
              <w:pageBreakBefore w:val="0"/>
              <w:widowControl/>
              <w:kinsoku/>
              <w:wordWrap/>
              <w:overflowPunct/>
              <w:topLinePunct/>
              <w:autoSpaceDE w:val="0"/>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项目建成后年产6000吨高品质水晶钻石，包括</w:t>
            </w:r>
            <w:r>
              <w:rPr>
                <w:rFonts w:hint="eastAsia" w:cs="Times New Roman"/>
                <w:color w:val="auto"/>
                <w:sz w:val="24"/>
                <w:szCs w:val="24"/>
                <w:highlight w:val="none"/>
                <w:lang w:val="en-US" w:eastAsia="zh-CN"/>
              </w:rPr>
              <w:t>珠胚生产</w:t>
            </w:r>
            <w:r>
              <w:rPr>
                <w:rFonts w:hint="default" w:ascii="Times New Roman" w:hAnsi="Times New Roman" w:eastAsia="宋体" w:cs="Times New Roman"/>
                <w:color w:val="auto"/>
                <w:sz w:val="24"/>
                <w:szCs w:val="24"/>
                <w:highlight w:val="none"/>
                <w:lang w:val="en-US" w:eastAsia="zh-CN"/>
              </w:rPr>
              <w:t>线、烫钻生产线、吸塑片生产线及抛轮修复生产线。</w:t>
            </w:r>
          </w:p>
          <w:p w14:paraId="1324F715">
            <w:pPr>
              <w:pStyle w:val="27"/>
              <w:keepNext w:val="0"/>
              <w:keepLines w:val="0"/>
              <w:pageBreakBefore w:val="0"/>
              <w:widowControl w:val="0"/>
              <w:numPr>
                <w:ilvl w:val="0"/>
                <w:numId w:val="0"/>
              </w:numPr>
              <w:kinsoku/>
              <w:wordWrap/>
              <w:overflowPunct/>
              <w:topLinePunct/>
              <w:autoSpaceDE w:val="0"/>
              <w:autoSpaceDN/>
              <w:bidi w:val="0"/>
              <w:adjustRightInd/>
              <w:snapToGrid/>
              <w:spacing w:before="0" w:after="0" w:line="360" w:lineRule="auto"/>
              <w:ind w:firstLine="0" w:firstLineChars="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sz w:val="24"/>
                <w:szCs w:val="24"/>
                <w:highlight w:val="none"/>
                <w:lang w:val="en-US" w:eastAsia="zh-CN"/>
              </w:rPr>
              <w:t>珠胚生产</w:t>
            </w:r>
            <w:r>
              <w:rPr>
                <w:rFonts w:hint="default" w:ascii="Times New Roman" w:hAnsi="Times New Roman" w:eastAsia="宋体" w:cs="Times New Roman"/>
                <w:b/>
                <w:bCs/>
                <w:color w:val="auto"/>
                <w:sz w:val="24"/>
                <w:szCs w:val="24"/>
                <w:highlight w:val="none"/>
                <w:lang w:val="en-US" w:eastAsia="zh-CN"/>
              </w:rPr>
              <w:t>工艺</w:t>
            </w:r>
          </w:p>
          <w:p w14:paraId="06B9BB73">
            <w:pPr>
              <w:pStyle w:val="16"/>
              <w:keepNext w:val="0"/>
              <w:keepLines w:val="0"/>
              <w:pageBreakBefore w:val="0"/>
              <w:widowControl/>
              <w:kinsoku/>
              <w:wordWrap/>
              <w:overflowPunct/>
              <w:topLinePunct/>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z w:val="24"/>
                <w:szCs w:val="24"/>
                <w:highlight w:val="none"/>
                <w:lang w:eastAsia="zh-CN"/>
              </w:rPr>
              <w:t>项目新建</w:t>
            </w:r>
            <w:r>
              <w:rPr>
                <w:rFonts w:hint="eastAsia" w:ascii="Times New Roman" w:cs="Times New Roman"/>
                <w:color w:val="auto"/>
                <w:sz w:val="24"/>
                <w:szCs w:val="24"/>
                <w:highlight w:val="none"/>
                <w:lang w:val="en-US" w:eastAsia="zh-CN"/>
              </w:rPr>
              <w:t>珠胚生产</w:t>
            </w:r>
            <w:r>
              <w:rPr>
                <w:rFonts w:hint="default" w:ascii="Times New Roman" w:hAnsi="Times New Roman" w:eastAsia="宋体" w:cs="Times New Roman"/>
                <w:color w:val="auto"/>
                <w:sz w:val="24"/>
                <w:szCs w:val="24"/>
                <w:highlight w:val="none"/>
                <w:lang w:eastAsia="zh-CN"/>
              </w:rPr>
              <w:t>线</w:t>
            </w:r>
            <w:r>
              <w:rPr>
                <w:rFonts w:hint="default" w:ascii="Times New Roman" w:hAnsi="Times New Roman" w:eastAsia="宋体" w:cs="Times New Roman"/>
                <w:color w:val="auto"/>
                <w:sz w:val="24"/>
                <w:szCs w:val="24"/>
                <w:highlight w:val="none"/>
                <w:lang w:val="en-US" w:eastAsia="zh-CN"/>
              </w:rPr>
              <w:t>生产的</w:t>
            </w:r>
            <w:r>
              <w:rPr>
                <w:rFonts w:hint="eastAsia" w:ascii="Times New Roman" w:cs="Times New Roman"/>
                <w:color w:val="auto"/>
                <w:sz w:val="24"/>
                <w:szCs w:val="24"/>
                <w:highlight w:val="none"/>
                <w:lang w:val="en-US" w:eastAsia="zh-CN"/>
              </w:rPr>
              <w:t>珠胚</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中间</w:t>
            </w:r>
            <w:r>
              <w:rPr>
                <w:rFonts w:hint="eastAsia" w:ascii="Times New Roman" w:cs="Times New Roman"/>
                <w:color w:val="auto"/>
                <w:sz w:val="24"/>
                <w:szCs w:val="24"/>
                <w:highlight w:val="none"/>
                <w:lang w:val="en-US" w:eastAsia="zh-CN"/>
              </w:rPr>
              <w:t>产品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后续</w:t>
            </w:r>
            <w:r>
              <w:rPr>
                <w:rFonts w:hint="default" w:ascii="Times New Roman" w:hAnsi="Times New Roman" w:eastAsia="宋体" w:cs="Times New Roman"/>
                <w:color w:val="auto"/>
                <w:sz w:val="24"/>
                <w:szCs w:val="24"/>
                <w:highlight w:val="none"/>
                <w:lang w:eastAsia="zh-CN"/>
              </w:rPr>
              <w:t>送去烫钻生产线</w:t>
            </w:r>
            <w:r>
              <w:rPr>
                <w:rFonts w:hint="default" w:ascii="Times New Roman" w:hAnsi="Times New Roman" w:eastAsia="宋体" w:cs="Times New Roman"/>
                <w:color w:val="auto"/>
                <w:spacing w:val="-1"/>
                <w:sz w:val="24"/>
                <w:szCs w:val="24"/>
                <w:highlight w:val="none"/>
                <w:lang w:eastAsia="zh-CN"/>
              </w:rPr>
              <w:t>作为原</w:t>
            </w:r>
            <w:r>
              <w:rPr>
                <w:rFonts w:hint="default" w:ascii="Times New Roman" w:hAnsi="Times New Roman" w:eastAsia="宋体" w:cs="Times New Roman"/>
                <w:color w:val="auto"/>
                <w:spacing w:val="1"/>
                <w:sz w:val="24"/>
                <w:szCs w:val="24"/>
                <w:highlight w:val="none"/>
                <w:lang w:eastAsia="zh-CN"/>
              </w:rPr>
              <w:t>料加工处理。</w:t>
            </w:r>
            <w:r>
              <w:rPr>
                <w:rFonts w:hint="default" w:ascii="Times New Roman" w:hAnsi="Times New Roman" w:eastAsia="宋体" w:cs="Times New Roman"/>
                <w:color w:val="auto"/>
                <w:spacing w:val="-1"/>
                <w:sz w:val="24"/>
                <w:szCs w:val="24"/>
                <w:highlight w:val="none"/>
              </w:rPr>
              <w:t>主要工艺流程图如下</w:t>
            </w:r>
            <w:r>
              <w:rPr>
                <w:rFonts w:hint="default" w:ascii="Times New Roman" w:hAnsi="Times New Roman" w:eastAsia="宋体" w:cs="Times New Roman"/>
                <w:color w:val="auto"/>
                <w:spacing w:val="-1"/>
                <w:sz w:val="24"/>
                <w:szCs w:val="24"/>
                <w:highlight w:val="none"/>
                <w:lang w:eastAsia="zh-CN"/>
              </w:rPr>
              <w:t>：</w:t>
            </w:r>
          </w:p>
          <w:p w14:paraId="2245508F">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08C3F7B8">
            <w:pPr>
              <w:pStyle w:val="2"/>
              <w:rPr>
                <w:rFonts w:hint="default" w:ascii="Times New Roman" w:hAnsi="Times New Roman" w:eastAsia="宋体" w:cs="Times New Roman"/>
                <w:color w:val="auto"/>
                <w:highlight w:val="none"/>
                <w:lang w:val="en-US" w:eastAsia="zh-CN"/>
              </w:rPr>
            </w:pPr>
          </w:p>
          <w:p w14:paraId="77D26EC2">
            <w:pPr>
              <w:pStyle w:val="3"/>
              <w:rPr>
                <w:rFonts w:hint="default" w:ascii="Times New Roman" w:hAnsi="Times New Roman" w:eastAsia="宋体" w:cs="Times New Roman"/>
                <w:color w:val="auto"/>
                <w:highlight w:val="none"/>
                <w:lang w:val="en-US" w:eastAsia="zh-CN"/>
              </w:rPr>
            </w:pPr>
          </w:p>
          <w:p w14:paraId="608A83E8">
            <w:pPr>
              <w:pStyle w:val="3"/>
              <w:rPr>
                <w:rFonts w:hint="default" w:ascii="Times New Roman" w:hAnsi="Times New Roman" w:eastAsia="宋体" w:cs="Times New Roman"/>
                <w:color w:val="auto"/>
                <w:highlight w:val="none"/>
                <w:lang w:val="en-US" w:eastAsia="zh-CN"/>
              </w:rPr>
            </w:pPr>
          </w:p>
          <w:p w14:paraId="3BE62763">
            <w:pPr>
              <w:pStyle w:val="3"/>
              <w:rPr>
                <w:rFonts w:hint="default" w:ascii="Times New Roman" w:hAnsi="Times New Roman" w:eastAsia="宋体" w:cs="Times New Roman"/>
                <w:color w:val="auto"/>
                <w:highlight w:val="none"/>
                <w:lang w:val="en-US" w:eastAsia="zh-CN"/>
              </w:rPr>
            </w:pPr>
          </w:p>
          <w:p w14:paraId="2CDC61F2">
            <w:pPr>
              <w:pStyle w:val="3"/>
              <w:rPr>
                <w:rFonts w:hint="default" w:ascii="Times New Roman" w:hAnsi="Times New Roman" w:eastAsia="宋体" w:cs="Times New Roman"/>
                <w:color w:val="auto"/>
                <w:highlight w:val="none"/>
                <w:lang w:val="en-US" w:eastAsia="zh-CN"/>
              </w:rPr>
            </w:pPr>
          </w:p>
          <w:p w14:paraId="6A994E63">
            <w:pPr>
              <w:pStyle w:val="3"/>
              <w:rPr>
                <w:rFonts w:hint="default" w:ascii="Times New Roman" w:hAnsi="Times New Roman" w:eastAsia="宋体" w:cs="Times New Roman"/>
                <w:color w:val="auto"/>
                <w:highlight w:val="none"/>
                <w:lang w:val="en-US" w:eastAsia="zh-CN"/>
              </w:rPr>
            </w:pPr>
          </w:p>
          <w:p w14:paraId="25593BF9">
            <w:pPr>
              <w:pStyle w:val="3"/>
              <w:rPr>
                <w:rFonts w:hint="default" w:ascii="Times New Roman" w:hAnsi="Times New Roman" w:eastAsia="宋体" w:cs="Times New Roman"/>
                <w:color w:val="auto"/>
                <w:highlight w:val="none"/>
                <w:lang w:val="en-US" w:eastAsia="zh-CN"/>
              </w:rPr>
            </w:pPr>
          </w:p>
          <w:p w14:paraId="0FB1C018">
            <w:pPr>
              <w:pStyle w:val="3"/>
              <w:rPr>
                <w:rFonts w:hint="default" w:ascii="Times New Roman" w:hAnsi="Times New Roman" w:eastAsia="宋体" w:cs="Times New Roman"/>
                <w:color w:val="auto"/>
                <w:highlight w:val="none"/>
                <w:lang w:val="en-US" w:eastAsia="zh-CN"/>
              </w:rPr>
            </w:pPr>
          </w:p>
          <w:p w14:paraId="1879BA70">
            <w:pPr>
              <w:pStyle w:val="3"/>
              <w:rPr>
                <w:rFonts w:hint="default" w:ascii="Times New Roman" w:hAnsi="Times New Roman" w:eastAsia="宋体" w:cs="Times New Roman"/>
                <w:color w:val="auto"/>
                <w:highlight w:val="none"/>
                <w:lang w:val="en-US" w:eastAsia="zh-CN"/>
              </w:rPr>
            </w:pPr>
          </w:p>
          <w:p w14:paraId="5484741A">
            <w:pPr>
              <w:pStyle w:val="3"/>
              <w:rPr>
                <w:rFonts w:hint="default" w:ascii="Times New Roman" w:hAnsi="Times New Roman" w:eastAsia="宋体" w:cs="Times New Roman"/>
                <w:color w:val="auto"/>
                <w:highlight w:val="none"/>
                <w:lang w:val="en-US" w:eastAsia="zh-CN"/>
              </w:rPr>
            </w:pPr>
          </w:p>
          <w:p w14:paraId="2515F5FA">
            <w:pPr>
              <w:pStyle w:val="3"/>
              <w:rPr>
                <w:rFonts w:hint="default" w:ascii="Times New Roman" w:hAnsi="Times New Roman" w:eastAsia="宋体" w:cs="Times New Roman"/>
                <w:color w:val="auto"/>
                <w:highlight w:val="none"/>
                <w:lang w:val="en-US" w:eastAsia="zh-CN"/>
              </w:rPr>
            </w:pPr>
          </w:p>
          <w:p w14:paraId="4E48A0EA">
            <w:pPr>
              <w:pStyle w:val="3"/>
              <w:rPr>
                <w:rFonts w:hint="default" w:ascii="Times New Roman" w:hAnsi="Times New Roman" w:eastAsia="宋体" w:cs="Times New Roman"/>
                <w:color w:val="auto"/>
                <w:highlight w:val="none"/>
                <w:lang w:val="en-US" w:eastAsia="zh-CN"/>
              </w:rPr>
            </w:pPr>
          </w:p>
          <w:p w14:paraId="3B67A0A2">
            <w:pPr>
              <w:pStyle w:val="3"/>
              <w:rPr>
                <w:rFonts w:hint="default" w:ascii="Times New Roman" w:hAnsi="Times New Roman" w:eastAsia="宋体" w:cs="Times New Roman"/>
                <w:color w:val="auto"/>
                <w:highlight w:val="none"/>
                <w:lang w:val="en-US" w:eastAsia="zh-CN"/>
              </w:rPr>
            </w:pPr>
          </w:p>
          <w:p w14:paraId="509577CD">
            <w:pPr>
              <w:pStyle w:val="3"/>
              <w:rPr>
                <w:rFonts w:hint="default" w:ascii="Times New Roman" w:hAnsi="Times New Roman" w:eastAsia="宋体" w:cs="Times New Roman"/>
                <w:color w:val="auto"/>
                <w:highlight w:val="none"/>
                <w:lang w:val="en-US" w:eastAsia="zh-CN"/>
              </w:rPr>
            </w:pPr>
          </w:p>
          <w:p w14:paraId="6B2B16BE">
            <w:pPr>
              <w:pStyle w:val="3"/>
              <w:rPr>
                <w:rFonts w:hint="default" w:ascii="Times New Roman" w:hAnsi="Times New Roman" w:eastAsia="宋体" w:cs="Times New Roman"/>
                <w:color w:val="auto"/>
                <w:highlight w:val="none"/>
                <w:lang w:val="en-US" w:eastAsia="zh-CN"/>
              </w:rPr>
            </w:pPr>
          </w:p>
          <w:p w14:paraId="2D576FC5">
            <w:pPr>
              <w:pStyle w:val="3"/>
              <w:rPr>
                <w:rFonts w:hint="default" w:ascii="Times New Roman" w:hAnsi="Times New Roman" w:eastAsia="宋体" w:cs="Times New Roman"/>
                <w:color w:val="auto"/>
                <w:highlight w:val="none"/>
                <w:lang w:val="en-US" w:eastAsia="zh-CN"/>
              </w:rPr>
            </w:pPr>
          </w:p>
          <w:p w14:paraId="150F4947">
            <w:pPr>
              <w:pStyle w:val="3"/>
              <w:rPr>
                <w:rFonts w:hint="default" w:ascii="Times New Roman" w:hAnsi="Times New Roman" w:eastAsia="宋体" w:cs="Times New Roman"/>
                <w:color w:val="auto"/>
                <w:highlight w:val="none"/>
                <w:lang w:val="en-US" w:eastAsia="zh-CN"/>
              </w:rPr>
            </w:pPr>
          </w:p>
          <w:p w14:paraId="75CD9388">
            <w:pPr>
              <w:pStyle w:val="3"/>
              <w:rPr>
                <w:rFonts w:hint="default" w:ascii="Times New Roman" w:hAnsi="Times New Roman" w:eastAsia="宋体" w:cs="Times New Roman"/>
                <w:color w:val="auto"/>
                <w:highlight w:val="none"/>
                <w:lang w:val="en-US" w:eastAsia="zh-CN"/>
              </w:rPr>
            </w:pPr>
          </w:p>
          <w:p w14:paraId="0FE76CF6">
            <w:pPr>
              <w:pStyle w:val="3"/>
              <w:rPr>
                <w:rFonts w:hint="default" w:ascii="Times New Roman" w:hAnsi="Times New Roman" w:eastAsia="宋体" w:cs="Times New Roman"/>
                <w:color w:val="auto"/>
                <w:highlight w:val="none"/>
                <w:lang w:val="en-US" w:eastAsia="zh-CN"/>
              </w:rPr>
            </w:pPr>
          </w:p>
          <w:p w14:paraId="42862B14">
            <w:pPr>
              <w:pStyle w:val="3"/>
              <w:rPr>
                <w:rFonts w:hint="default" w:ascii="Times New Roman" w:hAnsi="Times New Roman" w:eastAsia="宋体" w:cs="Times New Roman"/>
                <w:color w:val="auto"/>
                <w:highlight w:val="none"/>
                <w:lang w:val="en-US" w:eastAsia="zh-CN"/>
              </w:rPr>
            </w:pPr>
          </w:p>
          <w:p w14:paraId="09C42CCB">
            <w:pPr>
              <w:pStyle w:val="3"/>
              <w:rPr>
                <w:rFonts w:hint="default" w:ascii="Times New Roman" w:hAnsi="Times New Roman" w:eastAsia="宋体" w:cs="Times New Roman"/>
                <w:color w:val="auto"/>
                <w:highlight w:val="none"/>
                <w:lang w:val="en-US" w:eastAsia="zh-CN"/>
              </w:rPr>
            </w:pPr>
          </w:p>
          <w:p w14:paraId="3990C8E7">
            <w:pPr>
              <w:pStyle w:val="3"/>
              <w:rPr>
                <w:rFonts w:hint="default" w:ascii="Times New Roman" w:hAnsi="Times New Roman" w:eastAsia="宋体" w:cs="Times New Roman"/>
                <w:color w:val="auto"/>
                <w:highlight w:val="none"/>
                <w:lang w:val="en-US" w:eastAsia="zh-CN"/>
              </w:rPr>
            </w:pPr>
          </w:p>
          <w:p w14:paraId="160EC57B">
            <w:pPr>
              <w:pStyle w:val="3"/>
              <w:rPr>
                <w:rFonts w:hint="default" w:ascii="Times New Roman" w:hAnsi="Times New Roman" w:eastAsia="宋体" w:cs="Times New Roman"/>
                <w:color w:val="auto"/>
                <w:highlight w:val="none"/>
                <w:lang w:val="en-US" w:eastAsia="zh-CN"/>
              </w:rPr>
            </w:pPr>
          </w:p>
          <w:p w14:paraId="249D4C3E">
            <w:pPr>
              <w:pStyle w:val="3"/>
              <w:rPr>
                <w:rFonts w:hint="default" w:ascii="Times New Roman" w:hAnsi="Times New Roman" w:eastAsia="宋体" w:cs="Times New Roman"/>
                <w:color w:val="auto"/>
                <w:highlight w:val="none"/>
                <w:lang w:val="en-US" w:eastAsia="zh-CN"/>
              </w:rPr>
            </w:pPr>
          </w:p>
          <w:p w14:paraId="17D520F8">
            <w:pPr>
              <w:pStyle w:val="3"/>
              <w:rPr>
                <w:rFonts w:hint="default" w:ascii="Times New Roman" w:hAnsi="Times New Roman" w:eastAsia="宋体" w:cs="Times New Roman"/>
                <w:color w:val="auto"/>
                <w:highlight w:val="none"/>
                <w:lang w:val="en-US" w:eastAsia="zh-CN"/>
              </w:rPr>
            </w:pPr>
          </w:p>
          <w:p w14:paraId="6897EFDC">
            <w:pPr>
              <w:pStyle w:val="3"/>
              <w:rPr>
                <w:rFonts w:hint="default" w:ascii="Times New Roman" w:hAnsi="Times New Roman" w:eastAsia="宋体" w:cs="Times New Roman"/>
                <w:color w:val="auto"/>
                <w:highlight w:val="none"/>
                <w:lang w:val="en-US" w:eastAsia="zh-CN"/>
              </w:rPr>
            </w:pPr>
          </w:p>
        </w:tc>
      </w:tr>
      <w:tr w14:paraId="0DAAE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9" w:hRule="atLeast"/>
          <w:jc w:val="center"/>
        </w:trPr>
        <w:tc>
          <w:tcPr>
            <w:tcW w:w="823" w:type="dxa"/>
            <w:vAlign w:val="center"/>
          </w:tcPr>
          <w:p w14:paraId="456DB9CC">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工艺流程和产排污环节</w:t>
            </w:r>
          </w:p>
        </w:tc>
        <w:tc>
          <w:tcPr>
            <w:tcW w:w="8161" w:type="dxa"/>
            <w:vAlign w:val="center"/>
          </w:tcPr>
          <w:p w14:paraId="05EBAB69">
            <w:pPr>
              <w:pStyle w:val="19"/>
              <w:keepNext w:val="0"/>
              <w:keepLines w:val="0"/>
              <w:pageBreakBefore w:val="0"/>
              <w:widowControl w:val="0"/>
              <w:kinsoku/>
              <w:wordWrap/>
              <w:overflowPunct/>
              <w:topLinePunct/>
              <w:autoSpaceDE w:val="0"/>
              <w:autoSpaceDN/>
              <w:bidi w:val="0"/>
              <w:adjustRightInd/>
              <w:snapToGrid/>
              <w:spacing w:before="0" w:after="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object>
                <v:shape id="_x0000_i1034" o:spt="75" type="#_x0000_t75" style="height:456.4pt;width:277.85pt;" o:ole="t" filled="f" o:preferrelative="t" stroked="f" coordsize="21600,21600">
                  <v:path/>
                  <v:fill on="f" focussize="0,0"/>
                  <v:stroke on="f"/>
                  <v:imagedata r:id="rId17" o:title=""/>
                  <o:lock v:ext="edit" aspectratio="t"/>
                  <w10:wrap type="none"/>
                  <w10:anchorlock/>
                </v:shape>
                <o:OLEObject Type="Embed" ProgID="Visio.Drawing.15" ShapeID="_x0000_i1034" DrawAspect="Content" ObjectID="_1468075727" r:id="rId16">
                  <o:LockedField>false</o:LockedField>
                </o:OLEObject>
              </w:object>
            </w:r>
          </w:p>
          <w:p w14:paraId="3A2EA926">
            <w:pPr>
              <w:pStyle w:val="19"/>
              <w:keepNext w:val="0"/>
              <w:keepLines w:val="0"/>
              <w:pageBreakBefore w:val="0"/>
              <w:widowControl w:val="0"/>
              <w:kinsoku/>
              <w:wordWrap/>
              <w:overflowPunct/>
              <w:topLinePunct/>
              <w:autoSpaceDE w:val="0"/>
              <w:autoSpaceDN/>
              <w:bidi w:val="0"/>
              <w:adjustRightInd/>
              <w:snapToGrid/>
              <w:spacing w:before="0" w:after="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 xml:space="preserve">图2-3  </w:t>
            </w:r>
            <w:r>
              <w:rPr>
                <w:rFonts w:hint="eastAsia" w:cs="Times New Roman"/>
                <w:b/>
                <w:bCs/>
                <w:color w:val="auto"/>
                <w:sz w:val="24"/>
                <w:szCs w:val="24"/>
                <w:highlight w:val="none"/>
                <w:lang w:val="en-US" w:eastAsia="zh-CN"/>
              </w:rPr>
              <w:t>珠胚生产</w:t>
            </w:r>
            <w:r>
              <w:rPr>
                <w:rFonts w:hint="default" w:ascii="Times New Roman" w:hAnsi="Times New Roman" w:eastAsia="宋体" w:cs="Times New Roman"/>
                <w:b/>
                <w:bCs/>
                <w:color w:val="auto"/>
                <w:kern w:val="2"/>
                <w:sz w:val="24"/>
                <w:szCs w:val="24"/>
                <w:highlight w:val="none"/>
                <w:lang w:val="zh-CN" w:eastAsia="zh-CN" w:bidi="ar-SA"/>
              </w:rPr>
              <w:t>工艺流程及产污节点</w:t>
            </w:r>
            <w:r>
              <w:rPr>
                <w:rFonts w:hint="default" w:ascii="Times New Roman" w:hAnsi="Times New Roman" w:eastAsia="宋体" w:cs="Times New Roman"/>
                <w:b/>
                <w:bCs/>
                <w:color w:val="auto"/>
                <w:kern w:val="2"/>
                <w:sz w:val="24"/>
                <w:szCs w:val="24"/>
                <w:highlight w:val="none"/>
                <w:lang w:val="en-US" w:eastAsia="zh-CN" w:bidi="ar-SA"/>
              </w:rPr>
              <w:t>图</w:t>
            </w:r>
          </w:p>
          <w:p w14:paraId="5A6CCE4B">
            <w:pPr>
              <w:keepNext w:val="0"/>
              <w:keepLines w:val="0"/>
              <w:pageBreakBefore w:val="0"/>
              <w:widowControl/>
              <w:kinsoku/>
              <w:wordWrap/>
              <w:overflowPunct/>
              <w:topLinePunct/>
              <w:autoSpaceDE w:val="0"/>
              <w:autoSpaceDN w:val="0"/>
              <w:bidi w:val="0"/>
              <w:adjustRightInd w:val="0"/>
              <w:snapToGrid w:val="0"/>
              <w:spacing w:line="360" w:lineRule="auto"/>
              <w:ind w:left="0" w:right="0" w:firstLine="474"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工艺流程说明：</w:t>
            </w:r>
          </w:p>
          <w:p w14:paraId="50C2B4B6">
            <w:pPr>
              <w:keepNext w:val="0"/>
              <w:keepLines w:val="0"/>
              <w:pageBreakBefore w:val="0"/>
              <w:widowControl/>
              <w:kinsoku/>
              <w:wordWrap/>
              <w:overflowPunct/>
              <w:topLinePunct/>
              <w:autoSpaceDE w:val="0"/>
              <w:autoSpaceDN w:val="0"/>
              <w:bidi w:val="0"/>
              <w:adjustRightInd w:val="0"/>
              <w:snapToGrid w:val="0"/>
              <w:spacing w:line="360" w:lineRule="auto"/>
              <w:ind w:left="0" w:right="0" w:firstLine="462"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5"/>
                <w:sz w:val="24"/>
                <w:szCs w:val="24"/>
                <w:highlight w:val="none"/>
                <w:lang w:eastAsia="zh-CN"/>
              </w:rPr>
              <w:t>（1）配料</w:t>
            </w:r>
          </w:p>
          <w:p w14:paraId="3F26C1CC">
            <w:pPr>
              <w:pStyle w:val="19"/>
              <w:keepNext w:val="0"/>
              <w:keepLines w:val="0"/>
              <w:pageBreakBefore w:val="0"/>
              <w:widowControl/>
              <w:kinsoku/>
              <w:wordWrap/>
              <w:overflowPunct/>
              <w:topLinePunct/>
              <w:autoSpaceDE w:val="0"/>
              <w:autoSpaceDN w:val="0"/>
              <w:bidi w:val="0"/>
              <w:adjustRightInd w:val="0"/>
              <w:snapToGrid w:val="0"/>
              <w:spacing w:before="0" w:after="0" w:line="360" w:lineRule="auto"/>
              <w:ind w:left="0" w:right="0" w:firstLine="468" w:firstLineChars="200"/>
              <w:jc w:val="both"/>
              <w:textAlignment w:val="baseline"/>
              <w:rPr>
                <w:rFonts w:hint="default" w:ascii="Times New Roman" w:hAnsi="Times New Roman" w:eastAsia="宋体" w:cs="Times New Roman"/>
                <w:color w:val="auto"/>
                <w:sz w:val="24"/>
                <w:szCs w:val="24"/>
                <w:highlight w:val="none"/>
                <w:lang w:eastAsia="zh-CN"/>
              </w:rPr>
            </w:pPr>
            <w:r>
              <w:rPr>
                <w:rFonts w:hint="eastAsia" w:cs="Times New Roman"/>
                <w:color w:val="auto"/>
                <w:spacing w:val="-3"/>
                <w:sz w:val="24"/>
                <w:szCs w:val="24"/>
                <w:highlight w:val="none"/>
                <w:lang w:val="en-US" w:eastAsia="zh-CN"/>
              </w:rPr>
              <w:t>项目采用</w:t>
            </w:r>
            <w:r>
              <w:rPr>
                <w:rFonts w:hint="default" w:ascii="Times New Roman" w:hAnsi="Times New Roman" w:eastAsia="宋体" w:cs="Times New Roman"/>
                <w:color w:val="auto"/>
                <w:spacing w:val="-3"/>
                <w:sz w:val="24"/>
                <w:szCs w:val="24"/>
                <w:highlight w:val="none"/>
                <w:lang w:eastAsia="zh-CN"/>
              </w:rPr>
              <w:t>高纯石英砂、纯碱、</w:t>
            </w:r>
            <w:r>
              <w:rPr>
                <w:rFonts w:hint="eastAsia" w:ascii="Times New Roman" w:hAnsi="Times New Roman" w:eastAsia="宋体" w:cs="Times New Roman"/>
                <w:color w:val="auto"/>
                <w:spacing w:val="-3"/>
                <w:sz w:val="24"/>
                <w:szCs w:val="24"/>
                <w:highlight w:val="none"/>
                <w:lang w:val="en-US" w:eastAsia="zh-CN"/>
              </w:rPr>
              <w:t>碳酸钾</w:t>
            </w:r>
            <w:r>
              <w:rPr>
                <w:rFonts w:hint="eastAsia" w:cs="Times New Roman"/>
                <w:color w:val="auto"/>
                <w:spacing w:val="-3"/>
                <w:sz w:val="24"/>
                <w:szCs w:val="24"/>
                <w:highlight w:val="none"/>
                <w:lang w:val="en-US" w:eastAsia="zh-CN"/>
              </w:rPr>
              <w:t>（主要是降低熔点、减少能耗，提高产品强度和化学稳定性等）</w:t>
            </w:r>
            <w:r>
              <w:rPr>
                <w:rFonts w:hint="eastAsia" w:ascii="Times New Roman" w:hAnsi="Times New Roman" w:eastAsia="宋体" w:cs="Times New Roman"/>
                <w:color w:val="auto"/>
                <w:spacing w:val="-3"/>
                <w:sz w:val="24"/>
                <w:szCs w:val="24"/>
                <w:highlight w:val="none"/>
                <w:lang w:val="en-US" w:eastAsia="zh-CN"/>
              </w:rPr>
              <w:t>、碳酸钡</w:t>
            </w:r>
            <w:r>
              <w:rPr>
                <w:rFonts w:hint="eastAsia" w:ascii="Times New Roman" w:hAnsi="Times New Roman" w:eastAsia="宋体"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主要是</w:t>
            </w:r>
            <w:r>
              <w:rPr>
                <w:rFonts w:hint="eastAsia" w:ascii="Times New Roman" w:hAnsi="Times New Roman" w:eastAsia="宋体" w:cs="Times New Roman"/>
                <w:color w:val="auto"/>
                <w:spacing w:val="-3"/>
                <w:sz w:val="24"/>
                <w:szCs w:val="24"/>
                <w:highlight w:val="none"/>
                <w:lang w:val="en-US" w:eastAsia="zh-CN"/>
              </w:rPr>
              <w:t>提高折射率</w:t>
            </w:r>
            <w:r>
              <w:rPr>
                <w:rFonts w:hint="eastAsia" w:cs="Times New Roman"/>
                <w:color w:val="auto"/>
                <w:spacing w:val="-3"/>
                <w:sz w:val="24"/>
                <w:szCs w:val="24"/>
                <w:highlight w:val="none"/>
                <w:lang w:val="en-US" w:eastAsia="zh-CN"/>
              </w:rPr>
              <w:t>、增强透光度及表面洁净度</w:t>
            </w:r>
            <w:r>
              <w:rPr>
                <w:rFonts w:hint="eastAsia" w:ascii="Times New Roman" w:hAnsi="Times New Roman" w:eastAsia="宋体" w:cs="Times New Roman"/>
                <w:color w:val="auto"/>
                <w:spacing w:val="-3"/>
                <w:sz w:val="24"/>
                <w:szCs w:val="24"/>
                <w:highlight w:val="none"/>
                <w:lang w:val="en-US" w:eastAsia="zh-CN"/>
              </w:rPr>
              <w:t>等</w:t>
            </w:r>
            <w:r>
              <w:rPr>
                <w:rFonts w:hint="eastAsia"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eastAsia="zh-CN"/>
              </w:rPr>
              <w:t>硼砂、钛白粉、碳酸钙及氧化铈等（用来调玻璃珠的颜色）</w:t>
            </w:r>
            <w:r>
              <w:rPr>
                <w:rFonts w:hint="default" w:ascii="Times New Roman" w:hAnsi="Times New Roman" w:eastAsia="宋体" w:cs="Times New Roman"/>
                <w:color w:val="auto"/>
                <w:sz w:val="24"/>
                <w:szCs w:val="24"/>
                <w:highlight w:val="none"/>
                <w:lang w:eastAsia="zh-CN"/>
              </w:rPr>
              <w:t>按配方投入混料机混合为均匀的配合料。原辅料均为粉状固体物质，可直接进行配</w:t>
            </w:r>
            <w:r>
              <w:rPr>
                <w:rFonts w:hint="default" w:ascii="Times New Roman" w:hAnsi="Times New Roman" w:eastAsia="宋体" w:cs="Times New Roman"/>
                <w:color w:val="auto"/>
                <w:spacing w:val="-2"/>
                <w:sz w:val="24"/>
                <w:szCs w:val="24"/>
                <w:highlight w:val="none"/>
                <w:lang w:eastAsia="zh-CN"/>
              </w:rPr>
              <w:t>料，无需预加工；该过程产生的污染物为配料粉尘废气G1、噪声N、废包装S1、</w:t>
            </w:r>
            <w:r>
              <w:rPr>
                <w:rFonts w:hint="eastAsia" w:ascii="Times New Roman" w:cs="Times New Roman"/>
                <w:color w:val="auto"/>
                <w:spacing w:val="-2"/>
                <w:sz w:val="24"/>
                <w:szCs w:val="24"/>
                <w:highlight w:val="none"/>
                <w:lang w:eastAsia="zh-CN"/>
              </w:rPr>
              <w:t>珠胚</w:t>
            </w:r>
            <w:r>
              <w:rPr>
                <w:rFonts w:hint="default" w:ascii="Times New Roman" w:hAnsi="Times New Roman" w:eastAsia="宋体" w:cs="Times New Roman"/>
                <w:color w:val="auto"/>
                <w:spacing w:val="-2"/>
                <w:sz w:val="24"/>
                <w:szCs w:val="24"/>
                <w:highlight w:val="none"/>
                <w:lang w:eastAsia="zh-CN"/>
              </w:rPr>
              <w:t>布袋收</w:t>
            </w:r>
            <w:r>
              <w:rPr>
                <w:rFonts w:hint="default" w:ascii="Times New Roman" w:hAnsi="Times New Roman" w:eastAsia="宋体" w:cs="Times New Roman"/>
                <w:color w:val="auto"/>
                <w:spacing w:val="-7"/>
                <w:sz w:val="24"/>
                <w:szCs w:val="24"/>
                <w:highlight w:val="none"/>
                <w:lang w:eastAsia="zh-CN"/>
              </w:rPr>
              <w:t>尘S</w:t>
            </w:r>
            <w:r>
              <w:rPr>
                <w:rFonts w:hint="default" w:ascii="Times New Roman" w:hAnsi="Times New Roman" w:eastAsia="宋体" w:cs="Times New Roman"/>
                <w:color w:val="auto"/>
                <w:spacing w:val="-7"/>
                <w:sz w:val="24"/>
                <w:szCs w:val="24"/>
                <w:highlight w:val="none"/>
                <w:lang w:val="en-US" w:eastAsia="zh-CN"/>
              </w:rPr>
              <w:t>2</w:t>
            </w:r>
            <w:r>
              <w:rPr>
                <w:rFonts w:hint="default" w:ascii="Times New Roman" w:hAnsi="Times New Roman" w:eastAsia="宋体" w:cs="Times New Roman"/>
                <w:color w:val="auto"/>
                <w:spacing w:val="-7"/>
                <w:sz w:val="24"/>
                <w:szCs w:val="24"/>
                <w:highlight w:val="none"/>
                <w:lang w:eastAsia="zh-CN"/>
              </w:rPr>
              <w:t>。</w:t>
            </w:r>
          </w:p>
          <w:p w14:paraId="350F06BD">
            <w:pPr>
              <w:keepNext w:val="0"/>
              <w:keepLines w:val="0"/>
              <w:pageBreakBefore w:val="0"/>
              <w:widowControl/>
              <w:kinsoku/>
              <w:wordWrap/>
              <w:overflowPunct/>
              <w:topLinePunct/>
              <w:autoSpaceDE w:val="0"/>
              <w:autoSpaceDN w:val="0"/>
              <w:bidi w:val="0"/>
              <w:adjustRightInd w:val="0"/>
              <w:snapToGrid w:val="0"/>
              <w:spacing w:line="360" w:lineRule="auto"/>
              <w:ind w:left="0" w:right="0" w:firstLine="474"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2"/>
                <w:sz w:val="24"/>
                <w:szCs w:val="24"/>
                <w:highlight w:val="none"/>
                <w:lang w:eastAsia="zh-CN"/>
              </w:rPr>
              <w:t>（2）电炉熔化</w:t>
            </w:r>
          </w:p>
          <w:p w14:paraId="38F90EFE">
            <w:pPr>
              <w:pStyle w:val="19"/>
              <w:keepNext w:val="0"/>
              <w:keepLines w:val="0"/>
              <w:pageBreakBefore w:val="0"/>
              <w:widowControl/>
              <w:kinsoku/>
              <w:wordWrap/>
              <w:overflowPunct/>
              <w:topLinePunct/>
              <w:autoSpaceDE w:val="0"/>
              <w:autoSpaceDN w:val="0"/>
              <w:bidi w:val="0"/>
              <w:adjustRightInd w:val="0"/>
              <w:snapToGrid w:val="0"/>
              <w:spacing w:before="0" w:after="0" w:line="360" w:lineRule="auto"/>
              <w:ind w:left="0" w:right="0" w:firstLine="468" w:firstLineChars="200"/>
              <w:jc w:val="both"/>
              <w:textAlignment w:val="baseline"/>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将配合料投入熔炉内熔成玻璃液，熔制温度控制在1300℃左右，玻璃液经炉出</w:t>
            </w:r>
            <w:r>
              <w:rPr>
                <w:rFonts w:hint="default" w:ascii="Times New Roman" w:hAnsi="Times New Roman" w:eastAsia="宋体" w:cs="Times New Roman"/>
                <w:color w:val="auto"/>
                <w:spacing w:val="-4"/>
                <w:sz w:val="24"/>
                <w:szCs w:val="24"/>
                <w:highlight w:val="none"/>
                <w:lang w:eastAsia="zh-CN"/>
              </w:rPr>
              <w:t>料口入不锈钢模具冷却成型。熔炉使用电加热。项目共配置有</w:t>
            </w:r>
            <w:r>
              <w:rPr>
                <w:rFonts w:hint="default" w:ascii="Times New Roman" w:hAnsi="Times New Roman" w:eastAsia="宋体" w:cs="Times New Roman"/>
                <w:color w:val="auto"/>
                <w:spacing w:val="-4"/>
                <w:sz w:val="24"/>
                <w:szCs w:val="24"/>
                <w:highlight w:val="none"/>
                <w:lang w:val="en-US" w:eastAsia="zh-CN"/>
              </w:rPr>
              <w:t>6</w:t>
            </w:r>
            <w:r>
              <w:rPr>
                <w:rFonts w:hint="default" w:ascii="Times New Roman" w:hAnsi="Times New Roman" w:eastAsia="宋体" w:cs="Times New Roman"/>
                <w:color w:val="auto"/>
                <w:spacing w:val="-5"/>
                <w:sz w:val="24"/>
                <w:szCs w:val="24"/>
                <w:highlight w:val="none"/>
                <w:lang w:eastAsia="zh-CN"/>
              </w:rPr>
              <w:t>台电熔炉，均用电</w:t>
            </w:r>
            <w:r>
              <w:rPr>
                <w:rFonts w:hint="default" w:ascii="Times New Roman" w:hAnsi="Times New Roman" w:eastAsia="宋体" w:cs="Times New Roman"/>
                <w:color w:val="auto"/>
                <w:spacing w:val="-1"/>
                <w:sz w:val="24"/>
                <w:szCs w:val="24"/>
                <w:highlight w:val="none"/>
                <w:lang w:eastAsia="zh-CN"/>
              </w:rPr>
              <w:t>加热，每台电炉</w:t>
            </w:r>
            <w:r>
              <w:rPr>
                <w:rFonts w:hint="eastAsia" w:cs="Times New Roman"/>
                <w:color w:val="auto"/>
                <w:spacing w:val="-1"/>
                <w:sz w:val="24"/>
                <w:szCs w:val="24"/>
                <w:highlight w:val="none"/>
                <w:lang w:val="en-US" w:eastAsia="zh-CN"/>
              </w:rPr>
              <w:t>顶部</w:t>
            </w:r>
            <w:r>
              <w:rPr>
                <w:rFonts w:hint="default" w:ascii="Times New Roman" w:hAnsi="Times New Roman" w:eastAsia="宋体" w:cs="Times New Roman"/>
                <w:color w:val="auto"/>
                <w:spacing w:val="-1"/>
                <w:sz w:val="24"/>
                <w:szCs w:val="24"/>
                <w:highlight w:val="none"/>
                <w:lang w:eastAsia="zh-CN"/>
              </w:rPr>
              <w:t>自带一套密闭集气</w:t>
            </w:r>
            <w:r>
              <w:rPr>
                <w:rFonts w:hint="eastAsia" w:cs="Times New Roman"/>
                <w:color w:val="auto"/>
                <w:spacing w:val="-1"/>
                <w:sz w:val="24"/>
                <w:szCs w:val="24"/>
                <w:highlight w:val="none"/>
                <w:lang w:val="en-US" w:eastAsia="zh-CN"/>
              </w:rPr>
              <w:t>管道，废气经收集后集中处理</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该过程产生的污染物为电炉熔化粉尘废气G2、噪声N。</w:t>
            </w:r>
            <w:r>
              <w:rPr>
                <w:rFonts w:hint="eastAsia" w:ascii="Times New Roman" w:hAnsi="Times New Roman" w:eastAsia="宋体" w:cs="Times New Roman"/>
                <w:color w:val="auto"/>
                <w:spacing w:val="-3"/>
                <w:sz w:val="24"/>
                <w:szCs w:val="24"/>
                <w:highlight w:val="none"/>
                <w:lang w:val="en-US" w:eastAsia="zh-CN"/>
              </w:rPr>
              <w:t>由于原料含有少量水分，因此在高温加热过程中还会产生少量水蒸气。</w:t>
            </w:r>
          </w:p>
          <w:p w14:paraId="658BE614">
            <w:pPr>
              <w:keepNext w:val="0"/>
              <w:keepLines w:val="0"/>
              <w:pageBreakBefore w:val="0"/>
              <w:widowControl w:val="0"/>
              <w:kinsoku/>
              <w:wordWrap/>
              <w:overflowPunct/>
              <w:topLinePunct w:val="0"/>
              <w:autoSpaceDE/>
              <w:autoSpaceDN/>
              <w:bidi w:val="0"/>
              <w:adjustRightInd/>
              <w:snapToGrid/>
              <w:spacing w:line="360" w:lineRule="auto"/>
              <w:ind w:firstLine="470" w:firstLineChars="200"/>
              <w:jc w:val="both"/>
              <w:textAlignment w:val="auto"/>
              <w:rPr>
                <w:rFonts w:hint="default" w:ascii="Times New Roman" w:hAnsi="Times New Roman" w:eastAsia="宋体" w:cs="Times New Roman"/>
                <w:b/>
                <w:bCs/>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电熔炉技术简介：</w:t>
            </w:r>
          </w:p>
          <w:p w14:paraId="128D4AC7">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both"/>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color w:val="auto"/>
                <w:spacing w:val="-3"/>
                <w:kern w:val="2"/>
                <w:sz w:val="24"/>
                <w:szCs w:val="24"/>
                <w:highlight w:val="none"/>
                <w:lang w:val="en-US" w:eastAsia="zh-CN" w:bidi="ar-SA"/>
              </w:rPr>
              <w:t>电熔炉与传统火焰加热炉在熔化机理上的区别，全电熔技术是当代比较先进的玻璃熔化技术之一，其熔化机理与传统火焰加热熔炉有着很大的不同。主要区别在于两者加热方式和“熔化方向”不同，所谓“熔化方向”即配合料熔化过程的走向及所形成的玻璃液的流出方向。传统火焰加热炉的加热方式为表面加热，也就是说，配合料熔化及玻璃液澄清所需的热量来自配合料上方，即火焰空间的火焰；其“熔化方向”为水平方向，即配合料自加料口加入熔化池后，配合料在玻璃液上向流液洞方向水平缓慢移动的过程中发生着一系列的物理化学反应，从而形成玻璃液；而玻璃液流向流液洞的方向大体上也是水平的，虽然玻璃液内部存在着各种各样的液流。而全电熔炉的加热方式为内部加热，其熔化原理为，高温的玻璃液由于内部碱金属离子及其导电离子的存在，其本身为电的导体，当通过特制的电极向玻璃液通电时，玻璃液本身由于焦耳效应会产生热量，以供应配合料熔化及玻璃液澄清所需的热量；全电熔炉的</w:t>
            </w:r>
            <w:r>
              <w:rPr>
                <w:rFonts w:hint="default" w:ascii="Times New Roman" w:hAnsi="Times New Roman" w:eastAsia="宋体" w:cs="Times New Roman"/>
                <w:color w:val="auto"/>
                <w:spacing w:val="-3"/>
                <w:kern w:val="2"/>
                <w:sz w:val="24"/>
                <w:szCs w:val="24"/>
                <w:highlight w:val="none"/>
                <w:lang w:val="en-US" w:eastAsia="zh-CN" w:bidi="ar-SA"/>
              </w:rPr>
              <w:t>“</w:t>
            </w:r>
            <w:r>
              <w:rPr>
                <w:rFonts w:hint="eastAsia" w:ascii="Times New Roman" w:hAnsi="Times New Roman" w:eastAsia="宋体" w:cs="Times New Roman"/>
                <w:color w:val="auto"/>
                <w:spacing w:val="-3"/>
                <w:kern w:val="2"/>
                <w:sz w:val="24"/>
                <w:szCs w:val="24"/>
                <w:highlight w:val="none"/>
                <w:lang w:val="en-US" w:eastAsia="zh-CN" w:bidi="ar-SA"/>
              </w:rPr>
              <w:t>熔化方向</w:t>
            </w:r>
            <w:r>
              <w:rPr>
                <w:rFonts w:hint="default" w:ascii="Times New Roman" w:hAnsi="Times New Roman" w:eastAsia="宋体" w:cs="Times New Roman"/>
                <w:color w:val="auto"/>
                <w:spacing w:val="-3"/>
                <w:kern w:val="2"/>
                <w:sz w:val="24"/>
                <w:szCs w:val="24"/>
                <w:highlight w:val="none"/>
                <w:lang w:val="en-US" w:eastAsia="zh-CN" w:bidi="ar-SA"/>
              </w:rPr>
              <w:t>”</w:t>
            </w:r>
            <w:r>
              <w:rPr>
                <w:rFonts w:hint="eastAsia" w:ascii="Times New Roman" w:hAnsi="Times New Roman" w:eastAsia="宋体" w:cs="Times New Roman"/>
                <w:color w:val="auto"/>
                <w:spacing w:val="-3"/>
                <w:kern w:val="2"/>
                <w:sz w:val="24"/>
                <w:szCs w:val="24"/>
                <w:highlight w:val="none"/>
                <w:lang w:val="en-US" w:eastAsia="zh-CN" w:bidi="ar-SA"/>
              </w:rPr>
              <w:t>为垂直方向，配合料加到玻璃液面上并完全覆盖液面，其一系列的物理化学反应是在向下缓慢移动的过程中发生的，所形成的玻璃液流向流液洞的方向大体上也是垂直的。在熔炉正常运行过程中，由于玻璃液面上被一层低温的配合料所覆盖，使得火焰空间的温度保持在</w:t>
            </w:r>
            <w:r>
              <w:rPr>
                <w:rFonts w:hint="default" w:ascii="Times New Roman" w:hAnsi="Times New Roman" w:eastAsia="宋体" w:cs="Times New Roman"/>
                <w:color w:val="auto"/>
                <w:spacing w:val="-3"/>
                <w:kern w:val="2"/>
                <w:sz w:val="24"/>
                <w:szCs w:val="24"/>
                <w:highlight w:val="none"/>
                <w:lang w:val="en-US" w:eastAsia="zh-CN" w:bidi="ar-SA"/>
              </w:rPr>
              <w:t>100</w:t>
            </w:r>
            <w:r>
              <w:rPr>
                <w:rFonts w:hint="eastAsia" w:ascii="Times New Roman" w:hAnsi="Times New Roman" w:eastAsia="宋体" w:cs="Times New Roman"/>
                <w:color w:val="auto"/>
                <w:spacing w:val="-3"/>
                <w:kern w:val="2"/>
                <w:sz w:val="24"/>
                <w:szCs w:val="24"/>
                <w:highlight w:val="none"/>
                <w:lang w:val="en-US" w:eastAsia="zh-CN" w:bidi="ar-SA"/>
              </w:rPr>
              <w:t>～</w:t>
            </w:r>
            <w:r>
              <w:rPr>
                <w:rFonts w:hint="default" w:ascii="Times New Roman" w:hAnsi="Times New Roman" w:eastAsia="宋体" w:cs="Times New Roman"/>
                <w:color w:val="auto"/>
                <w:spacing w:val="-3"/>
                <w:kern w:val="2"/>
                <w:sz w:val="24"/>
                <w:szCs w:val="24"/>
                <w:highlight w:val="none"/>
                <w:lang w:val="en-US" w:eastAsia="zh-CN" w:bidi="ar-SA"/>
              </w:rPr>
              <w:t>200</w:t>
            </w:r>
            <w:r>
              <w:rPr>
                <w:rFonts w:hint="eastAsia" w:ascii="Times New Roman" w:hAnsi="Times New Roman" w:eastAsia="宋体" w:cs="Times New Roman"/>
                <w:color w:val="auto"/>
                <w:spacing w:val="-3"/>
                <w:kern w:val="2"/>
                <w:sz w:val="24"/>
                <w:szCs w:val="24"/>
                <w:highlight w:val="none"/>
                <w:lang w:val="en-US" w:eastAsia="zh-CN" w:bidi="ar-SA"/>
              </w:rPr>
              <w:t>℃，形成所谓的“冷顶”，冷顶层与玻璃液混合层温度约为</w:t>
            </w:r>
            <w:r>
              <w:rPr>
                <w:rFonts w:hint="default" w:ascii="Times New Roman" w:hAnsi="Times New Roman" w:eastAsia="宋体" w:cs="Times New Roman"/>
                <w:color w:val="auto"/>
                <w:spacing w:val="-3"/>
                <w:kern w:val="2"/>
                <w:sz w:val="24"/>
                <w:szCs w:val="24"/>
                <w:highlight w:val="none"/>
                <w:lang w:val="en-US" w:eastAsia="zh-CN" w:bidi="ar-SA"/>
              </w:rPr>
              <w:t>800</w:t>
            </w:r>
            <w:r>
              <w:rPr>
                <w:rFonts w:hint="eastAsia" w:ascii="Times New Roman" w:hAnsi="Times New Roman" w:eastAsia="宋体" w:cs="Times New Roman"/>
                <w:color w:val="auto"/>
                <w:spacing w:val="-3"/>
                <w:kern w:val="2"/>
                <w:sz w:val="24"/>
                <w:szCs w:val="24"/>
                <w:highlight w:val="none"/>
                <w:lang w:val="en-US" w:eastAsia="zh-CN" w:bidi="ar-SA"/>
              </w:rPr>
              <w:t>℃。熔制过程主要包括以下几个阶段：</w:t>
            </w:r>
          </w:p>
          <w:p w14:paraId="5BD7839E">
            <w:pPr>
              <w:keepNext w:val="0"/>
              <w:keepLines w:val="0"/>
              <w:pageBreakBefore w:val="0"/>
              <w:widowControl/>
              <w:suppressLineNumbers w:val="0"/>
              <w:kinsoku/>
              <w:wordWrap/>
              <w:overflowPunct/>
              <w:topLinePunct w:val="0"/>
              <w:autoSpaceDE/>
              <w:autoSpaceDN/>
              <w:bidi w:val="0"/>
              <w:adjustRightInd/>
              <w:snapToGrid/>
              <w:spacing w:line="360" w:lineRule="auto"/>
              <w:ind w:firstLine="470" w:firstLineChars="200"/>
              <w:jc w:val="both"/>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水分蒸发</w:t>
            </w:r>
            <w:r>
              <w:rPr>
                <w:rFonts w:hint="eastAsia" w:ascii="Times New Roman" w:hAnsi="Times New Roman" w:eastAsia="宋体" w:cs="Times New Roman"/>
                <w:color w:val="auto"/>
                <w:spacing w:val="-3"/>
                <w:kern w:val="2"/>
                <w:sz w:val="24"/>
                <w:szCs w:val="24"/>
                <w:highlight w:val="none"/>
                <w:lang w:val="en-US" w:eastAsia="zh-CN" w:bidi="ar-SA"/>
              </w:rPr>
              <w:t>：在加热初期（</w:t>
            </w:r>
            <w:r>
              <w:rPr>
                <w:rFonts w:hint="default" w:ascii="Times New Roman" w:hAnsi="Times New Roman" w:eastAsia="宋体" w:cs="Times New Roman"/>
                <w:color w:val="auto"/>
                <w:spacing w:val="-3"/>
                <w:kern w:val="2"/>
                <w:sz w:val="24"/>
                <w:szCs w:val="24"/>
                <w:highlight w:val="none"/>
                <w:lang w:val="en-US" w:eastAsia="zh-CN" w:bidi="ar-SA"/>
              </w:rPr>
              <w:t>100-120</w:t>
            </w:r>
            <w:r>
              <w:rPr>
                <w:rFonts w:hint="eastAsia" w:ascii="Times New Roman" w:hAnsi="Times New Roman" w:eastAsia="宋体" w:cs="Times New Roman"/>
                <w:color w:val="auto"/>
                <w:spacing w:val="-3"/>
                <w:kern w:val="2"/>
                <w:sz w:val="24"/>
                <w:szCs w:val="24"/>
                <w:highlight w:val="none"/>
                <w:lang w:val="en-US" w:eastAsia="zh-CN" w:bidi="ar-SA"/>
              </w:rPr>
              <w:t>℃），配合料中的水分开始蒸发，这是物理过程的一部分，为后续的化学反应创造条件。</w:t>
            </w:r>
          </w:p>
          <w:p w14:paraId="0E794DE0">
            <w:pPr>
              <w:keepNext w:val="0"/>
              <w:keepLines w:val="0"/>
              <w:pageBreakBefore w:val="0"/>
              <w:widowControl/>
              <w:suppressLineNumbers w:val="0"/>
              <w:kinsoku/>
              <w:wordWrap/>
              <w:overflowPunct/>
              <w:topLinePunct w:val="0"/>
              <w:autoSpaceDE/>
              <w:autoSpaceDN/>
              <w:bidi w:val="0"/>
              <w:adjustRightInd/>
              <w:snapToGrid/>
              <w:spacing w:line="360" w:lineRule="auto"/>
              <w:ind w:firstLine="470" w:firstLineChars="200"/>
              <w:jc w:val="both"/>
              <w:textAlignment w:val="auto"/>
              <w:rPr>
                <w:rFonts w:hint="eastAsia"/>
                <w:color w:val="auto"/>
                <w:lang w:val="en-US" w:eastAsia="zh-CN"/>
              </w:rPr>
            </w:pPr>
            <w:r>
              <w:rPr>
                <w:rFonts w:hint="eastAsia" w:ascii="Times New Roman" w:hAnsi="Times New Roman" w:eastAsia="宋体" w:cs="Times New Roman"/>
                <w:b/>
                <w:bCs/>
                <w:color w:val="auto"/>
                <w:spacing w:val="-3"/>
                <w:kern w:val="2"/>
                <w:sz w:val="24"/>
                <w:szCs w:val="24"/>
                <w:highlight w:val="none"/>
                <w:lang w:val="en-US" w:eastAsia="zh-CN" w:bidi="ar-SA"/>
              </w:rPr>
              <w:t>固相反应：</w:t>
            </w:r>
            <w:r>
              <w:rPr>
                <w:rFonts w:hint="eastAsia" w:ascii="Times New Roman" w:hAnsi="Times New Roman" w:eastAsia="宋体" w:cs="Times New Roman"/>
                <w:color w:val="auto"/>
                <w:spacing w:val="-3"/>
                <w:kern w:val="2"/>
                <w:sz w:val="24"/>
                <w:szCs w:val="24"/>
                <w:highlight w:val="none"/>
                <w:lang w:val="en-US" w:eastAsia="zh-CN" w:bidi="ar-SA"/>
              </w:rPr>
              <w:t>配合料中的碳酸盐在较低温度下（低于</w:t>
            </w:r>
            <w:r>
              <w:rPr>
                <w:rFonts w:hint="default" w:ascii="Times New Roman" w:hAnsi="Times New Roman" w:eastAsia="宋体" w:cs="Times New Roman"/>
                <w:color w:val="auto"/>
                <w:spacing w:val="-3"/>
                <w:kern w:val="2"/>
                <w:sz w:val="24"/>
                <w:szCs w:val="24"/>
                <w:highlight w:val="none"/>
                <w:lang w:val="en-US" w:eastAsia="zh-CN" w:bidi="ar-SA"/>
              </w:rPr>
              <w:t>600</w:t>
            </w:r>
            <w:r>
              <w:rPr>
                <w:rFonts w:hint="eastAsia" w:ascii="Times New Roman" w:hAnsi="Times New Roman" w:eastAsia="宋体" w:cs="Times New Roman"/>
                <w:color w:val="auto"/>
                <w:spacing w:val="-3"/>
                <w:kern w:val="2"/>
                <w:sz w:val="24"/>
                <w:szCs w:val="24"/>
                <w:highlight w:val="none"/>
                <w:lang w:val="en-US" w:eastAsia="zh-CN" w:bidi="ar-SA"/>
              </w:rPr>
              <w:t>℃）发生分解反应，生成氧化物和二氧化碳。</w:t>
            </w:r>
          </w:p>
          <w:p w14:paraId="598F46B8">
            <w:pPr>
              <w:keepNext w:val="0"/>
              <w:keepLines w:val="0"/>
              <w:pageBreakBefore w:val="0"/>
              <w:widowControl w:val="0"/>
              <w:suppressLineNumbers w:val="0"/>
              <w:kinsoku/>
              <w:wordWrap/>
              <w:overflowPunct/>
              <w:topLinePunct w:val="0"/>
              <w:autoSpaceDE/>
              <w:autoSpaceDN/>
              <w:bidi w:val="0"/>
              <w:adjustRightInd/>
              <w:snapToGrid/>
              <w:spacing w:line="360" w:lineRule="auto"/>
              <w:ind w:firstLine="470" w:firstLineChars="200"/>
              <w:jc w:val="both"/>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硅酸盐形成：</w:t>
            </w:r>
            <w:r>
              <w:rPr>
                <w:rFonts w:hint="eastAsia" w:ascii="Times New Roman" w:hAnsi="Times New Roman" w:eastAsia="宋体" w:cs="Times New Roman"/>
                <w:color w:val="auto"/>
                <w:spacing w:val="-3"/>
                <w:kern w:val="2"/>
                <w:sz w:val="24"/>
                <w:szCs w:val="24"/>
                <w:highlight w:val="none"/>
                <w:lang w:val="en-US" w:eastAsia="zh-CN" w:bidi="ar-SA"/>
              </w:rPr>
              <w:t>在</w:t>
            </w:r>
            <w:r>
              <w:rPr>
                <w:rFonts w:hint="default" w:ascii="Times New Roman" w:hAnsi="Times New Roman" w:eastAsia="宋体" w:cs="Times New Roman"/>
                <w:color w:val="auto"/>
                <w:spacing w:val="-3"/>
                <w:kern w:val="2"/>
                <w:sz w:val="24"/>
                <w:szCs w:val="24"/>
                <w:highlight w:val="none"/>
                <w:lang w:val="en-US" w:eastAsia="zh-CN" w:bidi="ar-SA"/>
              </w:rPr>
              <w:t>720-900</w:t>
            </w:r>
            <w:r>
              <w:rPr>
                <w:rFonts w:hint="eastAsia" w:ascii="Times New Roman" w:hAnsi="Times New Roman" w:eastAsia="宋体" w:cs="Times New Roman"/>
                <w:color w:val="auto"/>
                <w:spacing w:val="-3"/>
                <w:kern w:val="2"/>
                <w:sz w:val="24"/>
                <w:szCs w:val="24"/>
                <w:highlight w:val="none"/>
                <w:lang w:val="en-US" w:eastAsia="zh-CN" w:bidi="ar-SA"/>
              </w:rPr>
              <w:t>℃范围内，混合料中的氧化物（如</w:t>
            </w:r>
            <w:r>
              <w:rPr>
                <w:rFonts w:hint="default" w:ascii="Times New Roman" w:hAnsi="Times New Roman" w:eastAsia="宋体" w:cs="Times New Roman"/>
                <w:color w:val="auto"/>
                <w:spacing w:val="-3"/>
                <w:kern w:val="2"/>
                <w:sz w:val="24"/>
                <w:szCs w:val="24"/>
                <w:highlight w:val="none"/>
                <w:lang w:val="en-US" w:eastAsia="zh-CN" w:bidi="ar-SA"/>
              </w:rPr>
              <w:t>SiO</w:t>
            </w:r>
            <w:r>
              <w:rPr>
                <w:rFonts w:hint="default" w:ascii="Times New Roman" w:hAnsi="Times New Roman" w:eastAsia="宋体" w:cs="Times New Roman"/>
                <w:color w:val="auto"/>
                <w:spacing w:val="-3"/>
                <w:kern w:val="2"/>
                <w:sz w:val="24"/>
                <w:szCs w:val="24"/>
                <w:highlight w:val="none"/>
                <w:vertAlign w:val="subscript"/>
                <w:lang w:val="en-US" w:eastAsia="zh-CN" w:bidi="ar-SA"/>
              </w:rPr>
              <w:t>2</w:t>
            </w:r>
            <w:r>
              <w:rPr>
                <w:rFonts w:hint="eastAsia" w:ascii="Times New Roman" w:hAnsi="Times New Roman" w:eastAsia="宋体" w:cs="Times New Roman"/>
                <w:color w:val="auto"/>
                <w:spacing w:val="-3"/>
                <w:kern w:val="2"/>
                <w:sz w:val="24"/>
                <w:szCs w:val="24"/>
                <w:highlight w:val="none"/>
                <w:lang w:val="en-US" w:eastAsia="zh-CN" w:bidi="ar-SA"/>
              </w:rPr>
              <w:t>、</w:t>
            </w:r>
            <w:r>
              <w:rPr>
                <w:rFonts w:hint="default" w:ascii="Times New Roman" w:hAnsi="Times New Roman" w:eastAsia="宋体" w:cs="Times New Roman"/>
                <w:color w:val="auto"/>
                <w:spacing w:val="-3"/>
                <w:kern w:val="2"/>
                <w:sz w:val="24"/>
                <w:szCs w:val="24"/>
                <w:highlight w:val="none"/>
                <w:lang w:val="en-US" w:eastAsia="zh-CN" w:bidi="ar-SA"/>
              </w:rPr>
              <w:t>Na</w:t>
            </w:r>
            <w:r>
              <w:rPr>
                <w:rFonts w:hint="default" w:ascii="Times New Roman" w:hAnsi="Times New Roman" w:eastAsia="宋体" w:cs="Times New Roman"/>
                <w:color w:val="auto"/>
                <w:spacing w:val="-3"/>
                <w:kern w:val="2"/>
                <w:sz w:val="24"/>
                <w:szCs w:val="24"/>
                <w:highlight w:val="none"/>
                <w:vertAlign w:val="subscript"/>
                <w:lang w:val="en-US" w:eastAsia="zh-CN" w:bidi="ar-SA"/>
              </w:rPr>
              <w:t>2</w:t>
            </w:r>
            <w:r>
              <w:rPr>
                <w:rFonts w:hint="default" w:ascii="Times New Roman" w:hAnsi="Times New Roman" w:eastAsia="宋体" w:cs="Times New Roman"/>
                <w:color w:val="auto"/>
                <w:spacing w:val="-3"/>
                <w:kern w:val="2"/>
                <w:sz w:val="24"/>
                <w:szCs w:val="24"/>
                <w:highlight w:val="none"/>
                <w:lang w:val="en-US" w:eastAsia="zh-CN" w:bidi="ar-SA"/>
              </w:rPr>
              <w:t>O</w:t>
            </w:r>
            <w:r>
              <w:rPr>
                <w:rFonts w:hint="eastAsia" w:ascii="Times New Roman" w:hAnsi="Times New Roman" w:eastAsia="宋体" w:cs="Times New Roman"/>
                <w:color w:val="auto"/>
                <w:spacing w:val="-3"/>
                <w:kern w:val="2"/>
                <w:sz w:val="24"/>
                <w:szCs w:val="24"/>
                <w:highlight w:val="none"/>
                <w:lang w:val="en-US" w:eastAsia="zh-CN" w:bidi="ar-SA"/>
              </w:rPr>
              <w:t>、</w:t>
            </w:r>
            <w:r>
              <w:rPr>
                <w:rFonts w:hint="default" w:ascii="Times New Roman" w:hAnsi="Times New Roman" w:eastAsia="宋体" w:cs="Times New Roman"/>
                <w:color w:val="auto"/>
                <w:spacing w:val="-3"/>
                <w:kern w:val="2"/>
                <w:sz w:val="24"/>
                <w:szCs w:val="24"/>
                <w:highlight w:val="none"/>
                <w:lang w:val="en-US" w:eastAsia="zh-CN" w:bidi="ar-SA"/>
              </w:rPr>
              <w:t>CaO</w:t>
            </w:r>
            <w:r>
              <w:rPr>
                <w:rFonts w:hint="eastAsia" w:ascii="Times New Roman" w:hAnsi="Times New Roman" w:eastAsia="宋体" w:cs="Times New Roman"/>
                <w:color w:val="auto"/>
                <w:spacing w:val="-3"/>
                <w:kern w:val="2"/>
                <w:sz w:val="24"/>
                <w:szCs w:val="24"/>
                <w:highlight w:val="none"/>
                <w:lang w:val="en-US" w:eastAsia="zh-CN" w:bidi="ar-SA"/>
              </w:rPr>
              <w:t xml:space="preserve">等）发生复杂的化学反应，形成低共熔物和硅酸盐。 </w:t>
            </w:r>
          </w:p>
          <w:p w14:paraId="73E762C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rPr>
            </w:pPr>
            <w:r>
              <w:rPr>
                <w:color w:val="auto"/>
              </w:rPr>
              <w:drawing>
                <wp:inline distT="0" distB="0" distL="114300" distR="114300">
                  <wp:extent cx="3352800" cy="752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3352800" cy="752475"/>
                          </a:xfrm>
                          <a:prstGeom prst="rect">
                            <a:avLst/>
                          </a:prstGeom>
                          <a:noFill/>
                          <a:ln>
                            <a:noFill/>
                          </a:ln>
                        </pic:spPr>
                      </pic:pic>
                    </a:graphicData>
                  </a:graphic>
                </wp:inline>
              </w:drawing>
            </w:r>
          </w:p>
          <w:p w14:paraId="1145575E">
            <w:pPr>
              <w:keepNext w:val="0"/>
              <w:keepLines w:val="0"/>
              <w:pageBreakBefore w:val="0"/>
              <w:widowControl/>
              <w:suppressLineNumbers w:val="0"/>
              <w:kinsoku/>
              <w:wordWrap/>
              <w:overflowPunct/>
              <w:topLinePunct w:val="0"/>
              <w:autoSpaceDE/>
              <w:autoSpaceDN/>
              <w:bidi w:val="0"/>
              <w:adjustRightInd/>
              <w:snapToGrid/>
              <w:spacing w:line="360" w:lineRule="auto"/>
              <w:ind w:firstLine="470" w:firstLineChars="200"/>
              <w:jc w:val="left"/>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多晶转变：</w:t>
            </w:r>
            <w:r>
              <w:rPr>
                <w:rFonts w:hint="eastAsia" w:ascii="Times New Roman" w:hAnsi="Times New Roman" w:eastAsia="宋体" w:cs="Times New Roman"/>
                <w:color w:val="auto"/>
                <w:spacing w:val="-3"/>
                <w:kern w:val="2"/>
                <w:sz w:val="24"/>
                <w:szCs w:val="24"/>
                <w:highlight w:val="none"/>
                <w:lang w:val="en-US" w:eastAsia="zh-CN" w:bidi="ar-SA"/>
              </w:rPr>
              <w:t xml:space="preserve">在约 </w:t>
            </w:r>
            <w:r>
              <w:rPr>
                <w:rFonts w:hint="default" w:ascii="Times New Roman" w:hAnsi="Times New Roman" w:eastAsia="宋体" w:cs="Times New Roman"/>
                <w:color w:val="auto"/>
                <w:spacing w:val="-3"/>
                <w:kern w:val="2"/>
                <w:sz w:val="24"/>
                <w:szCs w:val="24"/>
                <w:highlight w:val="none"/>
                <w:lang w:val="en-US" w:eastAsia="zh-CN" w:bidi="ar-SA"/>
              </w:rPr>
              <w:t>600</w:t>
            </w:r>
            <w:r>
              <w:rPr>
                <w:rFonts w:hint="eastAsia" w:ascii="Times New Roman" w:hAnsi="Times New Roman" w:eastAsia="宋体" w:cs="Times New Roman"/>
                <w:color w:val="auto"/>
                <w:spacing w:val="-3"/>
                <w:kern w:val="2"/>
                <w:sz w:val="24"/>
                <w:szCs w:val="24"/>
                <w:highlight w:val="none"/>
                <w:lang w:val="en-US" w:eastAsia="zh-CN" w:bidi="ar-SA"/>
              </w:rPr>
              <w:t>℃时，混合料中的石英（</w:t>
            </w:r>
            <w:r>
              <w:rPr>
                <w:rFonts w:hint="default" w:ascii="Times New Roman" w:hAnsi="Times New Roman" w:eastAsia="宋体" w:cs="Times New Roman"/>
                <w:color w:val="auto"/>
                <w:spacing w:val="-3"/>
                <w:kern w:val="2"/>
                <w:sz w:val="24"/>
                <w:szCs w:val="24"/>
                <w:highlight w:val="none"/>
                <w:lang w:val="en-US" w:eastAsia="zh-CN" w:bidi="ar-SA"/>
              </w:rPr>
              <w:t>SiO</w:t>
            </w:r>
            <w:r>
              <w:rPr>
                <w:rFonts w:hint="default" w:ascii="Times New Roman" w:hAnsi="Times New Roman" w:eastAsia="宋体" w:cs="Times New Roman"/>
                <w:color w:val="auto"/>
                <w:spacing w:val="-3"/>
                <w:kern w:val="2"/>
                <w:sz w:val="24"/>
                <w:szCs w:val="24"/>
                <w:highlight w:val="none"/>
                <w:vertAlign w:val="subscript"/>
                <w:lang w:val="en-US" w:eastAsia="zh-CN" w:bidi="ar-SA"/>
              </w:rPr>
              <w:t>2</w:t>
            </w:r>
            <w:r>
              <w:rPr>
                <w:rFonts w:hint="eastAsia" w:ascii="Times New Roman" w:hAnsi="Times New Roman" w:eastAsia="宋体" w:cs="Times New Roman"/>
                <w:color w:val="auto"/>
                <w:spacing w:val="-3"/>
                <w:kern w:val="2"/>
                <w:sz w:val="24"/>
                <w:szCs w:val="24"/>
                <w:highlight w:val="none"/>
                <w:lang w:val="en-US" w:eastAsia="zh-CN" w:bidi="ar-SA"/>
              </w:rPr>
              <w:t>）发生多晶转变，产生裂纹，进一步促进硅酸盐结构的形成。</w:t>
            </w:r>
          </w:p>
          <w:p w14:paraId="76A6850B">
            <w:pPr>
              <w:keepNext w:val="0"/>
              <w:keepLines w:val="0"/>
              <w:pageBreakBefore w:val="0"/>
              <w:widowControl/>
              <w:suppressLineNumbers w:val="0"/>
              <w:kinsoku/>
              <w:wordWrap/>
              <w:overflowPunct/>
              <w:topLinePunct w:val="0"/>
              <w:autoSpaceDE/>
              <w:autoSpaceDN/>
              <w:bidi w:val="0"/>
              <w:adjustRightInd/>
              <w:snapToGrid/>
              <w:spacing w:line="360" w:lineRule="auto"/>
              <w:ind w:firstLine="470" w:firstLineChars="200"/>
              <w:jc w:val="left"/>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澄清与均化：</w:t>
            </w:r>
            <w:r>
              <w:rPr>
                <w:rFonts w:hint="eastAsia" w:ascii="Times New Roman" w:hAnsi="Times New Roman" w:eastAsia="宋体" w:cs="Times New Roman"/>
                <w:color w:val="auto"/>
                <w:spacing w:val="-3"/>
                <w:kern w:val="2"/>
                <w:sz w:val="24"/>
                <w:szCs w:val="24"/>
                <w:highlight w:val="none"/>
                <w:lang w:val="en-US" w:eastAsia="zh-CN" w:bidi="ar-SA"/>
              </w:rPr>
              <w:t>在高温区（约</w:t>
            </w:r>
            <w:r>
              <w:rPr>
                <w:rFonts w:hint="default" w:ascii="Times New Roman" w:hAnsi="Times New Roman" w:eastAsia="宋体" w:cs="Times New Roman"/>
                <w:color w:val="auto"/>
                <w:spacing w:val="-3"/>
                <w:kern w:val="2"/>
                <w:sz w:val="24"/>
                <w:szCs w:val="24"/>
                <w:highlight w:val="none"/>
                <w:lang w:val="en-US" w:eastAsia="zh-CN" w:bidi="ar-SA"/>
              </w:rPr>
              <w:t>1200-1400</w:t>
            </w:r>
            <w:r>
              <w:rPr>
                <w:rFonts w:hint="eastAsia" w:ascii="Times New Roman" w:hAnsi="Times New Roman" w:eastAsia="宋体" w:cs="Times New Roman"/>
                <w:color w:val="auto"/>
                <w:spacing w:val="-3"/>
                <w:kern w:val="2"/>
                <w:sz w:val="24"/>
                <w:szCs w:val="24"/>
                <w:highlight w:val="none"/>
                <w:lang w:val="en-US" w:eastAsia="zh-CN" w:bidi="ar-SA"/>
              </w:rPr>
              <w:t>℃），玻璃液中的气泡和杂质被排除，同时通过搅拌或机械鼓泡加速澄清。</w:t>
            </w:r>
          </w:p>
          <w:p w14:paraId="08A223B2">
            <w:pPr>
              <w:keepNext w:val="0"/>
              <w:keepLines w:val="0"/>
              <w:pageBreakBefore w:val="0"/>
              <w:widowControl/>
              <w:suppressLineNumbers w:val="0"/>
              <w:kinsoku/>
              <w:wordWrap/>
              <w:overflowPunct/>
              <w:topLinePunct w:val="0"/>
              <w:autoSpaceDE/>
              <w:autoSpaceDN/>
              <w:bidi w:val="0"/>
              <w:adjustRightInd/>
              <w:snapToGrid/>
              <w:spacing w:line="360" w:lineRule="auto"/>
              <w:ind w:firstLine="470" w:firstLineChars="200"/>
              <w:jc w:val="left"/>
              <w:textAlignment w:val="auto"/>
              <w:rPr>
                <w:rFonts w:hint="eastAsia"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冷却固化：</w:t>
            </w:r>
            <w:r>
              <w:rPr>
                <w:rFonts w:hint="eastAsia" w:ascii="Times New Roman" w:hAnsi="Times New Roman" w:eastAsia="宋体" w:cs="Times New Roman"/>
                <w:color w:val="auto"/>
                <w:spacing w:val="-3"/>
                <w:kern w:val="2"/>
                <w:sz w:val="24"/>
                <w:szCs w:val="24"/>
                <w:highlight w:val="none"/>
                <w:lang w:val="en-US" w:eastAsia="zh-CN" w:bidi="ar-SA"/>
              </w:rPr>
              <w:t>玻璃液从高温区流向下部冷却区，在此过程中逐渐冷却固化为玻璃珠胚。冷却速度直接影响玻璃珠的形态和性能。</w:t>
            </w:r>
          </w:p>
          <w:p w14:paraId="7BD0298E">
            <w:pPr>
              <w:pStyle w:val="19"/>
              <w:keepNext w:val="0"/>
              <w:keepLines w:val="0"/>
              <w:pageBreakBefore w:val="0"/>
              <w:widowControl/>
              <w:kinsoku/>
              <w:wordWrap/>
              <w:overflowPunct/>
              <w:topLinePunct/>
              <w:autoSpaceDE w:val="0"/>
              <w:autoSpaceDN w:val="0"/>
              <w:bidi w:val="0"/>
              <w:adjustRightInd w:val="0"/>
              <w:snapToGrid w:val="0"/>
              <w:spacing w:before="0" w:after="0" w:line="360" w:lineRule="auto"/>
              <w:ind w:left="0" w:right="0" w:firstLine="470" w:firstLineChars="200"/>
              <w:jc w:val="both"/>
              <w:textAlignment w:val="baseline"/>
              <w:rPr>
                <w:rFonts w:hint="default" w:ascii="Times New Roman" w:hAnsi="Times New Roman" w:eastAsia="宋体" w:cs="Times New Roman"/>
                <w:b/>
                <w:bCs/>
                <w:color w:val="auto"/>
                <w:spacing w:val="-3"/>
                <w:sz w:val="24"/>
                <w:szCs w:val="24"/>
                <w:highlight w:val="none"/>
                <w:lang w:val="en-US" w:eastAsia="zh-CN"/>
              </w:rPr>
            </w:pPr>
            <w:r>
              <w:rPr>
                <w:rFonts w:hint="default" w:ascii="Times New Roman" w:hAnsi="Times New Roman" w:eastAsia="宋体" w:cs="Times New Roman"/>
                <w:b/>
                <w:bCs/>
                <w:color w:val="auto"/>
                <w:spacing w:val="-3"/>
                <w:sz w:val="24"/>
                <w:szCs w:val="24"/>
                <w:highlight w:val="none"/>
                <w:lang w:val="en-US" w:eastAsia="zh-CN"/>
              </w:rPr>
              <w:t>全电熔炉工作原理：</w:t>
            </w:r>
          </w:p>
          <w:p w14:paraId="0046D6D9">
            <w:pPr>
              <w:pStyle w:val="19"/>
              <w:keepNext w:val="0"/>
              <w:keepLines w:val="0"/>
              <w:pageBreakBefore w:val="0"/>
              <w:widowControl/>
              <w:kinsoku/>
              <w:wordWrap/>
              <w:overflowPunct/>
              <w:topLinePunct/>
              <w:autoSpaceDE w:val="0"/>
              <w:autoSpaceDN w:val="0"/>
              <w:bidi w:val="0"/>
              <w:adjustRightInd w:val="0"/>
              <w:snapToGrid w:val="0"/>
              <w:spacing w:before="0" w:after="0" w:line="360" w:lineRule="auto"/>
              <w:ind w:left="0" w:right="0" w:firstLine="468" w:firstLineChars="200"/>
              <w:jc w:val="both"/>
              <w:textAlignment w:val="baseline"/>
              <w:rPr>
                <w:color w:val="auto"/>
                <w:highlight w:val="none"/>
              </w:rPr>
            </w:pPr>
            <w:r>
              <w:rPr>
                <w:rFonts w:hint="default" w:ascii="Times New Roman" w:hAnsi="Times New Roman" w:eastAsia="宋体" w:cs="Times New Roman"/>
                <w:color w:val="auto"/>
                <w:spacing w:val="-3"/>
                <w:sz w:val="24"/>
                <w:szCs w:val="24"/>
                <w:highlight w:val="none"/>
                <w:lang w:val="en-US" w:eastAsia="zh-CN"/>
              </w:rPr>
              <w:t>全电熔炉热量由内而发，电极释放功率使玻璃液温度升高。全电熔炉从原料到玻璃液的形成，也是沿着玻璃液流动方向依次通过物理反应、化学反应和一系列复杂的物化反应，完成硅酸盐形成、玻璃液形成、玻璃液澄清、均化冷却等过程，但配合料是均匀的铺满熔炉的整个上表面，并保持一定的生料层，形成熔炉冷顶。玻璃形成的各阶段在熔炉的高度方向自上而下进行，是一个垂直熔化过程。全电熔炉主要在于有稳定的冷顶层，因玻璃与电极形成回路，电流密度分布大小决定热点区位置和澄清机理。在高温区小气泡聚集形成大气泡，不断上升，这个过程是由高温区上升到冷顶层直至逸出。</w:t>
            </w:r>
          </w:p>
          <w:p w14:paraId="658524D8">
            <w:pPr>
              <w:keepNext w:val="0"/>
              <w:keepLines w:val="0"/>
              <w:pageBreakBefore w:val="0"/>
              <w:widowControl/>
              <w:kinsoku/>
              <w:wordWrap/>
              <w:overflowPunct/>
              <w:topLinePunct/>
              <w:autoSpaceDE w:val="0"/>
              <w:autoSpaceDN w:val="0"/>
              <w:bidi w:val="0"/>
              <w:adjustRightInd w:val="0"/>
              <w:snapToGrid w:val="0"/>
              <w:spacing w:line="360" w:lineRule="auto"/>
              <w:ind w:left="0" w:right="0" w:firstLine="470" w:firstLineChars="200"/>
              <w:jc w:val="both"/>
              <w:textAlignment w:val="baseline"/>
              <w:rPr>
                <w:rFonts w:hint="default" w:ascii="Times New Roman" w:hAnsi="Times New Roman" w:eastAsia="宋体" w:cs="Times New Roman"/>
                <w:b/>
                <w:bCs/>
                <w:color w:val="auto"/>
                <w:spacing w:val="-3"/>
                <w:kern w:val="2"/>
                <w:sz w:val="24"/>
                <w:szCs w:val="24"/>
                <w:highlight w:val="none"/>
                <w:lang w:val="en-US" w:eastAsia="zh-CN" w:bidi="ar-SA"/>
              </w:rPr>
            </w:pPr>
            <w:r>
              <w:rPr>
                <w:rFonts w:hint="eastAsia" w:ascii="Times New Roman" w:hAnsi="Times New Roman" w:eastAsia="宋体" w:cs="Times New Roman"/>
                <w:b/>
                <w:bCs/>
                <w:color w:val="auto"/>
                <w:spacing w:val="-3"/>
                <w:kern w:val="2"/>
                <w:sz w:val="24"/>
                <w:szCs w:val="24"/>
                <w:highlight w:val="none"/>
                <w:lang w:val="en-US" w:eastAsia="zh-CN" w:bidi="ar-SA"/>
              </w:rPr>
              <w:t>（3）</w:t>
            </w:r>
            <w:r>
              <w:rPr>
                <w:rFonts w:hint="eastAsia" w:cs="Times New Roman"/>
                <w:b/>
                <w:bCs/>
                <w:color w:val="auto"/>
                <w:spacing w:val="-3"/>
                <w:kern w:val="2"/>
                <w:sz w:val="24"/>
                <w:szCs w:val="24"/>
                <w:highlight w:val="none"/>
                <w:lang w:val="en-US" w:eastAsia="zh-CN" w:bidi="ar-SA"/>
              </w:rPr>
              <w:t>压模</w:t>
            </w:r>
            <w:r>
              <w:rPr>
                <w:rFonts w:hint="default" w:ascii="Times New Roman" w:hAnsi="Times New Roman" w:eastAsia="宋体" w:cs="Times New Roman"/>
                <w:b/>
                <w:bCs/>
                <w:color w:val="auto"/>
                <w:spacing w:val="-3"/>
                <w:kern w:val="2"/>
                <w:sz w:val="24"/>
                <w:szCs w:val="24"/>
                <w:highlight w:val="none"/>
                <w:lang w:val="en-US" w:eastAsia="zh-CN" w:bidi="ar-SA"/>
              </w:rPr>
              <w:t>成型</w:t>
            </w:r>
          </w:p>
          <w:p w14:paraId="024307F2">
            <w:pPr>
              <w:keepNext w:val="0"/>
              <w:keepLines w:val="0"/>
              <w:pageBreakBefore w:val="0"/>
              <w:widowControl/>
              <w:kinsoku/>
              <w:wordWrap/>
              <w:overflowPunct/>
              <w:topLinePunct/>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color w:val="auto"/>
                <w:spacing w:val="-3"/>
                <w:kern w:val="2"/>
                <w:sz w:val="24"/>
                <w:szCs w:val="24"/>
                <w:highlight w:val="none"/>
                <w:lang w:val="en-US" w:eastAsia="zh-CN" w:bidi="ar-SA"/>
              </w:rPr>
            </w:pPr>
            <w:r>
              <w:rPr>
                <w:rFonts w:hint="eastAsia" w:ascii="Times New Roman" w:hAnsi="Times New Roman" w:eastAsia="宋体" w:cs="Times New Roman"/>
                <w:color w:val="auto"/>
                <w:spacing w:val="-3"/>
                <w:kern w:val="2"/>
                <w:sz w:val="24"/>
                <w:szCs w:val="24"/>
                <w:highlight w:val="none"/>
                <w:lang w:val="en-US" w:eastAsia="zh-CN" w:bidi="ar-SA"/>
              </w:rPr>
              <w:t>玻璃液经出料口入模冷却成型，玻璃液经压机模具压制成型后得到钻石形状的坯料。</w:t>
            </w:r>
          </w:p>
          <w:p w14:paraId="7E0C4A39">
            <w:pPr>
              <w:keepNext w:val="0"/>
              <w:keepLines w:val="0"/>
              <w:pageBreakBefore w:val="0"/>
              <w:widowControl/>
              <w:kinsoku/>
              <w:wordWrap/>
              <w:overflowPunct/>
              <w:topLinePunct/>
              <w:autoSpaceDE w:val="0"/>
              <w:autoSpaceDN w:val="0"/>
              <w:bidi w:val="0"/>
              <w:adjustRightInd w:val="0"/>
              <w:snapToGrid w:val="0"/>
              <w:spacing w:line="360" w:lineRule="auto"/>
              <w:ind w:left="0" w:right="0" w:firstLine="470"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pacing w:val="-3"/>
                <w:sz w:val="24"/>
                <w:szCs w:val="24"/>
                <w:highlight w:val="none"/>
                <w:lang w:eastAsia="zh-CN"/>
              </w:rPr>
              <w:t>（</w:t>
            </w:r>
            <w:r>
              <w:rPr>
                <w:rFonts w:hint="eastAsia" w:cs="Times New Roman"/>
                <w:b/>
                <w:bCs/>
                <w:color w:val="auto"/>
                <w:spacing w:val="-3"/>
                <w:sz w:val="24"/>
                <w:szCs w:val="24"/>
                <w:highlight w:val="none"/>
                <w:lang w:val="en-US" w:eastAsia="zh-CN"/>
              </w:rPr>
              <w:t>4</w:t>
            </w:r>
            <w:r>
              <w:rPr>
                <w:rFonts w:hint="default" w:ascii="Times New Roman" w:hAnsi="Times New Roman" w:eastAsia="宋体" w:cs="Times New Roman"/>
                <w:b/>
                <w:bCs/>
                <w:color w:val="auto"/>
                <w:spacing w:val="-3"/>
                <w:sz w:val="24"/>
                <w:szCs w:val="24"/>
                <w:highlight w:val="none"/>
                <w:lang w:eastAsia="zh-CN"/>
              </w:rPr>
              <w:t>）机械除</w:t>
            </w:r>
            <w:r>
              <w:rPr>
                <w:rFonts w:hint="default" w:ascii="Times New Roman" w:hAnsi="Times New Roman" w:eastAsia="宋体" w:cs="Times New Roman"/>
                <w:b/>
                <w:bCs/>
                <w:color w:val="auto"/>
                <w:spacing w:val="-3"/>
                <w:sz w:val="24"/>
                <w:szCs w:val="24"/>
                <w:highlight w:val="none"/>
                <w:lang w:val="en-US" w:eastAsia="zh-CN"/>
              </w:rPr>
              <w:t>棱</w:t>
            </w:r>
          </w:p>
          <w:p w14:paraId="2B89971E">
            <w:pPr>
              <w:keepNext w:val="0"/>
              <w:keepLines w:val="0"/>
              <w:pageBreakBefore w:val="0"/>
              <w:widowControl/>
              <w:kinsoku/>
              <w:wordWrap/>
              <w:overflowPunct/>
              <w:topLinePunct/>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将成型冷却后的</w:t>
            </w:r>
            <w:r>
              <w:rPr>
                <w:rFonts w:hint="eastAsia" w:ascii="Times New Roman" w:hAnsi="Times New Roman" w:eastAsia="宋体" w:cs="Times New Roman"/>
                <w:color w:val="auto"/>
                <w:spacing w:val="-3"/>
                <w:kern w:val="2"/>
                <w:sz w:val="24"/>
                <w:szCs w:val="24"/>
                <w:highlight w:val="none"/>
                <w:lang w:val="en-US" w:eastAsia="zh-CN" w:bidi="ar-SA"/>
              </w:rPr>
              <w:t>坯料</w:t>
            </w:r>
            <w:r>
              <w:rPr>
                <w:rFonts w:hint="default" w:ascii="Times New Roman" w:hAnsi="Times New Roman" w:eastAsia="宋体" w:cs="Times New Roman"/>
                <w:color w:val="auto"/>
                <w:spacing w:val="-2"/>
                <w:sz w:val="24"/>
                <w:szCs w:val="24"/>
                <w:highlight w:val="none"/>
                <w:lang w:eastAsia="zh-CN"/>
              </w:rPr>
              <w:t>放入</w:t>
            </w:r>
            <w:r>
              <w:rPr>
                <w:rFonts w:hint="default" w:ascii="Times New Roman" w:hAnsi="Times New Roman" w:eastAsia="宋体" w:cs="Times New Roman"/>
                <w:color w:val="auto"/>
                <w:spacing w:val="-2"/>
                <w:sz w:val="24"/>
                <w:szCs w:val="24"/>
                <w:highlight w:val="none"/>
                <w:lang w:val="en-US" w:eastAsia="zh-CN"/>
              </w:rPr>
              <w:t>除棱带上绞动</w:t>
            </w:r>
            <w:r>
              <w:rPr>
                <w:rFonts w:hint="default" w:ascii="Times New Roman" w:hAnsi="Times New Roman" w:eastAsia="宋体" w:cs="Times New Roman"/>
                <w:color w:val="auto"/>
                <w:spacing w:val="-2"/>
                <w:sz w:val="24"/>
                <w:szCs w:val="24"/>
                <w:highlight w:val="none"/>
                <w:lang w:eastAsia="zh-CN"/>
              </w:rPr>
              <w:t>，去</w:t>
            </w:r>
            <w:r>
              <w:rPr>
                <w:rFonts w:hint="default" w:ascii="Times New Roman" w:hAnsi="Times New Roman" w:eastAsia="宋体" w:cs="Times New Roman"/>
                <w:color w:val="auto"/>
                <w:spacing w:val="-2"/>
                <w:sz w:val="24"/>
                <w:szCs w:val="24"/>
                <w:highlight w:val="none"/>
                <w:lang w:val="en-US" w:eastAsia="zh-CN"/>
              </w:rPr>
              <w:t>除</w:t>
            </w:r>
            <w:r>
              <w:rPr>
                <w:rFonts w:hint="eastAsia" w:cs="Times New Roman"/>
                <w:color w:val="auto"/>
                <w:spacing w:val="-2"/>
                <w:sz w:val="24"/>
                <w:szCs w:val="24"/>
                <w:highlight w:val="none"/>
                <w:lang w:val="en-US" w:eastAsia="zh-CN"/>
              </w:rPr>
              <w:t>珠胚</w:t>
            </w:r>
            <w:r>
              <w:rPr>
                <w:rFonts w:hint="default" w:ascii="Times New Roman" w:hAnsi="Times New Roman" w:eastAsia="宋体" w:cs="Times New Roman"/>
                <w:color w:val="auto"/>
                <w:spacing w:val="-2"/>
                <w:sz w:val="24"/>
                <w:szCs w:val="24"/>
                <w:highlight w:val="none"/>
                <w:lang w:val="en-US" w:eastAsia="zh-CN"/>
              </w:rPr>
              <w:t>棱</w:t>
            </w:r>
            <w:r>
              <w:rPr>
                <w:rFonts w:hint="default" w:ascii="Times New Roman" w:hAnsi="Times New Roman" w:eastAsia="宋体" w:cs="Times New Roman"/>
                <w:color w:val="auto"/>
                <w:spacing w:val="-2"/>
                <w:sz w:val="24"/>
                <w:szCs w:val="24"/>
                <w:highlight w:val="none"/>
                <w:lang w:eastAsia="zh-CN"/>
              </w:rPr>
              <w:t>过程中的边角废料</w:t>
            </w:r>
            <w:r>
              <w:rPr>
                <w:rFonts w:hint="default" w:ascii="Times New Roman" w:hAnsi="Times New Roman" w:eastAsia="宋体" w:cs="Times New Roman"/>
                <w:color w:val="auto"/>
                <w:spacing w:val="-6"/>
                <w:sz w:val="24"/>
                <w:szCs w:val="24"/>
                <w:highlight w:val="none"/>
                <w:lang w:eastAsia="zh-CN"/>
              </w:rPr>
              <w:t>回炉再利用。</w:t>
            </w:r>
            <w:r>
              <w:rPr>
                <w:rFonts w:hint="default" w:ascii="Times New Roman" w:hAnsi="Times New Roman" w:eastAsia="宋体" w:cs="Times New Roman"/>
                <w:color w:val="auto"/>
                <w:spacing w:val="-2"/>
                <w:sz w:val="24"/>
                <w:szCs w:val="24"/>
                <w:highlight w:val="none"/>
                <w:lang w:eastAsia="zh-CN"/>
              </w:rPr>
              <w:t>该过程产生的污染物为废边角料S</w:t>
            </w: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lang w:eastAsia="zh-CN"/>
              </w:rPr>
              <w:t>、噪声N。</w:t>
            </w:r>
          </w:p>
          <w:p w14:paraId="542C5223">
            <w:pPr>
              <w:keepNext w:val="0"/>
              <w:keepLines w:val="0"/>
              <w:pageBreakBefore w:val="0"/>
              <w:widowControl/>
              <w:kinsoku/>
              <w:wordWrap/>
              <w:overflowPunct/>
              <w:topLinePunct/>
              <w:autoSpaceDE w:val="0"/>
              <w:autoSpaceDN w:val="0"/>
              <w:bidi w:val="0"/>
              <w:adjustRightInd w:val="0"/>
              <w:snapToGrid w:val="0"/>
              <w:spacing w:line="360" w:lineRule="auto"/>
              <w:ind w:left="0" w:right="0" w:firstLine="470"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w:t>
            </w:r>
            <w:r>
              <w:rPr>
                <w:rFonts w:hint="eastAsia" w:cs="Times New Roman"/>
                <w:b/>
                <w:bCs/>
                <w:color w:val="auto"/>
                <w:spacing w:val="-3"/>
                <w:sz w:val="24"/>
                <w:szCs w:val="24"/>
                <w:highlight w:val="none"/>
                <w:lang w:val="en-US" w:eastAsia="zh-CN"/>
              </w:rPr>
              <w:t>5</w:t>
            </w:r>
            <w:r>
              <w:rPr>
                <w:rFonts w:hint="default" w:ascii="Times New Roman" w:hAnsi="Times New Roman" w:eastAsia="宋体" w:cs="Times New Roman"/>
                <w:b/>
                <w:bCs/>
                <w:color w:val="auto"/>
                <w:spacing w:val="-3"/>
                <w:sz w:val="24"/>
                <w:szCs w:val="24"/>
                <w:highlight w:val="none"/>
                <w:lang w:eastAsia="zh-CN"/>
              </w:rPr>
              <w:t>）火抛滚圆</w:t>
            </w:r>
          </w:p>
          <w:p w14:paraId="3AA88040">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珠胚</w:t>
            </w:r>
            <w:r>
              <w:rPr>
                <w:rFonts w:hint="default" w:ascii="Times New Roman" w:hAnsi="Times New Roman" w:eastAsia="宋体" w:cs="Times New Roman"/>
                <w:color w:val="auto"/>
                <w:sz w:val="24"/>
                <w:szCs w:val="24"/>
                <w:highlight w:val="none"/>
                <w:lang w:eastAsia="zh-CN"/>
              </w:rPr>
              <w:t>除</w:t>
            </w:r>
            <w:r>
              <w:rPr>
                <w:rFonts w:hint="default" w:ascii="Times New Roman" w:hAnsi="Times New Roman" w:eastAsia="宋体" w:cs="Times New Roman"/>
                <w:color w:val="auto"/>
                <w:sz w:val="24"/>
                <w:szCs w:val="24"/>
                <w:highlight w:val="none"/>
                <w:lang w:val="en-US" w:eastAsia="zh-CN"/>
              </w:rPr>
              <w:t>棱</w:t>
            </w:r>
            <w:r>
              <w:rPr>
                <w:rFonts w:hint="default" w:ascii="Times New Roman" w:hAnsi="Times New Roman" w:eastAsia="宋体" w:cs="Times New Roman"/>
                <w:color w:val="auto"/>
                <w:sz w:val="24"/>
                <w:szCs w:val="24"/>
                <w:highlight w:val="none"/>
                <w:lang w:eastAsia="zh-CN"/>
              </w:rPr>
              <w:t>后的半成品，经筛机筛去边角料后再入</w:t>
            </w:r>
            <w:r>
              <w:rPr>
                <w:rFonts w:hint="default" w:ascii="Times New Roman" w:hAnsi="Times New Roman" w:eastAsia="宋体" w:cs="Times New Roman"/>
                <w:color w:val="auto"/>
                <w:spacing w:val="-3"/>
                <w:sz w:val="24"/>
                <w:szCs w:val="24"/>
                <w:highlight w:val="none"/>
                <w:lang w:eastAsia="zh-CN"/>
              </w:rPr>
              <w:t>火抛炉</w:t>
            </w:r>
            <w:r>
              <w:rPr>
                <w:rFonts w:hint="default" w:ascii="Times New Roman" w:hAnsi="Times New Roman" w:eastAsia="宋体" w:cs="Times New Roman"/>
                <w:color w:val="auto"/>
                <w:spacing w:val="-1"/>
                <w:sz w:val="24"/>
                <w:szCs w:val="24"/>
                <w:highlight w:val="none"/>
                <w:lang w:val="en-US" w:eastAsia="zh-CN"/>
              </w:rPr>
              <w:t>内</w:t>
            </w:r>
            <w:r>
              <w:rPr>
                <w:rFonts w:hint="default" w:ascii="Times New Roman" w:hAnsi="Times New Roman" w:eastAsia="宋体" w:cs="Times New Roman"/>
                <w:color w:val="auto"/>
                <w:spacing w:val="-1"/>
                <w:sz w:val="24"/>
                <w:szCs w:val="24"/>
                <w:highlight w:val="none"/>
                <w:lang w:eastAsia="zh-CN"/>
              </w:rPr>
              <w:t>加热、滚圆，加</w:t>
            </w:r>
            <w:r>
              <w:rPr>
                <w:rFonts w:hint="default" w:ascii="Times New Roman" w:hAnsi="Times New Roman" w:eastAsia="宋体" w:cs="Times New Roman"/>
                <w:color w:val="auto"/>
                <w:spacing w:val="-3"/>
                <w:sz w:val="24"/>
                <w:szCs w:val="24"/>
                <w:highlight w:val="none"/>
                <w:lang w:eastAsia="zh-CN"/>
              </w:rPr>
              <w:t>工温度在700-800℃。火抛炉采用电加热。</w:t>
            </w:r>
            <w:r>
              <w:rPr>
                <w:rFonts w:hint="default" w:ascii="Times New Roman" w:hAnsi="Times New Roman" w:eastAsia="宋体" w:cs="Times New Roman"/>
                <w:color w:val="auto"/>
                <w:spacing w:val="-1"/>
                <w:sz w:val="24"/>
                <w:szCs w:val="24"/>
                <w:highlight w:val="none"/>
                <w:lang w:eastAsia="zh-CN"/>
              </w:rPr>
              <w:t>该过程产生的污染物为噪声N。</w:t>
            </w:r>
          </w:p>
          <w:p w14:paraId="7F076F73">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62"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5"/>
                <w:sz w:val="24"/>
                <w:szCs w:val="24"/>
                <w:highlight w:val="none"/>
                <w:lang w:eastAsia="zh-CN"/>
              </w:rPr>
              <w:t>（</w:t>
            </w:r>
            <w:r>
              <w:rPr>
                <w:rFonts w:hint="eastAsia" w:cs="Times New Roman"/>
                <w:b/>
                <w:bCs/>
                <w:color w:val="auto"/>
                <w:spacing w:val="-5"/>
                <w:sz w:val="24"/>
                <w:szCs w:val="24"/>
                <w:highlight w:val="none"/>
                <w:lang w:val="en-US" w:eastAsia="zh-CN"/>
              </w:rPr>
              <w:t>6</w:t>
            </w:r>
            <w:r>
              <w:rPr>
                <w:rFonts w:hint="default" w:ascii="Times New Roman" w:hAnsi="Times New Roman" w:eastAsia="宋体" w:cs="Times New Roman"/>
                <w:b/>
                <w:bCs/>
                <w:color w:val="auto"/>
                <w:spacing w:val="-5"/>
                <w:sz w:val="24"/>
                <w:szCs w:val="24"/>
                <w:highlight w:val="none"/>
                <w:lang w:eastAsia="zh-CN"/>
              </w:rPr>
              <w:t>）分筛</w:t>
            </w:r>
          </w:p>
          <w:p w14:paraId="6EA44E74">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火抛滚圆后经过分筛机机筛、分拣除去其中的残次品，残次品回熔炉熔化继续制作</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z w:val="24"/>
                <w:szCs w:val="24"/>
                <w:highlight w:val="none"/>
                <w:lang w:eastAsia="zh-CN"/>
              </w:rPr>
              <w:t>。该</w:t>
            </w:r>
            <w:r>
              <w:rPr>
                <w:rFonts w:hint="default" w:ascii="Times New Roman" w:hAnsi="Times New Roman" w:eastAsia="宋体" w:cs="Times New Roman"/>
                <w:color w:val="auto"/>
                <w:spacing w:val="-3"/>
                <w:sz w:val="24"/>
                <w:szCs w:val="24"/>
                <w:highlight w:val="none"/>
                <w:lang w:eastAsia="zh-CN"/>
              </w:rPr>
              <w:t>过程产生的污染物为噪声N、残次品S</w:t>
            </w:r>
            <w:r>
              <w:rPr>
                <w:rFonts w:hint="default" w:ascii="Times New Roman" w:hAnsi="Times New Roman" w:eastAsia="宋体" w:cs="Times New Roman"/>
                <w:color w:val="auto"/>
                <w:spacing w:val="-3"/>
                <w:sz w:val="24"/>
                <w:szCs w:val="24"/>
                <w:highlight w:val="none"/>
                <w:lang w:val="en-US" w:eastAsia="zh-CN"/>
              </w:rPr>
              <w:t>4</w:t>
            </w:r>
            <w:r>
              <w:rPr>
                <w:rFonts w:hint="default" w:ascii="Times New Roman" w:hAnsi="Times New Roman" w:eastAsia="宋体" w:cs="Times New Roman"/>
                <w:color w:val="auto"/>
                <w:spacing w:val="-3"/>
                <w:sz w:val="24"/>
                <w:szCs w:val="24"/>
                <w:highlight w:val="none"/>
                <w:lang w:eastAsia="zh-CN"/>
              </w:rPr>
              <w:t>。</w:t>
            </w:r>
          </w:p>
          <w:p w14:paraId="2EAEA41E">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62" w:firstLineChars="200"/>
              <w:jc w:val="both"/>
              <w:textAlignment w:val="baseline"/>
              <w:rPr>
                <w:rFonts w:hint="default" w:ascii="Times New Roman" w:hAnsi="Times New Roman" w:eastAsia="宋体" w:cs="Times New Roman"/>
                <w:b/>
                <w:bCs/>
                <w:color w:val="auto"/>
                <w:spacing w:val="-5"/>
                <w:sz w:val="24"/>
                <w:szCs w:val="24"/>
                <w:highlight w:val="none"/>
                <w:lang w:val="en-US" w:eastAsia="zh-CN"/>
              </w:rPr>
            </w:pPr>
            <w:r>
              <w:rPr>
                <w:rFonts w:hint="default" w:ascii="Times New Roman" w:hAnsi="Times New Roman" w:eastAsia="宋体" w:cs="Times New Roman"/>
                <w:b/>
                <w:bCs/>
                <w:color w:val="auto"/>
                <w:spacing w:val="-5"/>
                <w:sz w:val="24"/>
                <w:szCs w:val="24"/>
                <w:highlight w:val="none"/>
                <w:lang w:eastAsia="zh-CN"/>
              </w:rPr>
              <w:t>（</w:t>
            </w:r>
            <w:r>
              <w:rPr>
                <w:rFonts w:hint="eastAsia" w:cs="Times New Roman"/>
                <w:b/>
                <w:bCs/>
                <w:color w:val="auto"/>
                <w:spacing w:val="-5"/>
                <w:sz w:val="24"/>
                <w:szCs w:val="24"/>
                <w:highlight w:val="none"/>
                <w:lang w:val="en-US" w:eastAsia="zh-CN"/>
              </w:rPr>
              <w:t>7</w:t>
            </w:r>
            <w:r>
              <w:rPr>
                <w:rFonts w:hint="default" w:ascii="Times New Roman" w:hAnsi="Times New Roman" w:eastAsia="宋体" w:cs="Times New Roman"/>
                <w:b/>
                <w:bCs/>
                <w:color w:val="auto"/>
                <w:spacing w:val="-5"/>
                <w:sz w:val="24"/>
                <w:szCs w:val="24"/>
                <w:highlight w:val="none"/>
                <w:lang w:eastAsia="zh-CN"/>
              </w:rPr>
              <w:t>）</w:t>
            </w:r>
            <w:r>
              <w:rPr>
                <w:rFonts w:hint="default" w:ascii="Times New Roman" w:hAnsi="Times New Roman" w:eastAsia="宋体" w:cs="Times New Roman"/>
                <w:b/>
                <w:bCs/>
                <w:color w:val="auto"/>
                <w:spacing w:val="-5"/>
                <w:sz w:val="24"/>
                <w:szCs w:val="24"/>
                <w:highlight w:val="none"/>
                <w:lang w:val="en-US" w:eastAsia="zh-CN"/>
              </w:rPr>
              <w:t>抛光</w:t>
            </w:r>
          </w:p>
          <w:p w14:paraId="34D7EC3C">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根据产品要求，部分</w:t>
            </w:r>
            <w:r>
              <w:rPr>
                <w:rFonts w:hint="default" w:ascii="Times New Roman" w:hAnsi="Times New Roman" w:eastAsia="宋体" w:cs="Times New Roman"/>
                <w:color w:val="auto"/>
                <w:spacing w:val="-3"/>
                <w:sz w:val="24"/>
                <w:szCs w:val="24"/>
                <w:highlight w:val="none"/>
                <w:lang w:eastAsia="zh-CN"/>
              </w:rPr>
              <w:t>滚圆</w:t>
            </w:r>
            <w:r>
              <w:rPr>
                <w:rFonts w:hint="default" w:ascii="Times New Roman" w:hAnsi="Times New Roman" w:eastAsia="宋体" w:cs="Times New Roman"/>
                <w:color w:val="auto"/>
                <w:sz w:val="24"/>
                <w:szCs w:val="24"/>
                <w:highlight w:val="none"/>
                <w:lang w:eastAsia="zh-CN"/>
              </w:rPr>
              <w:t>后的</w:t>
            </w:r>
            <w:r>
              <w:rPr>
                <w:rFonts w:hint="default" w:ascii="Times New Roman" w:hAnsi="Times New Roman" w:eastAsia="宋体" w:cs="Times New Roman"/>
                <w:color w:val="auto"/>
                <w:sz w:val="24"/>
                <w:szCs w:val="24"/>
                <w:highlight w:val="none"/>
                <w:lang w:val="en-US" w:eastAsia="zh-CN"/>
              </w:rPr>
              <w:t>半成品需要进一步打磨以增加</w:t>
            </w:r>
            <w:r>
              <w:rPr>
                <w:rFonts w:hint="eastAsia" w:cs="Times New Roman"/>
                <w:color w:val="auto"/>
                <w:sz w:val="24"/>
                <w:szCs w:val="24"/>
                <w:highlight w:val="none"/>
                <w:lang w:val="en-US" w:eastAsia="zh-CN"/>
              </w:rPr>
              <w:t>珠胚</w:t>
            </w:r>
            <w:r>
              <w:rPr>
                <w:rFonts w:hint="default" w:ascii="Times New Roman" w:hAnsi="Times New Roman" w:eastAsia="宋体" w:cs="Times New Roman"/>
                <w:color w:val="auto"/>
                <w:sz w:val="24"/>
                <w:szCs w:val="24"/>
                <w:highlight w:val="none"/>
                <w:lang w:val="en-US" w:eastAsia="zh-CN"/>
              </w:rPr>
              <w:t>的光滑度，</w:t>
            </w:r>
            <w:r>
              <w:rPr>
                <w:rFonts w:hint="default" w:ascii="Times New Roman" w:hAnsi="Times New Roman" w:eastAsia="宋体" w:cs="Times New Roman"/>
                <w:color w:val="auto"/>
                <w:spacing w:val="-3"/>
                <w:sz w:val="24"/>
                <w:szCs w:val="24"/>
                <w:highlight w:val="none"/>
                <w:lang w:val="en-US" w:eastAsia="zh-CN"/>
              </w:rPr>
              <w:t>加抛光粉、金刚砂</w:t>
            </w:r>
            <w:r>
              <w:rPr>
                <w:rFonts w:hint="default" w:ascii="Times New Roman" w:hAnsi="Times New Roman" w:eastAsia="宋体" w:cs="Times New Roman"/>
                <w:color w:val="auto"/>
                <w:spacing w:val="-1"/>
                <w:sz w:val="24"/>
                <w:szCs w:val="24"/>
                <w:highlight w:val="none"/>
                <w:lang w:eastAsia="zh-CN"/>
              </w:rPr>
              <w:t>等原料后加入滚抛机</w:t>
            </w:r>
            <w:r>
              <w:rPr>
                <w:rFonts w:hint="default" w:ascii="Times New Roman" w:hAnsi="Times New Roman" w:eastAsia="宋体" w:cs="Times New Roman"/>
                <w:color w:val="auto"/>
                <w:spacing w:val="-2"/>
                <w:sz w:val="24"/>
                <w:szCs w:val="24"/>
                <w:highlight w:val="none"/>
                <w:lang w:eastAsia="zh-CN"/>
              </w:rPr>
              <w:t>继续碾磨后，该过程产生的污染物为滚抛碾磨产生粉尘废气G3、噪声N。</w:t>
            </w:r>
          </w:p>
          <w:p w14:paraId="631F587E">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6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pacing w:val="-5"/>
                <w:sz w:val="24"/>
                <w:szCs w:val="24"/>
                <w:highlight w:val="none"/>
                <w:lang w:eastAsia="zh-CN"/>
              </w:rPr>
              <w:t>（</w:t>
            </w:r>
            <w:r>
              <w:rPr>
                <w:rFonts w:hint="eastAsia" w:cs="Times New Roman"/>
                <w:b/>
                <w:bCs/>
                <w:color w:val="auto"/>
                <w:spacing w:val="-5"/>
                <w:sz w:val="24"/>
                <w:szCs w:val="24"/>
                <w:highlight w:val="none"/>
                <w:lang w:val="en-US" w:eastAsia="zh-CN"/>
              </w:rPr>
              <w:t>8</w:t>
            </w:r>
            <w:r>
              <w:rPr>
                <w:rFonts w:hint="default" w:ascii="Times New Roman" w:hAnsi="Times New Roman" w:eastAsia="宋体" w:cs="Times New Roman"/>
                <w:b/>
                <w:bCs/>
                <w:color w:val="auto"/>
                <w:spacing w:val="-5"/>
                <w:sz w:val="24"/>
                <w:szCs w:val="24"/>
                <w:highlight w:val="none"/>
                <w:lang w:eastAsia="zh-CN"/>
              </w:rPr>
              <w:t>）清洗</w:t>
            </w:r>
            <w:r>
              <w:rPr>
                <w:rFonts w:hint="eastAsia" w:cs="Times New Roman"/>
                <w:b/>
                <w:bCs/>
                <w:color w:val="auto"/>
                <w:spacing w:val="-5"/>
                <w:sz w:val="24"/>
                <w:szCs w:val="24"/>
                <w:highlight w:val="none"/>
                <w:lang w:val="en-US" w:eastAsia="zh-CN"/>
              </w:rPr>
              <w:t>及烘干</w:t>
            </w:r>
          </w:p>
          <w:p w14:paraId="2A0FA2C7">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抛光</w:t>
            </w:r>
            <w:r>
              <w:rPr>
                <w:rFonts w:hint="default" w:ascii="Times New Roman" w:hAnsi="Times New Roman" w:eastAsia="宋体" w:cs="Times New Roman"/>
                <w:color w:val="auto"/>
                <w:sz w:val="24"/>
                <w:szCs w:val="24"/>
                <w:highlight w:val="none"/>
                <w:lang w:eastAsia="zh-CN"/>
              </w:rPr>
              <w:t>后的</w:t>
            </w:r>
            <w:r>
              <w:rPr>
                <w:rFonts w:hint="eastAsia" w:cs="Times New Roman"/>
                <w:color w:val="auto"/>
                <w:sz w:val="24"/>
                <w:szCs w:val="24"/>
                <w:highlight w:val="none"/>
                <w:lang w:val="en-US" w:eastAsia="zh-CN"/>
              </w:rPr>
              <w:t>珠胚</w:t>
            </w:r>
            <w:r>
              <w:rPr>
                <w:rFonts w:hint="default" w:ascii="Times New Roman" w:hAnsi="Times New Roman" w:eastAsia="宋体" w:cs="Times New Roman"/>
                <w:color w:val="auto"/>
                <w:sz w:val="24"/>
                <w:szCs w:val="24"/>
                <w:highlight w:val="none"/>
                <w:lang w:eastAsia="zh-CN"/>
              </w:rPr>
              <w:t>装进清洗机清洗后</w:t>
            </w:r>
            <w:r>
              <w:rPr>
                <w:rFonts w:hint="eastAsia" w:cs="Times New Roman"/>
                <w:color w:val="auto"/>
                <w:sz w:val="24"/>
                <w:szCs w:val="24"/>
                <w:highlight w:val="none"/>
                <w:lang w:val="en-US" w:eastAsia="zh-CN"/>
              </w:rPr>
              <w:t>采用电烘箱</w:t>
            </w:r>
            <w:r>
              <w:rPr>
                <w:rFonts w:hint="default" w:ascii="Times New Roman" w:hAnsi="Times New Roman" w:eastAsia="宋体" w:cs="Times New Roman"/>
                <w:color w:val="auto"/>
                <w:spacing w:val="-1"/>
                <w:sz w:val="24"/>
                <w:szCs w:val="24"/>
                <w:highlight w:val="none"/>
                <w:lang w:eastAsia="zh-CN"/>
              </w:rPr>
              <w:t>烘干；</w:t>
            </w:r>
            <w:r>
              <w:rPr>
                <w:rFonts w:hint="default" w:ascii="Times New Roman" w:hAnsi="Times New Roman" w:eastAsia="宋体" w:cs="Times New Roman"/>
                <w:color w:val="auto"/>
                <w:spacing w:val="2"/>
                <w:sz w:val="24"/>
                <w:szCs w:val="24"/>
                <w:highlight w:val="none"/>
                <w:lang w:eastAsia="zh-CN"/>
              </w:rPr>
              <w:t>该过程产生的污染物为清洗废水W1（经</w:t>
            </w:r>
            <w:r>
              <w:rPr>
                <w:rFonts w:hint="eastAsia" w:cs="Times New Roman"/>
                <w:color w:val="auto"/>
                <w:spacing w:val="2"/>
                <w:sz w:val="24"/>
                <w:szCs w:val="24"/>
                <w:highlight w:val="none"/>
                <w:lang w:eastAsia="zh-CN"/>
              </w:rPr>
              <w:t>珠胚</w:t>
            </w:r>
            <w:r>
              <w:rPr>
                <w:rFonts w:hint="default" w:ascii="Times New Roman" w:hAnsi="Times New Roman" w:eastAsia="宋体" w:cs="Times New Roman"/>
                <w:color w:val="auto"/>
                <w:spacing w:val="2"/>
                <w:sz w:val="24"/>
                <w:szCs w:val="24"/>
                <w:highlight w:val="none"/>
                <w:lang w:eastAsia="zh-CN"/>
              </w:rPr>
              <w:t>循环</w:t>
            </w:r>
            <w:r>
              <w:rPr>
                <w:rFonts w:hint="eastAsia" w:cs="Times New Roman"/>
                <w:color w:val="auto"/>
                <w:spacing w:val="2"/>
                <w:sz w:val="24"/>
                <w:szCs w:val="24"/>
                <w:highlight w:val="none"/>
                <w:lang w:val="en-US" w:eastAsia="zh-CN"/>
              </w:rPr>
              <w:t>水池混凝沉淀+压滤</w:t>
            </w:r>
            <w:r>
              <w:rPr>
                <w:rFonts w:hint="default" w:ascii="Times New Roman" w:hAnsi="Times New Roman" w:eastAsia="宋体" w:cs="Times New Roman"/>
                <w:color w:val="auto"/>
                <w:spacing w:val="2"/>
                <w:sz w:val="24"/>
                <w:szCs w:val="24"/>
                <w:highlight w:val="none"/>
                <w:lang w:eastAsia="zh-CN"/>
              </w:rPr>
              <w:t>处理后大</w:t>
            </w:r>
            <w:r>
              <w:rPr>
                <w:rFonts w:hint="default" w:ascii="Times New Roman" w:hAnsi="Times New Roman" w:eastAsia="宋体" w:cs="Times New Roman"/>
                <w:color w:val="auto"/>
                <w:spacing w:val="1"/>
                <w:sz w:val="24"/>
                <w:szCs w:val="24"/>
                <w:highlight w:val="none"/>
                <w:lang w:eastAsia="zh-CN"/>
              </w:rPr>
              <w:t>部分循环回</w:t>
            </w:r>
            <w:r>
              <w:rPr>
                <w:rFonts w:hint="default" w:ascii="Times New Roman" w:hAnsi="Times New Roman" w:eastAsia="宋体" w:cs="Times New Roman"/>
                <w:color w:val="auto"/>
                <w:spacing w:val="-1"/>
                <w:sz w:val="24"/>
                <w:szCs w:val="24"/>
                <w:highlight w:val="none"/>
                <w:lang w:eastAsia="zh-CN"/>
              </w:rPr>
              <w:t>用，少量进入生化污水处理站）、</w:t>
            </w:r>
            <w:r>
              <w:rPr>
                <w:rFonts w:hint="eastAsia" w:cs="Times New Roman"/>
                <w:color w:val="auto"/>
                <w:spacing w:val="-1"/>
                <w:sz w:val="24"/>
                <w:szCs w:val="24"/>
                <w:highlight w:val="none"/>
                <w:lang w:eastAsia="zh-CN"/>
              </w:rPr>
              <w:t>珠胚</w:t>
            </w:r>
            <w:r>
              <w:rPr>
                <w:rFonts w:hint="default" w:ascii="Times New Roman" w:hAnsi="Times New Roman" w:eastAsia="宋体" w:cs="Times New Roman"/>
                <w:color w:val="auto"/>
                <w:spacing w:val="-1"/>
                <w:sz w:val="24"/>
                <w:szCs w:val="24"/>
                <w:highlight w:val="none"/>
                <w:lang w:eastAsia="zh-CN"/>
              </w:rPr>
              <w:t>循环池沉渣S</w:t>
            </w:r>
            <w:r>
              <w:rPr>
                <w:rFonts w:hint="default" w:ascii="Times New Roman" w:hAnsi="Times New Roman" w:eastAsia="宋体" w:cs="Times New Roman"/>
                <w:color w:val="auto"/>
                <w:spacing w:val="-1"/>
                <w:sz w:val="24"/>
                <w:szCs w:val="24"/>
                <w:highlight w:val="none"/>
                <w:lang w:val="en-US" w:eastAsia="zh-CN"/>
              </w:rPr>
              <w:t>10</w:t>
            </w:r>
            <w:r>
              <w:rPr>
                <w:rFonts w:hint="default" w:ascii="Times New Roman" w:hAnsi="Times New Roman" w:eastAsia="宋体" w:cs="Times New Roman"/>
                <w:color w:val="auto"/>
                <w:spacing w:val="-1"/>
                <w:sz w:val="24"/>
                <w:szCs w:val="24"/>
                <w:highlight w:val="none"/>
                <w:lang w:eastAsia="zh-CN"/>
              </w:rPr>
              <w:t>、噪声N。</w:t>
            </w:r>
          </w:p>
          <w:p w14:paraId="19459BAA">
            <w:pPr>
              <w:keepNext w:val="0"/>
              <w:keepLines w:val="0"/>
              <w:pageBreakBefore w:val="0"/>
              <w:widowControl/>
              <w:kinsoku/>
              <w:wordWrap/>
              <w:overflowPunct/>
              <w:topLinePunct/>
              <w:autoSpaceDE w:val="0"/>
              <w:autoSpaceDN w:val="0"/>
              <w:bidi w:val="0"/>
              <w:adjustRightInd w:val="0"/>
              <w:snapToGrid w:val="0"/>
              <w:spacing w:line="360" w:lineRule="auto"/>
              <w:ind w:left="0" w:right="0" w:firstLine="470" w:firstLineChars="200"/>
              <w:jc w:val="both"/>
              <w:textAlignment w:val="baseline"/>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pacing w:val="-3"/>
                <w:sz w:val="24"/>
                <w:szCs w:val="24"/>
                <w:highlight w:val="none"/>
                <w:lang w:eastAsia="zh-CN"/>
              </w:rPr>
              <w:t>（</w:t>
            </w:r>
            <w:r>
              <w:rPr>
                <w:rFonts w:hint="eastAsia" w:cs="Times New Roman"/>
                <w:b/>
                <w:bCs/>
                <w:color w:val="auto"/>
                <w:spacing w:val="-3"/>
                <w:sz w:val="24"/>
                <w:szCs w:val="24"/>
                <w:highlight w:val="none"/>
                <w:lang w:val="en-US" w:eastAsia="zh-CN"/>
              </w:rPr>
              <w:t>9</w:t>
            </w: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烫钻</w:t>
            </w:r>
            <w:r>
              <w:rPr>
                <w:rFonts w:hint="eastAsia" w:cs="Times New Roman"/>
                <w:b/>
                <w:bCs/>
                <w:color w:val="auto"/>
                <w:spacing w:val="-2"/>
                <w:sz w:val="24"/>
                <w:szCs w:val="24"/>
                <w:highlight w:val="none"/>
                <w:lang w:eastAsia="zh-CN"/>
              </w:rPr>
              <w:t>珠胚</w:t>
            </w:r>
          </w:p>
          <w:p w14:paraId="4DCAFB52">
            <w:pPr>
              <w:keepNext w:val="0"/>
              <w:keepLines w:val="0"/>
              <w:pageBreakBefore w:val="0"/>
              <w:widowControl/>
              <w:kinsoku/>
              <w:wordWrap w:val="0"/>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经过清洗、晾干后得到合格产品</w:t>
            </w:r>
            <w:r>
              <w:rPr>
                <w:rFonts w:hint="default" w:ascii="Times New Roman" w:hAnsi="Times New Roman" w:eastAsia="宋体" w:cs="Times New Roman"/>
                <w:color w:val="auto"/>
                <w:spacing w:val="-2"/>
                <w:sz w:val="24"/>
                <w:szCs w:val="24"/>
                <w:highlight w:val="none"/>
                <w:lang w:val="en-US" w:eastAsia="zh-CN"/>
              </w:rPr>
              <w:t>烫钻</w:t>
            </w:r>
            <w:r>
              <w:rPr>
                <w:rFonts w:hint="eastAsia" w:cs="Times New Roman"/>
                <w:color w:val="auto"/>
                <w:spacing w:val="-2"/>
                <w:sz w:val="24"/>
                <w:szCs w:val="24"/>
                <w:highlight w:val="none"/>
                <w:lang w:eastAsia="zh-CN"/>
              </w:rPr>
              <w:t>珠胚</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2"/>
                <w:sz w:val="24"/>
                <w:szCs w:val="24"/>
                <w:highlight w:val="none"/>
                <w:lang w:val="en-US" w:eastAsia="zh-CN"/>
              </w:rPr>
              <w:t>为中间产品</w:t>
            </w:r>
            <w:r>
              <w:rPr>
                <w:rFonts w:hint="default" w:ascii="Times New Roman" w:hAnsi="Times New Roman" w:eastAsia="宋体" w:cs="Times New Roman"/>
                <w:color w:val="auto"/>
                <w:sz w:val="24"/>
                <w:szCs w:val="24"/>
                <w:highlight w:val="none"/>
                <w:lang w:val="en-US" w:eastAsia="zh-CN"/>
              </w:rPr>
              <w:t>），由人工转运至</w:t>
            </w:r>
            <w:r>
              <w:rPr>
                <w:rFonts w:hint="default" w:ascii="Times New Roman" w:hAnsi="Times New Roman" w:eastAsia="宋体" w:cs="Times New Roman"/>
                <w:color w:val="auto"/>
                <w:spacing w:val="-2"/>
                <w:sz w:val="24"/>
                <w:szCs w:val="24"/>
                <w:highlight w:val="none"/>
                <w:lang w:val="en-US" w:eastAsia="zh-CN"/>
              </w:rPr>
              <w:t>中间</w:t>
            </w:r>
            <w:r>
              <w:rPr>
                <w:rFonts w:hint="default" w:ascii="Times New Roman" w:hAnsi="Times New Roman" w:eastAsia="宋体" w:cs="Times New Roman"/>
                <w:color w:val="auto"/>
                <w:sz w:val="24"/>
                <w:szCs w:val="24"/>
                <w:highlight w:val="none"/>
                <w:lang w:val="en-US" w:eastAsia="zh-CN"/>
              </w:rPr>
              <w:t>产品仓库（即</w:t>
            </w:r>
            <w:r>
              <w:rPr>
                <w:rFonts w:hint="eastAsia" w:cs="Times New Roman"/>
                <w:color w:val="auto"/>
                <w:sz w:val="24"/>
                <w:szCs w:val="24"/>
                <w:highlight w:val="none"/>
                <w:lang w:val="en-US" w:eastAsia="zh-CN"/>
              </w:rPr>
              <w:t>珠胚</w:t>
            </w:r>
            <w:r>
              <w:rPr>
                <w:rFonts w:hint="default" w:ascii="Times New Roman" w:hAnsi="Times New Roman" w:eastAsia="宋体" w:cs="Times New Roman"/>
                <w:color w:val="auto"/>
                <w:sz w:val="24"/>
                <w:szCs w:val="24"/>
                <w:highlight w:val="none"/>
                <w:lang w:val="en-US" w:eastAsia="zh-CN"/>
              </w:rPr>
              <w:t>仓）暂存，后续进行</w:t>
            </w:r>
            <w:r>
              <w:rPr>
                <w:rFonts w:hint="default" w:ascii="Times New Roman" w:hAnsi="Times New Roman" w:eastAsia="宋体" w:cs="Times New Roman"/>
                <w:color w:val="auto"/>
                <w:spacing w:val="-2"/>
                <w:sz w:val="24"/>
                <w:szCs w:val="24"/>
                <w:highlight w:val="none"/>
                <w:lang w:val="en-US" w:eastAsia="zh-CN"/>
              </w:rPr>
              <w:t>烫钻生产加工。</w:t>
            </w:r>
          </w:p>
          <w:p w14:paraId="305B84E9">
            <w:pPr>
              <w:keepNext w:val="0"/>
              <w:keepLines w:val="0"/>
              <w:pageBreakBefore w:val="0"/>
              <w:kinsoku/>
              <w:wordWrap/>
              <w:overflowPunct/>
              <w:topLinePunct/>
              <w:autoSpaceDE w:val="0"/>
              <w:autoSpaceDN/>
              <w:bidi w:val="0"/>
              <w:spacing w:line="360" w:lineRule="auto"/>
              <w:ind w:left="0" w:right="0" w:firstLine="476" w:firstLineChars="200"/>
              <w:jc w:val="both"/>
              <w:textAlignment w:val="auto"/>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1"/>
                <w:sz w:val="24"/>
                <w:szCs w:val="24"/>
                <w:highlight w:val="none"/>
                <w:lang w:val="en-US" w:eastAsia="zh-CN"/>
              </w:rPr>
              <w:t>该生产线</w:t>
            </w:r>
            <w:r>
              <w:rPr>
                <w:rFonts w:hint="default" w:ascii="Times New Roman" w:hAnsi="Times New Roman" w:eastAsia="宋体" w:cs="Times New Roman"/>
                <w:color w:val="auto"/>
                <w:spacing w:val="-1"/>
                <w:sz w:val="24"/>
                <w:szCs w:val="24"/>
                <w:highlight w:val="none"/>
                <w:lang w:eastAsia="zh-CN"/>
              </w:rPr>
              <w:t>配料粉尘、电炉熔化粉尘及滚抛粉尘由集气</w:t>
            </w:r>
            <w:r>
              <w:rPr>
                <w:rFonts w:hint="default" w:ascii="Times New Roman" w:hAnsi="Times New Roman" w:eastAsia="宋体" w:cs="Times New Roman"/>
                <w:color w:val="auto"/>
                <w:spacing w:val="-2"/>
                <w:sz w:val="24"/>
                <w:szCs w:val="24"/>
                <w:highlight w:val="none"/>
                <w:lang w:eastAsia="zh-CN"/>
              </w:rPr>
              <w:t>罩收集后经布袋除尘器（1#）处理后由15m排气筒（DA001）排放。</w:t>
            </w:r>
          </w:p>
          <w:p w14:paraId="659D127F">
            <w:pPr>
              <w:pStyle w:val="27"/>
              <w:keepNext w:val="0"/>
              <w:keepLines w:val="0"/>
              <w:pageBreakBefore w:val="0"/>
              <w:widowControl w:val="0"/>
              <w:numPr>
                <w:ilvl w:val="0"/>
                <w:numId w:val="3"/>
              </w:numPr>
              <w:kinsoku/>
              <w:wordWrap/>
              <w:overflowPunct/>
              <w:topLinePunct/>
              <w:autoSpaceDE w:val="0"/>
              <w:autoSpaceDN/>
              <w:bidi w:val="0"/>
              <w:adjustRightInd/>
              <w:snapToGrid/>
              <w:spacing w:before="0" w:after="0" w:line="360" w:lineRule="auto"/>
              <w:ind w:left="0" w:leftChars="0" w:firstLine="0" w:firstLineChars="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烫钻生产工艺</w:t>
            </w:r>
          </w:p>
          <w:p w14:paraId="7ADD14EA">
            <w:pPr>
              <w:pStyle w:val="28"/>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lang w:val="en-US" w:eastAsia="zh-CN"/>
              </w:rPr>
              <w:t>烫钻生产</w:t>
            </w:r>
            <w:r>
              <w:rPr>
                <w:rFonts w:hint="default" w:ascii="Times New Roman" w:hAnsi="Times New Roman" w:eastAsia="宋体" w:cs="Times New Roman"/>
                <w:color w:val="auto"/>
                <w:spacing w:val="-1"/>
                <w:sz w:val="24"/>
                <w:szCs w:val="24"/>
                <w:highlight w:val="none"/>
              </w:rPr>
              <w:t>主要工艺流程图如下</w:t>
            </w:r>
            <w:r>
              <w:rPr>
                <w:rFonts w:hint="default" w:ascii="Times New Roman" w:hAnsi="Times New Roman" w:eastAsia="宋体" w:cs="Times New Roman"/>
                <w:color w:val="auto"/>
                <w:spacing w:val="-1"/>
                <w:sz w:val="24"/>
                <w:szCs w:val="24"/>
                <w:highlight w:val="none"/>
                <w:lang w:eastAsia="zh-CN"/>
              </w:rPr>
              <w:t>：</w:t>
            </w:r>
          </w:p>
          <w:p w14:paraId="0F35F8B1">
            <w:pPr>
              <w:pStyle w:val="27"/>
              <w:rPr>
                <w:rFonts w:hint="default" w:ascii="Times New Roman" w:hAnsi="Times New Roman" w:eastAsia="宋体" w:cs="Times New Roman"/>
                <w:color w:val="auto"/>
                <w:spacing w:val="-1"/>
                <w:sz w:val="24"/>
                <w:szCs w:val="24"/>
                <w:highlight w:val="none"/>
                <w:lang w:eastAsia="zh-CN"/>
              </w:rPr>
            </w:pPr>
          </w:p>
          <w:p w14:paraId="3CB6D06D">
            <w:pPr>
              <w:rPr>
                <w:rFonts w:hint="default" w:ascii="Times New Roman" w:hAnsi="Times New Roman" w:eastAsia="宋体" w:cs="Times New Roman"/>
                <w:color w:val="auto"/>
                <w:spacing w:val="-1"/>
                <w:sz w:val="24"/>
                <w:szCs w:val="24"/>
                <w:highlight w:val="none"/>
                <w:lang w:eastAsia="zh-CN"/>
              </w:rPr>
            </w:pPr>
          </w:p>
          <w:p w14:paraId="6AC8C7C0">
            <w:pPr>
              <w:rPr>
                <w:rFonts w:hint="default" w:ascii="Times New Roman" w:hAnsi="Times New Roman" w:eastAsia="宋体" w:cs="Times New Roman"/>
                <w:color w:val="auto"/>
                <w:spacing w:val="-1"/>
                <w:sz w:val="24"/>
                <w:szCs w:val="24"/>
                <w:highlight w:val="none"/>
                <w:lang w:eastAsia="zh-CN"/>
              </w:rPr>
            </w:pPr>
          </w:p>
          <w:p w14:paraId="57429699">
            <w:pPr>
              <w:rPr>
                <w:rFonts w:hint="default" w:ascii="Times New Roman" w:hAnsi="Times New Roman" w:eastAsia="宋体" w:cs="Times New Roman"/>
                <w:color w:val="auto"/>
                <w:spacing w:val="-1"/>
                <w:sz w:val="24"/>
                <w:szCs w:val="24"/>
                <w:highlight w:val="none"/>
                <w:lang w:eastAsia="zh-CN"/>
              </w:rPr>
            </w:pPr>
          </w:p>
          <w:p w14:paraId="54466432">
            <w:pPr>
              <w:rPr>
                <w:rFonts w:hint="default" w:ascii="Times New Roman" w:hAnsi="Times New Roman" w:eastAsia="宋体" w:cs="Times New Roman"/>
                <w:color w:val="auto"/>
                <w:spacing w:val="-1"/>
                <w:sz w:val="24"/>
                <w:szCs w:val="24"/>
                <w:highlight w:val="none"/>
                <w:lang w:eastAsia="zh-CN"/>
              </w:rPr>
            </w:pPr>
          </w:p>
          <w:p w14:paraId="7C0ECC2D">
            <w:pPr>
              <w:rPr>
                <w:rFonts w:hint="default" w:ascii="Times New Roman" w:hAnsi="Times New Roman" w:eastAsia="宋体" w:cs="Times New Roman"/>
                <w:color w:val="auto"/>
                <w:spacing w:val="-1"/>
                <w:sz w:val="24"/>
                <w:szCs w:val="24"/>
                <w:highlight w:val="none"/>
                <w:lang w:eastAsia="zh-CN"/>
              </w:rPr>
            </w:pPr>
          </w:p>
          <w:p w14:paraId="41AED4B9">
            <w:pPr>
              <w:rPr>
                <w:rFonts w:hint="default" w:ascii="Times New Roman" w:hAnsi="Times New Roman" w:eastAsia="宋体" w:cs="Times New Roman"/>
                <w:color w:val="auto"/>
                <w:spacing w:val="-1"/>
                <w:sz w:val="24"/>
                <w:szCs w:val="24"/>
                <w:highlight w:val="none"/>
                <w:lang w:eastAsia="zh-CN"/>
              </w:rPr>
            </w:pPr>
          </w:p>
          <w:p w14:paraId="6C2C3814">
            <w:pPr>
              <w:rPr>
                <w:rFonts w:hint="default" w:ascii="Times New Roman" w:hAnsi="Times New Roman" w:eastAsia="宋体" w:cs="Times New Roman"/>
                <w:color w:val="auto"/>
                <w:spacing w:val="-1"/>
                <w:sz w:val="24"/>
                <w:szCs w:val="24"/>
                <w:highlight w:val="none"/>
                <w:lang w:eastAsia="zh-CN"/>
              </w:rPr>
            </w:pPr>
          </w:p>
          <w:p w14:paraId="37ECDC4E">
            <w:pPr>
              <w:rPr>
                <w:rFonts w:hint="default" w:ascii="Times New Roman" w:hAnsi="Times New Roman" w:eastAsia="宋体" w:cs="Times New Roman"/>
                <w:color w:val="auto"/>
                <w:spacing w:val="-1"/>
                <w:sz w:val="24"/>
                <w:szCs w:val="24"/>
                <w:highlight w:val="none"/>
                <w:lang w:eastAsia="zh-CN"/>
              </w:rPr>
            </w:pPr>
          </w:p>
          <w:p w14:paraId="4188F1F3">
            <w:pPr>
              <w:pStyle w:val="2"/>
              <w:rPr>
                <w:rFonts w:hint="default" w:ascii="Times New Roman" w:hAnsi="Times New Roman" w:eastAsia="宋体" w:cs="Times New Roman"/>
                <w:color w:val="auto"/>
                <w:spacing w:val="-1"/>
                <w:sz w:val="24"/>
                <w:szCs w:val="24"/>
                <w:highlight w:val="none"/>
                <w:lang w:eastAsia="zh-CN"/>
              </w:rPr>
            </w:pPr>
          </w:p>
          <w:p w14:paraId="67CF52B7">
            <w:pPr>
              <w:pStyle w:val="3"/>
              <w:rPr>
                <w:rFonts w:hint="default" w:ascii="Times New Roman" w:hAnsi="Times New Roman" w:eastAsia="宋体" w:cs="Times New Roman"/>
                <w:color w:val="auto"/>
                <w:spacing w:val="-1"/>
                <w:sz w:val="24"/>
                <w:szCs w:val="24"/>
                <w:highlight w:val="none"/>
                <w:lang w:eastAsia="zh-CN"/>
              </w:rPr>
            </w:pPr>
          </w:p>
          <w:p w14:paraId="03702EF3">
            <w:pPr>
              <w:pStyle w:val="3"/>
              <w:rPr>
                <w:rFonts w:hint="default" w:ascii="Times New Roman" w:hAnsi="Times New Roman" w:eastAsia="宋体" w:cs="Times New Roman"/>
                <w:color w:val="auto"/>
                <w:spacing w:val="-1"/>
                <w:sz w:val="24"/>
                <w:szCs w:val="24"/>
                <w:highlight w:val="none"/>
                <w:lang w:eastAsia="zh-CN"/>
              </w:rPr>
            </w:pPr>
          </w:p>
          <w:p w14:paraId="49CF711E">
            <w:pPr>
              <w:pStyle w:val="3"/>
              <w:rPr>
                <w:rFonts w:hint="default" w:ascii="Times New Roman" w:hAnsi="Times New Roman" w:eastAsia="宋体" w:cs="Times New Roman"/>
                <w:color w:val="auto"/>
                <w:spacing w:val="-1"/>
                <w:sz w:val="24"/>
                <w:szCs w:val="24"/>
                <w:highlight w:val="none"/>
                <w:lang w:eastAsia="zh-CN"/>
              </w:rPr>
            </w:pPr>
          </w:p>
          <w:p w14:paraId="718E9FE1">
            <w:pPr>
              <w:pStyle w:val="3"/>
              <w:rPr>
                <w:rFonts w:hint="default" w:ascii="Times New Roman" w:hAnsi="Times New Roman" w:eastAsia="宋体" w:cs="Times New Roman"/>
                <w:color w:val="auto"/>
                <w:spacing w:val="-1"/>
                <w:sz w:val="24"/>
                <w:szCs w:val="24"/>
                <w:highlight w:val="none"/>
                <w:lang w:eastAsia="zh-CN"/>
              </w:rPr>
            </w:pPr>
          </w:p>
          <w:p w14:paraId="7E021903">
            <w:pPr>
              <w:pStyle w:val="3"/>
              <w:rPr>
                <w:rFonts w:hint="default" w:ascii="Times New Roman" w:hAnsi="Times New Roman" w:eastAsia="宋体" w:cs="Times New Roman"/>
                <w:color w:val="auto"/>
                <w:spacing w:val="-1"/>
                <w:sz w:val="24"/>
                <w:szCs w:val="24"/>
                <w:highlight w:val="none"/>
                <w:lang w:eastAsia="zh-CN"/>
              </w:rPr>
            </w:pPr>
          </w:p>
          <w:p w14:paraId="616391FF">
            <w:pPr>
              <w:pStyle w:val="3"/>
              <w:rPr>
                <w:rFonts w:hint="default" w:ascii="Times New Roman" w:hAnsi="Times New Roman" w:eastAsia="宋体" w:cs="Times New Roman"/>
                <w:color w:val="auto"/>
                <w:spacing w:val="-1"/>
                <w:sz w:val="24"/>
                <w:szCs w:val="24"/>
                <w:highlight w:val="none"/>
                <w:lang w:eastAsia="zh-CN"/>
              </w:rPr>
            </w:pPr>
          </w:p>
          <w:p w14:paraId="3DF80B4A">
            <w:pPr>
              <w:rPr>
                <w:rFonts w:hint="default" w:ascii="Times New Roman" w:hAnsi="Times New Roman" w:eastAsia="宋体" w:cs="Times New Roman"/>
                <w:color w:val="auto"/>
                <w:spacing w:val="-1"/>
                <w:sz w:val="24"/>
                <w:szCs w:val="24"/>
                <w:highlight w:val="none"/>
                <w:lang w:eastAsia="zh-CN"/>
              </w:rPr>
            </w:pPr>
          </w:p>
          <w:p w14:paraId="44A001CD">
            <w:pPr>
              <w:rPr>
                <w:rFonts w:hint="default" w:ascii="Times New Roman" w:hAnsi="Times New Roman" w:eastAsia="宋体" w:cs="Times New Roman"/>
                <w:color w:val="auto"/>
                <w:spacing w:val="-1"/>
                <w:sz w:val="24"/>
                <w:szCs w:val="24"/>
                <w:highlight w:val="none"/>
                <w:lang w:eastAsia="zh-CN"/>
              </w:rPr>
            </w:pPr>
          </w:p>
          <w:p w14:paraId="0F3CEFCF">
            <w:pPr>
              <w:rPr>
                <w:rFonts w:hint="default" w:ascii="Times New Roman" w:hAnsi="Times New Roman" w:eastAsia="宋体" w:cs="Times New Roman"/>
                <w:color w:val="auto"/>
                <w:spacing w:val="-1"/>
                <w:sz w:val="24"/>
                <w:szCs w:val="24"/>
                <w:highlight w:val="none"/>
                <w:lang w:eastAsia="zh-CN"/>
              </w:rPr>
            </w:pPr>
          </w:p>
          <w:p w14:paraId="0F74A853">
            <w:pPr>
              <w:rPr>
                <w:rFonts w:hint="default" w:ascii="Times New Roman" w:hAnsi="Times New Roman" w:eastAsia="宋体" w:cs="Times New Roman"/>
                <w:color w:val="auto"/>
                <w:spacing w:val="-1"/>
                <w:sz w:val="24"/>
                <w:szCs w:val="24"/>
                <w:highlight w:val="none"/>
                <w:lang w:eastAsia="zh-CN"/>
              </w:rPr>
            </w:pPr>
          </w:p>
          <w:p w14:paraId="43604072">
            <w:pPr>
              <w:rPr>
                <w:rFonts w:hint="default" w:ascii="Times New Roman" w:hAnsi="Times New Roman" w:eastAsia="宋体" w:cs="Times New Roman"/>
                <w:color w:val="auto"/>
                <w:spacing w:val="-1"/>
                <w:sz w:val="24"/>
                <w:szCs w:val="24"/>
                <w:highlight w:val="none"/>
                <w:lang w:val="en-US" w:eastAsia="zh-CN"/>
              </w:rPr>
            </w:pPr>
          </w:p>
          <w:p w14:paraId="30FDC11D">
            <w:pPr>
              <w:keepNext w:val="0"/>
              <w:keepLines w:val="0"/>
              <w:pageBreakBefore w:val="0"/>
              <w:numPr>
                <w:ilvl w:val="0"/>
                <w:numId w:val="0"/>
              </w:numPr>
              <w:kinsoku/>
              <w:overflowPunct/>
              <w:topLinePunct/>
              <w:autoSpaceDE w:val="0"/>
              <w:bidi w:val="0"/>
              <w:ind w:lef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object>
                <v:shape id="_x0000_i1028" o:spt="75" type="#_x0000_t75" style="height:374.15pt;width:371.35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28" r:id="rId19">
                  <o:LockedField>false</o:LockedField>
                </o:OLEObject>
              </w:object>
            </w:r>
          </w:p>
          <w:p w14:paraId="4AF60C5F">
            <w:pPr>
              <w:pStyle w:val="19"/>
              <w:keepNext w:val="0"/>
              <w:keepLines w:val="0"/>
              <w:pageBreakBefore w:val="0"/>
              <w:widowControl w:val="0"/>
              <w:kinsoku/>
              <w:wordWrap/>
              <w:overflowPunct/>
              <w:topLinePunct/>
              <w:autoSpaceDE w:val="0"/>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 xml:space="preserve">图2-4    </w:t>
            </w:r>
            <w:r>
              <w:rPr>
                <w:rFonts w:hint="default" w:ascii="Times New Roman" w:hAnsi="Times New Roman" w:eastAsia="宋体" w:cs="Times New Roman"/>
                <w:b/>
                <w:bCs/>
                <w:color w:val="auto"/>
                <w:sz w:val="24"/>
                <w:szCs w:val="24"/>
                <w:highlight w:val="none"/>
                <w:lang w:val="en-US" w:eastAsia="zh-CN"/>
              </w:rPr>
              <w:t>烫钻生产</w:t>
            </w:r>
            <w:r>
              <w:rPr>
                <w:rFonts w:hint="default" w:ascii="Times New Roman" w:hAnsi="Times New Roman" w:eastAsia="宋体" w:cs="Times New Roman"/>
                <w:b/>
                <w:bCs/>
                <w:color w:val="auto"/>
                <w:kern w:val="2"/>
                <w:sz w:val="24"/>
                <w:szCs w:val="24"/>
                <w:highlight w:val="none"/>
                <w:lang w:val="zh-CN" w:eastAsia="zh-CN" w:bidi="ar-SA"/>
              </w:rPr>
              <w:t>工艺流程及产污节点</w:t>
            </w:r>
            <w:r>
              <w:rPr>
                <w:rFonts w:hint="default" w:ascii="Times New Roman" w:hAnsi="Times New Roman" w:eastAsia="宋体" w:cs="Times New Roman"/>
                <w:b/>
                <w:bCs/>
                <w:color w:val="auto"/>
                <w:kern w:val="2"/>
                <w:sz w:val="24"/>
                <w:szCs w:val="24"/>
                <w:highlight w:val="none"/>
                <w:lang w:val="en-US" w:eastAsia="zh-CN" w:bidi="ar-SA"/>
              </w:rPr>
              <w:t>图</w:t>
            </w:r>
          </w:p>
          <w:p w14:paraId="3DB5C795">
            <w:pPr>
              <w:keepNext w:val="0"/>
              <w:keepLines w:val="0"/>
              <w:pageBreakBefore w:val="0"/>
              <w:widowControl w:val="0"/>
              <w:kinsoku/>
              <w:wordWrap/>
              <w:overflowPunct/>
              <w:topLinePunct/>
              <w:autoSpaceDE w:val="0"/>
              <w:autoSpaceDN/>
              <w:bidi w:val="0"/>
              <w:spacing w:line="360" w:lineRule="auto"/>
              <w:ind w:left="0" w:firstLine="466"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4"/>
                <w:sz w:val="24"/>
                <w:szCs w:val="24"/>
                <w:highlight w:val="none"/>
                <w:lang w:eastAsia="zh-CN"/>
              </w:rPr>
              <w:t>工艺流程说明：</w:t>
            </w:r>
          </w:p>
          <w:p w14:paraId="1097CF59">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（1）全自动磨抛机磨抛工序</w:t>
            </w:r>
          </w:p>
          <w:p w14:paraId="5F489959">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①上坯料：</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坯料（</w:t>
            </w:r>
            <w:r>
              <w:rPr>
                <w:rFonts w:hint="default" w:ascii="Times New Roman" w:hAnsi="Times New Roman" w:eastAsia="宋体" w:cs="Times New Roman"/>
                <w:strike w:val="0"/>
                <w:dstrike w:val="0"/>
                <w:color w:val="auto"/>
                <w:sz w:val="24"/>
                <w:szCs w:val="24"/>
                <w:highlight w:val="none"/>
                <w:lang w:val="en-US" w:eastAsia="zh-CN"/>
              </w:rPr>
              <w:t>即</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val="en-US" w:eastAsia="zh-CN"/>
              </w:rPr>
              <w:t>，中间产品</w:t>
            </w:r>
            <w:r>
              <w:rPr>
                <w:rFonts w:hint="default" w:ascii="Times New Roman" w:hAnsi="Times New Roman" w:eastAsia="宋体" w:cs="Times New Roman"/>
                <w:strike w:val="0"/>
                <w:dstrike w:val="0"/>
                <w:color w:val="auto"/>
                <w:sz w:val="24"/>
                <w:szCs w:val="24"/>
                <w:highlight w:val="none"/>
                <w:lang w:eastAsia="zh-CN"/>
              </w:rPr>
              <w:t>）和黏胶粉装入全自动磨抛机设备相应投料口，设备自动用电对黏胶粉加热，并通过均散器将原料</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坯料通过黏胶粉粘在碾磨夹具（铝制）上，即电加热铝排。</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坯料包含建设单位生产的白色和水晶黄色两种颜色</w:t>
            </w:r>
            <w:r>
              <w:rPr>
                <w:rFonts w:hint="eastAsia" w:cs="Times New Roman"/>
                <w:strike w:val="0"/>
                <w:dstrike w:val="0"/>
                <w:color w:val="auto"/>
                <w:sz w:val="24"/>
                <w:szCs w:val="24"/>
                <w:highlight w:val="none"/>
                <w:lang w:eastAsia="zh-CN"/>
              </w:rPr>
              <w:t>珠胚</w:t>
            </w:r>
            <w:r>
              <w:rPr>
                <w:rFonts w:hint="default" w:ascii="Times New Roman" w:hAnsi="Times New Roman" w:eastAsia="宋体" w:cs="Times New Roman"/>
                <w:strike w:val="0"/>
                <w:dstrike w:val="0"/>
                <w:color w:val="auto"/>
                <w:sz w:val="24"/>
                <w:szCs w:val="24"/>
                <w:highlight w:val="none"/>
                <w:lang w:eastAsia="zh-CN"/>
              </w:rPr>
              <w:t>。根据建设单位安排，不同颜色的产品分批次生产，生产工艺完全相同。</w:t>
            </w:r>
          </w:p>
          <w:p w14:paraId="5034F95E">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②碾磨：上料后夹具自动进入碾磨部。碾磨中将</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上半球面在旋转的金刚砂盘（</w:t>
            </w:r>
            <w:r>
              <w:rPr>
                <w:rFonts w:hint="default" w:ascii="Times New Roman" w:hAnsi="Times New Roman" w:eastAsia="宋体" w:cs="Times New Roman"/>
                <w:strike w:val="0"/>
                <w:dstrike w:val="0"/>
                <w:color w:val="auto"/>
                <w:sz w:val="24"/>
                <w:szCs w:val="24"/>
                <w:highlight w:val="none"/>
                <w:lang w:val="en-US" w:eastAsia="zh-CN"/>
              </w:rPr>
              <w:t>磨轮</w:t>
            </w:r>
            <w:r>
              <w:rPr>
                <w:rFonts w:hint="default" w:ascii="Times New Roman" w:hAnsi="Times New Roman" w:eastAsia="宋体" w:cs="Times New Roman"/>
                <w:strike w:val="0"/>
                <w:dstrike w:val="0"/>
                <w:color w:val="auto"/>
                <w:sz w:val="24"/>
                <w:szCs w:val="24"/>
                <w:highlight w:val="none"/>
                <w:lang w:eastAsia="zh-CN"/>
              </w:rPr>
              <w:t>）上摩擦，使得</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原有球面磨成不同角度、多平面的仿钻形。研磨采用湿法即在碾磨同时工件上方连续喷入少量水，以抑制粉尘的产生。</w:t>
            </w:r>
          </w:p>
          <w:p w14:paraId="6306E5E3">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③抛光：</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坯料碾磨完后自动进入设备的抛光部，将</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坯料在旋转的抛光盘（</w:t>
            </w:r>
            <w:r>
              <w:rPr>
                <w:rFonts w:hint="default" w:ascii="Times New Roman" w:hAnsi="Times New Roman" w:eastAsia="宋体" w:cs="Times New Roman"/>
                <w:strike w:val="0"/>
                <w:dstrike w:val="0"/>
                <w:color w:val="auto"/>
                <w:sz w:val="24"/>
                <w:szCs w:val="24"/>
                <w:highlight w:val="none"/>
                <w:lang w:val="en-US" w:eastAsia="zh-CN"/>
              </w:rPr>
              <w:t>抛轮、抛盘</w:t>
            </w:r>
            <w:r>
              <w:rPr>
                <w:rFonts w:hint="default" w:ascii="Times New Roman" w:hAnsi="Times New Roman" w:eastAsia="宋体" w:cs="Times New Roman"/>
                <w:strike w:val="0"/>
                <w:dstrike w:val="0"/>
                <w:color w:val="auto"/>
                <w:sz w:val="24"/>
                <w:szCs w:val="24"/>
                <w:highlight w:val="none"/>
                <w:lang w:eastAsia="zh-CN"/>
              </w:rPr>
              <w:t>）上来回摩擦，使得磨好的各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反光面平滑光亮。抛光方法与碾磨类似，在工件上方滴入少量水，产生废水中含有大量抛光粉。</w:t>
            </w:r>
          </w:p>
          <w:p w14:paraId="153D594C">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④下料：全部碾磨、抛光完成后，设备自行用电对夹具加热，使得树脂软化设备自动将磨好的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从夹具上卸下。</w:t>
            </w:r>
          </w:p>
          <w:p w14:paraId="23900808">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color w:val="auto"/>
              </w:rPr>
            </w:pPr>
            <w:r>
              <w:rPr>
                <w:rFonts w:hint="eastAsia" w:ascii="Times New Roman" w:hAnsi="Times New Roman" w:eastAsia="宋体" w:cs="Times New Roman"/>
                <w:strike w:val="0"/>
                <w:dstrike w:val="0"/>
                <w:color w:val="auto"/>
                <w:sz w:val="24"/>
                <w:szCs w:val="24"/>
                <w:highlight w:val="none"/>
                <w:lang w:val="en-US" w:eastAsia="zh-CN"/>
              </w:rPr>
              <w:t>碾磨、抛光采用湿法加工，即碾磨、抛光同时在工件上方持续喷入少量水，水中加入一定数量的金刚砂、抛光粉。湿法碾磨、抛光不仅可以抑制粉尘的产生，还可以起到冷却降温作用。</w:t>
            </w:r>
            <w:r>
              <w:rPr>
                <w:rFonts w:hint="default" w:ascii="Times New Roman" w:hAnsi="Times New Roman" w:eastAsia="宋体" w:cs="Times New Roman"/>
                <w:strike w:val="0"/>
                <w:dstrike w:val="0"/>
                <w:color w:val="auto"/>
                <w:sz w:val="24"/>
                <w:szCs w:val="24"/>
                <w:highlight w:val="none"/>
                <w:lang w:val="en-US" w:eastAsia="zh-CN"/>
              </w:rPr>
              <w:t>全自动磨抛机</w:t>
            </w:r>
            <w:r>
              <w:rPr>
                <w:rFonts w:hint="eastAsia" w:ascii="Times New Roman" w:hAnsi="Times New Roman" w:eastAsia="宋体" w:cs="Times New Roman"/>
                <w:strike w:val="0"/>
                <w:dstrike w:val="0"/>
                <w:color w:val="auto"/>
                <w:sz w:val="24"/>
                <w:szCs w:val="24"/>
                <w:highlight w:val="none"/>
                <w:lang w:val="en-US" w:eastAsia="zh-CN"/>
              </w:rPr>
              <w:t>磨抛过程</w:t>
            </w:r>
            <w:r>
              <w:rPr>
                <w:rFonts w:hint="eastAsia" w:cs="Times New Roman"/>
                <w:strike w:val="0"/>
                <w:dstrike w:val="0"/>
                <w:color w:val="auto"/>
                <w:sz w:val="24"/>
                <w:szCs w:val="24"/>
                <w:highlight w:val="none"/>
                <w:lang w:val="en-US" w:eastAsia="zh-CN"/>
              </w:rPr>
              <w:t>烫钻</w:t>
            </w:r>
            <w:r>
              <w:rPr>
                <w:rFonts w:hint="eastAsia" w:ascii="Times New Roman" w:hAnsi="Times New Roman" w:eastAsia="宋体" w:cs="Times New Roman"/>
                <w:strike w:val="0"/>
                <w:dstrike w:val="0"/>
                <w:color w:val="auto"/>
                <w:sz w:val="24"/>
                <w:szCs w:val="24"/>
                <w:highlight w:val="none"/>
                <w:lang w:val="en-US" w:eastAsia="zh-CN"/>
              </w:rPr>
              <w:t>坯料仅带走少量的胶粉，胶粉具有一定的湿度，在装入多工位自动磨抛设备相应投料口时产生的粉尘极少，在全自动磨抛机周边基本全部自然沉降，不会扩散到车间外</w:t>
            </w:r>
            <w:r>
              <w:rPr>
                <w:rFonts w:hint="eastAsia" w:ascii="宋体" w:hAnsi="宋体" w:eastAsia="宋体" w:cs="宋体"/>
                <w:color w:val="auto"/>
                <w:kern w:val="0"/>
                <w:sz w:val="24"/>
                <w:szCs w:val="24"/>
                <w:lang w:val="en-US" w:eastAsia="zh-CN" w:bidi="ar"/>
              </w:rPr>
              <w:t>。</w:t>
            </w:r>
          </w:p>
          <w:p w14:paraId="04F32BF2">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val="en-US" w:eastAsia="zh-CN"/>
              </w:rPr>
            </w:pPr>
            <w:r>
              <w:rPr>
                <w:rFonts w:hint="eastAsia" w:cs="Times New Roman"/>
                <w:strike w:val="0"/>
                <w:dstrike w:val="0"/>
                <w:color w:val="auto"/>
                <w:sz w:val="24"/>
                <w:szCs w:val="24"/>
                <w:highlight w:val="none"/>
                <w:lang w:val="en-US" w:eastAsia="zh-CN"/>
              </w:rPr>
              <w:t>因此</w:t>
            </w:r>
            <w:r>
              <w:rPr>
                <w:rFonts w:hint="default" w:ascii="Times New Roman" w:hAnsi="Times New Roman" w:eastAsia="宋体" w:cs="Times New Roman"/>
                <w:strike w:val="0"/>
                <w:dstrike w:val="0"/>
                <w:color w:val="auto"/>
                <w:sz w:val="24"/>
                <w:szCs w:val="24"/>
                <w:highlight w:val="none"/>
                <w:lang w:eastAsia="zh-CN"/>
              </w:rPr>
              <w:t>该过程产生的污染物为磨抛废水W</w:t>
            </w:r>
            <w:r>
              <w:rPr>
                <w:rFonts w:hint="default" w:ascii="Times New Roman" w:hAnsi="Times New Roman" w:eastAsia="宋体" w:cs="Times New Roman"/>
                <w:strike w:val="0"/>
                <w:dstrike w:val="0"/>
                <w:color w:val="auto"/>
                <w:sz w:val="24"/>
                <w:szCs w:val="24"/>
                <w:highlight w:val="none"/>
                <w:lang w:val="en-US" w:eastAsia="zh-CN"/>
              </w:rPr>
              <w:t>2</w:t>
            </w:r>
            <w:r>
              <w:rPr>
                <w:rFonts w:hint="default" w:ascii="Times New Roman" w:hAnsi="Times New Roman" w:eastAsia="宋体" w:cs="Times New Roman"/>
                <w:strike w:val="0"/>
                <w:dstrike w:val="0"/>
                <w:color w:val="auto"/>
                <w:sz w:val="24"/>
                <w:szCs w:val="24"/>
                <w:highlight w:val="none"/>
                <w:lang w:eastAsia="zh-CN"/>
              </w:rPr>
              <w:t>、噪声N、废磨轮S</w:t>
            </w:r>
            <w:r>
              <w:rPr>
                <w:rFonts w:hint="default" w:ascii="Times New Roman" w:hAnsi="Times New Roman" w:eastAsia="宋体" w:cs="Times New Roman"/>
                <w:strike w:val="0"/>
                <w:dstrike w:val="0"/>
                <w:color w:val="auto"/>
                <w:sz w:val="24"/>
                <w:szCs w:val="24"/>
                <w:highlight w:val="none"/>
                <w:lang w:val="en-US" w:eastAsia="zh-CN"/>
              </w:rPr>
              <w:t>5</w:t>
            </w:r>
            <w:r>
              <w:rPr>
                <w:rFonts w:hint="default" w:ascii="Times New Roman" w:hAnsi="Times New Roman" w:eastAsia="宋体" w:cs="Times New Roman"/>
                <w:strike w:val="0"/>
                <w:dstrike w:val="0"/>
                <w:color w:val="auto"/>
                <w:sz w:val="24"/>
                <w:szCs w:val="24"/>
                <w:highlight w:val="none"/>
                <w:lang w:eastAsia="zh-CN"/>
              </w:rPr>
              <w:t>、废抛轮S</w:t>
            </w:r>
            <w:r>
              <w:rPr>
                <w:rFonts w:hint="default" w:ascii="Times New Roman" w:hAnsi="Times New Roman" w:eastAsia="宋体" w:cs="Times New Roman"/>
                <w:strike w:val="0"/>
                <w:dstrike w:val="0"/>
                <w:color w:val="auto"/>
                <w:sz w:val="24"/>
                <w:szCs w:val="24"/>
                <w:highlight w:val="none"/>
                <w:lang w:val="en-US" w:eastAsia="zh-CN"/>
              </w:rPr>
              <w:t>6</w:t>
            </w:r>
            <w:r>
              <w:rPr>
                <w:rFonts w:hint="default" w:ascii="Times New Roman" w:hAnsi="Times New Roman" w:eastAsia="宋体" w:cs="Times New Roman"/>
                <w:strike w:val="0"/>
                <w:dstrike w:val="0"/>
                <w:color w:val="auto"/>
                <w:sz w:val="24"/>
                <w:szCs w:val="24"/>
                <w:highlight w:val="none"/>
                <w:lang w:eastAsia="zh-CN"/>
              </w:rPr>
              <w:t>、磨抛循环水池沉渣S</w:t>
            </w:r>
            <w:r>
              <w:rPr>
                <w:rFonts w:hint="default" w:ascii="Times New Roman" w:hAnsi="Times New Roman" w:eastAsia="宋体" w:cs="Times New Roman"/>
                <w:strike w:val="0"/>
                <w:dstrike w:val="0"/>
                <w:color w:val="auto"/>
                <w:sz w:val="24"/>
                <w:szCs w:val="24"/>
                <w:highlight w:val="none"/>
                <w:lang w:val="en-US" w:eastAsia="zh-CN"/>
              </w:rPr>
              <w:t>11。</w:t>
            </w:r>
          </w:p>
          <w:p w14:paraId="6B3ABA53">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eastAsia="zh-CN"/>
              </w:rPr>
              <w:t>（2）碱清洗</w:t>
            </w:r>
            <w:r>
              <w:rPr>
                <w:rFonts w:hint="eastAsia" w:cs="Times New Roman"/>
                <w:strike w:val="0"/>
                <w:dstrike w:val="0"/>
                <w:color w:val="auto"/>
                <w:sz w:val="24"/>
                <w:szCs w:val="24"/>
                <w:highlight w:val="none"/>
                <w:lang w:val="en-US" w:eastAsia="zh-CN"/>
              </w:rPr>
              <w:t>及清洗</w:t>
            </w:r>
          </w:p>
          <w:p w14:paraId="3AEA14E5">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strike w:val="0"/>
                <w:dstrike w:val="0"/>
                <w:color w:val="auto"/>
                <w:sz w:val="24"/>
                <w:szCs w:val="24"/>
                <w:highlight w:val="none"/>
                <w:lang w:eastAsia="zh-CN"/>
              </w:rPr>
              <w:t>从全自动水钻磨抛设备出来的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即为</w:t>
            </w:r>
            <w:r>
              <w:rPr>
                <w:rFonts w:hint="default" w:ascii="Times New Roman" w:hAnsi="Times New Roman" w:eastAsia="宋体" w:cs="Times New Roman"/>
                <w:strike w:val="0"/>
                <w:dstrike w:val="0"/>
                <w:color w:val="auto"/>
                <w:sz w:val="24"/>
                <w:szCs w:val="24"/>
                <w:highlight w:val="none"/>
                <w:lang w:val="en-US" w:eastAsia="zh-CN"/>
              </w:rPr>
              <w:t>烫</w:t>
            </w:r>
            <w:r>
              <w:rPr>
                <w:rFonts w:hint="default" w:ascii="Times New Roman" w:hAnsi="Times New Roman" w:eastAsia="宋体" w:cs="Times New Roman"/>
                <w:strike w:val="0"/>
                <w:dstrike w:val="0"/>
                <w:color w:val="auto"/>
                <w:sz w:val="24"/>
                <w:szCs w:val="24"/>
                <w:highlight w:val="none"/>
                <w:lang w:eastAsia="zh-CN"/>
              </w:rPr>
              <w:t>钻半成品，其后续加工前需进行清洗。操作中磨好的玻璃钻先用少量的片碱加自来水配成1%的NaOH溶液进行常温下浸洗一遍，即刻取出后用自来水清洗。</w:t>
            </w:r>
            <w:r>
              <w:rPr>
                <w:rFonts w:hint="default" w:ascii="Times New Roman" w:hAnsi="Times New Roman" w:eastAsia="宋体" w:cs="Times New Roman"/>
                <w:color w:val="auto"/>
                <w:spacing w:val="-2"/>
                <w:sz w:val="24"/>
                <w:szCs w:val="24"/>
                <w:highlight w:val="none"/>
              </w:rPr>
              <w:t>该过程中碱液中NaOH浓度逐渐降低，为保证弱碱性以满足清洗要求，</w:t>
            </w:r>
            <w:r>
              <w:rPr>
                <w:rFonts w:hint="default" w:ascii="Times New Roman" w:hAnsi="Times New Roman" w:eastAsia="宋体" w:cs="Times New Roman"/>
                <w:color w:val="auto"/>
                <w:spacing w:val="-2"/>
                <w:sz w:val="24"/>
                <w:szCs w:val="24"/>
                <w:highlight w:val="none"/>
                <w:lang w:val="en-US" w:eastAsia="zh-CN"/>
              </w:rPr>
              <w:t>定期</w:t>
            </w:r>
            <w:r>
              <w:rPr>
                <w:rFonts w:hint="default" w:ascii="Times New Roman" w:hAnsi="Times New Roman" w:eastAsia="宋体" w:cs="Times New Roman"/>
                <w:color w:val="auto"/>
                <w:spacing w:val="-2"/>
                <w:sz w:val="24"/>
                <w:szCs w:val="24"/>
                <w:highlight w:val="none"/>
              </w:rPr>
              <w:t>向碱洗液中补充少量片碱</w:t>
            </w:r>
            <w:r>
              <w:rPr>
                <w:rFonts w:hint="default" w:ascii="Times New Roman" w:hAnsi="Times New Roman" w:eastAsia="宋体" w:cs="Times New Roman"/>
                <w:color w:val="auto"/>
                <w:spacing w:val="-2"/>
                <w:sz w:val="24"/>
                <w:szCs w:val="24"/>
                <w:highlight w:val="none"/>
                <w:lang w:eastAsia="zh-CN"/>
              </w:rPr>
              <w:t>使浸洗碱液浓度保持在1%左右</w:t>
            </w:r>
            <w:r>
              <w:rPr>
                <w:rFonts w:hint="default" w:ascii="Times New Roman" w:hAnsi="Times New Roman" w:eastAsia="宋体" w:cs="Times New Roman"/>
                <w:color w:val="auto"/>
                <w:spacing w:val="-2"/>
                <w:sz w:val="24"/>
                <w:szCs w:val="24"/>
                <w:highlight w:val="none"/>
              </w:rPr>
              <w:t>。</w:t>
            </w:r>
          </w:p>
          <w:p w14:paraId="529127DF">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该过程产生的污染物为碱洗废水W</w:t>
            </w:r>
            <w:r>
              <w:rPr>
                <w:rFonts w:hint="default" w:ascii="Times New Roman" w:hAnsi="Times New Roman" w:eastAsia="宋体" w:cs="Times New Roman"/>
                <w:strike w:val="0"/>
                <w:dstrike w:val="0"/>
                <w:color w:val="auto"/>
                <w:sz w:val="24"/>
                <w:szCs w:val="24"/>
                <w:highlight w:val="none"/>
                <w:lang w:val="en-US" w:eastAsia="zh-CN"/>
              </w:rPr>
              <w:t>3</w:t>
            </w:r>
            <w:r>
              <w:rPr>
                <w:rFonts w:hint="default" w:ascii="Times New Roman" w:hAnsi="Times New Roman" w:eastAsia="宋体" w:cs="Times New Roman"/>
                <w:strike w:val="0"/>
                <w:dstrike w:val="0"/>
                <w:color w:val="auto"/>
                <w:sz w:val="24"/>
                <w:szCs w:val="24"/>
                <w:highlight w:val="none"/>
                <w:lang w:eastAsia="zh-CN"/>
              </w:rPr>
              <w:t>、清洗废水W</w:t>
            </w:r>
            <w:r>
              <w:rPr>
                <w:rFonts w:hint="default" w:ascii="Times New Roman" w:hAnsi="Times New Roman" w:eastAsia="宋体" w:cs="Times New Roman"/>
                <w:strike w:val="0"/>
                <w:dstrike w:val="0"/>
                <w:color w:val="auto"/>
                <w:sz w:val="24"/>
                <w:szCs w:val="24"/>
                <w:highlight w:val="none"/>
                <w:lang w:val="en-US" w:eastAsia="zh-CN"/>
              </w:rPr>
              <w:t>4</w:t>
            </w:r>
            <w:r>
              <w:rPr>
                <w:rFonts w:hint="default" w:ascii="Times New Roman" w:hAnsi="Times New Roman" w:eastAsia="宋体" w:cs="Times New Roman"/>
                <w:strike w:val="0"/>
                <w:dstrike w:val="0"/>
                <w:color w:val="auto"/>
                <w:sz w:val="24"/>
                <w:szCs w:val="24"/>
                <w:highlight w:val="none"/>
                <w:lang w:eastAsia="zh-CN"/>
              </w:rPr>
              <w:t>。碱洗废水</w:t>
            </w:r>
            <w:r>
              <w:rPr>
                <w:rFonts w:hint="default" w:ascii="Times New Roman" w:hAnsi="Times New Roman" w:eastAsia="宋体" w:cs="Times New Roman"/>
                <w:strike w:val="0"/>
                <w:dstrike w:val="0"/>
                <w:color w:val="auto"/>
                <w:sz w:val="24"/>
                <w:szCs w:val="24"/>
                <w:highlight w:val="none"/>
                <w:lang w:val="en-US" w:eastAsia="zh-CN"/>
              </w:rPr>
              <w:t>经</w:t>
            </w:r>
            <w:r>
              <w:rPr>
                <w:rFonts w:hint="eastAsia" w:cs="Times New Roman"/>
                <w:color w:val="auto"/>
                <w:spacing w:val="-1"/>
                <w:sz w:val="24"/>
                <w:szCs w:val="24"/>
                <w:highlight w:val="none"/>
                <w:lang w:val="en-US" w:eastAsia="zh-CN"/>
              </w:rPr>
              <w:t>收集</w:t>
            </w:r>
            <w:r>
              <w:rPr>
                <w:rFonts w:hint="default" w:ascii="Times New Roman" w:hAnsi="Times New Roman" w:eastAsia="宋体" w:cs="Times New Roman"/>
                <w:strike w:val="0"/>
                <w:dstrike w:val="0"/>
                <w:color w:val="auto"/>
                <w:sz w:val="24"/>
                <w:szCs w:val="24"/>
                <w:highlight w:val="none"/>
                <w:lang w:val="en-US" w:eastAsia="zh-CN"/>
              </w:rPr>
              <w:t>处理后</w:t>
            </w:r>
            <w:r>
              <w:rPr>
                <w:rFonts w:hint="eastAsia" w:cs="Times New Roman"/>
                <w:strike w:val="0"/>
                <w:dstrike w:val="0"/>
                <w:color w:val="auto"/>
                <w:sz w:val="24"/>
                <w:szCs w:val="24"/>
                <w:highlight w:val="none"/>
                <w:lang w:val="en-US" w:eastAsia="zh-CN"/>
              </w:rPr>
              <w:t>部分</w:t>
            </w:r>
            <w:r>
              <w:rPr>
                <w:rFonts w:hint="default" w:ascii="Times New Roman" w:hAnsi="Times New Roman" w:eastAsia="宋体" w:cs="Times New Roman"/>
                <w:strike w:val="0"/>
                <w:dstrike w:val="0"/>
                <w:color w:val="auto"/>
                <w:sz w:val="24"/>
                <w:szCs w:val="24"/>
                <w:highlight w:val="none"/>
                <w:lang w:val="en-US" w:eastAsia="zh-CN"/>
              </w:rPr>
              <w:t>循环</w:t>
            </w:r>
            <w:r>
              <w:rPr>
                <w:rFonts w:hint="default" w:ascii="Times New Roman" w:hAnsi="Times New Roman" w:eastAsia="宋体" w:cs="Times New Roman"/>
                <w:strike w:val="0"/>
                <w:dstrike w:val="0"/>
                <w:color w:val="auto"/>
                <w:sz w:val="24"/>
                <w:szCs w:val="24"/>
                <w:highlight w:val="none"/>
                <w:lang w:eastAsia="zh-CN"/>
              </w:rPr>
              <w:t>使用，</w:t>
            </w:r>
            <w:r>
              <w:rPr>
                <w:rFonts w:hint="eastAsia" w:cs="Times New Roman"/>
                <w:strike w:val="0"/>
                <w:dstrike w:val="0"/>
                <w:color w:val="auto"/>
                <w:sz w:val="24"/>
                <w:szCs w:val="24"/>
                <w:highlight w:val="none"/>
                <w:lang w:val="en-US" w:eastAsia="zh-CN"/>
              </w:rPr>
              <w:t>部分</w:t>
            </w:r>
            <w:r>
              <w:rPr>
                <w:rFonts w:hint="eastAsia" w:ascii="Times New Roman" w:hAnsi="Times New Roman" w:eastAsia="宋体" w:cs="Times New Roman"/>
                <w:strike w:val="0"/>
                <w:dstrike w:val="0"/>
                <w:color w:val="auto"/>
                <w:sz w:val="24"/>
                <w:szCs w:val="24"/>
                <w:highlight w:val="none"/>
                <w:lang w:val="en-US" w:eastAsia="zh-CN"/>
              </w:rPr>
              <w:t>与</w:t>
            </w:r>
            <w:r>
              <w:rPr>
                <w:rFonts w:hint="default" w:ascii="Times New Roman" w:hAnsi="Times New Roman" w:eastAsia="宋体" w:cs="Times New Roman"/>
                <w:strike w:val="0"/>
                <w:dstrike w:val="0"/>
                <w:color w:val="auto"/>
                <w:sz w:val="24"/>
                <w:szCs w:val="24"/>
                <w:highlight w:val="none"/>
                <w:lang w:val="en-US" w:eastAsia="zh-CN"/>
              </w:rPr>
              <w:t>清洗废水</w:t>
            </w:r>
            <w:r>
              <w:rPr>
                <w:rFonts w:hint="eastAsia" w:cs="Times New Roman"/>
                <w:strike w:val="0"/>
                <w:dstrike w:val="0"/>
                <w:color w:val="auto"/>
                <w:sz w:val="24"/>
                <w:szCs w:val="24"/>
                <w:highlight w:val="none"/>
                <w:lang w:val="en-US" w:eastAsia="zh-CN"/>
              </w:rPr>
              <w:t>一起</w:t>
            </w:r>
            <w:r>
              <w:rPr>
                <w:rFonts w:hint="default" w:ascii="Times New Roman" w:hAnsi="Times New Roman" w:eastAsia="宋体" w:cs="Times New Roman"/>
                <w:strike w:val="0"/>
                <w:dstrike w:val="0"/>
                <w:color w:val="auto"/>
                <w:sz w:val="24"/>
                <w:szCs w:val="24"/>
                <w:highlight w:val="none"/>
                <w:lang w:val="en-US" w:eastAsia="zh-CN"/>
              </w:rPr>
              <w:t>外排</w:t>
            </w:r>
            <w:r>
              <w:rPr>
                <w:rFonts w:hint="default" w:ascii="Times New Roman" w:hAnsi="Times New Roman" w:eastAsia="宋体" w:cs="Times New Roman"/>
                <w:color w:val="auto"/>
                <w:spacing w:val="3"/>
                <w:sz w:val="24"/>
                <w:szCs w:val="24"/>
                <w:highlight w:val="none"/>
              </w:rPr>
              <w:t>生化污水处理站</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strike w:val="0"/>
                <w:dstrike w:val="0"/>
                <w:color w:val="auto"/>
                <w:sz w:val="24"/>
                <w:szCs w:val="24"/>
                <w:highlight w:val="none"/>
                <w:lang w:eastAsia="zh-CN"/>
              </w:rPr>
              <w:t>。</w:t>
            </w:r>
          </w:p>
          <w:p w14:paraId="46A0EC4D">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（3）烘干</w:t>
            </w:r>
          </w:p>
          <w:p w14:paraId="6B79B31F">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val="en-US" w:eastAsia="zh-CN"/>
              </w:rPr>
              <w:t>烫</w:t>
            </w:r>
            <w:r>
              <w:rPr>
                <w:rFonts w:hint="default" w:ascii="Times New Roman" w:hAnsi="Times New Roman" w:eastAsia="宋体" w:cs="Times New Roman"/>
                <w:strike w:val="0"/>
                <w:dstrike w:val="0"/>
                <w:color w:val="auto"/>
                <w:sz w:val="24"/>
                <w:szCs w:val="24"/>
                <w:highlight w:val="none"/>
                <w:lang w:eastAsia="zh-CN"/>
              </w:rPr>
              <w:t>钻半成品碱清洗后进行烘干，烘干采用电烘箱进行。该过程产生的污染物为噪声N。</w:t>
            </w:r>
          </w:p>
          <w:p w14:paraId="54BCA2C5">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（4）检验分筛</w:t>
            </w:r>
          </w:p>
          <w:p w14:paraId="7564305F">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经磨抛工序打磨抛光后产生不同大小型号</w:t>
            </w:r>
            <w:r>
              <w:rPr>
                <w:rFonts w:hint="default" w:ascii="Times New Roman" w:hAnsi="Times New Roman" w:eastAsia="宋体" w:cs="Times New Roman"/>
                <w:strike w:val="0"/>
                <w:dstrike w:val="0"/>
                <w:color w:val="auto"/>
                <w:sz w:val="24"/>
                <w:szCs w:val="24"/>
                <w:highlight w:val="none"/>
                <w:lang w:val="en-US" w:eastAsia="zh-CN"/>
              </w:rPr>
              <w:t>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，需用分筛盘人工进行分筛，分筛出不同型号</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进行吸塑处理，分筛产生的残次品</w:t>
            </w:r>
            <w:r>
              <w:rPr>
                <w:rFonts w:hint="default" w:ascii="Times New Roman" w:hAnsi="Times New Roman" w:eastAsia="宋体" w:cs="Times New Roman"/>
                <w:strike w:val="0"/>
                <w:dstrike w:val="0"/>
                <w:color w:val="auto"/>
                <w:sz w:val="24"/>
                <w:szCs w:val="24"/>
                <w:highlight w:val="none"/>
                <w:lang w:val="en-US" w:eastAsia="zh-CN"/>
              </w:rPr>
              <w:t>可以直接回熔炉加工使用</w:t>
            </w:r>
            <w:r>
              <w:rPr>
                <w:rFonts w:hint="default" w:ascii="Times New Roman" w:hAnsi="Times New Roman" w:eastAsia="宋体" w:cs="Times New Roman"/>
                <w:strike w:val="0"/>
                <w:dstrike w:val="0"/>
                <w:color w:val="auto"/>
                <w:sz w:val="24"/>
                <w:szCs w:val="24"/>
                <w:highlight w:val="none"/>
                <w:lang w:eastAsia="zh-CN"/>
              </w:rPr>
              <w:t>。该过程产生的污染物为残次品S</w:t>
            </w:r>
            <w:r>
              <w:rPr>
                <w:rFonts w:hint="default" w:ascii="Times New Roman" w:hAnsi="Times New Roman" w:eastAsia="宋体" w:cs="Times New Roman"/>
                <w:strike w:val="0"/>
                <w:dstrike w:val="0"/>
                <w:color w:val="auto"/>
                <w:sz w:val="24"/>
                <w:szCs w:val="24"/>
                <w:highlight w:val="none"/>
                <w:lang w:val="en-US" w:eastAsia="zh-CN"/>
              </w:rPr>
              <w:t>7</w:t>
            </w:r>
            <w:r>
              <w:rPr>
                <w:rFonts w:hint="default" w:ascii="Times New Roman" w:hAnsi="Times New Roman" w:eastAsia="宋体" w:cs="Times New Roman"/>
                <w:strike w:val="0"/>
                <w:dstrike w:val="0"/>
                <w:color w:val="auto"/>
                <w:sz w:val="24"/>
                <w:szCs w:val="24"/>
                <w:highlight w:val="none"/>
                <w:lang w:eastAsia="zh-CN"/>
              </w:rPr>
              <w:t>。</w:t>
            </w:r>
          </w:p>
          <w:p w14:paraId="6C2DD749">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（5）吸塑</w:t>
            </w:r>
          </w:p>
          <w:p w14:paraId="776A4911">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分筛后的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用吸塑机吸附在</w:t>
            </w:r>
            <w:r>
              <w:rPr>
                <w:rFonts w:hint="default" w:ascii="Times New Roman" w:hAnsi="Times New Roman" w:eastAsia="宋体" w:cs="Times New Roman"/>
                <w:strike w:val="0"/>
                <w:dstrike w:val="0"/>
                <w:color w:val="auto"/>
                <w:sz w:val="24"/>
                <w:szCs w:val="24"/>
                <w:highlight w:val="none"/>
                <w:lang w:val="en-US" w:eastAsia="zh-CN"/>
              </w:rPr>
              <w:t>吸塑片（</w:t>
            </w:r>
            <w:r>
              <w:rPr>
                <w:rFonts w:hint="default" w:ascii="Times New Roman" w:hAnsi="Times New Roman" w:eastAsia="宋体" w:cs="Times New Roman"/>
                <w:strike w:val="0"/>
                <w:dstrike w:val="0"/>
                <w:color w:val="auto"/>
                <w:sz w:val="24"/>
                <w:szCs w:val="24"/>
                <w:highlight w:val="none"/>
                <w:lang w:eastAsia="zh-CN"/>
              </w:rPr>
              <w:t>PVC热收缩膜</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eastAsia="zh-CN"/>
              </w:rPr>
              <w:t>上，用电加热（加热时间1秒，温度约120℃），加热至塑料片变软，使膜收缩紧贴</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的半球面，</w:t>
            </w:r>
            <w:r>
              <w:rPr>
                <w:rFonts w:hint="default" w:ascii="Times New Roman" w:hAnsi="Times New Roman" w:eastAsia="宋体" w:cs="Times New Roman"/>
                <w:b w:val="0"/>
                <w:bCs w:val="0"/>
                <w:smallCaps w:val="0"/>
                <w:color w:val="auto"/>
                <w:kern w:val="0"/>
                <w:sz w:val="24"/>
                <w:lang w:val="en-US" w:eastAsia="zh-CN"/>
              </w:rPr>
              <w:t>覆膜后的半球面无需镀银</w:t>
            </w:r>
            <w:r>
              <w:rPr>
                <w:rFonts w:hint="default" w:ascii="Times New Roman" w:hAnsi="Times New Roman" w:eastAsia="宋体" w:cs="Times New Roman"/>
                <w:strike w:val="0"/>
                <w:dstrike w:val="0"/>
                <w:color w:val="auto"/>
                <w:sz w:val="24"/>
                <w:szCs w:val="24"/>
                <w:highlight w:val="none"/>
                <w:lang w:eastAsia="zh-CN"/>
              </w:rPr>
              <w:t>。</w:t>
            </w:r>
            <w:r>
              <w:rPr>
                <w:rFonts w:hint="default" w:ascii="Times New Roman" w:hAnsi="Times New Roman" w:eastAsia="宋体" w:cs="Times New Roman"/>
                <w:strike w:val="0"/>
                <w:dstrike w:val="0"/>
                <w:color w:val="auto"/>
                <w:sz w:val="24"/>
                <w:szCs w:val="24"/>
                <w:highlight w:val="none"/>
                <w:lang w:val="en-US" w:eastAsia="zh-CN"/>
              </w:rPr>
              <w:t>吸塑片（</w:t>
            </w:r>
            <w:r>
              <w:rPr>
                <w:rFonts w:hint="default" w:ascii="Times New Roman" w:hAnsi="Times New Roman" w:eastAsia="宋体" w:cs="Times New Roman"/>
                <w:strike w:val="0"/>
                <w:dstrike w:val="0"/>
                <w:color w:val="auto"/>
                <w:sz w:val="24"/>
                <w:szCs w:val="24"/>
                <w:highlight w:val="none"/>
                <w:lang w:eastAsia="zh-CN"/>
              </w:rPr>
              <w:t>PVC热收缩膜</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eastAsia="zh-CN"/>
              </w:rPr>
              <w:t>约在250℃~300℃开始降解，在350℃以上才明显产生挥发性产物，项目温度控制在120℃左右，故吸塑过程不产生挥发性有机废气。该过程产生的污染物为噪声N。</w:t>
            </w:r>
          </w:p>
          <w:p w14:paraId="42900B76">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（6）圆磨</w:t>
            </w:r>
          </w:p>
          <w:p w14:paraId="272A7AE6">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在膜上吸附完成后，使用大圆磨机器</w:t>
            </w:r>
            <w:r>
              <w:rPr>
                <w:rFonts w:hint="default" w:ascii="Times New Roman" w:hAnsi="Times New Roman" w:eastAsia="宋体" w:cs="Times New Roman"/>
                <w:strike w:val="0"/>
                <w:dstrike w:val="0"/>
                <w:color w:val="auto"/>
                <w:sz w:val="24"/>
                <w:szCs w:val="24"/>
                <w:highlight w:val="none"/>
                <w:lang w:val="en-US" w:eastAsia="zh-CN"/>
              </w:rPr>
              <w:t>将其中半圆边基本磨平，将单尖面磨掉1/6左右</w:t>
            </w:r>
            <w:r>
              <w:rPr>
                <w:rFonts w:hint="default" w:ascii="Times New Roman" w:hAnsi="Times New Roman" w:eastAsia="宋体" w:cs="Times New Roman"/>
                <w:strike w:val="0"/>
                <w:dstrike w:val="0"/>
                <w:color w:val="auto"/>
                <w:sz w:val="24"/>
                <w:szCs w:val="24"/>
                <w:highlight w:val="none"/>
                <w:lang w:eastAsia="zh-CN"/>
              </w:rPr>
              <w:t>，磨平后抛光，这两道工序均为湿法打磨，产生的粉末部分跟水混合进入圆磨循环水池。</w:t>
            </w:r>
          </w:p>
          <w:p w14:paraId="0EAE1F27">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该过程产生的污染物为圆磨废水W5（圆磨废水收集后经圆磨循环水池处理后大部分循环回用，少量进入生化污水处理站处理）、噪声N、圆磨循环水池沉渣S</w:t>
            </w:r>
            <w:r>
              <w:rPr>
                <w:rFonts w:hint="default" w:ascii="Times New Roman" w:hAnsi="Times New Roman" w:eastAsia="宋体" w:cs="Times New Roman"/>
                <w:strike w:val="0"/>
                <w:dstrike w:val="0"/>
                <w:color w:val="auto"/>
                <w:sz w:val="24"/>
                <w:szCs w:val="24"/>
                <w:highlight w:val="none"/>
                <w:lang w:val="en-US" w:eastAsia="zh-CN"/>
              </w:rPr>
              <w:t>12、</w:t>
            </w:r>
            <w:r>
              <w:rPr>
                <w:rFonts w:hint="default" w:ascii="Times New Roman" w:hAnsi="Times New Roman" w:eastAsia="宋体" w:cs="Times New Roman"/>
                <w:strike w:val="0"/>
                <w:dstrike w:val="0"/>
                <w:color w:val="auto"/>
                <w:sz w:val="24"/>
                <w:szCs w:val="24"/>
                <w:highlight w:val="none"/>
                <w:lang w:eastAsia="zh-CN"/>
              </w:rPr>
              <w:t>生化污水处理站</w:t>
            </w:r>
            <w:r>
              <w:rPr>
                <w:rFonts w:hint="default" w:ascii="Times New Roman" w:hAnsi="Times New Roman" w:eastAsia="宋体" w:cs="Times New Roman"/>
                <w:strike w:val="0"/>
                <w:dstrike w:val="0"/>
                <w:color w:val="auto"/>
                <w:sz w:val="24"/>
                <w:szCs w:val="24"/>
                <w:highlight w:val="none"/>
                <w:lang w:val="en-US" w:eastAsia="zh-CN"/>
              </w:rPr>
              <w:t>污泥</w:t>
            </w:r>
            <w:r>
              <w:rPr>
                <w:rFonts w:hint="default" w:ascii="Times New Roman" w:hAnsi="Times New Roman" w:eastAsia="宋体" w:cs="Times New Roman"/>
                <w:strike w:val="0"/>
                <w:dstrike w:val="0"/>
                <w:color w:val="auto"/>
                <w:sz w:val="24"/>
                <w:szCs w:val="24"/>
                <w:highlight w:val="none"/>
                <w:lang w:eastAsia="zh-CN"/>
              </w:rPr>
              <w:t>S</w:t>
            </w:r>
            <w:r>
              <w:rPr>
                <w:rFonts w:hint="default" w:ascii="Times New Roman" w:hAnsi="Times New Roman" w:eastAsia="宋体" w:cs="Times New Roman"/>
                <w:strike w:val="0"/>
                <w:dstrike w:val="0"/>
                <w:color w:val="auto"/>
                <w:sz w:val="24"/>
                <w:szCs w:val="24"/>
                <w:highlight w:val="none"/>
                <w:lang w:val="en-US" w:eastAsia="zh-CN"/>
              </w:rPr>
              <w:t>14</w:t>
            </w:r>
            <w:r>
              <w:rPr>
                <w:rFonts w:hint="default" w:ascii="Times New Roman" w:hAnsi="Times New Roman" w:eastAsia="宋体" w:cs="Times New Roman"/>
                <w:strike w:val="0"/>
                <w:dstrike w:val="0"/>
                <w:color w:val="auto"/>
                <w:sz w:val="24"/>
                <w:szCs w:val="24"/>
                <w:highlight w:val="none"/>
                <w:lang w:eastAsia="zh-CN"/>
              </w:rPr>
              <w:t>。</w:t>
            </w:r>
          </w:p>
          <w:p w14:paraId="7C3C2660">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w:t>
            </w:r>
            <w:r>
              <w:rPr>
                <w:rFonts w:hint="default" w:ascii="Times New Roman" w:hAnsi="Times New Roman" w:eastAsia="宋体" w:cs="Times New Roman"/>
                <w:strike w:val="0"/>
                <w:dstrike w:val="0"/>
                <w:color w:val="auto"/>
                <w:sz w:val="24"/>
                <w:szCs w:val="24"/>
                <w:highlight w:val="none"/>
                <w:lang w:val="en-US" w:eastAsia="zh-CN"/>
              </w:rPr>
              <w:t>7</w:t>
            </w:r>
            <w:r>
              <w:rPr>
                <w:rFonts w:hint="default" w:ascii="Times New Roman" w:hAnsi="Times New Roman" w:eastAsia="宋体" w:cs="Times New Roman"/>
                <w:strike w:val="0"/>
                <w:dstrike w:val="0"/>
                <w:color w:val="auto"/>
                <w:sz w:val="24"/>
                <w:szCs w:val="24"/>
                <w:highlight w:val="none"/>
                <w:lang w:eastAsia="zh-CN"/>
              </w:rPr>
              <w:t>）切边</w:t>
            </w:r>
          </w:p>
          <w:p w14:paraId="5DF2A909">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圆磨机</w:t>
            </w:r>
            <w:r>
              <w:rPr>
                <w:rFonts w:hint="default" w:ascii="Times New Roman" w:hAnsi="Times New Roman" w:eastAsia="宋体" w:cs="Times New Roman"/>
                <w:strike w:val="0"/>
                <w:dstrike w:val="0"/>
                <w:color w:val="auto"/>
                <w:sz w:val="24"/>
                <w:szCs w:val="24"/>
                <w:highlight w:val="none"/>
                <w:lang w:val="en-US" w:eastAsia="zh-CN"/>
              </w:rPr>
              <w:t>磨平</w:t>
            </w:r>
            <w:r>
              <w:rPr>
                <w:rFonts w:hint="default" w:ascii="Times New Roman" w:hAnsi="Times New Roman" w:eastAsia="宋体" w:cs="Times New Roman"/>
                <w:strike w:val="0"/>
                <w:dstrike w:val="0"/>
                <w:color w:val="auto"/>
                <w:sz w:val="24"/>
                <w:szCs w:val="24"/>
                <w:highlight w:val="none"/>
                <w:lang w:eastAsia="zh-CN"/>
              </w:rPr>
              <w:t>后，把</w:t>
            </w:r>
            <w:r>
              <w:rPr>
                <w:rFonts w:hint="default" w:ascii="Times New Roman" w:hAnsi="Times New Roman" w:eastAsia="宋体" w:cs="Times New Roman"/>
                <w:strike w:val="0"/>
                <w:dstrike w:val="0"/>
                <w:color w:val="auto"/>
                <w:sz w:val="24"/>
                <w:szCs w:val="24"/>
                <w:highlight w:val="none"/>
                <w:lang w:val="en-US" w:eastAsia="zh-CN"/>
              </w:rPr>
              <w:t>吸塑片（</w:t>
            </w:r>
            <w:r>
              <w:rPr>
                <w:rFonts w:hint="default" w:ascii="Times New Roman" w:hAnsi="Times New Roman" w:eastAsia="宋体" w:cs="Times New Roman"/>
                <w:strike w:val="0"/>
                <w:dstrike w:val="0"/>
                <w:color w:val="auto"/>
                <w:sz w:val="24"/>
                <w:szCs w:val="24"/>
                <w:highlight w:val="none"/>
                <w:lang w:eastAsia="zh-CN"/>
              </w:rPr>
              <w:t>PVC热收缩膜</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eastAsia="zh-CN"/>
              </w:rPr>
              <w:t>四周未吸上</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val="en-US" w:eastAsia="zh-CN"/>
              </w:rPr>
              <w:t>（烫钻半产品）</w:t>
            </w:r>
            <w:r>
              <w:rPr>
                <w:rFonts w:hint="default" w:ascii="Times New Roman" w:hAnsi="Times New Roman" w:eastAsia="宋体" w:cs="Times New Roman"/>
                <w:strike w:val="0"/>
                <w:dstrike w:val="0"/>
                <w:color w:val="auto"/>
                <w:sz w:val="24"/>
                <w:szCs w:val="24"/>
                <w:highlight w:val="none"/>
                <w:lang w:eastAsia="zh-CN"/>
              </w:rPr>
              <w:t>的多余的部分切掉。该过程产生的污染物为废吸塑片边角料</w:t>
            </w:r>
            <w:r>
              <w:rPr>
                <w:rFonts w:hint="default" w:ascii="Times New Roman" w:hAnsi="Times New Roman" w:eastAsia="宋体" w:cs="Times New Roman"/>
                <w:strike w:val="0"/>
                <w:dstrike w:val="0"/>
                <w:color w:val="auto"/>
                <w:sz w:val="24"/>
                <w:szCs w:val="24"/>
                <w:highlight w:val="none"/>
                <w:lang w:val="en-US" w:eastAsia="zh-CN"/>
              </w:rPr>
              <w:t>（圈片）</w:t>
            </w:r>
            <w:r>
              <w:rPr>
                <w:rFonts w:hint="default" w:ascii="Times New Roman" w:hAnsi="Times New Roman" w:eastAsia="宋体" w:cs="Times New Roman"/>
                <w:strike w:val="0"/>
                <w:dstrike w:val="0"/>
                <w:color w:val="auto"/>
                <w:sz w:val="24"/>
                <w:szCs w:val="24"/>
                <w:highlight w:val="none"/>
                <w:lang w:eastAsia="zh-CN"/>
              </w:rPr>
              <w:t>S</w:t>
            </w:r>
            <w:r>
              <w:rPr>
                <w:rFonts w:hint="default" w:ascii="Times New Roman" w:hAnsi="Times New Roman" w:eastAsia="宋体" w:cs="Times New Roman"/>
                <w:strike w:val="0"/>
                <w:dstrike w:val="0"/>
                <w:color w:val="auto"/>
                <w:sz w:val="24"/>
                <w:szCs w:val="24"/>
                <w:highlight w:val="none"/>
                <w:lang w:val="en-US" w:eastAsia="zh-CN"/>
              </w:rPr>
              <w:t>8，该部分可收集回用于PVC生产线生产。</w:t>
            </w:r>
          </w:p>
          <w:p w14:paraId="72375466">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val="en-US" w:eastAsia="zh-CN"/>
              </w:rPr>
              <w:t>（8）</w:t>
            </w:r>
            <w:r>
              <w:rPr>
                <w:rFonts w:hint="default" w:ascii="Times New Roman" w:hAnsi="Times New Roman" w:eastAsia="宋体" w:cs="Times New Roman"/>
                <w:strike w:val="0"/>
                <w:dstrike w:val="0"/>
                <w:color w:val="auto"/>
                <w:sz w:val="24"/>
                <w:szCs w:val="24"/>
                <w:highlight w:val="none"/>
                <w:lang w:eastAsia="zh-CN"/>
              </w:rPr>
              <w:t>卸吸塑片</w:t>
            </w:r>
          </w:p>
          <w:p w14:paraId="4D7599FA">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trike w:val="0"/>
                <w:dstrike w:val="0"/>
                <w:color w:val="auto"/>
                <w:sz w:val="24"/>
                <w:szCs w:val="24"/>
                <w:highlight w:val="none"/>
                <w:lang w:eastAsia="zh-CN"/>
              </w:rPr>
            </w:pPr>
            <w:r>
              <w:rPr>
                <w:rFonts w:hint="default" w:ascii="Times New Roman" w:hAnsi="Times New Roman" w:eastAsia="宋体" w:cs="Times New Roman"/>
                <w:strike w:val="0"/>
                <w:dstrike w:val="0"/>
                <w:color w:val="auto"/>
                <w:sz w:val="24"/>
                <w:szCs w:val="24"/>
                <w:highlight w:val="none"/>
                <w:lang w:eastAsia="zh-CN"/>
              </w:rPr>
              <w:t>切边</w:t>
            </w:r>
            <w:r>
              <w:rPr>
                <w:rFonts w:hint="default" w:ascii="Times New Roman" w:hAnsi="Times New Roman" w:eastAsia="宋体" w:cs="Times New Roman"/>
                <w:strike w:val="0"/>
                <w:dstrike w:val="0"/>
                <w:color w:val="auto"/>
                <w:sz w:val="24"/>
                <w:szCs w:val="24"/>
                <w:highlight w:val="none"/>
                <w:lang w:val="en-US" w:eastAsia="zh-CN"/>
              </w:rPr>
              <w:t>后的半产品由</w:t>
            </w:r>
            <w:r>
              <w:rPr>
                <w:rFonts w:hint="default" w:ascii="Times New Roman" w:hAnsi="Times New Roman" w:eastAsia="宋体" w:cs="Times New Roman"/>
                <w:strike w:val="0"/>
                <w:dstrike w:val="0"/>
                <w:color w:val="auto"/>
                <w:sz w:val="24"/>
                <w:szCs w:val="24"/>
                <w:highlight w:val="none"/>
                <w:lang w:eastAsia="zh-CN"/>
              </w:rPr>
              <w:t>自动下钻机将</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val="en-US" w:eastAsia="zh-CN"/>
              </w:rPr>
              <w:t>（烫钻半产品）</w:t>
            </w:r>
            <w:r>
              <w:rPr>
                <w:rFonts w:hint="default" w:ascii="Times New Roman" w:hAnsi="Times New Roman" w:eastAsia="宋体" w:cs="Times New Roman"/>
                <w:b w:val="0"/>
                <w:bCs w:val="0"/>
                <w:smallCaps w:val="0"/>
                <w:color w:val="auto"/>
                <w:sz w:val="24"/>
              </w:rPr>
              <w:t>从已收缩的PE热收缩膜上取下</w:t>
            </w:r>
            <w:r>
              <w:rPr>
                <w:rFonts w:hint="default" w:ascii="Times New Roman" w:hAnsi="Times New Roman" w:eastAsia="宋体" w:cs="Times New Roman"/>
                <w:strike w:val="0"/>
                <w:dstrike w:val="0"/>
                <w:color w:val="auto"/>
                <w:sz w:val="24"/>
                <w:szCs w:val="24"/>
                <w:highlight w:val="none"/>
                <w:lang w:eastAsia="zh-CN"/>
              </w:rPr>
              <w:t>离，分离</w:t>
            </w:r>
            <w:r>
              <w:rPr>
                <w:rFonts w:hint="default" w:ascii="Times New Roman" w:hAnsi="Times New Roman" w:eastAsia="宋体" w:cs="Times New Roman"/>
                <w:strike w:val="0"/>
                <w:dstrike w:val="0"/>
                <w:color w:val="auto"/>
                <w:sz w:val="24"/>
                <w:szCs w:val="24"/>
                <w:highlight w:val="none"/>
                <w:lang w:val="en-US" w:eastAsia="zh-CN"/>
              </w:rPr>
              <w:t>后的</w:t>
            </w:r>
            <w:r>
              <w:rPr>
                <w:rFonts w:hint="default" w:ascii="Times New Roman" w:hAnsi="Times New Roman" w:eastAsia="宋体" w:cs="Times New Roman"/>
                <w:strike w:val="0"/>
                <w:dstrike w:val="0"/>
                <w:color w:val="auto"/>
                <w:sz w:val="24"/>
                <w:szCs w:val="24"/>
                <w:highlight w:val="none"/>
                <w:lang w:eastAsia="zh-CN"/>
              </w:rPr>
              <w:t>产品即为成品（</w:t>
            </w:r>
            <w:r>
              <w:rPr>
                <w:rFonts w:hint="default" w:ascii="Times New Roman" w:hAnsi="Times New Roman" w:eastAsia="宋体" w:cs="Times New Roman"/>
                <w:strike w:val="0"/>
                <w:dstrike w:val="0"/>
                <w:color w:val="auto"/>
                <w:sz w:val="24"/>
                <w:szCs w:val="24"/>
                <w:highlight w:val="none"/>
                <w:lang w:val="en-US" w:eastAsia="zh-CN"/>
              </w:rPr>
              <w:t>烫钻</w:t>
            </w:r>
            <w:r>
              <w:rPr>
                <w:rFonts w:hint="default" w:ascii="Times New Roman" w:hAnsi="Times New Roman" w:eastAsia="宋体" w:cs="Times New Roman"/>
                <w:strike w:val="0"/>
                <w:dstrike w:val="0"/>
                <w:color w:val="auto"/>
                <w:sz w:val="24"/>
                <w:szCs w:val="24"/>
                <w:highlight w:val="none"/>
                <w:lang w:eastAsia="zh-CN"/>
              </w:rPr>
              <w:t>），经包装即可入库。该过程产生的污染物为废吸塑片</w:t>
            </w:r>
            <w:r>
              <w:rPr>
                <w:rFonts w:hint="default" w:ascii="Times New Roman" w:hAnsi="Times New Roman" w:eastAsia="宋体" w:cs="Times New Roman"/>
                <w:strike w:val="0"/>
                <w:dstrike w:val="0"/>
                <w:color w:val="auto"/>
                <w:sz w:val="24"/>
                <w:szCs w:val="24"/>
                <w:highlight w:val="none"/>
                <w:lang w:val="en-US" w:eastAsia="zh-CN"/>
              </w:rPr>
              <w:t>（网片）</w:t>
            </w:r>
            <w:r>
              <w:rPr>
                <w:rFonts w:hint="default" w:ascii="Times New Roman" w:hAnsi="Times New Roman" w:eastAsia="宋体" w:cs="Times New Roman"/>
                <w:strike w:val="0"/>
                <w:dstrike w:val="0"/>
                <w:color w:val="auto"/>
                <w:sz w:val="24"/>
                <w:szCs w:val="24"/>
                <w:highlight w:val="none"/>
                <w:lang w:eastAsia="zh-CN"/>
              </w:rPr>
              <w:t>S</w:t>
            </w:r>
            <w:r>
              <w:rPr>
                <w:rFonts w:hint="default" w:ascii="Times New Roman" w:hAnsi="Times New Roman" w:eastAsia="宋体" w:cs="Times New Roman"/>
                <w:strike w:val="0"/>
                <w:dstrike w:val="0"/>
                <w:color w:val="auto"/>
                <w:sz w:val="24"/>
                <w:szCs w:val="24"/>
                <w:highlight w:val="none"/>
                <w:lang w:val="en-US" w:eastAsia="zh-CN"/>
              </w:rPr>
              <w:t>9，该部分可收集回用于PVC生产线生产。</w:t>
            </w:r>
          </w:p>
          <w:p w14:paraId="4FF59AB4">
            <w:pPr>
              <w:pStyle w:val="27"/>
              <w:keepNext w:val="0"/>
              <w:keepLines w:val="0"/>
              <w:pageBreakBefore w:val="0"/>
              <w:widowControl w:val="0"/>
              <w:numPr>
                <w:ilvl w:val="0"/>
                <w:numId w:val="3"/>
              </w:numPr>
              <w:kinsoku/>
              <w:wordWrap/>
              <w:overflowPunct/>
              <w:topLinePunct/>
              <w:autoSpaceDE w:val="0"/>
              <w:autoSpaceDN/>
              <w:bidi w:val="0"/>
              <w:adjustRightInd/>
              <w:snapToGrid/>
              <w:spacing w:before="0" w:after="0" w:line="360" w:lineRule="auto"/>
              <w:ind w:left="0" w:leftChars="0" w:firstLine="0" w:firstLineChars="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吸塑片生产工艺</w:t>
            </w:r>
          </w:p>
          <w:p w14:paraId="7892AB3C">
            <w:pPr>
              <w:keepNext w:val="0"/>
              <w:keepLines w:val="0"/>
              <w:pageBreakBefore w:val="0"/>
              <w:widowControl w:val="0"/>
              <w:kinsoku/>
              <w:wordWrap/>
              <w:overflowPunct/>
              <w:topLinePunct/>
              <w:autoSpaceDE w:val="0"/>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strike w:val="0"/>
                <w:dstrike w:val="0"/>
                <w:color w:val="auto"/>
                <w:sz w:val="24"/>
                <w:szCs w:val="24"/>
                <w:highlight w:val="none"/>
                <w:lang w:val="en-US" w:eastAsia="zh-CN"/>
              </w:rPr>
              <w:t>吸塑片生产</w:t>
            </w:r>
            <w:r>
              <w:rPr>
                <w:rFonts w:hint="default" w:ascii="Times New Roman" w:hAnsi="Times New Roman" w:eastAsia="宋体" w:cs="Times New Roman"/>
                <w:strike w:val="0"/>
                <w:dstrike w:val="0"/>
                <w:color w:val="auto"/>
                <w:sz w:val="24"/>
                <w:szCs w:val="24"/>
                <w:highlight w:val="none"/>
                <w:lang w:eastAsia="zh-CN"/>
              </w:rPr>
              <w:t>主要</w:t>
            </w:r>
            <w:r>
              <w:rPr>
                <w:rFonts w:hint="default" w:ascii="Times New Roman" w:hAnsi="Times New Roman" w:eastAsia="宋体" w:cs="Times New Roman"/>
                <w:color w:val="auto"/>
                <w:spacing w:val="-1"/>
                <w:sz w:val="24"/>
                <w:szCs w:val="24"/>
                <w:highlight w:val="none"/>
              </w:rPr>
              <w:t>工艺流程图如下</w:t>
            </w:r>
            <w:r>
              <w:rPr>
                <w:rFonts w:hint="default" w:ascii="Times New Roman" w:hAnsi="Times New Roman" w:eastAsia="宋体" w:cs="Times New Roman"/>
                <w:color w:val="auto"/>
                <w:spacing w:val="-1"/>
                <w:sz w:val="24"/>
                <w:szCs w:val="24"/>
                <w:highlight w:val="none"/>
                <w:lang w:eastAsia="zh-CN"/>
              </w:rPr>
              <w:t>：</w:t>
            </w:r>
          </w:p>
          <w:p w14:paraId="09CD1FF1">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5700B228">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04647DE5">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69C3D8F1">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0E8AEEF5">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1562C940">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3402D605">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0812D4DA">
            <w:pPr>
              <w:keepNext w:val="0"/>
              <w:keepLines w:val="0"/>
              <w:pageBreakBefore w:val="0"/>
              <w:widowControl w:val="0"/>
              <w:kinsoku/>
              <w:wordWrap/>
              <w:overflowPunct/>
              <w:topLinePunct/>
              <w:autoSpaceDE w:val="0"/>
              <w:autoSpaceDN/>
              <w:bidi w:val="0"/>
              <w:adjustRightInd w:val="0"/>
              <w:snapToGrid w:val="0"/>
              <w:spacing w:line="360" w:lineRule="auto"/>
              <w:ind w:left="0" w:firstLine="476" w:firstLineChars="200"/>
              <w:jc w:val="left"/>
              <w:textAlignment w:val="auto"/>
              <w:rPr>
                <w:rFonts w:hint="default" w:ascii="Times New Roman" w:hAnsi="Times New Roman" w:eastAsia="宋体" w:cs="Times New Roman"/>
                <w:color w:val="auto"/>
                <w:spacing w:val="-1"/>
                <w:sz w:val="24"/>
                <w:szCs w:val="24"/>
                <w:highlight w:val="none"/>
                <w:lang w:eastAsia="zh-CN"/>
              </w:rPr>
            </w:pPr>
          </w:p>
          <w:p w14:paraId="5E69CB5C">
            <w:pPr>
              <w:keepNext w:val="0"/>
              <w:keepLines w:val="0"/>
              <w:pageBreakBefore w:val="0"/>
              <w:kinsoku/>
              <w:overflowPunct/>
              <w:topLinePunct/>
              <w:autoSpaceDE w:val="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object>
                <v:shape id="_x0000_i1029" o:spt="75" type="#_x0000_t75" style="height:283.5pt;width:306.2pt;" o:ole="t" filled="f" o:preferrelative="t" stroked="f" coordsize="21600,21600">
                  <v:path/>
                  <v:fill on="f" focussize="0,0"/>
                  <v:stroke on="f"/>
                  <v:imagedata r:id="rId22" o:title=""/>
                  <o:lock v:ext="edit" aspectratio="f"/>
                  <w10:wrap type="none"/>
                  <w10:anchorlock/>
                </v:shape>
                <o:OLEObject Type="Embed" ProgID="Visio.Drawing.15" ShapeID="_x0000_i1029" DrawAspect="Content" ObjectID="_1468075729" r:id="rId21">
                  <o:LockedField>false</o:LockedField>
                </o:OLEObject>
              </w:object>
            </w:r>
          </w:p>
          <w:p w14:paraId="72EF31B4">
            <w:pPr>
              <w:pStyle w:val="19"/>
              <w:keepNext w:val="0"/>
              <w:keepLines w:val="0"/>
              <w:pageBreakBefore w:val="0"/>
              <w:widowControl w:val="0"/>
              <w:kinsoku/>
              <w:wordWrap/>
              <w:overflowPunct/>
              <w:topLinePunct/>
              <w:autoSpaceDE w:val="0"/>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 xml:space="preserve">图2-5  </w:t>
            </w:r>
            <w:r>
              <w:rPr>
                <w:rFonts w:hint="default" w:ascii="Times New Roman" w:hAnsi="Times New Roman" w:eastAsia="宋体" w:cs="Times New Roman"/>
                <w:b/>
                <w:bCs/>
                <w:color w:val="auto"/>
                <w:sz w:val="24"/>
                <w:szCs w:val="24"/>
                <w:highlight w:val="none"/>
                <w:lang w:val="en-US" w:eastAsia="zh-CN"/>
              </w:rPr>
              <w:t>吸塑片生产</w:t>
            </w:r>
            <w:r>
              <w:rPr>
                <w:rFonts w:hint="default" w:ascii="Times New Roman" w:hAnsi="Times New Roman" w:eastAsia="宋体" w:cs="Times New Roman"/>
                <w:b/>
                <w:bCs/>
                <w:color w:val="auto"/>
                <w:kern w:val="2"/>
                <w:sz w:val="24"/>
                <w:szCs w:val="24"/>
                <w:highlight w:val="none"/>
                <w:lang w:val="zh-CN" w:eastAsia="zh-CN" w:bidi="ar-SA"/>
              </w:rPr>
              <w:t>工艺流程及产污节点</w:t>
            </w:r>
            <w:r>
              <w:rPr>
                <w:rFonts w:hint="default" w:ascii="Times New Roman" w:hAnsi="Times New Roman" w:eastAsia="宋体" w:cs="Times New Roman"/>
                <w:b/>
                <w:bCs/>
                <w:color w:val="auto"/>
                <w:kern w:val="2"/>
                <w:sz w:val="24"/>
                <w:szCs w:val="24"/>
                <w:highlight w:val="none"/>
                <w:lang w:val="en-US" w:eastAsia="zh-CN" w:bidi="ar-SA"/>
              </w:rPr>
              <w:t>图</w:t>
            </w:r>
          </w:p>
          <w:p w14:paraId="2A4AA578">
            <w:pPr>
              <w:keepNext w:val="0"/>
              <w:keepLines w:val="0"/>
              <w:pageBreakBefore w:val="0"/>
              <w:widowControl w:val="0"/>
              <w:kinsoku/>
              <w:wordWrap/>
              <w:overflowPunct/>
              <w:topLinePunct/>
              <w:autoSpaceDE w:val="0"/>
              <w:autoSpaceDN/>
              <w:bidi w:val="0"/>
              <w:adjustRightInd/>
              <w:snapToGrid/>
              <w:spacing w:line="360" w:lineRule="auto"/>
              <w:ind w:left="0" w:right="0" w:firstLine="466"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pacing w:val="-4"/>
                <w:sz w:val="24"/>
                <w:szCs w:val="24"/>
                <w:highlight w:val="none"/>
                <w:lang w:eastAsia="zh-CN"/>
              </w:rPr>
              <w:t>工艺流程说明：</w:t>
            </w:r>
          </w:p>
          <w:p w14:paraId="2D1337EE">
            <w:pPr>
              <w:keepNext w:val="0"/>
              <w:keepLines w:val="0"/>
              <w:pageBreakBefore w:val="0"/>
              <w:widowControl w:val="0"/>
              <w:kinsoku/>
              <w:wordWrap/>
              <w:overflowPunct/>
              <w:topLinePunct/>
              <w:autoSpaceDE w:val="0"/>
              <w:autoSpaceDN/>
              <w:bidi w:val="0"/>
              <w:adjustRightInd/>
              <w:snapToGrid/>
              <w:spacing w:line="360" w:lineRule="auto"/>
              <w:ind w:left="0" w:right="0" w:firstLine="46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5"/>
                <w:sz w:val="24"/>
                <w:szCs w:val="24"/>
                <w:highlight w:val="none"/>
                <w:lang w:eastAsia="zh-CN"/>
              </w:rPr>
              <w:t>（1）上料</w:t>
            </w:r>
          </w:p>
          <w:p w14:paraId="722A5610">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将稳定剂、增强剂、加工助剂、内外润滑剂按一定比例配比完成后，与聚氯乙烯通过人工投入到配套的高低搅设备进料口中</w:t>
            </w:r>
            <w:r>
              <w:rPr>
                <w:rFonts w:hint="default" w:ascii="Times New Roman" w:hAnsi="Times New Roman" w:eastAsia="宋体" w:cs="Times New Roman"/>
                <w:color w:val="auto"/>
                <w:spacing w:val="-1"/>
                <w:sz w:val="24"/>
                <w:szCs w:val="24"/>
                <w:highlight w:val="none"/>
                <w:lang w:eastAsia="zh-CN"/>
              </w:rPr>
              <w:t>。该</w:t>
            </w:r>
            <w:r>
              <w:rPr>
                <w:rFonts w:hint="default" w:ascii="Times New Roman" w:hAnsi="Times New Roman" w:eastAsia="宋体" w:cs="Times New Roman"/>
                <w:color w:val="auto"/>
                <w:sz w:val="24"/>
                <w:szCs w:val="24"/>
                <w:highlight w:val="none"/>
                <w:lang w:eastAsia="zh-CN"/>
              </w:rPr>
              <w:t>过程产生的污染物为</w:t>
            </w:r>
            <w:r>
              <w:rPr>
                <w:rFonts w:hint="default"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eastAsia="zh-CN"/>
              </w:rPr>
              <w:t>料废气G</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（配料粉尘废气收集后经布袋除尘器（2#</w:t>
            </w:r>
            <w:r>
              <w:rPr>
                <w:rFonts w:hint="default" w:ascii="Times New Roman" w:hAnsi="Times New Roman" w:eastAsia="宋体" w:cs="Times New Roman"/>
                <w:color w:val="auto"/>
                <w:spacing w:val="-1"/>
                <w:sz w:val="24"/>
                <w:szCs w:val="24"/>
                <w:highlight w:val="none"/>
                <w:lang w:eastAsia="zh-CN"/>
              </w:rPr>
              <w:t>）处</w:t>
            </w:r>
            <w:r>
              <w:rPr>
                <w:rFonts w:hint="default" w:ascii="Times New Roman" w:hAnsi="Times New Roman" w:eastAsia="宋体" w:cs="Times New Roman"/>
                <w:color w:val="auto"/>
                <w:spacing w:val="-3"/>
                <w:sz w:val="24"/>
                <w:szCs w:val="24"/>
                <w:highlight w:val="none"/>
                <w:lang w:eastAsia="zh-CN"/>
              </w:rPr>
              <w:t>理后由15m排气筒（DA0</w:t>
            </w:r>
            <w:r>
              <w:rPr>
                <w:rFonts w:hint="default" w:ascii="Times New Roman" w:hAnsi="Times New Roman" w:eastAsia="宋体" w:cs="Times New Roman"/>
                <w:color w:val="auto"/>
                <w:spacing w:val="-3"/>
                <w:sz w:val="24"/>
                <w:szCs w:val="24"/>
                <w:highlight w:val="none"/>
                <w:lang w:val="en-US" w:eastAsia="zh-CN"/>
              </w:rPr>
              <w:t>0</w:t>
            </w:r>
            <w:r>
              <w:rPr>
                <w:rFonts w:hint="default" w:ascii="Times New Roman" w:hAnsi="Times New Roman" w:eastAsia="宋体" w:cs="Times New Roman"/>
                <w:color w:val="auto"/>
                <w:spacing w:val="-3"/>
                <w:sz w:val="24"/>
                <w:szCs w:val="24"/>
                <w:highlight w:val="none"/>
                <w:lang w:eastAsia="zh-CN"/>
              </w:rPr>
              <w:t>2）排放、噪声N、废</w:t>
            </w:r>
            <w:r>
              <w:rPr>
                <w:rFonts w:hint="default" w:ascii="Times New Roman" w:hAnsi="Times New Roman" w:eastAsia="宋体" w:cs="Times New Roman"/>
                <w:color w:val="auto"/>
                <w:spacing w:val="-3"/>
                <w:sz w:val="24"/>
                <w:szCs w:val="24"/>
                <w:highlight w:val="none"/>
                <w:lang w:val="en-US" w:eastAsia="zh-CN"/>
              </w:rPr>
              <w:t>原辅料</w:t>
            </w:r>
            <w:r>
              <w:rPr>
                <w:rFonts w:hint="default" w:ascii="Times New Roman" w:hAnsi="Times New Roman" w:eastAsia="宋体" w:cs="Times New Roman"/>
                <w:color w:val="auto"/>
                <w:spacing w:val="-3"/>
                <w:sz w:val="24"/>
                <w:szCs w:val="24"/>
                <w:highlight w:val="none"/>
                <w:lang w:eastAsia="zh-CN"/>
              </w:rPr>
              <w:t>包装S</w:t>
            </w:r>
            <w:r>
              <w:rPr>
                <w:rFonts w:hint="default" w:ascii="Times New Roman" w:hAnsi="Times New Roman" w:eastAsia="宋体" w:cs="Times New Roman"/>
                <w:color w:val="auto"/>
                <w:spacing w:val="-3"/>
                <w:sz w:val="24"/>
                <w:szCs w:val="24"/>
                <w:highlight w:val="none"/>
                <w:lang w:val="en-US" w:eastAsia="zh-CN"/>
              </w:rPr>
              <w:t>1</w:t>
            </w:r>
            <w:r>
              <w:rPr>
                <w:rFonts w:hint="default" w:ascii="Times New Roman" w:hAnsi="Times New Roman" w:eastAsia="宋体" w:cs="Times New Roman"/>
                <w:color w:val="auto"/>
                <w:spacing w:val="-3"/>
                <w:sz w:val="24"/>
                <w:szCs w:val="24"/>
                <w:highlight w:val="none"/>
                <w:lang w:eastAsia="zh-CN"/>
              </w:rPr>
              <w:t>、吸塑布袋收尘S1</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lang w:eastAsia="zh-CN"/>
              </w:rPr>
              <w:t>。</w:t>
            </w:r>
          </w:p>
          <w:p w14:paraId="4BB7B833">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（2）搅拌、加热</w:t>
            </w:r>
          </w:p>
          <w:p w14:paraId="387F89C7">
            <w:pPr>
              <w:keepNext w:val="0"/>
              <w:keepLines w:val="0"/>
              <w:pageBreakBefore w:val="0"/>
              <w:widowControl w:val="0"/>
              <w:kinsoku/>
              <w:wordWrap/>
              <w:overflowPunct/>
              <w:topLinePunct/>
              <w:autoSpaceDE w:val="0"/>
              <w:autoSpaceDN/>
              <w:bidi w:val="0"/>
              <w:adjustRightInd/>
              <w:snapToGrid/>
              <w:spacing w:line="360" w:lineRule="auto"/>
              <w:ind w:left="0" w:right="0" w:firstLine="456"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6"/>
                <w:sz w:val="24"/>
                <w:szCs w:val="24"/>
                <w:highlight w:val="none"/>
                <w:lang w:eastAsia="zh-CN"/>
              </w:rPr>
              <w:t>通过1套高低搅设备进行搅</w:t>
            </w:r>
            <w:r>
              <w:rPr>
                <w:rFonts w:hint="default" w:ascii="Times New Roman" w:hAnsi="Times New Roman" w:eastAsia="宋体" w:cs="Times New Roman"/>
                <w:color w:val="auto"/>
                <w:spacing w:val="-3"/>
                <w:sz w:val="24"/>
                <w:szCs w:val="24"/>
                <w:highlight w:val="none"/>
                <w:lang w:eastAsia="zh-CN"/>
              </w:rPr>
              <w:t>拌，同时使用</w:t>
            </w:r>
            <w:r>
              <w:rPr>
                <w:rFonts w:hint="default" w:ascii="Times New Roman" w:hAnsi="Times New Roman" w:eastAsia="宋体" w:cs="Times New Roman"/>
                <w:color w:val="auto"/>
                <w:spacing w:val="-6"/>
                <w:sz w:val="24"/>
                <w:szCs w:val="24"/>
                <w:highlight w:val="none"/>
                <w:lang w:eastAsia="zh-CN"/>
              </w:rPr>
              <w:t>电加热，温度控制在80~120℃</w:t>
            </w:r>
            <w:r>
              <w:rPr>
                <w:rFonts w:hint="default" w:ascii="Times New Roman" w:hAnsi="Times New Roman" w:eastAsia="宋体" w:cs="Times New Roman"/>
                <w:color w:val="auto"/>
                <w:spacing w:val="-30"/>
                <w:sz w:val="24"/>
                <w:szCs w:val="24"/>
                <w:highlight w:val="none"/>
                <w:lang w:eastAsia="zh-CN"/>
              </w:rPr>
              <w:t>，</w:t>
            </w:r>
            <w:r>
              <w:rPr>
                <w:rFonts w:hint="default" w:ascii="Times New Roman" w:hAnsi="Times New Roman" w:eastAsia="宋体" w:cs="Times New Roman"/>
                <w:color w:val="auto"/>
                <w:spacing w:val="-6"/>
                <w:sz w:val="24"/>
                <w:szCs w:val="24"/>
                <w:highlight w:val="none"/>
                <w:lang w:eastAsia="zh-CN"/>
              </w:rPr>
              <w:t>待高</w:t>
            </w:r>
            <w:r>
              <w:rPr>
                <w:rFonts w:hint="default" w:ascii="Times New Roman" w:hAnsi="Times New Roman" w:eastAsia="宋体" w:cs="Times New Roman"/>
                <w:color w:val="auto"/>
                <w:sz w:val="24"/>
                <w:szCs w:val="24"/>
                <w:highlight w:val="none"/>
                <w:lang w:eastAsia="zh-CN"/>
              </w:rPr>
              <w:t>温加热结束后，需要通过循环水池中水打入高低搅设备中的冷却管道对正在设备内</w:t>
            </w:r>
            <w:r>
              <w:rPr>
                <w:rFonts w:hint="default" w:ascii="Times New Roman" w:hAnsi="Times New Roman" w:eastAsia="宋体" w:cs="Times New Roman"/>
                <w:color w:val="auto"/>
                <w:spacing w:val="-8"/>
                <w:sz w:val="24"/>
                <w:szCs w:val="24"/>
                <w:highlight w:val="none"/>
                <w:lang w:eastAsia="zh-CN"/>
              </w:rPr>
              <w:t>加工的原辅料进行冷却，冷却10分钟后，进入挤出机组。</w:t>
            </w:r>
            <w:r>
              <w:rPr>
                <w:rFonts w:hint="default" w:ascii="Times New Roman" w:hAnsi="Times New Roman" w:eastAsia="宋体" w:cs="Times New Roman"/>
                <w:color w:val="auto"/>
                <w:spacing w:val="-3"/>
                <w:sz w:val="24"/>
                <w:szCs w:val="24"/>
                <w:highlight w:val="none"/>
                <w:lang w:eastAsia="zh-CN"/>
              </w:rPr>
              <w:t>该过程产生的污染物为废气G</w:t>
            </w:r>
            <w:r>
              <w:rPr>
                <w:rFonts w:hint="default" w:ascii="Times New Roman" w:hAnsi="Times New Roman" w:eastAsia="宋体" w:cs="Times New Roman"/>
                <w:color w:val="auto"/>
                <w:spacing w:val="-3"/>
                <w:sz w:val="24"/>
                <w:szCs w:val="24"/>
                <w:highlight w:val="none"/>
                <w:lang w:val="en-US" w:eastAsia="zh-CN"/>
              </w:rPr>
              <w:t>6</w:t>
            </w:r>
            <w:r>
              <w:rPr>
                <w:rFonts w:hint="default" w:ascii="Times New Roman" w:hAnsi="Times New Roman" w:eastAsia="宋体" w:cs="Times New Roman"/>
                <w:color w:val="auto"/>
                <w:spacing w:val="-3"/>
                <w:sz w:val="24"/>
                <w:szCs w:val="24"/>
                <w:highlight w:val="none"/>
                <w:lang w:eastAsia="zh-CN"/>
              </w:rPr>
              <w:t>、噪声N。</w:t>
            </w:r>
          </w:p>
          <w:p w14:paraId="5E738D54">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（3）挤出塑化</w:t>
            </w:r>
          </w:p>
          <w:p w14:paraId="2EBAE0EC">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搅拌好的产品通过传送带进入挤出机组，进行挤出塑化，通过电加热，温度控</w:t>
            </w:r>
            <w:r>
              <w:rPr>
                <w:rFonts w:hint="default" w:ascii="Times New Roman" w:hAnsi="Times New Roman" w:eastAsia="宋体" w:cs="Times New Roman"/>
                <w:color w:val="auto"/>
                <w:spacing w:val="-2"/>
                <w:sz w:val="24"/>
                <w:szCs w:val="24"/>
                <w:highlight w:val="none"/>
                <w:lang w:eastAsia="zh-CN"/>
              </w:rPr>
              <w:t>制在160~200℃</w:t>
            </w:r>
            <w:r>
              <w:rPr>
                <w:rFonts w:hint="default" w:ascii="Times New Roman" w:hAnsi="Times New Roman" w:eastAsia="宋体" w:cs="Times New Roman"/>
                <w:color w:val="auto"/>
                <w:spacing w:val="-27"/>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塑化度较好，经加工达到工艺要求后的物料进入</w:t>
            </w:r>
            <w:r>
              <w:rPr>
                <w:rFonts w:hint="default" w:ascii="Times New Roman" w:hAnsi="Times New Roman" w:eastAsia="宋体" w:cs="Times New Roman"/>
                <w:color w:val="auto"/>
                <w:spacing w:val="-3"/>
                <w:sz w:val="24"/>
                <w:szCs w:val="24"/>
                <w:highlight w:val="none"/>
                <w:lang w:eastAsia="zh-CN"/>
              </w:rPr>
              <w:t>压延机组。该过程产生的污染物为</w:t>
            </w:r>
            <w:r>
              <w:rPr>
                <w:rFonts w:hint="default" w:ascii="Times New Roman" w:hAnsi="Times New Roman" w:eastAsia="宋体" w:cs="Times New Roman"/>
                <w:color w:val="auto"/>
                <w:spacing w:val="-1"/>
                <w:sz w:val="24"/>
                <w:szCs w:val="24"/>
                <w:highlight w:val="none"/>
                <w:lang w:eastAsia="zh-CN"/>
              </w:rPr>
              <w:t>有机废气及少量HCl</w:t>
            </w:r>
            <w:r>
              <w:rPr>
                <w:rFonts w:hint="default" w:ascii="Times New Roman" w:hAnsi="Times New Roman" w:eastAsia="宋体" w:cs="Times New Roman"/>
                <w:color w:val="auto"/>
                <w:spacing w:val="-3"/>
                <w:sz w:val="24"/>
                <w:szCs w:val="24"/>
                <w:highlight w:val="none"/>
                <w:lang w:eastAsia="zh-CN"/>
              </w:rPr>
              <w:t>废气G</w:t>
            </w:r>
            <w:r>
              <w:rPr>
                <w:rFonts w:hint="default" w:ascii="Times New Roman" w:hAnsi="Times New Roman" w:eastAsia="宋体" w:cs="Times New Roman"/>
                <w:color w:val="auto"/>
                <w:spacing w:val="-3"/>
                <w:sz w:val="24"/>
                <w:szCs w:val="24"/>
                <w:highlight w:val="none"/>
                <w:lang w:val="en-US" w:eastAsia="zh-CN"/>
              </w:rPr>
              <w:t>7</w:t>
            </w:r>
            <w:r>
              <w:rPr>
                <w:rFonts w:hint="default" w:ascii="Times New Roman" w:hAnsi="Times New Roman" w:eastAsia="宋体" w:cs="Times New Roman"/>
                <w:color w:val="auto"/>
                <w:spacing w:val="-3"/>
                <w:sz w:val="24"/>
                <w:szCs w:val="24"/>
                <w:highlight w:val="none"/>
                <w:lang w:eastAsia="zh-CN"/>
              </w:rPr>
              <w:t>、噪声N。</w:t>
            </w:r>
          </w:p>
          <w:p w14:paraId="5DBDF610">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right="0" w:rightChars="0" w:firstLine="468" w:firstLineChars="200"/>
              <w:textAlignment w:val="auto"/>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3"/>
                <w:kern w:val="2"/>
                <w:sz w:val="24"/>
                <w:szCs w:val="24"/>
                <w:lang w:val="en-US" w:eastAsia="zh-CN" w:bidi="ar-SA"/>
              </w:rPr>
              <w:t>（4）</w:t>
            </w:r>
            <w:r>
              <w:rPr>
                <w:rFonts w:hint="default" w:ascii="Times New Roman" w:hAnsi="Times New Roman" w:eastAsia="宋体" w:cs="Times New Roman"/>
                <w:color w:val="auto"/>
                <w:spacing w:val="-3"/>
                <w:sz w:val="24"/>
                <w:szCs w:val="24"/>
                <w:highlight w:val="none"/>
                <w:lang w:eastAsia="zh-CN"/>
              </w:rPr>
              <w:t>压延、冷却</w:t>
            </w:r>
          </w:p>
          <w:p w14:paraId="0915A9D4">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将挤出塑化好的物料通过一系列相向旋转着的水平辊筒间隙，使物料承受挤压和延展作用，成为具有一定厚度、宽度与表面光洁的塑料薄片状制品，压延温度控</w:t>
            </w:r>
            <w:r>
              <w:rPr>
                <w:rFonts w:hint="default" w:ascii="Times New Roman" w:hAnsi="Times New Roman" w:eastAsia="宋体" w:cs="Times New Roman"/>
                <w:color w:val="auto"/>
                <w:spacing w:val="-2"/>
                <w:sz w:val="24"/>
                <w:szCs w:val="24"/>
                <w:highlight w:val="none"/>
                <w:lang w:eastAsia="zh-CN"/>
              </w:rPr>
              <w:t>制在180~200℃</w:t>
            </w:r>
            <w:r>
              <w:rPr>
                <w:rFonts w:hint="default" w:ascii="Times New Roman" w:hAnsi="Times New Roman" w:eastAsia="宋体" w:cs="Times New Roman"/>
                <w:color w:val="auto"/>
                <w:spacing w:val="-27"/>
                <w:sz w:val="24"/>
                <w:szCs w:val="24"/>
                <w:highlight w:val="none"/>
                <w:lang w:eastAsia="zh-CN"/>
              </w:rPr>
              <w:t>，</w:t>
            </w:r>
            <w:r>
              <w:rPr>
                <w:rFonts w:hint="default" w:ascii="Times New Roman" w:hAnsi="Times New Roman" w:eastAsia="宋体" w:cs="Times New Roman"/>
                <w:color w:val="auto"/>
                <w:spacing w:val="-2"/>
                <w:sz w:val="24"/>
                <w:szCs w:val="24"/>
                <w:highlight w:val="none"/>
                <w:lang w:eastAsia="zh-CN"/>
              </w:rPr>
              <w:t>加热结束后需要通过循环水池中水打入压延机组的冷却</w:t>
            </w:r>
            <w:r>
              <w:rPr>
                <w:rFonts w:hint="default" w:ascii="Times New Roman" w:hAnsi="Times New Roman" w:eastAsia="宋体" w:cs="Times New Roman"/>
                <w:color w:val="auto"/>
                <w:spacing w:val="-3"/>
                <w:sz w:val="24"/>
                <w:szCs w:val="24"/>
                <w:highlight w:val="none"/>
                <w:lang w:eastAsia="zh-CN"/>
              </w:rPr>
              <w:t>管道对成</w:t>
            </w:r>
            <w:r>
              <w:rPr>
                <w:rFonts w:hint="default" w:ascii="Times New Roman" w:hAnsi="Times New Roman" w:eastAsia="宋体" w:cs="Times New Roman"/>
                <w:color w:val="auto"/>
                <w:spacing w:val="-5"/>
                <w:sz w:val="24"/>
                <w:szCs w:val="24"/>
                <w:highlight w:val="none"/>
                <w:lang w:eastAsia="zh-CN"/>
              </w:rPr>
              <w:t>型的吸塑片进行冷却，根据要求，调整设备参数，压延成不同厚度及宽度的吸塑片</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3"/>
                <w:sz w:val="24"/>
                <w:szCs w:val="24"/>
                <w:highlight w:val="none"/>
                <w:lang w:eastAsia="zh-CN"/>
              </w:rPr>
              <w:t>该过程产生的污染物为</w:t>
            </w:r>
            <w:r>
              <w:rPr>
                <w:rFonts w:hint="default" w:ascii="Times New Roman" w:hAnsi="Times New Roman" w:eastAsia="宋体" w:cs="Times New Roman"/>
                <w:color w:val="auto"/>
                <w:spacing w:val="-1"/>
                <w:sz w:val="24"/>
                <w:szCs w:val="24"/>
                <w:highlight w:val="none"/>
                <w:lang w:eastAsia="zh-CN"/>
              </w:rPr>
              <w:t>有机废气及少量HCl</w:t>
            </w:r>
            <w:r>
              <w:rPr>
                <w:rFonts w:hint="default" w:ascii="Times New Roman" w:hAnsi="Times New Roman" w:eastAsia="宋体" w:cs="Times New Roman"/>
                <w:color w:val="auto"/>
                <w:spacing w:val="-3"/>
                <w:sz w:val="24"/>
                <w:szCs w:val="24"/>
                <w:highlight w:val="none"/>
                <w:lang w:eastAsia="zh-CN"/>
              </w:rPr>
              <w:t>废气G</w:t>
            </w:r>
            <w:r>
              <w:rPr>
                <w:rFonts w:hint="default" w:ascii="Times New Roman" w:hAnsi="Times New Roman" w:eastAsia="宋体" w:cs="Times New Roman"/>
                <w:color w:val="auto"/>
                <w:spacing w:val="-3"/>
                <w:sz w:val="24"/>
                <w:szCs w:val="24"/>
                <w:highlight w:val="none"/>
                <w:lang w:val="en-US" w:eastAsia="zh-CN"/>
              </w:rPr>
              <w:t>8</w:t>
            </w:r>
            <w:r>
              <w:rPr>
                <w:rFonts w:hint="default" w:ascii="Times New Roman" w:hAnsi="Times New Roman" w:eastAsia="宋体" w:cs="Times New Roman"/>
                <w:color w:val="auto"/>
                <w:spacing w:val="-3"/>
                <w:sz w:val="24"/>
                <w:szCs w:val="24"/>
                <w:highlight w:val="none"/>
                <w:lang w:eastAsia="zh-CN"/>
              </w:rPr>
              <w:t>、噪声N、冷却水W</w:t>
            </w:r>
            <w:r>
              <w:rPr>
                <w:rFonts w:hint="default" w:ascii="Times New Roman" w:hAnsi="Times New Roman" w:eastAsia="宋体" w:cs="Times New Roman"/>
                <w:color w:val="auto"/>
                <w:spacing w:val="-3"/>
                <w:sz w:val="24"/>
                <w:szCs w:val="24"/>
                <w:highlight w:val="none"/>
                <w:lang w:val="en-US" w:eastAsia="zh-CN"/>
              </w:rPr>
              <w:t>6</w:t>
            </w:r>
            <w:r>
              <w:rPr>
                <w:rFonts w:hint="default" w:ascii="Times New Roman" w:hAnsi="Times New Roman" w:eastAsia="宋体" w:cs="Times New Roman"/>
                <w:color w:val="auto"/>
                <w:spacing w:val="-3"/>
                <w:sz w:val="24"/>
                <w:szCs w:val="24"/>
                <w:highlight w:val="none"/>
                <w:lang w:eastAsia="zh-CN"/>
              </w:rPr>
              <w:t>、废</w:t>
            </w:r>
            <w:r>
              <w:rPr>
                <w:rFonts w:hint="default" w:ascii="Times New Roman" w:hAnsi="Times New Roman" w:eastAsia="宋体" w:cs="Times New Roman"/>
                <w:color w:val="auto"/>
                <w:spacing w:val="-4"/>
                <w:sz w:val="24"/>
                <w:szCs w:val="24"/>
                <w:highlight w:val="none"/>
                <w:lang w:eastAsia="zh-CN"/>
              </w:rPr>
              <w:t>活性炭S</w:t>
            </w:r>
            <w:r>
              <w:rPr>
                <w:rFonts w:hint="default" w:ascii="Times New Roman" w:hAnsi="Times New Roman" w:eastAsia="宋体" w:cs="Times New Roman"/>
                <w:color w:val="auto"/>
                <w:spacing w:val="-4"/>
                <w:sz w:val="24"/>
                <w:szCs w:val="24"/>
                <w:highlight w:val="none"/>
                <w:lang w:val="en-US" w:eastAsia="zh-CN"/>
              </w:rPr>
              <w:t>18</w:t>
            </w:r>
            <w:r>
              <w:rPr>
                <w:rFonts w:hint="default" w:ascii="Times New Roman" w:hAnsi="Times New Roman" w:eastAsia="宋体" w:cs="Times New Roman"/>
                <w:color w:val="auto"/>
                <w:spacing w:val="-4"/>
                <w:sz w:val="24"/>
                <w:szCs w:val="24"/>
                <w:highlight w:val="none"/>
                <w:lang w:eastAsia="zh-CN"/>
              </w:rPr>
              <w:t>。</w:t>
            </w:r>
          </w:p>
          <w:p w14:paraId="5B1CF0E3">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4"/>
                <w:sz w:val="24"/>
                <w:szCs w:val="24"/>
                <w:highlight w:val="none"/>
                <w:lang w:eastAsia="zh-CN"/>
              </w:rPr>
              <w:t>以上（2）、（3）、（4）工序有机废气（</w:t>
            </w:r>
            <w:r>
              <w:rPr>
                <w:rFonts w:hint="default" w:ascii="Times New Roman" w:hAnsi="Times New Roman" w:eastAsia="宋体" w:cs="Times New Roman"/>
                <w:color w:val="auto"/>
                <w:spacing w:val="-3"/>
                <w:sz w:val="24"/>
                <w:szCs w:val="24"/>
                <w:highlight w:val="none"/>
                <w:lang w:eastAsia="zh-CN"/>
              </w:rPr>
              <w:t>G</w:t>
            </w:r>
            <w:r>
              <w:rPr>
                <w:rFonts w:hint="default" w:ascii="Times New Roman" w:hAnsi="Times New Roman" w:eastAsia="宋体" w:cs="Times New Roman"/>
                <w:color w:val="auto"/>
                <w:spacing w:val="-3"/>
                <w:sz w:val="24"/>
                <w:szCs w:val="24"/>
                <w:highlight w:val="none"/>
                <w:lang w:val="en-US" w:eastAsia="zh-CN"/>
              </w:rPr>
              <w:t>6、</w:t>
            </w:r>
            <w:r>
              <w:rPr>
                <w:rFonts w:hint="default" w:ascii="Times New Roman" w:hAnsi="Times New Roman" w:eastAsia="宋体" w:cs="Times New Roman"/>
                <w:color w:val="auto"/>
                <w:spacing w:val="-3"/>
                <w:sz w:val="24"/>
                <w:szCs w:val="24"/>
                <w:highlight w:val="none"/>
                <w:lang w:eastAsia="zh-CN"/>
              </w:rPr>
              <w:t>G</w:t>
            </w:r>
            <w:r>
              <w:rPr>
                <w:rFonts w:hint="default" w:ascii="Times New Roman" w:hAnsi="Times New Roman" w:eastAsia="宋体" w:cs="Times New Roman"/>
                <w:color w:val="auto"/>
                <w:spacing w:val="-3"/>
                <w:sz w:val="24"/>
                <w:szCs w:val="24"/>
                <w:highlight w:val="none"/>
                <w:lang w:val="en-US" w:eastAsia="zh-CN"/>
              </w:rPr>
              <w:t>7、</w:t>
            </w:r>
            <w:r>
              <w:rPr>
                <w:rFonts w:hint="default" w:ascii="Times New Roman" w:hAnsi="Times New Roman" w:eastAsia="宋体" w:cs="Times New Roman"/>
                <w:color w:val="auto"/>
                <w:spacing w:val="-3"/>
                <w:sz w:val="24"/>
                <w:szCs w:val="24"/>
                <w:highlight w:val="none"/>
                <w:lang w:eastAsia="zh-CN"/>
              </w:rPr>
              <w:t>G</w:t>
            </w:r>
            <w:r>
              <w:rPr>
                <w:rFonts w:hint="default" w:ascii="Times New Roman" w:hAnsi="Times New Roman" w:eastAsia="宋体" w:cs="Times New Roman"/>
                <w:color w:val="auto"/>
                <w:spacing w:val="-3"/>
                <w:sz w:val="24"/>
                <w:szCs w:val="24"/>
                <w:highlight w:val="none"/>
                <w:lang w:val="en-US" w:eastAsia="zh-CN"/>
              </w:rPr>
              <w:t>8</w:t>
            </w:r>
            <w:r>
              <w:rPr>
                <w:rFonts w:hint="default" w:ascii="Times New Roman" w:hAnsi="Times New Roman" w:eastAsia="宋体" w:cs="Times New Roman"/>
                <w:color w:val="auto"/>
                <w:spacing w:val="-4"/>
                <w:sz w:val="24"/>
                <w:szCs w:val="24"/>
                <w:highlight w:val="none"/>
                <w:lang w:eastAsia="zh-CN"/>
              </w:rPr>
              <w:t>）经集气罩收集后由三级活性炭吸附</w:t>
            </w:r>
            <w:r>
              <w:rPr>
                <w:rFonts w:hint="default" w:ascii="Times New Roman" w:hAnsi="Times New Roman" w:eastAsia="宋体" w:cs="Times New Roman"/>
                <w:color w:val="auto"/>
                <w:spacing w:val="-5"/>
                <w:sz w:val="24"/>
                <w:szCs w:val="24"/>
                <w:highlight w:val="none"/>
                <w:lang w:eastAsia="zh-CN"/>
              </w:rPr>
              <w:t>装置</w:t>
            </w:r>
            <w:r>
              <w:rPr>
                <w:rFonts w:hint="default" w:ascii="Times New Roman" w:hAnsi="Times New Roman" w:eastAsia="宋体" w:cs="Times New Roman"/>
                <w:color w:val="auto"/>
                <w:spacing w:val="-2"/>
                <w:sz w:val="24"/>
                <w:szCs w:val="24"/>
                <w:highlight w:val="none"/>
                <w:lang w:eastAsia="zh-CN"/>
              </w:rPr>
              <w:t>处理后由15m排气筒（DA0</w:t>
            </w:r>
            <w:r>
              <w:rPr>
                <w:rFonts w:hint="default" w:ascii="Times New Roman" w:hAnsi="Times New Roman" w:eastAsia="宋体"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lang w:eastAsia="zh-CN"/>
              </w:rPr>
              <w:t>3）排</w:t>
            </w:r>
            <w:r>
              <w:rPr>
                <w:rFonts w:hint="default" w:ascii="Times New Roman" w:hAnsi="Times New Roman" w:eastAsia="宋体" w:cs="Times New Roman"/>
                <w:color w:val="auto"/>
                <w:spacing w:val="-3"/>
                <w:sz w:val="24"/>
                <w:szCs w:val="24"/>
                <w:highlight w:val="none"/>
                <w:lang w:eastAsia="zh-CN"/>
              </w:rPr>
              <w:t>放。</w:t>
            </w:r>
          </w:p>
          <w:p w14:paraId="22A9B22B">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（5）切片切角</w:t>
            </w:r>
          </w:p>
          <w:p w14:paraId="0CBE4594">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将压延好的吸塑片进行切片，切片正常误差在1mm。该</w:t>
            </w:r>
            <w:r>
              <w:rPr>
                <w:rFonts w:hint="default" w:ascii="Times New Roman" w:hAnsi="Times New Roman" w:eastAsia="宋体" w:cs="Times New Roman"/>
                <w:color w:val="auto"/>
                <w:spacing w:val="-2"/>
                <w:sz w:val="24"/>
                <w:szCs w:val="24"/>
                <w:highlight w:val="none"/>
                <w:lang w:eastAsia="zh-CN"/>
              </w:rPr>
              <w:t>过程产生的污染物为废边角料S</w:t>
            </w:r>
            <w:r>
              <w:rPr>
                <w:rFonts w:hint="default" w:ascii="Times New Roman" w:hAnsi="Times New Roman" w:eastAsia="宋体" w:cs="Times New Roman"/>
                <w:color w:val="auto"/>
                <w:spacing w:val="-2"/>
                <w:sz w:val="24"/>
                <w:szCs w:val="24"/>
                <w:highlight w:val="none"/>
                <w:lang w:val="en-US" w:eastAsia="zh-CN"/>
              </w:rPr>
              <w:t>16</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3"/>
                <w:sz w:val="24"/>
                <w:szCs w:val="24"/>
                <w:highlight w:val="none"/>
                <w:lang w:eastAsia="zh-CN"/>
              </w:rPr>
              <w:t>噪声N</w:t>
            </w:r>
            <w:r>
              <w:rPr>
                <w:rFonts w:hint="default" w:ascii="Times New Roman" w:hAnsi="Times New Roman" w:eastAsia="宋体" w:cs="Times New Roman"/>
                <w:color w:val="auto"/>
                <w:spacing w:val="-2"/>
                <w:sz w:val="24"/>
                <w:szCs w:val="24"/>
                <w:highlight w:val="none"/>
                <w:lang w:eastAsia="zh-CN"/>
              </w:rPr>
              <w:t>。</w:t>
            </w:r>
          </w:p>
          <w:p w14:paraId="56221339">
            <w:pPr>
              <w:keepNext w:val="0"/>
              <w:keepLines w:val="0"/>
              <w:pageBreakBefore w:val="0"/>
              <w:widowControl w:val="0"/>
              <w:kinsoku/>
              <w:wordWrap/>
              <w:overflowPunct/>
              <w:topLinePunct/>
              <w:autoSpaceDE w:val="0"/>
              <w:autoSpaceDN/>
              <w:bidi w:val="0"/>
              <w:adjustRightInd/>
              <w:snapToGrid/>
              <w:spacing w:line="360" w:lineRule="auto"/>
              <w:ind w:left="0" w:right="0" w:firstLine="472"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val="en-US" w:eastAsia="zh-CN"/>
              </w:rPr>
              <w:t>切除的</w:t>
            </w:r>
            <w:r>
              <w:rPr>
                <w:rFonts w:hint="default" w:ascii="Times New Roman" w:hAnsi="Times New Roman" w:eastAsia="宋体" w:cs="Times New Roman"/>
                <w:color w:val="auto"/>
                <w:spacing w:val="-2"/>
                <w:sz w:val="24"/>
                <w:szCs w:val="24"/>
                <w:highlight w:val="none"/>
                <w:lang w:eastAsia="zh-CN"/>
              </w:rPr>
              <w:t>废边角料</w:t>
            </w:r>
            <w:r>
              <w:rPr>
                <w:rFonts w:hint="default" w:ascii="Times New Roman" w:hAnsi="Times New Roman" w:eastAsia="宋体" w:cs="Times New Roman"/>
                <w:color w:val="auto"/>
                <w:spacing w:val="-2"/>
                <w:sz w:val="24"/>
                <w:szCs w:val="24"/>
                <w:highlight w:val="none"/>
                <w:lang w:val="en-US" w:eastAsia="zh-CN"/>
              </w:rPr>
              <w:t>经</w:t>
            </w:r>
            <w:r>
              <w:rPr>
                <w:rFonts w:hint="default" w:ascii="Times New Roman" w:hAnsi="Times New Roman" w:eastAsia="宋体" w:cs="Times New Roman"/>
                <w:color w:val="auto"/>
                <w:sz w:val="24"/>
                <w:szCs w:val="24"/>
                <w:highlight w:val="none"/>
              </w:rPr>
              <w:t>收集后，经破碎机破碎后</w:t>
            </w:r>
            <w:r>
              <w:rPr>
                <w:rFonts w:hint="default" w:ascii="Times New Roman" w:hAnsi="Times New Roman" w:eastAsia="宋体" w:cs="Times New Roman"/>
                <w:color w:val="auto"/>
                <w:sz w:val="24"/>
                <w:szCs w:val="24"/>
                <w:highlight w:val="none"/>
                <w:lang w:val="en-US" w:eastAsia="zh-CN"/>
              </w:rPr>
              <w:t>返回生产线使用</w:t>
            </w:r>
            <w:r>
              <w:rPr>
                <w:rFonts w:hint="default" w:ascii="Times New Roman" w:hAnsi="Times New Roman" w:eastAsia="宋体" w:cs="Times New Roman"/>
                <w:color w:val="auto"/>
                <w:sz w:val="24"/>
                <w:szCs w:val="24"/>
                <w:highlight w:val="none"/>
              </w:rPr>
              <w:t>，该过程产生粉尘经集气罩收集后通过</w:t>
            </w:r>
            <w:r>
              <w:rPr>
                <w:rFonts w:hint="default" w:ascii="Times New Roman" w:hAnsi="Times New Roman" w:eastAsia="宋体" w:cs="Times New Roman"/>
                <w:color w:val="auto"/>
                <w:sz w:val="24"/>
                <w:szCs w:val="24"/>
                <w:highlight w:val="none"/>
                <w:lang w:eastAsia="zh-CN"/>
              </w:rPr>
              <w:t>布袋除尘器（2#</w:t>
            </w:r>
            <w:r>
              <w:rPr>
                <w:rFonts w:hint="default" w:ascii="Times New Roman" w:hAnsi="Times New Roman" w:eastAsia="宋体" w:cs="Times New Roman"/>
                <w:color w:val="auto"/>
                <w:spacing w:val="-1"/>
                <w:sz w:val="24"/>
                <w:szCs w:val="24"/>
                <w:highlight w:val="none"/>
                <w:lang w:eastAsia="zh-CN"/>
              </w:rPr>
              <w:t>）处</w:t>
            </w:r>
            <w:r>
              <w:rPr>
                <w:rFonts w:hint="default" w:ascii="Times New Roman" w:hAnsi="Times New Roman" w:eastAsia="宋体" w:cs="Times New Roman"/>
                <w:color w:val="auto"/>
                <w:spacing w:val="-3"/>
                <w:sz w:val="24"/>
                <w:szCs w:val="24"/>
                <w:highlight w:val="none"/>
                <w:lang w:eastAsia="zh-CN"/>
              </w:rPr>
              <w:t>理后由15m排气筒（DA0</w:t>
            </w:r>
            <w:r>
              <w:rPr>
                <w:rFonts w:hint="default" w:ascii="Times New Roman" w:hAnsi="Times New Roman" w:eastAsia="宋体" w:cs="Times New Roman"/>
                <w:color w:val="auto"/>
                <w:spacing w:val="-3"/>
                <w:sz w:val="24"/>
                <w:szCs w:val="24"/>
                <w:highlight w:val="none"/>
                <w:lang w:val="en-US" w:eastAsia="zh-CN"/>
              </w:rPr>
              <w:t>0</w:t>
            </w:r>
            <w:r>
              <w:rPr>
                <w:rFonts w:hint="default" w:ascii="Times New Roman" w:hAnsi="Times New Roman" w:eastAsia="宋体" w:cs="Times New Roman"/>
                <w:color w:val="auto"/>
                <w:spacing w:val="-3"/>
                <w:sz w:val="24"/>
                <w:szCs w:val="24"/>
                <w:highlight w:val="none"/>
                <w:lang w:eastAsia="zh-CN"/>
              </w:rPr>
              <w:t>2）排放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3"/>
                <w:sz w:val="24"/>
                <w:szCs w:val="24"/>
                <w:highlight w:val="none"/>
                <w:lang w:eastAsia="zh-CN"/>
              </w:rPr>
              <w:t>该过程产生的污染物为废气G</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lang w:eastAsia="zh-CN"/>
              </w:rPr>
              <w:t>、噪声N。</w:t>
            </w:r>
          </w:p>
          <w:p w14:paraId="78409C61">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lang w:eastAsia="zh-CN"/>
              </w:rPr>
              <w:t>（6）包装成品</w:t>
            </w:r>
          </w:p>
          <w:p w14:paraId="0C321FAF">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textAlignment w:val="auto"/>
              <w:rPr>
                <w:rFonts w:hint="default" w:ascii="Times New Roman" w:hAnsi="Times New Roman" w:eastAsia="宋体" w:cs="Times New Roman"/>
                <w:color w:val="auto"/>
                <w:spacing w:val="-1"/>
                <w:sz w:val="24"/>
                <w:szCs w:val="24"/>
                <w:highlight w:val="none"/>
                <w:lang w:eastAsia="zh-CN"/>
              </w:rPr>
            </w:pPr>
            <w:r>
              <w:rPr>
                <w:rFonts w:hint="default" w:ascii="Times New Roman" w:hAnsi="Times New Roman" w:eastAsia="宋体" w:cs="Times New Roman"/>
                <w:color w:val="auto"/>
                <w:spacing w:val="-1"/>
                <w:sz w:val="24"/>
                <w:szCs w:val="24"/>
                <w:highlight w:val="none"/>
                <w:lang w:eastAsia="zh-CN"/>
              </w:rPr>
              <w:t>将切好的吸塑片打包，放入仓库备用。</w:t>
            </w:r>
          </w:p>
          <w:p w14:paraId="17CEB188">
            <w:pPr>
              <w:pStyle w:val="27"/>
              <w:keepNext w:val="0"/>
              <w:keepLines w:val="0"/>
              <w:pageBreakBefore w:val="0"/>
              <w:widowControl w:val="0"/>
              <w:numPr>
                <w:ilvl w:val="0"/>
                <w:numId w:val="0"/>
              </w:numPr>
              <w:kinsoku/>
              <w:wordWrap/>
              <w:overflowPunct/>
              <w:topLinePunct/>
              <w:autoSpaceDE w:val="0"/>
              <w:autoSpaceDN/>
              <w:bidi w:val="0"/>
              <w:adjustRightInd/>
              <w:snapToGrid/>
              <w:spacing w:before="0" w:after="0" w:line="360" w:lineRule="auto"/>
              <w:ind w:firstLine="0" w:firstLineChars="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sz w:val="24"/>
                <w:szCs w:val="24"/>
                <w:highlight w:val="none"/>
                <w:lang w:val="en-US" w:eastAsia="zh-CN"/>
              </w:rPr>
              <w:t>抛轮修复生产工艺</w:t>
            </w:r>
          </w:p>
          <w:p w14:paraId="0DE4FBC8">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抛轮是用在</w:t>
            </w:r>
            <w:r>
              <w:rPr>
                <w:rFonts w:hint="default" w:ascii="Times New Roman" w:hAnsi="Times New Roman" w:eastAsia="宋体" w:cs="Times New Roman"/>
                <w:b w:val="0"/>
                <w:bCs w:val="0"/>
                <w:color w:val="auto"/>
                <w:spacing w:val="-4"/>
                <w:sz w:val="24"/>
                <w:szCs w:val="24"/>
                <w:highlight w:val="none"/>
                <w:lang w:val="en-US" w:eastAsia="zh-CN"/>
              </w:rPr>
              <w:t>烫钻</w:t>
            </w:r>
            <w:r>
              <w:rPr>
                <w:rFonts w:hint="default" w:ascii="Times New Roman" w:hAnsi="Times New Roman" w:eastAsia="宋体" w:cs="Times New Roman"/>
                <w:b w:val="0"/>
                <w:bCs w:val="0"/>
                <w:color w:val="auto"/>
                <w:spacing w:val="-4"/>
                <w:sz w:val="24"/>
                <w:szCs w:val="24"/>
                <w:highlight w:val="none"/>
                <w:lang w:eastAsia="zh-CN"/>
              </w:rPr>
              <w:t>表面摩擦抛光的工具，在</w:t>
            </w:r>
            <w:r>
              <w:rPr>
                <w:rFonts w:hint="eastAsia" w:cs="Times New Roman"/>
                <w:b w:val="0"/>
                <w:bCs w:val="0"/>
                <w:color w:val="auto"/>
                <w:spacing w:val="-4"/>
                <w:sz w:val="24"/>
                <w:szCs w:val="24"/>
                <w:highlight w:val="none"/>
                <w:lang w:val="en-US" w:eastAsia="zh-CN"/>
              </w:rPr>
              <w:t>珠胚</w:t>
            </w:r>
            <w:r>
              <w:rPr>
                <w:rFonts w:hint="default" w:ascii="Times New Roman" w:hAnsi="Times New Roman" w:eastAsia="宋体" w:cs="Times New Roman"/>
                <w:b w:val="0"/>
                <w:bCs w:val="0"/>
                <w:color w:val="auto"/>
                <w:spacing w:val="-4"/>
                <w:sz w:val="24"/>
                <w:szCs w:val="24"/>
                <w:highlight w:val="none"/>
                <w:lang w:eastAsia="zh-CN"/>
              </w:rPr>
              <w:t>的磨抛加工</w:t>
            </w:r>
            <w:r>
              <w:rPr>
                <w:rFonts w:hint="default" w:ascii="Times New Roman" w:hAnsi="Times New Roman" w:eastAsia="宋体" w:cs="Times New Roman"/>
                <w:b w:val="0"/>
                <w:bCs w:val="0"/>
                <w:color w:val="auto"/>
                <w:spacing w:val="-4"/>
                <w:sz w:val="24"/>
                <w:szCs w:val="24"/>
                <w:highlight w:val="none"/>
                <w:lang w:val="en-US" w:eastAsia="zh-CN"/>
              </w:rPr>
              <w:t>工序</w:t>
            </w:r>
            <w:r>
              <w:rPr>
                <w:rFonts w:hint="default" w:ascii="Times New Roman" w:hAnsi="Times New Roman" w:eastAsia="宋体" w:cs="Times New Roman"/>
                <w:b w:val="0"/>
                <w:bCs w:val="0"/>
                <w:color w:val="auto"/>
                <w:spacing w:val="-4"/>
                <w:sz w:val="24"/>
                <w:szCs w:val="24"/>
                <w:highlight w:val="none"/>
                <w:lang w:eastAsia="zh-CN"/>
              </w:rPr>
              <w:t>中，抛轮在工作一段时间后，表面会出现凹凸不平的现象，这时需要对抛轮进行</w:t>
            </w:r>
            <w:r>
              <w:rPr>
                <w:rFonts w:hint="default" w:ascii="Times New Roman" w:hAnsi="Times New Roman" w:eastAsia="宋体" w:cs="Times New Roman"/>
                <w:b w:val="0"/>
                <w:bCs w:val="0"/>
                <w:color w:val="auto"/>
                <w:spacing w:val="-4"/>
                <w:sz w:val="24"/>
                <w:szCs w:val="24"/>
                <w:highlight w:val="none"/>
                <w:lang w:val="en-US" w:eastAsia="zh-CN"/>
              </w:rPr>
              <w:t>修复</w:t>
            </w:r>
            <w:r>
              <w:rPr>
                <w:rFonts w:hint="default" w:ascii="Times New Roman" w:hAnsi="Times New Roman" w:eastAsia="宋体" w:cs="Times New Roman"/>
                <w:b w:val="0"/>
                <w:bCs w:val="0"/>
                <w:color w:val="auto"/>
                <w:spacing w:val="-4"/>
                <w:sz w:val="24"/>
                <w:szCs w:val="24"/>
                <w:highlight w:val="none"/>
                <w:lang w:eastAsia="zh-CN"/>
              </w:rPr>
              <w:t>。抛轮修复生产工艺如下：</w:t>
            </w:r>
          </w:p>
          <w:p w14:paraId="3724C2B8">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object>
                <v:shape id="_x0000_i1030" o:spt="75" type="#_x0000_t75" style="height:198.45pt;width:310.7pt;" o:ole="t" filled="f" o:preferrelative="t" stroked="f" coordsize="21600,21600">
                  <v:path/>
                  <v:fill on="f" focussize="0,0"/>
                  <v:stroke on="f"/>
                  <v:imagedata r:id="rId24" o:title=""/>
                  <o:lock v:ext="edit" aspectratio="t"/>
                  <w10:wrap type="none"/>
                  <w10:anchorlock/>
                </v:shape>
                <o:OLEObject Type="Embed" ProgID="Visio.Drawing.15" ShapeID="_x0000_i1030" DrawAspect="Content" ObjectID="_1468075730" r:id="rId23">
                  <o:LockedField>false</o:LockedField>
                </o:OLEObject>
              </w:object>
            </w:r>
          </w:p>
          <w:p w14:paraId="648E609C">
            <w:pPr>
              <w:pStyle w:val="19"/>
              <w:keepNext w:val="0"/>
              <w:keepLines w:val="0"/>
              <w:pageBreakBefore w:val="0"/>
              <w:widowControl w:val="0"/>
              <w:kinsoku/>
              <w:wordWrap/>
              <w:overflowPunct/>
              <w:topLinePunct/>
              <w:autoSpaceDE w:val="0"/>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 xml:space="preserve">图2-6  </w:t>
            </w:r>
            <w:r>
              <w:rPr>
                <w:rFonts w:hint="default" w:ascii="Times New Roman" w:hAnsi="Times New Roman" w:eastAsia="宋体" w:cs="Times New Roman"/>
                <w:b/>
                <w:bCs/>
                <w:color w:val="auto"/>
                <w:sz w:val="24"/>
                <w:szCs w:val="24"/>
                <w:highlight w:val="none"/>
                <w:lang w:val="en-US" w:eastAsia="zh-CN"/>
              </w:rPr>
              <w:t>抛轮修复生产</w:t>
            </w:r>
            <w:r>
              <w:rPr>
                <w:rFonts w:hint="default" w:ascii="Times New Roman" w:hAnsi="Times New Roman" w:eastAsia="宋体" w:cs="Times New Roman"/>
                <w:b/>
                <w:bCs/>
                <w:color w:val="auto"/>
                <w:kern w:val="2"/>
                <w:sz w:val="24"/>
                <w:szCs w:val="24"/>
                <w:highlight w:val="none"/>
                <w:lang w:val="zh-CN" w:eastAsia="zh-CN" w:bidi="ar-SA"/>
              </w:rPr>
              <w:t>工艺流程及产污节点</w:t>
            </w:r>
            <w:r>
              <w:rPr>
                <w:rFonts w:hint="default" w:ascii="Times New Roman" w:hAnsi="Times New Roman" w:eastAsia="宋体" w:cs="Times New Roman"/>
                <w:b/>
                <w:bCs/>
                <w:color w:val="auto"/>
                <w:kern w:val="2"/>
                <w:sz w:val="24"/>
                <w:szCs w:val="24"/>
                <w:highlight w:val="none"/>
                <w:lang w:val="en-US" w:eastAsia="zh-CN" w:bidi="ar-SA"/>
              </w:rPr>
              <w:t>图</w:t>
            </w:r>
          </w:p>
          <w:p w14:paraId="3C34BEE3">
            <w:pPr>
              <w:keepNext w:val="0"/>
              <w:keepLines w:val="0"/>
              <w:pageBreakBefore w:val="0"/>
              <w:widowControl w:val="0"/>
              <w:kinsoku/>
              <w:wordWrap/>
              <w:overflowPunct/>
              <w:topLinePunct/>
              <w:autoSpaceDE w:val="0"/>
              <w:autoSpaceDN/>
              <w:bidi w:val="0"/>
              <w:adjustRightInd/>
              <w:snapToGrid/>
              <w:spacing w:line="360" w:lineRule="auto"/>
              <w:ind w:left="0" w:leftChars="0" w:right="0" w:firstLine="464"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工艺流程</w:t>
            </w:r>
            <w:r>
              <w:rPr>
                <w:rFonts w:hint="default" w:ascii="Times New Roman" w:hAnsi="Times New Roman" w:eastAsia="宋体" w:cs="Times New Roman"/>
                <w:color w:val="auto"/>
                <w:spacing w:val="-2"/>
                <w:sz w:val="24"/>
                <w:szCs w:val="24"/>
                <w:highlight w:val="none"/>
                <w:lang w:eastAsia="zh-CN"/>
              </w:rPr>
              <w:t>说明：</w:t>
            </w:r>
          </w:p>
          <w:p w14:paraId="46657E8F">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kern w:val="2"/>
                <w:sz w:val="24"/>
                <w:szCs w:val="24"/>
                <w:highlight w:val="none"/>
                <w:lang w:val="en-US" w:eastAsia="zh-CN" w:bidi="ar-SA"/>
              </w:rPr>
              <w:t>（1）</w:t>
            </w:r>
            <w:r>
              <w:rPr>
                <w:rFonts w:hint="default" w:ascii="Times New Roman" w:hAnsi="Times New Roman" w:eastAsia="宋体" w:cs="Times New Roman"/>
                <w:b w:val="0"/>
                <w:bCs w:val="0"/>
                <w:color w:val="auto"/>
                <w:spacing w:val="-4"/>
                <w:sz w:val="24"/>
                <w:szCs w:val="24"/>
                <w:highlight w:val="none"/>
                <w:lang w:eastAsia="zh-CN"/>
              </w:rPr>
              <w:t>投料</w:t>
            </w:r>
          </w:p>
          <w:p w14:paraId="48C76CED">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人工按比例向搅拌机中加入抛光粉、白糖、不饱和聚酯树脂，人工加入抛光粉（粉末状固体）过程中会产生少量的粉尘，收集后经布袋除尘器处理后由15m排气筒（DA0</w:t>
            </w:r>
            <w:r>
              <w:rPr>
                <w:rFonts w:hint="default" w:ascii="Times New Roman" w:hAnsi="Times New Roman" w:eastAsia="宋体" w:cs="Times New Roman"/>
                <w:b w:val="0"/>
                <w:bCs w:val="0"/>
                <w:color w:val="auto"/>
                <w:spacing w:val="-4"/>
                <w:sz w:val="24"/>
                <w:szCs w:val="24"/>
                <w:highlight w:val="none"/>
                <w:lang w:val="en-US" w:eastAsia="zh-CN"/>
              </w:rPr>
              <w:t>04</w:t>
            </w:r>
            <w:r>
              <w:rPr>
                <w:rFonts w:hint="default" w:ascii="Times New Roman" w:hAnsi="Times New Roman" w:eastAsia="宋体" w:cs="Times New Roman"/>
                <w:b w:val="0"/>
                <w:bCs w:val="0"/>
                <w:color w:val="auto"/>
                <w:spacing w:val="-4"/>
                <w:sz w:val="24"/>
                <w:szCs w:val="24"/>
                <w:highlight w:val="none"/>
                <w:lang w:eastAsia="zh-CN"/>
              </w:rPr>
              <w:t>）排放。该过程产生的污染物为废气G</w:t>
            </w:r>
            <w:r>
              <w:rPr>
                <w:rFonts w:hint="default" w:ascii="Times New Roman" w:hAnsi="Times New Roman" w:eastAsia="宋体" w:cs="Times New Roman"/>
                <w:b w:val="0"/>
                <w:bCs w:val="0"/>
                <w:color w:val="auto"/>
                <w:spacing w:val="-4"/>
                <w:sz w:val="24"/>
                <w:szCs w:val="24"/>
                <w:highlight w:val="none"/>
                <w:lang w:val="en-US" w:eastAsia="zh-CN"/>
              </w:rPr>
              <w:t>9</w:t>
            </w:r>
            <w:r>
              <w:rPr>
                <w:rFonts w:hint="default" w:ascii="Times New Roman" w:hAnsi="Times New Roman" w:eastAsia="宋体" w:cs="Times New Roman"/>
                <w:b w:val="0"/>
                <w:bCs w:val="0"/>
                <w:color w:val="auto"/>
                <w:spacing w:val="-4"/>
                <w:sz w:val="24"/>
                <w:szCs w:val="24"/>
                <w:highlight w:val="none"/>
                <w:lang w:eastAsia="zh-CN"/>
              </w:rPr>
              <w:t>、噪声N</w:t>
            </w:r>
            <w:r>
              <w:rPr>
                <w:rFonts w:hint="eastAsia" w:cs="Times New Roman"/>
                <w:b w:val="0"/>
                <w:bCs w:val="0"/>
                <w:color w:val="auto"/>
                <w:spacing w:val="-4"/>
                <w:sz w:val="24"/>
                <w:szCs w:val="24"/>
                <w:highlight w:val="none"/>
                <w:lang w:val="en-US" w:eastAsia="zh-CN"/>
              </w:rPr>
              <w:t>及废包装S1</w:t>
            </w:r>
            <w:r>
              <w:rPr>
                <w:rFonts w:hint="default" w:ascii="Times New Roman" w:hAnsi="Times New Roman" w:eastAsia="宋体" w:cs="Times New Roman"/>
                <w:b w:val="0"/>
                <w:bCs w:val="0"/>
                <w:color w:val="auto"/>
                <w:spacing w:val="-4"/>
                <w:sz w:val="24"/>
                <w:szCs w:val="24"/>
                <w:highlight w:val="none"/>
                <w:lang w:eastAsia="zh-CN"/>
              </w:rPr>
              <w:t>。</w:t>
            </w:r>
          </w:p>
          <w:p w14:paraId="7A09966B">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kern w:val="2"/>
                <w:sz w:val="24"/>
                <w:szCs w:val="24"/>
                <w:highlight w:val="none"/>
                <w:lang w:val="en-US" w:eastAsia="zh-CN" w:bidi="ar-SA"/>
              </w:rPr>
              <w:t>（2）</w:t>
            </w:r>
            <w:r>
              <w:rPr>
                <w:rFonts w:hint="default" w:ascii="Times New Roman" w:hAnsi="Times New Roman" w:eastAsia="宋体" w:cs="Times New Roman"/>
                <w:b w:val="0"/>
                <w:bCs w:val="0"/>
                <w:color w:val="auto"/>
                <w:spacing w:val="-4"/>
                <w:sz w:val="24"/>
                <w:szCs w:val="24"/>
                <w:highlight w:val="none"/>
                <w:lang w:eastAsia="zh-CN"/>
              </w:rPr>
              <w:t>混合搅拌</w:t>
            </w:r>
          </w:p>
          <w:p w14:paraId="38F9FD27">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投料结束后，使用搅拌机混合搅拌均匀，混合搅拌过程密闭，并且在常温下进行。该过程产生的污染物为噪声N。</w:t>
            </w:r>
          </w:p>
          <w:p w14:paraId="1B03A23F">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kern w:val="2"/>
                <w:sz w:val="24"/>
                <w:szCs w:val="24"/>
                <w:highlight w:val="none"/>
                <w:lang w:val="en-US" w:eastAsia="zh-CN" w:bidi="ar-SA"/>
              </w:rPr>
              <w:t>（3）</w:t>
            </w:r>
            <w:r>
              <w:rPr>
                <w:rFonts w:hint="default" w:ascii="Times New Roman" w:hAnsi="Times New Roman" w:eastAsia="宋体" w:cs="Times New Roman"/>
                <w:b w:val="0"/>
                <w:bCs w:val="0"/>
                <w:color w:val="auto"/>
                <w:spacing w:val="-4"/>
                <w:sz w:val="24"/>
                <w:szCs w:val="24"/>
                <w:highlight w:val="none"/>
                <w:lang w:eastAsia="zh-CN"/>
              </w:rPr>
              <w:t>模具成型</w:t>
            </w:r>
          </w:p>
          <w:p w14:paraId="0D8623C5">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Chars="0" w:right="0" w:rightChars="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eastAsia" w:ascii="Times New Roman" w:hAnsi="Times New Roman" w:eastAsia="宋体" w:cs="Times New Roman"/>
                <w:b w:val="0"/>
                <w:bCs w:val="0"/>
                <w:color w:val="auto"/>
                <w:spacing w:val="-4"/>
                <w:sz w:val="24"/>
                <w:szCs w:val="24"/>
                <w:highlight w:val="none"/>
                <w:lang w:val="en-US" w:eastAsia="zh-CN"/>
              </w:rPr>
              <w:t>磨损抛轮置入模具中央，磨损处与模具存有间隙，</w:t>
            </w:r>
            <w:r>
              <w:rPr>
                <w:rFonts w:hint="default" w:ascii="Times New Roman" w:hAnsi="Times New Roman" w:eastAsia="宋体" w:cs="Times New Roman"/>
                <w:b w:val="0"/>
                <w:bCs w:val="0"/>
                <w:color w:val="auto"/>
                <w:spacing w:val="-4"/>
                <w:sz w:val="24"/>
                <w:szCs w:val="24"/>
                <w:highlight w:val="none"/>
                <w:lang w:eastAsia="zh-CN"/>
              </w:rPr>
              <w:t>混合搅拌后至填料充分混合，将混合搅拌后的原料使用电烘箱加热使其融化，</w:t>
            </w:r>
            <w:r>
              <w:rPr>
                <w:rFonts w:hint="eastAsia" w:cs="Times New Roman"/>
                <w:b w:val="0"/>
                <w:bCs w:val="0"/>
                <w:color w:val="auto"/>
                <w:spacing w:val="-4"/>
                <w:sz w:val="24"/>
                <w:szCs w:val="24"/>
                <w:highlight w:val="none"/>
                <w:lang w:val="en-US" w:eastAsia="zh-CN"/>
              </w:rPr>
              <w:t>后</w:t>
            </w:r>
            <w:r>
              <w:rPr>
                <w:rFonts w:hint="default" w:ascii="Times New Roman" w:hAnsi="Times New Roman" w:eastAsia="宋体" w:cs="Times New Roman"/>
                <w:b w:val="0"/>
                <w:bCs w:val="0"/>
                <w:color w:val="auto"/>
                <w:spacing w:val="-4"/>
                <w:sz w:val="24"/>
                <w:szCs w:val="24"/>
                <w:highlight w:val="none"/>
                <w:lang w:eastAsia="zh-CN"/>
              </w:rPr>
              <w:t>倒入抛轮模具内</w:t>
            </w:r>
            <w:r>
              <w:rPr>
                <w:rFonts w:hint="eastAsia" w:ascii="Times New Roman" w:hAnsi="Times New Roman" w:eastAsia="宋体" w:cs="Times New Roman"/>
                <w:b w:val="0"/>
                <w:bCs w:val="0"/>
                <w:color w:val="auto"/>
                <w:spacing w:val="-4"/>
                <w:sz w:val="24"/>
                <w:szCs w:val="24"/>
                <w:highlight w:val="none"/>
                <w:lang w:val="en-US" w:eastAsia="zh-CN"/>
              </w:rPr>
              <w:t>填充间隙，并</w:t>
            </w:r>
            <w:r>
              <w:rPr>
                <w:rFonts w:hint="default" w:ascii="Times New Roman" w:hAnsi="Times New Roman" w:eastAsia="宋体" w:cs="Times New Roman"/>
                <w:b w:val="0"/>
                <w:bCs w:val="0"/>
                <w:color w:val="auto"/>
                <w:spacing w:val="-4"/>
                <w:sz w:val="24"/>
                <w:szCs w:val="24"/>
                <w:highlight w:val="none"/>
                <w:lang w:eastAsia="zh-CN"/>
              </w:rPr>
              <w:t>自然</w:t>
            </w:r>
            <w:r>
              <w:rPr>
                <w:rFonts w:hint="eastAsia" w:ascii="Times New Roman" w:hAnsi="Times New Roman" w:eastAsia="宋体" w:cs="Times New Roman"/>
                <w:b w:val="0"/>
                <w:bCs w:val="0"/>
                <w:color w:val="auto"/>
                <w:spacing w:val="-4"/>
                <w:sz w:val="24"/>
                <w:szCs w:val="24"/>
                <w:highlight w:val="none"/>
                <w:lang w:val="en-US" w:eastAsia="zh-CN"/>
              </w:rPr>
              <w:t>晾</w:t>
            </w:r>
            <w:r>
              <w:rPr>
                <w:rFonts w:hint="eastAsia" w:cs="Times New Roman"/>
                <w:b w:val="0"/>
                <w:bCs w:val="0"/>
                <w:color w:val="auto"/>
                <w:spacing w:val="-4"/>
                <w:sz w:val="24"/>
                <w:szCs w:val="24"/>
                <w:highlight w:val="none"/>
                <w:lang w:val="en-US" w:eastAsia="zh-CN"/>
              </w:rPr>
              <w:t>干</w:t>
            </w:r>
            <w:r>
              <w:rPr>
                <w:rFonts w:hint="default" w:ascii="Times New Roman" w:hAnsi="Times New Roman" w:eastAsia="宋体" w:cs="Times New Roman"/>
                <w:b w:val="0"/>
                <w:bCs w:val="0"/>
                <w:color w:val="auto"/>
                <w:spacing w:val="-4"/>
                <w:sz w:val="24"/>
                <w:szCs w:val="24"/>
                <w:highlight w:val="none"/>
                <w:lang w:eastAsia="zh-CN"/>
              </w:rPr>
              <w:t>成型。该过程产生的污染物为噪声N。</w:t>
            </w:r>
          </w:p>
          <w:p w14:paraId="79C1D7A7">
            <w:pPr>
              <w:keepNext w:val="0"/>
              <w:keepLines w:val="0"/>
              <w:pageBreakBefore w:val="0"/>
              <w:widowControl w:val="0"/>
              <w:kinsoku/>
              <w:wordWrap/>
              <w:overflowPunct/>
              <w:topLinePunct/>
              <w:autoSpaceDE w:val="0"/>
              <w:autoSpaceDN/>
              <w:bidi w:val="0"/>
              <w:adjustRightInd/>
              <w:snapToGrid/>
              <w:spacing w:line="360" w:lineRule="auto"/>
              <w:ind w:left="0" w:leftChars="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w:t>
            </w:r>
            <w:r>
              <w:rPr>
                <w:rFonts w:hint="default" w:ascii="Times New Roman" w:hAnsi="Times New Roman" w:eastAsia="宋体" w:cs="Times New Roman"/>
                <w:b w:val="0"/>
                <w:bCs w:val="0"/>
                <w:color w:val="auto"/>
                <w:spacing w:val="-4"/>
                <w:sz w:val="24"/>
                <w:szCs w:val="24"/>
                <w:highlight w:val="none"/>
                <w:lang w:val="en-US" w:eastAsia="zh-CN"/>
              </w:rPr>
              <w:t>4</w:t>
            </w:r>
            <w:r>
              <w:rPr>
                <w:rFonts w:hint="default" w:ascii="Times New Roman" w:hAnsi="Times New Roman" w:eastAsia="宋体" w:cs="Times New Roman"/>
                <w:b w:val="0"/>
                <w:bCs w:val="0"/>
                <w:color w:val="auto"/>
                <w:spacing w:val="-4"/>
                <w:sz w:val="24"/>
                <w:szCs w:val="24"/>
                <w:highlight w:val="none"/>
                <w:lang w:eastAsia="zh-CN"/>
              </w:rPr>
              <w:t>）车外圆</w:t>
            </w:r>
          </w:p>
          <w:p w14:paraId="7C48B1E7">
            <w:pPr>
              <w:keepNext w:val="0"/>
              <w:keepLines w:val="0"/>
              <w:pageBreakBefore w:val="0"/>
              <w:widowControl w:val="0"/>
              <w:kinsoku/>
              <w:wordWrap/>
              <w:overflowPunct/>
              <w:topLinePunct/>
              <w:autoSpaceDE w:val="0"/>
              <w:autoSpaceDN/>
              <w:bidi w:val="0"/>
              <w:adjustRightInd/>
              <w:snapToGrid/>
              <w:spacing w:line="360" w:lineRule="auto"/>
              <w:ind w:left="0" w:leftChars="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color w:val="auto"/>
                <w:spacing w:val="-4"/>
                <w:sz w:val="24"/>
                <w:szCs w:val="24"/>
                <w:highlight w:val="none"/>
                <w:lang w:eastAsia="zh-CN"/>
              </w:rPr>
              <w:t>将成型的抛轮拆除模具，然后使用车床将抛轮表面车成平面，使抛轮表面光滑。该过程产生的污染物为：废气G</w:t>
            </w:r>
            <w:r>
              <w:rPr>
                <w:rFonts w:hint="default" w:ascii="Times New Roman" w:hAnsi="Times New Roman" w:eastAsia="宋体" w:cs="Times New Roman"/>
                <w:b w:val="0"/>
                <w:bCs w:val="0"/>
                <w:color w:val="auto"/>
                <w:spacing w:val="-4"/>
                <w:sz w:val="24"/>
                <w:szCs w:val="24"/>
                <w:highlight w:val="none"/>
                <w:lang w:val="en-US" w:eastAsia="zh-CN"/>
              </w:rPr>
              <w:t>10</w:t>
            </w:r>
            <w:r>
              <w:rPr>
                <w:rFonts w:hint="default" w:ascii="Times New Roman" w:hAnsi="Times New Roman" w:eastAsia="宋体" w:cs="Times New Roman"/>
                <w:b w:val="0"/>
                <w:bCs w:val="0"/>
                <w:color w:val="auto"/>
                <w:spacing w:val="-4"/>
                <w:sz w:val="24"/>
                <w:szCs w:val="24"/>
                <w:highlight w:val="none"/>
                <w:lang w:eastAsia="zh-CN"/>
              </w:rPr>
              <w:t>（粉尘收集后经布袋除尘器处理后由15m排气筒（DA0</w:t>
            </w:r>
            <w:r>
              <w:rPr>
                <w:rFonts w:hint="default" w:ascii="Times New Roman" w:hAnsi="Times New Roman" w:eastAsia="宋体" w:cs="Times New Roman"/>
                <w:b w:val="0"/>
                <w:bCs w:val="0"/>
                <w:color w:val="auto"/>
                <w:spacing w:val="-4"/>
                <w:sz w:val="24"/>
                <w:szCs w:val="24"/>
                <w:highlight w:val="none"/>
                <w:lang w:val="en-US" w:eastAsia="zh-CN"/>
              </w:rPr>
              <w:t>04</w:t>
            </w:r>
            <w:r>
              <w:rPr>
                <w:rFonts w:hint="default" w:ascii="Times New Roman" w:hAnsi="Times New Roman" w:eastAsia="宋体" w:cs="Times New Roman"/>
                <w:b w:val="0"/>
                <w:bCs w:val="0"/>
                <w:color w:val="auto"/>
                <w:spacing w:val="-4"/>
                <w:sz w:val="24"/>
                <w:szCs w:val="24"/>
                <w:highlight w:val="none"/>
                <w:lang w:eastAsia="zh-CN"/>
              </w:rPr>
              <w:t>）排放）、噪声N、抛轮布袋收尘S</w:t>
            </w:r>
            <w:r>
              <w:rPr>
                <w:rFonts w:hint="default" w:ascii="Times New Roman" w:hAnsi="Times New Roman" w:eastAsia="宋体" w:cs="Times New Roman"/>
                <w:b w:val="0"/>
                <w:bCs w:val="0"/>
                <w:color w:val="auto"/>
                <w:spacing w:val="-4"/>
                <w:sz w:val="24"/>
                <w:szCs w:val="24"/>
                <w:highlight w:val="none"/>
                <w:lang w:val="en-US" w:eastAsia="zh-CN"/>
              </w:rPr>
              <w:t>17</w:t>
            </w:r>
            <w:r>
              <w:rPr>
                <w:rFonts w:hint="default" w:ascii="Times New Roman" w:hAnsi="Times New Roman" w:eastAsia="宋体" w:cs="Times New Roman"/>
                <w:b w:val="0"/>
                <w:bCs w:val="0"/>
                <w:color w:val="auto"/>
                <w:spacing w:val="-4"/>
                <w:sz w:val="24"/>
                <w:szCs w:val="24"/>
                <w:highlight w:val="none"/>
                <w:lang w:eastAsia="zh-CN"/>
              </w:rPr>
              <w:t>。</w:t>
            </w:r>
          </w:p>
          <w:p w14:paraId="437142EB">
            <w:pPr>
              <w:keepNext w:val="0"/>
              <w:keepLines w:val="0"/>
              <w:pageBreakBefore w:val="0"/>
              <w:widowControl w:val="0"/>
              <w:kinsoku/>
              <w:wordWrap/>
              <w:overflowPunct/>
              <w:topLinePunct/>
              <w:autoSpaceDE w:val="0"/>
              <w:autoSpaceDN/>
              <w:bidi w:val="0"/>
              <w:adjustRightInd/>
              <w:snapToGrid/>
              <w:spacing w:line="360" w:lineRule="auto"/>
              <w:ind w:left="0" w:leftChars="0" w:right="0" w:firstLine="464" w:firstLineChars="200"/>
              <w:textAlignment w:val="auto"/>
              <w:rPr>
                <w:rFonts w:hint="default" w:ascii="Times New Roman" w:hAnsi="Times New Roman" w:eastAsia="宋体" w:cs="Times New Roman"/>
                <w:b w:val="0"/>
                <w:bCs w:val="0"/>
                <w:color w:val="auto"/>
                <w:spacing w:val="-4"/>
                <w:sz w:val="24"/>
                <w:szCs w:val="24"/>
                <w:highlight w:val="none"/>
                <w:lang w:val="en-US" w:eastAsia="zh-CN"/>
              </w:rPr>
            </w:pPr>
            <w:r>
              <w:rPr>
                <w:rFonts w:hint="default" w:ascii="Times New Roman" w:hAnsi="Times New Roman" w:eastAsia="宋体" w:cs="Times New Roman"/>
                <w:b w:val="0"/>
                <w:bCs w:val="0"/>
                <w:color w:val="auto"/>
                <w:spacing w:val="-4"/>
                <w:sz w:val="24"/>
                <w:szCs w:val="24"/>
                <w:highlight w:val="none"/>
                <w:lang w:val="en-US" w:eastAsia="zh-CN"/>
              </w:rPr>
              <w:t>（5）抛轮修复</w:t>
            </w:r>
            <w:r>
              <w:rPr>
                <w:rFonts w:hint="eastAsia" w:cs="Times New Roman"/>
                <w:b w:val="0"/>
                <w:bCs w:val="0"/>
                <w:color w:val="auto"/>
                <w:spacing w:val="-4"/>
                <w:sz w:val="24"/>
                <w:szCs w:val="24"/>
                <w:highlight w:val="none"/>
                <w:lang w:val="en-US" w:eastAsia="zh-CN"/>
              </w:rPr>
              <w:t>完成</w:t>
            </w:r>
          </w:p>
          <w:p w14:paraId="0458C8B0">
            <w:pPr>
              <w:keepNext w:val="0"/>
              <w:keepLines w:val="0"/>
              <w:pageBreakBefore w:val="0"/>
              <w:widowControl w:val="0"/>
              <w:kinsoku/>
              <w:wordWrap/>
              <w:overflowPunct/>
              <w:topLinePunct/>
              <w:autoSpaceDE w:val="0"/>
              <w:autoSpaceDN/>
              <w:bidi w:val="0"/>
              <w:adjustRightInd/>
              <w:snapToGrid/>
              <w:spacing w:line="360" w:lineRule="auto"/>
              <w:ind w:left="0" w:leftChars="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eastAsia" w:cs="Times New Roman"/>
                <w:b w:val="0"/>
                <w:bCs w:val="0"/>
                <w:color w:val="auto"/>
                <w:spacing w:val="-4"/>
                <w:sz w:val="24"/>
                <w:szCs w:val="24"/>
                <w:highlight w:val="none"/>
                <w:lang w:val="en-US" w:eastAsia="zh-CN"/>
              </w:rPr>
              <w:t>修复</w:t>
            </w:r>
            <w:r>
              <w:rPr>
                <w:rFonts w:hint="eastAsia" w:ascii="Times New Roman" w:hAnsi="Times New Roman" w:eastAsia="宋体" w:cs="Times New Roman"/>
                <w:b w:val="0"/>
                <w:bCs w:val="0"/>
                <w:color w:val="auto"/>
                <w:spacing w:val="-4"/>
                <w:sz w:val="24"/>
                <w:szCs w:val="24"/>
                <w:highlight w:val="none"/>
                <w:lang w:val="en-US" w:eastAsia="zh-CN"/>
              </w:rPr>
              <w:t>合格</w:t>
            </w:r>
            <w:r>
              <w:rPr>
                <w:rFonts w:hint="eastAsia" w:cs="Times New Roman"/>
                <w:b w:val="0"/>
                <w:bCs w:val="0"/>
                <w:color w:val="auto"/>
                <w:spacing w:val="-4"/>
                <w:sz w:val="24"/>
                <w:szCs w:val="24"/>
                <w:highlight w:val="none"/>
                <w:lang w:val="en-US" w:eastAsia="zh-CN"/>
              </w:rPr>
              <w:t>的</w:t>
            </w:r>
            <w:r>
              <w:rPr>
                <w:rFonts w:hint="eastAsia" w:ascii="Times New Roman" w:hAnsi="Times New Roman" w:eastAsia="宋体" w:cs="Times New Roman"/>
                <w:b w:val="0"/>
                <w:bCs w:val="0"/>
                <w:color w:val="auto"/>
                <w:spacing w:val="-4"/>
                <w:sz w:val="24"/>
                <w:szCs w:val="24"/>
                <w:highlight w:val="none"/>
                <w:lang w:val="en-US" w:eastAsia="zh-CN"/>
              </w:rPr>
              <w:t>成品抛轮重新回用于项目烫钻生产抛光工艺</w:t>
            </w:r>
            <w:r>
              <w:rPr>
                <w:rFonts w:hint="default" w:ascii="Times New Roman" w:hAnsi="Times New Roman" w:eastAsia="宋体" w:cs="Times New Roman"/>
                <w:b w:val="0"/>
                <w:bCs w:val="0"/>
                <w:color w:val="auto"/>
                <w:spacing w:val="-4"/>
                <w:sz w:val="24"/>
                <w:szCs w:val="24"/>
                <w:highlight w:val="none"/>
                <w:lang w:eastAsia="zh-CN"/>
              </w:rPr>
              <w:t>。</w:t>
            </w:r>
          </w:p>
          <w:p w14:paraId="46A45D02">
            <w:pPr>
              <w:pStyle w:val="27"/>
              <w:keepNext w:val="0"/>
              <w:keepLines w:val="0"/>
              <w:pageBreakBefore w:val="0"/>
              <w:widowControl w:val="0"/>
              <w:numPr>
                <w:ilvl w:val="0"/>
                <w:numId w:val="4"/>
              </w:numPr>
              <w:kinsoku/>
              <w:wordWrap/>
              <w:overflowPunct/>
              <w:topLinePunct/>
              <w:autoSpaceDE w:val="0"/>
              <w:autoSpaceDN/>
              <w:bidi w:val="0"/>
              <w:adjustRightInd/>
              <w:snapToGrid/>
              <w:spacing w:before="0" w:after="0" w:line="360" w:lineRule="auto"/>
              <w:ind w:firstLine="0" w:firstLineChars="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去离子水制备工艺</w:t>
            </w:r>
          </w:p>
          <w:p w14:paraId="6A87830F">
            <w:pPr>
              <w:spacing w:line="360" w:lineRule="auto"/>
              <w:ind w:firstLine="480" w:firstLineChars="200"/>
              <w:rPr>
                <w:rFonts w:hint="default" w:ascii="Times New Roman" w:hAnsi="Times New Roman" w:eastAsia="宋体" w:cs="Times New Roman"/>
                <w:b w:val="0"/>
                <w:bCs w:val="0"/>
                <w:smallCaps w:val="0"/>
                <w:color w:val="auto"/>
                <w:sz w:val="24"/>
                <w:highlight w:val="none"/>
              </w:rPr>
            </w:pPr>
            <w:r>
              <w:rPr>
                <w:rFonts w:hint="default" w:ascii="Times New Roman" w:hAnsi="Times New Roman" w:eastAsia="宋体" w:cs="Times New Roman"/>
                <w:b w:val="0"/>
                <w:bCs w:val="0"/>
                <w:smallCaps w:val="0"/>
                <w:color w:val="auto"/>
                <w:sz w:val="24"/>
                <w:szCs w:val="24"/>
                <w:highlight w:val="none"/>
              </w:rPr>
              <w:t>本项目</w:t>
            </w:r>
            <w:r>
              <w:rPr>
                <w:rFonts w:hint="default" w:ascii="Times New Roman" w:hAnsi="Times New Roman" w:eastAsia="宋体" w:cs="Times New Roman"/>
                <w:b w:val="0"/>
                <w:bCs w:val="0"/>
                <w:smallCaps w:val="0"/>
                <w:color w:val="auto"/>
                <w:sz w:val="24"/>
                <w:szCs w:val="24"/>
                <w:highlight w:val="none"/>
                <w:lang w:val="en-US" w:eastAsia="zh-CN"/>
              </w:rPr>
              <w:t>在磨抛车间（2#、3#、4#厂房内）</w:t>
            </w:r>
            <w:r>
              <w:rPr>
                <w:rFonts w:hint="default" w:ascii="Times New Roman" w:hAnsi="Times New Roman" w:eastAsia="宋体" w:cs="Times New Roman"/>
                <w:color w:val="auto"/>
                <w:spacing w:val="8"/>
                <w:sz w:val="24"/>
                <w:szCs w:val="24"/>
                <w:highlight w:val="none"/>
              </w:rPr>
              <w:t>全自动</w:t>
            </w:r>
            <w:r>
              <w:rPr>
                <w:rFonts w:hint="default" w:ascii="Times New Roman" w:hAnsi="Times New Roman" w:eastAsia="宋体" w:cs="Times New Roman"/>
                <w:color w:val="auto"/>
                <w:spacing w:val="8"/>
                <w:sz w:val="24"/>
                <w:szCs w:val="24"/>
                <w:highlight w:val="none"/>
                <w:lang w:val="en-US" w:eastAsia="zh-CN"/>
              </w:rPr>
              <w:t>磨抛机（单尖设备）</w:t>
            </w:r>
            <w:r>
              <w:rPr>
                <w:rFonts w:hint="default" w:ascii="Times New Roman" w:hAnsi="Times New Roman" w:eastAsia="宋体" w:cs="Times New Roman"/>
                <w:b w:val="0"/>
                <w:bCs w:val="0"/>
                <w:smallCaps w:val="0"/>
                <w:color w:val="auto"/>
                <w:sz w:val="24"/>
                <w:highlight w:val="none"/>
                <w:lang w:val="en-US" w:eastAsia="zh-CN"/>
              </w:rPr>
              <w:t>冷却需用到</w:t>
            </w:r>
            <w:r>
              <w:rPr>
                <w:rFonts w:hint="default" w:ascii="Times New Roman" w:hAnsi="Times New Roman" w:eastAsia="宋体" w:cs="Times New Roman"/>
                <w:b w:val="0"/>
                <w:bCs w:val="0"/>
                <w:smallCaps w:val="0"/>
                <w:color w:val="auto"/>
                <w:sz w:val="24"/>
                <w:highlight w:val="none"/>
              </w:rPr>
              <w:t>去离子水，项目</w:t>
            </w:r>
            <w:r>
              <w:rPr>
                <w:rFonts w:hint="default" w:ascii="Times New Roman" w:hAnsi="Times New Roman" w:eastAsia="宋体" w:cs="Times New Roman"/>
                <w:b w:val="0"/>
                <w:bCs w:val="0"/>
                <w:smallCaps w:val="0"/>
                <w:color w:val="auto"/>
                <w:sz w:val="24"/>
                <w:highlight w:val="none"/>
                <w:lang w:val="en-US" w:eastAsia="zh-CN"/>
              </w:rPr>
              <w:t>拟设置1</w:t>
            </w:r>
            <w:r>
              <w:rPr>
                <w:rFonts w:hint="default" w:ascii="Times New Roman" w:hAnsi="Times New Roman" w:eastAsia="宋体" w:cs="Times New Roman"/>
                <w:b w:val="0"/>
                <w:bCs w:val="0"/>
                <w:smallCaps w:val="0"/>
                <w:color w:val="auto"/>
                <w:sz w:val="24"/>
                <w:highlight w:val="none"/>
              </w:rPr>
              <w:t>台（</w:t>
            </w:r>
            <w:r>
              <w:rPr>
                <w:rFonts w:hint="default" w:ascii="Times New Roman" w:hAnsi="Times New Roman" w:eastAsia="宋体" w:cs="Times New Roman"/>
                <w:b w:val="0"/>
                <w:bCs w:val="0"/>
                <w:smallCaps w:val="0"/>
                <w:color w:val="auto"/>
                <w:sz w:val="24"/>
                <w:highlight w:val="none"/>
                <w:lang w:val="en-US" w:eastAsia="zh-CN"/>
              </w:rPr>
              <w:t>0.5</w:t>
            </w:r>
            <w:r>
              <w:rPr>
                <w:rFonts w:hint="default" w:ascii="Times New Roman" w:hAnsi="Times New Roman" w:eastAsia="宋体" w:cs="Times New Roman"/>
                <w:b w:val="0"/>
                <w:bCs w:val="0"/>
                <w:smallCaps w:val="0"/>
                <w:color w:val="auto"/>
                <w:sz w:val="24"/>
                <w:highlight w:val="none"/>
              </w:rPr>
              <w:t>m</w:t>
            </w:r>
            <w:r>
              <w:rPr>
                <w:rFonts w:hint="default" w:ascii="Times New Roman" w:hAnsi="Times New Roman" w:eastAsia="宋体" w:cs="Times New Roman"/>
                <w:b w:val="0"/>
                <w:bCs w:val="0"/>
                <w:smallCaps w:val="0"/>
                <w:color w:val="auto"/>
                <w:sz w:val="24"/>
                <w:highlight w:val="none"/>
                <w:vertAlign w:val="superscript"/>
              </w:rPr>
              <w:t>3</w:t>
            </w:r>
            <w:r>
              <w:rPr>
                <w:rFonts w:hint="default" w:ascii="Times New Roman" w:hAnsi="Times New Roman" w:eastAsia="宋体" w:cs="Times New Roman"/>
                <w:b w:val="0"/>
                <w:bCs w:val="0"/>
                <w:smallCaps w:val="0"/>
                <w:color w:val="auto"/>
                <w:sz w:val="24"/>
                <w:highlight w:val="none"/>
              </w:rPr>
              <w:t>/h）去离子水</w:t>
            </w:r>
            <w:r>
              <w:rPr>
                <w:rFonts w:hint="default" w:ascii="Times New Roman" w:hAnsi="Times New Roman" w:eastAsia="宋体" w:cs="Times New Roman"/>
                <w:b w:val="0"/>
                <w:bCs w:val="0"/>
                <w:smallCaps w:val="0"/>
                <w:color w:val="auto"/>
                <w:sz w:val="24"/>
                <w:highlight w:val="none"/>
                <w:lang w:val="en-US" w:eastAsia="zh-CN"/>
              </w:rPr>
              <w:t>制备设备</w:t>
            </w:r>
            <w:r>
              <w:rPr>
                <w:rFonts w:hint="default" w:ascii="Times New Roman" w:hAnsi="Times New Roman" w:eastAsia="宋体" w:cs="Times New Roman"/>
                <w:b w:val="0"/>
                <w:bCs w:val="0"/>
                <w:smallCaps w:val="0"/>
                <w:color w:val="auto"/>
                <w:sz w:val="24"/>
                <w:highlight w:val="none"/>
              </w:rPr>
              <w:t>，本项目去离子水的制备采用</w:t>
            </w:r>
            <w:r>
              <w:rPr>
                <w:rFonts w:hint="default" w:ascii="Times New Roman" w:hAnsi="Times New Roman" w:eastAsia="宋体" w:cs="Times New Roman"/>
                <w:b w:val="0"/>
                <w:bCs w:val="0"/>
                <w:smallCaps w:val="0"/>
                <w:color w:val="auto"/>
                <w:sz w:val="24"/>
                <w:highlight w:val="none"/>
                <w:lang w:eastAsia="zh-CN"/>
              </w:rPr>
              <w:t>“</w:t>
            </w:r>
            <w:r>
              <w:rPr>
                <w:rFonts w:hint="default" w:ascii="Times New Roman" w:hAnsi="Times New Roman" w:eastAsia="宋体" w:cs="Times New Roman"/>
                <w:b w:val="0"/>
                <w:bCs w:val="0"/>
                <w:smallCaps w:val="0"/>
                <w:color w:val="auto"/>
                <w:sz w:val="24"/>
                <w:highlight w:val="none"/>
                <w:lang w:val="en-US" w:eastAsia="zh-CN"/>
              </w:rPr>
              <w:t>RO反渗透＋离子交换树脂</w:t>
            </w:r>
            <w:r>
              <w:rPr>
                <w:rFonts w:hint="default" w:ascii="Times New Roman" w:hAnsi="Times New Roman" w:eastAsia="宋体" w:cs="Times New Roman"/>
                <w:b w:val="0"/>
                <w:bCs w:val="0"/>
                <w:smallCaps w:val="0"/>
                <w:color w:val="auto"/>
                <w:sz w:val="24"/>
                <w:highlight w:val="none"/>
                <w:lang w:eastAsia="zh-CN"/>
              </w:rPr>
              <w:t>”</w:t>
            </w:r>
            <w:r>
              <w:rPr>
                <w:rFonts w:hint="default" w:ascii="Times New Roman" w:hAnsi="Times New Roman" w:eastAsia="宋体" w:cs="Times New Roman"/>
                <w:b w:val="0"/>
                <w:bCs w:val="0"/>
                <w:smallCaps w:val="0"/>
                <w:color w:val="auto"/>
                <w:sz w:val="24"/>
                <w:highlight w:val="none"/>
              </w:rPr>
              <w:t>水</w:t>
            </w:r>
            <w:r>
              <w:rPr>
                <w:rFonts w:hint="default" w:ascii="Times New Roman" w:hAnsi="Times New Roman" w:eastAsia="宋体" w:cs="Times New Roman"/>
                <w:bCs/>
                <w:snapToGrid w:val="0"/>
                <w:color w:val="auto"/>
                <w:kern w:val="0"/>
                <w:sz w:val="24"/>
                <w:highlight w:val="none"/>
              </w:rPr>
              <w:t>处理工艺</w:t>
            </w:r>
            <w:r>
              <w:rPr>
                <w:rFonts w:hint="default" w:ascii="Times New Roman" w:hAnsi="Times New Roman" w:eastAsia="宋体" w:cs="Times New Roman"/>
                <w:b w:val="0"/>
                <w:bCs w:val="0"/>
                <w:smallCaps w:val="0"/>
                <w:color w:val="auto"/>
                <w:sz w:val="24"/>
                <w:highlight w:val="none"/>
              </w:rPr>
              <w:t>进行制取，</w:t>
            </w:r>
            <w:r>
              <w:rPr>
                <w:rFonts w:hint="default" w:ascii="Times New Roman" w:hAnsi="Times New Roman" w:eastAsia="宋体" w:cs="Times New Roman"/>
                <w:color w:val="auto"/>
                <w:spacing w:val="-2"/>
                <w:sz w:val="24"/>
                <w:szCs w:val="24"/>
                <w:highlight w:val="none"/>
              </w:rPr>
              <w:t>去离子水制备过程产生浓水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b w:val="0"/>
                <w:bCs w:val="0"/>
                <w:smallCaps w:val="0"/>
                <w:color w:val="auto"/>
                <w:sz w:val="24"/>
                <w:highlight w:val="none"/>
              </w:rPr>
              <w:t>（W</w:t>
            </w:r>
            <w:r>
              <w:rPr>
                <w:rFonts w:hint="default" w:ascii="Times New Roman" w:hAnsi="Times New Roman" w:eastAsia="宋体" w:cs="Times New Roman"/>
                <w:b w:val="0"/>
                <w:bCs w:val="0"/>
                <w:smallCaps w:val="0"/>
                <w:color w:val="auto"/>
                <w:sz w:val="24"/>
                <w:highlight w:val="none"/>
                <w:lang w:val="en-US" w:eastAsia="zh-CN"/>
              </w:rPr>
              <w:t>4</w:t>
            </w:r>
            <w:r>
              <w:rPr>
                <w:rFonts w:hint="default" w:ascii="Times New Roman" w:hAnsi="Times New Roman" w:eastAsia="宋体" w:cs="Times New Roman"/>
                <w:b w:val="0"/>
                <w:bCs w:val="0"/>
                <w:smallCaps w:val="0"/>
                <w:color w:val="auto"/>
                <w:sz w:val="24"/>
                <w:highlight w:val="none"/>
              </w:rPr>
              <w:t>）产生，去离子水设备</w:t>
            </w:r>
            <w:r>
              <w:rPr>
                <w:rFonts w:hint="default" w:ascii="Times New Roman" w:hAnsi="Times New Roman" w:eastAsia="宋体" w:cs="Times New Roman"/>
                <w:color w:val="auto"/>
                <w:spacing w:val="-2"/>
                <w:sz w:val="24"/>
                <w:szCs w:val="24"/>
                <w:highlight w:val="none"/>
              </w:rPr>
              <w:t>过滤介质</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bCs/>
                <w:strike w:val="0"/>
                <w:dstrike w:val="0"/>
                <w:snapToGrid w:val="0"/>
                <w:color w:val="auto"/>
                <w:kern w:val="0"/>
                <w:sz w:val="24"/>
                <w:highlight w:val="none"/>
              </w:rPr>
              <w:t>废石英砂、废活性炭、废</w:t>
            </w:r>
            <w:r>
              <w:rPr>
                <w:rFonts w:hint="eastAsia" w:cs="Times New Roman"/>
                <w:bCs/>
                <w:strike w:val="0"/>
                <w:dstrike w:val="0"/>
                <w:snapToGrid w:val="0"/>
                <w:color w:val="auto"/>
                <w:kern w:val="0"/>
                <w:sz w:val="24"/>
                <w:highlight w:val="none"/>
                <w:lang w:val="en-US" w:eastAsia="zh-CN"/>
              </w:rPr>
              <w:t>反渗透</w:t>
            </w:r>
            <w:r>
              <w:rPr>
                <w:rFonts w:hint="default" w:ascii="Times New Roman" w:hAnsi="Times New Roman" w:eastAsia="宋体" w:cs="Times New Roman"/>
                <w:bCs/>
                <w:strike w:val="0"/>
                <w:dstrike w:val="0"/>
                <w:snapToGrid w:val="0"/>
                <w:color w:val="auto"/>
                <w:kern w:val="0"/>
                <w:sz w:val="24"/>
                <w:highlight w:val="none"/>
              </w:rPr>
              <w:t>膜</w:t>
            </w:r>
            <w:r>
              <w:rPr>
                <w:rFonts w:hint="eastAsia" w:cs="Times New Roman"/>
                <w:bCs/>
                <w:strike w:val="0"/>
                <w:dstrike w:val="0"/>
                <w:snapToGrid w:val="0"/>
                <w:color w:val="auto"/>
                <w:kern w:val="0"/>
                <w:sz w:val="24"/>
                <w:highlight w:val="none"/>
                <w:lang w:val="en-US" w:eastAsia="zh-CN"/>
              </w:rPr>
              <w:t>及废离子交换树脂</w:t>
            </w:r>
            <w:r>
              <w:rPr>
                <w:rFonts w:hint="default" w:ascii="Times New Roman" w:hAnsi="Times New Roman" w:eastAsia="宋体" w:cs="Times New Roman"/>
                <w:bCs/>
                <w:snapToGrid w:val="0"/>
                <w:color w:val="auto"/>
                <w:kern w:val="0"/>
                <w:sz w:val="24"/>
                <w:highlight w:val="none"/>
              </w:rPr>
              <w:t>S</w:t>
            </w:r>
            <w:r>
              <w:rPr>
                <w:rFonts w:hint="default" w:ascii="Times New Roman" w:hAnsi="Times New Roman" w:eastAsia="宋体" w:cs="Times New Roman"/>
                <w:bCs/>
                <w:snapToGrid w:val="0"/>
                <w:color w:val="auto"/>
                <w:kern w:val="0"/>
                <w:sz w:val="24"/>
                <w:highlight w:val="none"/>
                <w:lang w:val="en-US" w:eastAsia="zh-CN"/>
              </w:rPr>
              <w:t>20</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3"/>
                <w:sz w:val="24"/>
                <w:szCs w:val="24"/>
                <w:highlight w:val="none"/>
              </w:rPr>
              <w:t>需要定期更换</w:t>
            </w:r>
            <w:r>
              <w:rPr>
                <w:rFonts w:hint="default" w:ascii="Times New Roman" w:hAnsi="Times New Roman" w:eastAsia="宋体" w:cs="Times New Roman"/>
                <w:bCs/>
                <w:snapToGrid w:val="0"/>
                <w:color w:val="auto"/>
                <w:kern w:val="0"/>
                <w:sz w:val="24"/>
                <w:highlight w:val="none"/>
              </w:rPr>
              <w:t>、噪声（N）</w:t>
            </w:r>
            <w:r>
              <w:rPr>
                <w:rFonts w:hint="default" w:ascii="Times New Roman" w:hAnsi="Times New Roman" w:eastAsia="宋体" w:cs="Times New Roman"/>
                <w:b w:val="0"/>
                <w:bCs w:val="0"/>
                <w:smallCaps w:val="0"/>
                <w:color w:val="auto"/>
                <w:sz w:val="24"/>
                <w:highlight w:val="none"/>
              </w:rPr>
              <w:t>。</w:t>
            </w:r>
          </w:p>
          <w:p w14:paraId="08743563">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4"/>
                <w:sz w:val="24"/>
                <w:szCs w:val="24"/>
                <w:highlight w:val="none"/>
                <w:lang w:eastAsia="zh-CN"/>
              </w:rPr>
            </w:pPr>
            <w:r>
              <w:rPr>
                <w:rFonts w:hint="default" w:ascii="Times New Roman" w:hAnsi="Times New Roman" w:eastAsia="宋体" w:cs="Times New Roman"/>
                <w:b w:val="0"/>
                <w:bCs w:val="0"/>
                <w:smallCaps w:val="0"/>
                <w:color w:val="auto"/>
                <w:sz w:val="24"/>
                <w:highlight w:val="none"/>
              </w:rPr>
              <w:t>去离子水</w:t>
            </w:r>
            <w:r>
              <w:rPr>
                <w:rFonts w:hint="eastAsia" w:cs="Times New Roman"/>
                <w:b w:val="0"/>
                <w:bCs w:val="0"/>
                <w:smallCaps w:val="0"/>
                <w:color w:val="auto"/>
                <w:sz w:val="24"/>
                <w:highlight w:val="none"/>
                <w:lang w:val="en-US" w:eastAsia="zh-CN"/>
              </w:rPr>
              <w:t>制备</w:t>
            </w:r>
            <w:r>
              <w:rPr>
                <w:rFonts w:hint="default" w:ascii="Times New Roman" w:hAnsi="Times New Roman" w:eastAsia="宋体" w:cs="Times New Roman"/>
                <w:b w:val="0"/>
                <w:bCs w:val="0"/>
                <w:color w:val="auto"/>
                <w:spacing w:val="-4"/>
                <w:sz w:val="24"/>
                <w:szCs w:val="24"/>
                <w:highlight w:val="none"/>
                <w:lang w:eastAsia="zh-CN"/>
              </w:rPr>
              <w:t>工艺如下：</w:t>
            </w:r>
          </w:p>
          <w:p w14:paraId="7D6BB4D4">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textAlignment w:val="auto"/>
              <w:rPr>
                <w:rFonts w:hint="default" w:ascii="Times New Roman" w:hAnsi="Times New Roman" w:eastAsia="宋体" w:cs="Times New Roman"/>
                <w:b w:val="0"/>
                <w:bCs w:val="0"/>
                <w:color w:val="auto"/>
                <w:spacing w:val="-4"/>
                <w:sz w:val="24"/>
                <w:szCs w:val="24"/>
                <w:highlight w:val="none"/>
                <w:lang w:eastAsia="zh-CN"/>
              </w:rPr>
            </w:pPr>
          </w:p>
          <w:p w14:paraId="7FCDC052">
            <w:pPr>
              <w:spacing w:line="360" w:lineRule="auto"/>
              <w:ind w:firstLine="480" w:firstLineChars="200"/>
              <w:rPr>
                <w:rFonts w:hint="default" w:ascii="Times New Roman" w:hAnsi="Times New Roman" w:eastAsia="宋体" w:cs="Times New Roman"/>
                <w:b w:val="0"/>
                <w:bCs w:val="0"/>
                <w:smallCaps w:val="0"/>
                <w:color w:val="auto"/>
                <w:sz w:val="24"/>
                <w:highlight w:val="none"/>
                <w:lang w:val="en-US" w:eastAsia="zh-CN"/>
              </w:rPr>
            </w:pPr>
          </w:p>
          <w:p w14:paraId="7A7514B1">
            <w:pPr>
              <w:pStyle w:val="2"/>
              <w:rPr>
                <w:rFonts w:hint="default" w:ascii="Times New Roman" w:hAnsi="Times New Roman" w:eastAsia="宋体" w:cs="Times New Roman"/>
                <w:b w:val="0"/>
                <w:bCs w:val="0"/>
                <w:smallCaps w:val="0"/>
                <w:color w:val="auto"/>
                <w:sz w:val="24"/>
                <w:highlight w:val="none"/>
                <w:lang w:val="en-US" w:eastAsia="zh-CN"/>
              </w:rPr>
            </w:pPr>
          </w:p>
          <w:p w14:paraId="0DBC97D9">
            <w:pPr>
              <w:pStyle w:val="3"/>
              <w:rPr>
                <w:rFonts w:hint="default"/>
                <w:color w:val="auto"/>
                <w:lang w:val="en-US" w:eastAsia="zh-CN"/>
              </w:rPr>
            </w:pPr>
          </w:p>
          <w:p w14:paraId="7380BE9E">
            <w:pPr>
              <w:spacing w:line="360" w:lineRule="auto"/>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trike w:val="0"/>
                <w:dstrike w:val="0"/>
                <w:snapToGrid w:val="0"/>
                <w:color w:val="auto"/>
                <w:kern w:val="0"/>
                <w:sz w:val="24"/>
                <w:highlight w:val="none"/>
              </w:rPr>
              <w:object>
                <v:shape id="_x0000_i1031" o:spt="75" type="#_x0000_t75" style="height:204.1pt;width:124.7pt;" o:ole="t" filled="f" o:preferrelative="t" stroked="f" coordsize="21600,21600">
                  <v:path/>
                  <v:fill on="f" focussize="0,0"/>
                  <v:stroke on="f"/>
                  <v:imagedata r:id="rId26" o:title=""/>
                  <o:lock v:ext="edit" aspectratio="f"/>
                  <w10:wrap type="none"/>
                  <w10:anchorlock/>
                </v:shape>
                <o:OLEObject Type="Embed" ProgID="Visio.Drawing.15" ShapeID="_x0000_i1031" DrawAspect="Content" ObjectID="_1468075731" r:id="rId25">
                  <o:LockedField>false</o:LockedField>
                </o:OLEObject>
              </w:object>
            </w:r>
          </w:p>
          <w:p w14:paraId="1DD18E2E">
            <w:pPr>
              <w:spacing w:line="360" w:lineRule="auto"/>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图2-</w:t>
            </w:r>
            <w:r>
              <w:rPr>
                <w:rFonts w:hint="default" w:ascii="Times New Roman" w:hAnsi="Times New Roman" w:eastAsia="宋体" w:cs="Times New Roman"/>
                <w:b/>
                <w:snapToGrid w:val="0"/>
                <w:color w:val="auto"/>
                <w:kern w:val="0"/>
                <w:sz w:val="24"/>
                <w:highlight w:val="none"/>
                <w:lang w:val="en-US" w:eastAsia="zh-CN"/>
              </w:rPr>
              <w:t>7</w:t>
            </w:r>
            <w:r>
              <w:rPr>
                <w:rFonts w:hint="default" w:ascii="Times New Roman" w:hAnsi="Times New Roman" w:eastAsia="宋体" w:cs="Times New Roman"/>
                <w:b/>
                <w:snapToGrid w:val="0"/>
                <w:color w:val="auto"/>
                <w:kern w:val="0"/>
                <w:sz w:val="24"/>
                <w:highlight w:val="none"/>
              </w:rPr>
              <w:t xml:space="preserve">  </w:t>
            </w:r>
            <w:r>
              <w:rPr>
                <w:rStyle w:val="33"/>
                <w:rFonts w:hint="default" w:ascii="Times New Roman" w:hAnsi="Times New Roman" w:eastAsia="宋体" w:cs="Times New Roman"/>
                <w:b/>
                <w:bCs/>
                <w:color w:val="auto"/>
                <w:sz w:val="24"/>
                <w:highlight w:val="none"/>
                <w:lang w:val="en-US" w:eastAsia="zh-CN"/>
              </w:rPr>
              <w:t>去离子水</w:t>
            </w:r>
            <w:r>
              <w:rPr>
                <w:rFonts w:hint="default" w:ascii="Times New Roman" w:hAnsi="Times New Roman" w:eastAsia="宋体" w:cs="Times New Roman"/>
                <w:b/>
                <w:snapToGrid w:val="0"/>
                <w:color w:val="auto"/>
                <w:kern w:val="0"/>
                <w:sz w:val="24"/>
                <w:highlight w:val="none"/>
              </w:rPr>
              <w:t>处理工艺流程图</w:t>
            </w:r>
          </w:p>
          <w:p w14:paraId="020AFF5A">
            <w:pPr>
              <w:pStyle w:val="27"/>
              <w:keepNext w:val="0"/>
              <w:keepLines w:val="0"/>
              <w:pageBreakBefore w:val="0"/>
              <w:widowControl w:val="0"/>
              <w:numPr>
                <w:ilvl w:val="0"/>
                <w:numId w:val="0"/>
              </w:numPr>
              <w:kinsoku/>
              <w:wordWrap/>
              <w:overflowPunct/>
              <w:topLinePunct/>
              <w:autoSpaceDE w:val="0"/>
              <w:autoSpaceDN/>
              <w:bidi w:val="0"/>
              <w:adjustRightInd/>
              <w:snapToGrid/>
              <w:spacing w:before="0" w:after="0" w:line="360" w:lineRule="auto"/>
              <w:ind w:firstLine="0" w:firstLineChars="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6.运营期主要污染工序</w:t>
            </w:r>
          </w:p>
          <w:p w14:paraId="3C15373A">
            <w:pPr>
              <w:keepNext w:val="0"/>
              <w:keepLines w:val="0"/>
              <w:pageBreakBefore w:val="0"/>
              <w:kinsoku/>
              <w:overflowPunct/>
              <w:topLinePunct/>
              <w:autoSpaceDE w:val="0"/>
              <w:bidi w:val="0"/>
              <w:spacing w:line="368" w:lineRule="auto"/>
              <w:ind w:left="108" w:right="102" w:firstLine="479"/>
              <w:jc w:val="both"/>
              <w:rPr>
                <w:rFonts w:hint="default" w:ascii="Times New Roman" w:hAnsi="Times New Roman" w:eastAsia="宋体" w:cs="Times New Roman"/>
                <w:strike w:val="0"/>
                <w:dstrike w:val="0"/>
                <w:color w:val="auto"/>
                <w:spacing w:val="-3"/>
                <w:sz w:val="24"/>
                <w:szCs w:val="24"/>
                <w:highlight w:val="none"/>
                <w:lang w:val="en-US" w:eastAsia="zh-CN"/>
              </w:rPr>
            </w:pPr>
            <w:r>
              <w:rPr>
                <w:rFonts w:hint="default" w:ascii="Times New Roman" w:hAnsi="Times New Roman" w:eastAsia="宋体" w:cs="Times New Roman"/>
                <w:strike w:val="0"/>
                <w:dstrike w:val="0"/>
                <w:color w:val="auto"/>
                <w:spacing w:val="-3"/>
                <w:sz w:val="24"/>
                <w:szCs w:val="24"/>
                <w:highlight w:val="none"/>
                <w:lang w:val="en-US" w:eastAsia="zh-CN"/>
              </w:rPr>
              <w:t>本项目产污环节一览表见下表。</w:t>
            </w:r>
          </w:p>
          <w:p w14:paraId="0204EFB7">
            <w:pPr>
              <w:keepNext w:val="0"/>
              <w:keepLines w:val="0"/>
              <w:pageBreakBefore w:val="0"/>
              <w:widowControl/>
              <w:suppressLineNumbers w:val="0"/>
              <w:kinsoku/>
              <w:overflowPunct/>
              <w:topLinePunct/>
              <w:autoSpaceDE w:val="0"/>
              <w:bidi w:val="0"/>
              <w:jc w:val="center"/>
              <w:rPr>
                <w:rFonts w:hint="default" w:ascii="Times New Roman" w:hAnsi="Times New Roman" w:eastAsia="宋体" w:cs="Times New Roman"/>
                <w:b/>
                <w:bCs/>
                <w:strike w:val="0"/>
                <w:dstrike w:val="0"/>
                <w:color w:val="auto"/>
                <w:kern w:val="0"/>
                <w:sz w:val="21"/>
                <w:szCs w:val="21"/>
                <w:highlight w:val="none"/>
                <w:lang w:val="en-US" w:eastAsia="zh-CN" w:bidi="ar"/>
              </w:rPr>
            </w:pPr>
            <w:r>
              <w:rPr>
                <w:rFonts w:hint="default" w:ascii="Times New Roman" w:hAnsi="Times New Roman" w:eastAsia="宋体" w:cs="Times New Roman"/>
                <w:b/>
                <w:bCs/>
                <w:strike w:val="0"/>
                <w:dstrike w:val="0"/>
                <w:color w:val="auto"/>
                <w:kern w:val="0"/>
                <w:sz w:val="21"/>
                <w:szCs w:val="21"/>
                <w:highlight w:val="none"/>
                <w:lang w:val="en-US" w:eastAsia="zh-CN" w:bidi="ar"/>
              </w:rPr>
              <w:t>表2-1</w:t>
            </w:r>
            <w:r>
              <w:rPr>
                <w:rFonts w:hint="eastAsia" w:cs="Times New Roman"/>
                <w:b/>
                <w:bCs/>
                <w:strike w:val="0"/>
                <w:dstrike w:val="0"/>
                <w:color w:val="auto"/>
                <w:kern w:val="0"/>
                <w:sz w:val="21"/>
                <w:szCs w:val="21"/>
                <w:highlight w:val="none"/>
                <w:lang w:val="en-US" w:eastAsia="zh-CN" w:bidi="ar"/>
              </w:rPr>
              <w:t>4</w:t>
            </w:r>
            <w:r>
              <w:rPr>
                <w:rFonts w:hint="default" w:ascii="Times New Roman" w:hAnsi="Times New Roman" w:eastAsia="宋体" w:cs="Times New Roman"/>
                <w:b/>
                <w:bCs/>
                <w:strike w:val="0"/>
                <w:dstrike w:val="0"/>
                <w:color w:val="auto"/>
                <w:kern w:val="0"/>
                <w:sz w:val="21"/>
                <w:szCs w:val="21"/>
                <w:highlight w:val="none"/>
                <w:lang w:val="en-US" w:eastAsia="zh-CN" w:bidi="ar"/>
              </w:rPr>
              <w:t xml:space="preserve">  项目主要污染工序及治理、排放方式一览表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19"/>
              <w:gridCol w:w="1383"/>
              <w:gridCol w:w="1323"/>
              <w:gridCol w:w="2571"/>
              <w:gridCol w:w="1157"/>
            </w:tblGrid>
            <w:tr w14:paraId="7F0D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tcBorders>
                    <w:tl2br w:val="nil"/>
                    <w:tr2bl w:val="nil"/>
                  </w:tcBorders>
                  <w:noWrap w:val="0"/>
                  <w:vAlign w:val="center"/>
                </w:tcPr>
                <w:p w14:paraId="0B410A9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污染类别</w:t>
                  </w:r>
                </w:p>
              </w:tc>
              <w:tc>
                <w:tcPr>
                  <w:tcW w:w="819" w:type="dxa"/>
                  <w:tcBorders>
                    <w:tl2br w:val="nil"/>
                    <w:tr2bl w:val="nil"/>
                  </w:tcBorders>
                  <w:noWrap w:val="0"/>
                  <w:vAlign w:val="center"/>
                </w:tcPr>
                <w:p w14:paraId="7E92518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编号</w:t>
                  </w:r>
                </w:p>
              </w:tc>
              <w:tc>
                <w:tcPr>
                  <w:tcW w:w="1383" w:type="dxa"/>
                  <w:tcBorders>
                    <w:tl2br w:val="nil"/>
                    <w:tr2bl w:val="nil"/>
                  </w:tcBorders>
                  <w:noWrap w:val="0"/>
                  <w:vAlign w:val="center"/>
                </w:tcPr>
                <w:p w14:paraId="7E75AA1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产污环节</w:t>
                  </w:r>
                </w:p>
              </w:tc>
              <w:tc>
                <w:tcPr>
                  <w:tcW w:w="1323" w:type="dxa"/>
                  <w:tcBorders>
                    <w:tl2br w:val="nil"/>
                    <w:tr2bl w:val="nil"/>
                  </w:tcBorders>
                  <w:noWrap w:val="0"/>
                  <w:vAlign w:val="center"/>
                </w:tcPr>
                <w:p w14:paraId="217E49B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主要污染物</w:t>
                  </w:r>
                </w:p>
              </w:tc>
              <w:tc>
                <w:tcPr>
                  <w:tcW w:w="2571" w:type="dxa"/>
                  <w:tcBorders>
                    <w:tl2br w:val="nil"/>
                    <w:tr2bl w:val="nil"/>
                  </w:tcBorders>
                  <w:noWrap w:val="0"/>
                  <w:vAlign w:val="center"/>
                </w:tcPr>
                <w:p w14:paraId="61C9030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治理措施</w:t>
                  </w:r>
                </w:p>
              </w:tc>
              <w:tc>
                <w:tcPr>
                  <w:tcW w:w="1157" w:type="dxa"/>
                  <w:tcBorders>
                    <w:tl2br w:val="nil"/>
                    <w:tr2bl w:val="nil"/>
                  </w:tcBorders>
                  <w:noWrap w:val="0"/>
                  <w:vAlign w:val="center"/>
                </w:tcPr>
                <w:p w14:paraId="509558C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b/>
                      <w:bCs/>
                      <w:strike w:val="0"/>
                      <w:dstrike w:val="0"/>
                      <w:color w:val="auto"/>
                      <w:sz w:val="21"/>
                      <w:szCs w:val="21"/>
                      <w:highlight w:val="none"/>
                      <w:vertAlign w:val="baseline"/>
                      <w:lang w:val="en-US" w:eastAsia="zh-CN"/>
                    </w:rPr>
                    <w:t>排放方式</w:t>
                  </w:r>
                </w:p>
              </w:tc>
            </w:tr>
            <w:tr w14:paraId="75EC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noWrap w:val="0"/>
                  <w:vAlign w:val="center"/>
                </w:tcPr>
                <w:p w14:paraId="0F61F3F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r>
                    <w:rPr>
                      <w:rFonts w:hint="default" w:ascii="Times New Roman" w:hAnsi="Times New Roman" w:eastAsia="宋体" w:cs="Times New Roman"/>
                      <w:b w:val="0"/>
                      <w:bCs w:val="0"/>
                      <w:strike w:val="0"/>
                      <w:dstrike w:val="0"/>
                      <w:color w:val="auto"/>
                      <w:sz w:val="21"/>
                      <w:szCs w:val="21"/>
                      <w:highlight w:val="none"/>
                      <w:vertAlign w:val="baseline"/>
                      <w:lang w:val="en-US" w:eastAsia="zh-CN"/>
                    </w:rPr>
                    <w:t>废气</w:t>
                  </w:r>
                </w:p>
              </w:tc>
              <w:tc>
                <w:tcPr>
                  <w:tcW w:w="819" w:type="dxa"/>
                  <w:tcBorders>
                    <w:tl2br w:val="nil"/>
                    <w:tr2bl w:val="nil"/>
                  </w:tcBorders>
                  <w:noWrap w:val="0"/>
                  <w:vAlign w:val="center"/>
                </w:tcPr>
                <w:p w14:paraId="172E0CC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G1</w:t>
                  </w:r>
                </w:p>
              </w:tc>
              <w:tc>
                <w:tcPr>
                  <w:tcW w:w="1383" w:type="dxa"/>
                  <w:tcBorders>
                    <w:tl2br w:val="nil"/>
                    <w:tr2bl w:val="nil"/>
                  </w:tcBorders>
                  <w:shd w:val="clear" w:color="auto" w:fill="auto"/>
                  <w:noWrap w:val="0"/>
                  <w:vAlign w:val="center"/>
                </w:tcPr>
                <w:p w14:paraId="72CC284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珠胚生产</w:t>
                  </w:r>
                  <w:r>
                    <w:rPr>
                      <w:rFonts w:hint="default" w:ascii="Times New Roman" w:hAnsi="Times New Roman" w:eastAsia="宋体" w:cs="Times New Roman"/>
                      <w:strike w:val="0"/>
                      <w:dstrike w:val="0"/>
                      <w:color w:val="auto"/>
                      <w:sz w:val="21"/>
                      <w:szCs w:val="21"/>
                      <w:highlight w:val="none"/>
                    </w:rPr>
                    <w:t>配料</w:t>
                  </w:r>
                </w:p>
              </w:tc>
              <w:tc>
                <w:tcPr>
                  <w:tcW w:w="1323" w:type="dxa"/>
                  <w:tcBorders>
                    <w:tl2br w:val="nil"/>
                    <w:tr2bl w:val="nil"/>
                  </w:tcBorders>
                  <w:shd w:val="clear" w:color="auto" w:fill="auto"/>
                  <w:noWrap w:val="0"/>
                  <w:vAlign w:val="center"/>
                </w:tcPr>
                <w:p w14:paraId="770F773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粉尘</w:t>
                  </w:r>
                </w:p>
              </w:tc>
              <w:tc>
                <w:tcPr>
                  <w:tcW w:w="2571" w:type="dxa"/>
                  <w:vMerge w:val="restart"/>
                  <w:tcBorders>
                    <w:tl2br w:val="nil"/>
                    <w:tr2bl w:val="nil"/>
                  </w:tcBorders>
                  <w:shd w:val="clear" w:color="auto" w:fill="auto"/>
                  <w:noWrap w:val="0"/>
                  <w:vAlign w:val="center"/>
                </w:tcPr>
                <w:p w14:paraId="418E999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集气罩+经布袋除尘器（1#）处理后由15m排气筒（DA001）排放</w:t>
                  </w:r>
                </w:p>
              </w:tc>
              <w:tc>
                <w:tcPr>
                  <w:tcW w:w="1157" w:type="dxa"/>
                  <w:vMerge w:val="restart"/>
                  <w:tcBorders>
                    <w:tl2br w:val="nil"/>
                    <w:tr2bl w:val="nil"/>
                  </w:tcBorders>
                  <w:noWrap w:val="0"/>
                  <w:vAlign w:val="center"/>
                </w:tcPr>
                <w:p w14:paraId="63CE248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有组织</w:t>
                  </w:r>
                </w:p>
              </w:tc>
            </w:tr>
            <w:tr w14:paraId="66B8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1D037D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noWrap w:val="0"/>
                  <w:vAlign w:val="center"/>
                </w:tcPr>
                <w:p w14:paraId="3227A67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G2</w:t>
                  </w:r>
                </w:p>
              </w:tc>
              <w:tc>
                <w:tcPr>
                  <w:tcW w:w="1383" w:type="dxa"/>
                  <w:tcBorders>
                    <w:tl2br w:val="nil"/>
                    <w:tr2bl w:val="nil"/>
                  </w:tcBorders>
                  <w:shd w:val="clear" w:color="auto" w:fill="auto"/>
                  <w:noWrap w:val="0"/>
                  <w:vAlign w:val="center"/>
                </w:tcPr>
                <w:p w14:paraId="4AC17F5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熔炉熔化</w:t>
                  </w:r>
                </w:p>
              </w:tc>
              <w:tc>
                <w:tcPr>
                  <w:tcW w:w="1323" w:type="dxa"/>
                  <w:tcBorders>
                    <w:tl2br w:val="nil"/>
                    <w:tr2bl w:val="nil"/>
                  </w:tcBorders>
                  <w:shd w:val="clear" w:color="auto" w:fill="auto"/>
                  <w:noWrap w:val="0"/>
                  <w:vAlign w:val="center"/>
                </w:tcPr>
                <w:p w14:paraId="3A0E4DA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烟尘</w:t>
                  </w:r>
                </w:p>
              </w:tc>
              <w:tc>
                <w:tcPr>
                  <w:tcW w:w="2571" w:type="dxa"/>
                  <w:vMerge w:val="continue"/>
                  <w:tcBorders>
                    <w:tl2br w:val="nil"/>
                    <w:tr2bl w:val="nil"/>
                  </w:tcBorders>
                  <w:noWrap w:val="0"/>
                  <w:vAlign w:val="center"/>
                </w:tcPr>
                <w:p w14:paraId="756C3F3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p>
              </w:tc>
              <w:tc>
                <w:tcPr>
                  <w:tcW w:w="1157" w:type="dxa"/>
                  <w:vMerge w:val="continue"/>
                  <w:tcBorders>
                    <w:tl2br w:val="nil"/>
                    <w:tr2bl w:val="nil"/>
                  </w:tcBorders>
                  <w:noWrap w:val="0"/>
                  <w:vAlign w:val="center"/>
                </w:tcPr>
                <w:p w14:paraId="3586E0D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27AF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C44E9F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noWrap w:val="0"/>
                  <w:vAlign w:val="center"/>
                </w:tcPr>
                <w:p w14:paraId="7583D9F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G3</w:t>
                  </w:r>
                </w:p>
              </w:tc>
              <w:tc>
                <w:tcPr>
                  <w:tcW w:w="1383" w:type="dxa"/>
                  <w:tcBorders>
                    <w:tl2br w:val="nil"/>
                    <w:tr2bl w:val="nil"/>
                  </w:tcBorders>
                  <w:shd w:val="clear" w:color="auto" w:fill="auto"/>
                  <w:noWrap w:val="0"/>
                  <w:vAlign w:val="center"/>
                </w:tcPr>
                <w:p w14:paraId="47C9C02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滚抛</w:t>
                  </w:r>
                </w:p>
              </w:tc>
              <w:tc>
                <w:tcPr>
                  <w:tcW w:w="1323" w:type="dxa"/>
                  <w:tcBorders>
                    <w:tl2br w:val="nil"/>
                    <w:tr2bl w:val="nil"/>
                  </w:tcBorders>
                  <w:shd w:val="clear" w:color="auto" w:fill="auto"/>
                  <w:noWrap w:val="0"/>
                  <w:vAlign w:val="center"/>
                </w:tcPr>
                <w:p w14:paraId="06761CE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粉尘</w:t>
                  </w:r>
                </w:p>
              </w:tc>
              <w:tc>
                <w:tcPr>
                  <w:tcW w:w="2571" w:type="dxa"/>
                  <w:vMerge w:val="continue"/>
                  <w:tcBorders>
                    <w:tl2br w:val="nil"/>
                    <w:tr2bl w:val="nil"/>
                  </w:tcBorders>
                  <w:noWrap w:val="0"/>
                  <w:vAlign w:val="center"/>
                </w:tcPr>
                <w:p w14:paraId="05BECEB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p>
              </w:tc>
              <w:tc>
                <w:tcPr>
                  <w:tcW w:w="1157" w:type="dxa"/>
                  <w:vMerge w:val="continue"/>
                  <w:tcBorders>
                    <w:tl2br w:val="nil"/>
                    <w:tr2bl w:val="nil"/>
                  </w:tcBorders>
                  <w:noWrap w:val="0"/>
                  <w:vAlign w:val="center"/>
                </w:tcPr>
                <w:p w14:paraId="2195B31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2F8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E1FF92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5D24DED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G</w:t>
                  </w:r>
                  <w:r>
                    <w:rPr>
                      <w:rFonts w:hint="default" w:ascii="Times New Roman" w:hAnsi="Times New Roman" w:eastAsia="宋体" w:cs="Times New Roman"/>
                      <w:strike w:val="0"/>
                      <w:dstrike w:val="0"/>
                      <w:color w:val="auto"/>
                      <w:sz w:val="21"/>
                      <w:szCs w:val="21"/>
                      <w:highlight w:val="none"/>
                      <w:lang w:val="en-US" w:eastAsia="zh-CN"/>
                    </w:rPr>
                    <w:t>4</w:t>
                  </w:r>
                </w:p>
              </w:tc>
              <w:tc>
                <w:tcPr>
                  <w:tcW w:w="1383" w:type="dxa"/>
                  <w:tcBorders>
                    <w:tl2br w:val="nil"/>
                    <w:tr2bl w:val="nil"/>
                  </w:tcBorders>
                  <w:shd w:val="clear" w:color="auto" w:fill="auto"/>
                  <w:noWrap w:val="0"/>
                  <w:vAlign w:val="center"/>
                </w:tcPr>
                <w:p w14:paraId="4601D43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吸塑上</w:t>
                  </w:r>
                  <w:r>
                    <w:rPr>
                      <w:rFonts w:hint="default" w:ascii="Times New Roman" w:hAnsi="Times New Roman" w:eastAsia="宋体" w:cs="Times New Roman"/>
                      <w:strike w:val="0"/>
                      <w:dstrike w:val="0"/>
                      <w:color w:val="auto"/>
                      <w:sz w:val="21"/>
                      <w:szCs w:val="21"/>
                      <w:highlight w:val="none"/>
                    </w:rPr>
                    <w:t>料</w:t>
                  </w:r>
                </w:p>
              </w:tc>
              <w:tc>
                <w:tcPr>
                  <w:tcW w:w="1323" w:type="dxa"/>
                  <w:tcBorders>
                    <w:tl2br w:val="nil"/>
                    <w:tr2bl w:val="nil"/>
                  </w:tcBorders>
                  <w:shd w:val="clear" w:color="auto" w:fill="auto"/>
                  <w:noWrap w:val="0"/>
                  <w:vAlign w:val="center"/>
                </w:tcPr>
                <w:p w14:paraId="63A1AF5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粉尘</w:t>
                  </w:r>
                </w:p>
              </w:tc>
              <w:tc>
                <w:tcPr>
                  <w:tcW w:w="2571" w:type="dxa"/>
                  <w:vMerge w:val="restart"/>
                  <w:tcBorders>
                    <w:tl2br w:val="nil"/>
                    <w:tr2bl w:val="nil"/>
                  </w:tcBorders>
                  <w:shd w:val="clear" w:color="auto" w:fill="auto"/>
                  <w:noWrap w:val="0"/>
                  <w:vAlign w:val="center"/>
                </w:tcPr>
                <w:p w14:paraId="55FF490C">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集气罩+布袋除尘器（2#）+15m 排气筒（DA002）</w:t>
                  </w:r>
                </w:p>
              </w:tc>
              <w:tc>
                <w:tcPr>
                  <w:tcW w:w="1157" w:type="dxa"/>
                  <w:vMerge w:val="restart"/>
                  <w:tcBorders>
                    <w:tl2br w:val="nil"/>
                    <w:tr2bl w:val="nil"/>
                  </w:tcBorders>
                  <w:noWrap w:val="0"/>
                  <w:vAlign w:val="center"/>
                </w:tcPr>
                <w:p w14:paraId="3F3EB22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有组织</w:t>
                  </w:r>
                </w:p>
              </w:tc>
            </w:tr>
            <w:tr w14:paraId="24A1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6C4240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0154F8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G</w:t>
                  </w:r>
                  <w:r>
                    <w:rPr>
                      <w:rFonts w:hint="default" w:ascii="Times New Roman" w:hAnsi="Times New Roman" w:eastAsia="宋体" w:cs="Times New Roman"/>
                      <w:strike w:val="0"/>
                      <w:dstrike w:val="0"/>
                      <w:color w:val="auto"/>
                      <w:sz w:val="21"/>
                      <w:szCs w:val="21"/>
                      <w:highlight w:val="none"/>
                      <w:lang w:val="en-US" w:eastAsia="zh-CN"/>
                    </w:rPr>
                    <w:t>5</w:t>
                  </w:r>
                </w:p>
              </w:tc>
              <w:tc>
                <w:tcPr>
                  <w:tcW w:w="1383" w:type="dxa"/>
                  <w:tcBorders>
                    <w:tl2br w:val="nil"/>
                    <w:tr2bl w:val="nil"/>
                  </w:tcBorders>
                  <w:shd w:val="clear" w:color="auto" w:fill="auto"/>
                  <w:noWrap w:val="0"/>
                  <w:vAlign w:val="center"/>
                </w:tcPr>
                <w:p w14:paraId="142B123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边角料破碎</w:t>
                  </w:r>
                </w:p>
              </w:tc>
              <w:tc>
                <w:tcPr>
                  <w:tcW w:w="1323" w:type="dxa"/>
                  <w:tcBorders>
                    <w:tl2br w:val="nil"/>
                    <w:tr2bl w:val="nil"/>
                  </w:tcBorders>
                  <w:shd w:val="clear" w:color="auto" w:fill="auto"/>
                  <w:noWrap w:val="0"/>
                  <w:vAlign w:val="center"/>
                </w:tcPr>
                <w:p w14:paraId="285F947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粉尘</w:t>
                  </w:r>
                </w:p>
              </w:tc>
              <w:tc>
                <w:tcPr>
                  <w:tcW w:w="2571" w:type="dxa"/>
                  <w:vMerge w:val="continue"/>
                  <w:tcBorders>
                    <w:tl2br w:val="nil"/>
                    <w:tr2bl w:val="nil"/>
                  </w:tcBorders>
                  <w:shd w:val="clear" w:color="auto" w:fill="auto"/>
                  <w:noWrap w:val="0"/>
                  <w:vAlign w:val="center"/>
                </w:tcPr>
                <w:p w14:paraId="1F9F3CD5">
                  <w:pPr>
                    <w:pStyle w:val="57"/>
                    <w:keepNext w:val="0"/>
                    <w:keepLines w:val="0"/>
                    <w:pageBreakBefore w:val="0"/>
                    <w:widowControl w:val="0"/>
                    <w:kinsoku/>
                    <w:wordWrap/>
                    <w:overflowPunct/>
                    <w:topLinePunct/>
                    <w:autoSpaceDE w:val="0"/>
                    <w:autoSpaceDN/>
                    <w:bidi w:val="0"/>
                    <w:adjustRightInd/>
                    <w:snapToGrid/>
                    <w:spacing w:line="240" w:lineRule="auto"/>
                    <w:ind w:left="0" w:right="0" w:firstLine="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p>
              </w:tc>
              <w:tc>
                <w:tcPr>
                  <w:tcW w:w="1157" w:type="dxa"/>
                  <w:vMerge w:val="continue"/>
                  <w:tcBorders>
                    <w:tl2br w:val="nil"/>
                    <w:tr2bl w:val="nil"/>
                  </w:tcBorders>
                  <w:noWrap w:val="0"/>
                  <w:vAlign w:val="center"/>
                </w:tcPr>
                <w:p w14:paraId="646CBA6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56BD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333BF2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31DA971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G</w:t>
                  </w:r>
                  <w:r>
                    <w:rPr>
                      <w:rFonts w:hint="default" w:ascii="Times New Roman" w:hAnsi="Times New Roman" w:eastAsia="宋体" w:cs="Times New Roman"/>
                      <w:strike w:val="0"/>
                      <w:dstrike w:val="0"/>
                      <w:color w:val="auto"/>
                      <w:sz w:val="21"/>
                      <w:szCs w:val="21"/>
                      <w:highlight w:val="none"/>
                      <w:lang w:val="en-US" w:eastAsia="zh-CN"/>
                    </w:rPr>
                    <w:t>6</w:t>
                  </w:r>
                </w:p>
              </w:tc>
              <w:tc>
                <w:tcPr>
                  <w:tcW w:w="1383" w:type="dxa"/>
                  <w:tcBorders>
                    <w:tl2br w:val="nil"/>
                    <w:tr2bl w:val="nil"/>
                  </w:tcBorders>
                  <w:shd w:val="clear" w:color="auto" w:fill="auto"/>
                  <w:noWrap w:val="0"/>
                  <w:vAlign w:val="center"/>
                </w:tcPr>
                <w:p w14:paraId="4DC715C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搅拌、加热</w:t>
                  </w:r>
                </w:p>
              </w:tc>
              <w:tc>
                <w:tcPr>
                  <w:tcW w:w="1323" w:type="dxa"/>
                  <w:tcBorders>
                    <w:tl2br w:val="nil"/>
                    <w:tr2bl w:val="nil"/>
                  </w:tcBorders>
                  <w:shd w:val="clear" w:color="auto" w:fill="auto"/>
                  <w:noWrap w:val="0"/>
                  <w:vAlign w:val="center"/>
                </w:tcPr>
                <w:p w14:paraId="2D6F966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非甲烷总烃</w:t>
                  </w:r>
                </w:p>
              </w:tc>
              <w:tc>
                <w:tcPr>
                  <w:tcW w:w="2571" w:type="dxa"/>
                  <w:vMerge w:val="restart"/>
                  <w:tcBorders>
                    <w:tl2br w:val="nil"/>
                    <w:tr2bl w:val="nil"/>
                  </w:tcBorders>
                  <w:shd w:val="clear" w:color="auto" w:fill="auto"/>
                  <w:noWrap w:val="0"/>
                  <w:vAlign w:val="center"/>
                </w:tcPr>
                <w:p w14:paraId="634657B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集气罩+三级活性炭吸附装置+15m排气筒（DA003）</w:t>
                  </w:r>
                </w:p>
              </w:tc>
              <w:tc>
                <w:tcPr>
                  <w:tcW w:w="1157" w:type="dxa"/>
                  <w:vMerge w:val="restart"/>
                  <w:tcBorders>
                    <w:tl2br w:val="nil"/>
                    <w:tr2bl w:val="nil"/>
                  </w:tcBorders>
                  <w:noWrap w:val="0"/>
                  <w:vAlign w:val="center"/>
                </w:tcPr>
                <w:p w14:paraId="5F02CA6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有组织</w:t>
                  </w:r>
                </w:p>
              </w:tc>
            </w:tr>
            <w:tr w14:paraId="4C3D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202BD30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6F8F6D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G</w:t>
                  </w:r>
                  <w:r>
                    <w:rPr>
                      <w:rFonts w:hint="default" w:ascii="Times New Roman" w:hAnsi="Times New Roman" w:eastAsia="宋体" w:cs="Times New Roman"/>
                      <w:strike w:val="0"/>
                      <w:dstrike w:val="0"/>
                      <w:color w:val="auto"/>
                      <w:sz w:val="21"/>
                      <w:szCs w:val="21"/>
                      <w:highlight w:val="none"/>
                      <w:lang w:val="en-US" w:eastAsia="zh-CN"/>
                    </w:rPr>
                    <w:t>7</w:t>
                  </w:r>
                </w:p>
              </w:tc>
              <w:tc>
                <w:tcPr>
                  <w:tcW w:w="1383" w:type="dxa"/>
                  <w:tcBorders>
                    <w:tl2br w:val="nil"/>
                    <w:tr2bl w:val="nil"/>
                  </w:tcBorders>
                  <w:shd w:val="clear" w:color="auto" w:fill="auto"/>
                  <w:noWrap w:val="0"/>
                  <w:vAlign w:val="center"/>
                </w:tcPr>
                <w:p w14:paraId="6CDAFFF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挤出塑化</w:t>
                  </w:r>
                </w:p>
              </w:tc>
              <w:tc>
                <w:tcPr>
                  <w:tcW w:w="1323" w:type="dxa"/>
                  <w:tcBorders>
                    <w:tl2br w:val="nil"/>
                    <w:tr2bl w:val="nil"/>
                  </w:tcBorders>
                  <w:shd w:val="clear" w:color="auto" w:fill="auto"/>
                  <w:noWrap w:val="0"/>
                  <w:vAlign w:val="center"/>
                </w:tcPr>
                <w:p w14:paraId="7851BF8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非甲烷总烃、</w:t>
                  </w:r>
                  <w:r>
                    <w:rPr>
                      <w:rFonts w:hint="default" w:ascii="Times New Roman" w:hAnsi="Times New Roman" w:eastAsia="宋体" w:cs="Times New Roman"/>
                      <w:strike w:val="0"/>
                      <w:dstrike w:val="0"/>
                      <w:color w:val="auto"/>
                      <w:sz w:val="21"/>
                      <w:szCs w:val="21"/>
                      <w:highlight w:val="none"/>
                      <w:lang w:eastAsia="zh-CN"/>
                    </w:rPr>
                    <w:t>HCl</w:t>
                  </w:r>
                  <w:r>
                    <w:rPr>
                      <w:rFonts w:hint="default" w:ascii="Times New Roman" w:hAnsi="Times New Roman" w:eastAsia="宋体" w:cs="Times New Roman"/>
                      <w:color w:val="auto"/>
                      <w:spacing w:val="5"/>
                      <w:sz w:val="21"/>
                      <w:szCs w:val="21"/>
                      <w:highlight w:val="none"/>
                      <w:lang w:val="en-US" w:eastAsia="zh-CN"/>
                    </w:rPr>
                    <w:t>、臭气浓度</w:t>
                  </w:r>
                </w:p>
              </w:tc>
              <w:tc>
                <w:tcPr>
                  <w:tcW w:w="2571" w:type="dxa"/>
                  <w:vMerge w:val="continue"/>
                  <w:tcBorders>
                    <w:tl2br w:val="nil"/>
                    <w:tr2bl w:val="nil"/>
                  </w:tcBorders>
                  <w:noWrap w:val="0"/>
                  <w:vAlign w:val="center"/>
                </w:tcPr>
                <w:p w14:paraId="46B939A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1157" w:type="dxa"/>
                  <w:vMerge w:val="continue"/>
                  <w:tcBorders>
                    <w:tl2br w:val="nil"/>
                    <w:tr2bl w:val="nil"/>
                  </w:tcBorders>
                  <w:noWrap w:val="0"/>
                  <w:vAlign w:val="center"/>
                </w:tcPr>
                <w:p w14:paraId="0D6C347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298F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6A6FD94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E1F460B">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8</w:t>
                  </w:r>
                </w:p>
              </w:tc>
              <w:tc>
                <w:tcPr>
                  <w:tcW w:w="1383" w:type="dxa"/>
                  <w:tcBorders>
                    <w:tl2br w:val="nil"/>
                    <w:tr2bl w:val="nil"/>
                  </w:tcBorders>
                  <w:shd w:val="clear" w:color="auto" w:fill="auto"/>
                  <w:noWrap w:val="0"/>
                  <w:vAlign w:val="center"/>
                </w:tcPr>
                <w:p w14:paraId="39E79E1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压延</w:t>
                  </w:r>
                </w:p>
              </w:tc>
              <w:tc>
                <w:tcPr>
                  <w:tcW w:w="1323" w:type="dxa"/>
                  <w:tcBorders>
                    <w:tl2br w:val="nil"/>
                    <w:tr2bl w:val="nil"/>
                  </w:tcBorders>
                  <w:shd w:val="clear" w:color="auto" w:fill="auto"/>
                  <w:noWrap w:val="0"/>
                  <w:vAlign w:val="center"/>
                </w:tcPr>
                <w:p w14:paraId="40C9BE3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非甲烷总烃</w:t>
                  </w:r>
                </w:p>
              </w:tc>
              <w:tc>
                <w:tcPr>
                  <w:tcW w:w="2571" w:type="dxa"/>
                  <w:vMerge w:val="continue"/>
                  <w:tcBorders>
                    <w:tl2br w:val="nil"/>
                    <w:tr2bl w:val="nil"/>
                  </w:tcBorders>
                  <w:noWrap w:val="0"/>
                  <w:vAlign w:val="center"/>
                </w:tcPr>
                <w:p w14:paraId="7CB086B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1157" w:type="dxa"/>
                  <w:vMerge w:val="continue"/>
                  <w:tcBorders>
                    <w:tl2br w:val="nil"/>
                    <w:tr2bl w:val="nil"/>
                  </w:tcBorders>
                  <w:noWrap w:val="0"/>
                  <w:vAlign w:val="center"/>
                </w:tcPr>
                <w:p w14:paraId="2B6D10B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2629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EE5711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5163C4E2">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9</w:t>
                  </w:r>
                </w:p>
              </w:tc>
              <w:tc>
                <w:tcPr>
                  <w:tcW w:w="1383" w:type="dxa"/>
                  <w:tcBorders>
                    <w:tl2br w:val="nil"/>
                    <w:tr2bl w:val="nil"/>
                  </w:tcBorders>
                  <w:shd w:val="clear" w:color="auto" w:fill="auto"/>
                  <w:noWrap w:val="0"/>
                  <w:vAlign w:val="center"/>
                </w:tcPr>
                <w:p w14:paraId="61FAF60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lang w:val="en-US" w:eastAsia="zh-CN"/>
                    </w:rPr>
                    <w:t>抛轮投</w:t>
                  </w:r>
                  <w:r>
                    <w:rPr>
                      <w:rFonts w:hint="default" w:ascii="Times New Roman" w:hAnsi="Times New Roman" w:eastAsia="宋体" w:cs="Times New Roman"/>
                      <w:color w:val="auto"/>
                      <w:spacing w:val="4"/>
                      <w:sz w:val="21"/>
                      <w:szCs w:val="21"/>
                      <w:highlight w:val="none"/>
                    </w:rPr>
                    <w:t>料</w:t>
                  </w:r>
                </w:p>
              </w:tc>
              <w:tc>
                <w:tcPr>
                  <w:tcW w:w="1323" w:type="dxa"/>
                  <w:tcBorders>
                    <w:tl2br w:val="nil"/>
                    <w:tr2bl w:val="nil"/>
                  </w:tcBorders>
                  <w:shd w:val="clear" w:color="auto" w:fill="auto"/>
                  <w:noWrap w:val="0"/>
                  <w:vAlign w:val="center"/>
                </w:tcPr>
                <w:p w14:paraId="57CEDE5B">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粉尘</w:t>
                  </w:r>
                </w:p>
              </w:tc>
              <w:tc>
                <w:tcPr>
                  <w:tcW w:w="2571" w:type="dxa"/>
                  <w:vMerge w:val="restart"/>
                  <w:tcBorders>
                    <w:tl2br w:val="nil"/>
                    <w:tr2bl w:val="nil"/>
                  </w:tcBorders>
                  <w:noWrap w:val="0"/>
                  <w:vAlign w:val="center"/>
                </w:tcPr>
                <w:p w14:paraId="7C732E8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集气罩+布袋除尘器（</w:t>
                  </w:r>
                  <w:r>
                    <w:rPr>
                      <w:rFonts w:hint="default" w:ascii="Times New Roman" w:hAnsi="Times New Roman" w:eastAsia="宋体" w:cs="Times New Roman"/>
                      <w:color w:val="auto"/>
                      <w:spacing w:val="1"/>
                      <w:sz w:val="21"/>
                      <w:szCs w:val="21"/>
                      <w:highlight w:val="none"/>
                      <w:lang w:val="en-US" w:eastAsia="zh-CN"/>
                    </w:rPr>
                    <w:t>3</w:t>
                  </w:r>
                  <w:r>
                    <w:rPr>
                      <w:rFonts w:hint="default" w:ascii="Times New Roman" w:hAnsi="Times New Roman" w:eastAsia="宋体" w:cs="Times New Roman"/>
                      <w:color w:val="auto"/>
                      <w:spacing w:val="1"/>
                      <w:sz w:val="21"/>
                      <w:szCs w:val="21"/>
                      <w:highlight w:val="none"/>
                    </w:rPr>
                    <w:t>#）+15m排气筒（</w:t>
                  </w:r>
                  <w:r>
                    <w:rPr>
                      <w:rFonts w:hint="default" w:ascii="Times New Roman" w:hAnsi="Times New Roman" w:eastAsia="宋体" w:cs="Times New Roman"/>
                      <w:color w:val="auto"/>
                      <w:sz w:val="21"/>
                      <w:szCs w:val="21"/>
                      <w:highlight w:val="none"/>
                    </w:rPr>
                    <w:t>DA</w:t>
                  </w:r>
                  <w:r>
                    <w:rPr>
                      <w:rFonts w:hint="default" w:ascii="Times New Roman" w:hAnsi="Times New Roman" w:eastAsia="宋体" w:cs="Times New Roman"/>
                      <w:color w:val="auto"/>
                      <w:spacing w:val="1"/>
                      <w:sz w:val="21"/>
                      <w:szCs w:val="21"/>
                      <w:highlight w:val="none"/>
                    </w:rPr>
                    <w:t>0</w:t>
                  </w:r>
                  <w:r>
                    <w:rPr>
                      <w:rFonts w:hint="default" w:ascii="Times New Roman" w:hAnsi="Times New Roman" w:eastAsia="宋体" w:cs="Times New Roman"/>
                      <w:color w:val="auto"/>
                      <w:spacing w:val="1"/>
                      <w:sz w:val="21"/>
                      <w:szCs w:val="21"/>
                      <w:highlight w:val="none"/>
                      <w:lang w:val="en-US" w:eastAsia="zh-CN"/>
                    </w:rPr>
                    <w:t>04</w:t>
                  </w:r>
                  <w:r>
                    <w:rPr>
                      <w:rFonts w:hint="default" w:ascii="Times New Roman" w:hAnsi="Times New Roman" w:eastAsia="宋体" w:cs="Times New Roman"/>
                      <w:color w:val="auto"/>
                      <w:spacing w:val="1"/>
                      <w:sz w:val="21"/>
                      <w:szCs w:val="21"/>
                      <w:highlight w:val="none"/>
                    </w:rPr>
                    <w:t>）</w:t>
                  </w:r>
                </w:p>
              </w:tc>
              <w:tc>
                <w:tcPr>
                  <w:tcW w:w="1157" w:type="dxa"/>
                  <w:vMerge w:val="restart"/>
                  <w:tcBorders>
                    <w:tl2br w:val="nil"/>
                    <w:tr2bl w:val="nil"/>
                  </w:tcBorders>
                  <w:noWrap w:val="0"/>
                  <w:vAlign w:val="center"/>
                </w:tcPr>
                <w:p w14:paraId="15DAA3D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有组织</w:t>
                  </w:r>
                </w:p>
              </w:tc>
            </w:tr>
            <w:tr w14:paraId="72D7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6F0F12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03BA5E7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10</w:t>
                  </w:r>
                </w:p>
              </w:tc>
              <w:tc>
                <w:tcPr>
                  <w:tcW w:w="1383" w:type="dxa"/>
                  <w:tcBorders>
                    <w:tl2br w:val="nil"/>
                    <w:tr2bl w:val="nil"/>
                  </w:tcBorders>
                  <w:shd w:val="clear" w:color="auto" w:fill="auto"/>
                  <w:noWrap w:val="0"/>
                  <w:vAlign w:val="center"/>
                </w:tcPr>
                <w:p w14:paraId="11A70EDD">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5"/>
                      <w:sz w:val="21"/>
                      <w:szCs w:val="21"/>
                      <w:highlight w:val="none"/>
                    </w:rPr>
                    <w:t>车外圆</w:t>
                  </w:r>
                </w:p>
              </w:tc>
              <w:tc>
                <w:tcPr>
                  <w:tcW w:w="1323" w:type="dxa"/>
                  <w:tcBorders>
                    <w:tl2br w:val="nil"/>
                    <w:tr2bl w:val="nil"/>
                  </w:tcBorders>
                  <w:shd w:val="clear" w:color="auto" w:fill="auto"/>
                  <w:noWrap w:val="0"/>
                  <w:vAlign w:val="center"/>
                </w:tcPr>
                <w:p w14:paraId="1E681C2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粉尘</w:t>
                  </w:r>
                </w:p>
              </w:tc>
              <w:tc>
                <w:tcPr>
                  <w:tcW w:w="2571" w:type="dxa"/>
                  <w:vMerge w:val="continue"/>
                  <w:tcBorders>
                    <w:tl2br w:val="nil"/>
                    <w:tr2bl w:val="nil"/>
                  </w:tcBorders>
                  <w:noWrap w:val="0"/>
                  <w:vAlign w:val="center"/>
                </w:tcPr>
                <w:p w14:paraId="380E019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1157" w:type="dxa"/>
                  <w:vMerge w:val="continue"/>
                  <w:tcBorders>
                    <w:tl2br w:val="nil"/>
                    <w:tr2bl w:val="nil"/>
                  </w:tcBorders>
                  <w:noWrap w:val="0"/>
                  <w:vAlign w:val="center"/>
                </w:tcPr>
                <w:p w14:paraId="440F068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02D6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5D3FF6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F07BDA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11</w:t>
                  </w:r>
                </w:p>
              </w:tc>
              <w:tc>
                <w:tcPr>
                  <w:tcW w:w="1383" w:type="dxa"/>
                  <w:tcBorders>
                    <w:tl2br w:val="nil"/>
                    <w:tr2bl w:val="nil"/>
                  </w:tcBorders>
                  <w:shd w:val="clear" w:color="auto" w:fill="auto"/>
                  <w:noWrap w:val="0"/>
                  <w:vAlign w:val="center"/>
                </w:tcPr>
                <w:p w14:paraId="3F09B8D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15"/>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吸塑</w:t>
                  </w:r>
                  <w:r>
                    <w:rPr>
                      <w:rFonts w:hint="default" w:ascii="Times New Roman" w:hAnsi="Times New Roman" w:eastAsia="宋体" w:cs="Times New Roman"/>
                      <w:color w:val="auto"/>
                      <w:spacing w:val="15"/>
                      <w:sz w:val="21"/>
                      <w:szCs w:val="21"/>
                      <w:highlight w:val="none"/>
                      <w:lang w:val="en-US" w:eastAsia="zh-CN"/>
                    </w:rPr>
                    <w:t>车间</w:t>
                  </w:r>
                </w:p>
              </w:tc>
              <w:tc>
                <w:tcPr>
                  <w:tcW w:w="1323" w:type="dxa"/>
                  <w:tcBorders>
                    <w:tl2br w:val="nil"/>
                    <w:tr2bl w:val="nil"/>
                  </w:tcBorders>
                  <w:shd w:val="clear" w:color="auto" w:fill="auto"/>
                  <w:noWrap w:val="0"/>
                  <w:vAlign w:val="center"/>
                </w:tcPr>
                <w:p w14:paraId="4852F493">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15"/>
                      <w:sz w:val="21"/>
                      <w:szCs w:val="21"/>
                      <w:highlight w:val="none"/>
                      <w:lang w:val="en-US" w:eastAsia="zh-CN"/>
                    </w:rPr>
                    <w:t>异味</w:t>
                  </w:r>
                </w:p>
              </w:tc>
              <w:tc>
                <w:tcPr>
                  <w:tcW w:w="2571" w:type="dxa"/>
                  <w:tcBorders>
                    <w:tl2br w:val="nil"/>
                    <w:tr2bl w:val="nil"/>
                  </w:tcBorders>
                  <w:noWrap w:val="0"/>
                  <w:vAlign w:val="center"/>
                </w:tcPr>
                <w:p w14:paraId="61D3FA76">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加强通风</w:t>
                  </w:r>
                </w:p>
              </w:tc>
              <w:tc>
                <w:tcPr>
                  <w:tcW w:w="1157" w:type="dxa"/>
                  <w:tcBorders>
                    <w:tl2br w:val="nil"/>
                    <w:tr2bl w:val="nil"/>
                  </w:tcBorders>
                  <w:noWrap w:val="0"/>
                  <w:vAlign w:val="center"/>
                </w:tcPr>
                <w:p w14:paraId="0FA9F73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无组织</w:t>
                  </w:r>
                </w:p>
              </w:tc>
            </w:tr>
            <w:tr w14:paraId="4CF8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1CFABF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BAB499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12</w:t>
                  </w:r>
                </w:p>
              </w:tc>
              <w:tc>
                <w:tcPr>
                  <w:tcW w:w="1383" w:type="dxa"/>
                  <w:tcBorders>
                    <w:tl2br w:val="nil"/>
                    <w:tr2bl w:val="nil"/>
                  </w:tcBorders>
                  <w:shd w:val="clear" w:color="auto" w:fill="auto"/>
                  <w:noWrap w:val="0"/>
                  <w:vAlign w:val="center"/>
                </w:tcPr>
                <w:p w14:paraId="1F994E6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15"/>
                      <w:sz w:val="21"/>
                      <w:szCs w:val="21"/>
                      <w:highlight w:val="none"/>
                      <w:lang w:val="en-US" w:eastAsia="zh-CN"/>
                    </w:rPr>
                  </w:pPr>
                  <w:r>
                    <w:rPr>
                      <w:rFonts w:hint="default" w:ascii="Times New Roman" w:hAnsi="Times New Roman" w:eastAsia="宋体" w:cs="Times New Roman"/>
                      <w:color w:val="auto"/>
                      <w:spacing w:val="15"/>
                      <w:sz w:val="21"/>
                      <w:szCs w:val="21"/>
                      <w:highlight w:val="none"/>
                      <w:lang w:val="en-US" w:eastAsia="zh-CN"/>
                    </w:rPr>
                    <w:t>污水处理设施</w:t>
                  </w:r>
                </w:p>
              </w:tc>
              <w:tc>
                <w:tcPr>
                  <w:tcW w:w="1323" w:type="dxa"/>
                  <w:tcBorders>
                    <w:tl2br w:val="nil"/>
                    <w:tr2bl w:val="nil"/>
                  </w:tcBorders>
                  <w:shd w:val="clear" w:color="auto" w:fill="auto"/>
                  <w:noWrap w:val="0"/>
                  <w:vAlign w:val="center"/>
                </w:tcPr>
                <w:p w14:paraId="027B7595">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氨、硫化氢、臭气浓度</w:t>
                  </w:r>
                </w:p>
              </w:tc>
              <w:tc>
                <w:tcPr>
                  <w:tcW w:w="2571" w:type="dxa"/>
                  <w:tcBorders>
                    <w:tl2br w:val="nil"/>
                    <w:tr2bl w:val="nil"/>
                  </w:tcBorders>
                  <w:noWrap w:val="0"/>
                  <w:vAlign w:val="center"/>
                </w:tcPr>
                <w:p w14:paraId="4B0CFAD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池体封闭、喷洒除臭剂、绿化吸收</w:t>
                  </w:r>
                </w:p>
              </w:tc>
              <w:tc>
                <w:tcPr>
                  <w:tcW w:w="1157" w:type="dxa"/>
                  <w:tcBorders>
                    <w:tl2br w:val="nil"/>
                    <w:tr2bl w:val="nil"/>
                  </w:tcBorders>
                  <w:noWrap w:val="0"/>
                  <w:vAlign w:val="center"/>
                </w:tcPr>
                <w:p w14:paraId="47AF7EA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无组织</w:t>
                  </w:r>
                </w:p>
              </w:tc>
            </w:tr>
            <w:tr w14:paraId="33BD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82B859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3C63B8F4">
                  <w:pPr>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sz w:val="21"/>
                      <w:szCs w:val="21"/>
                      <w:highlight w:val="none"/>
                      <w:lang w:val="en-US"/>
                    </w:rPr>
                  </w:pPr>
                  <w:r>
                    <w:rPr>
                      <w:rFonts w:hint="default" w:ascii="Times New Roman" w:hAnsi="Times New Roman" w:eastAsia="宋体" w:cs="Times New Roman"/>
                      <w:color w:val="auto"/>
                      <w:spacing w:val="2"/>
                      <w:sz w:val="21"/>
                      <w:szCs w:val="21"/>
                      <w:highlight w:val="none"/>
                    </w:rPr>
                    <w:t>G</w:t>
                  </w:r>
                  <w:r>
                    <w:rPr>
                      <w:rFonts w:hint="default" w:ascii="Times New Roman" w:hAnsi="Times New Roman" w:eastAsia="宋体" w:cs="Times New Roman"/>
                      <w:color w:val="auto"/>
                      <w:spacing w:val="2"/>
                      <w:sz w:val="21"/>
                      <w:szCs w:val="21"/>
                      <w:highlight w:val="none"/>
                      <w:lang w:val="en-US" w:eastAsia="zh-CN"/>
                    </w:rPr>
                    <w:t>13</w:t>
                  </w:r>
                </w:p>
              </w:tc>
              <w:tc>
                <w:tcPr>
                  <w:tcW w:w="1383" w:type="dxa"/>
                  <w:tcBorders>
                    <w:tl2br w:val="nil"/>
                    <w:tr2bl w:val="nil"/>
                  </w:tcBorders>
                  <w:shd w:val="clear" w:color="auto" w:fill="auto"/>
                  <w:noWrap w:val="0"/>
                  <w:vAlign w:val="center"/>
                </w:tcPr>
                <w:p w14:paraId="4EEB095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15"/>
                      <w:sz w:val="21"/>
                      <w:szCs w:val="21"/>
                      <w:highlight w:val="none"/>
                      <w:lang w:val="en-US" w:eastAsia="zh-CN"/>
                    </w:rPr>
                  </w:pPr>
                  <w:r>
                    <w:rPr>
                      <w:rFonts w:hint="default" w:ascii="Times New Roman" w:hAnsi="Times New Roman" w:eastAsia="宋体" w:cs="Times New Roman"/>
                      <w:color w:val="auto"/>
                      <w:spacing w:val="15"/>
                      <w:sz w:val="21"/>
                      <w:szCs w:val="21"/>
                      <w:highlight w:val="none"/>
                      <w:lang w:val="en-US" w:eastAsia="zh-CN"/>
                    </w:rPr>
                    <w:t>食堂</w:t>
                  </w:r>
                </w:p>
              </w:tc>
              <w:tc>
                <w:tcPr>
                  <w:tcW w:w="1323" w:type="dxa"/>
                  <w:tcBorders>
                    <w:tl2br w:val="nil"/>
                    <w:tr2bl w:val="nil"/>
                  </w:tcBorders>
                  <w:shd w:val="clear" w:color="auto" w:fill="auto"/>
                  <w:noWrap w:val="0"/>
                  <w:vAlign w:val="center"/>
                </w:tcPr>
                <w:p w14:paraId="30048DE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油烟</w:t>
                  </w:r>
                </w:p>
              </w:tc>
              <w:tc>
                <w:tcPr>
                  <w:tcW w:w="2571" w:type="dxa"/>
                  <w:tcBorders>
                    <w:tl2br w:val="nil"/>
                    <w:tr2bl w:val="nil"/>
                  </w:tcBorders>
                  <w:noWrap w:val="0"/>
                  <w:vAlign w:val="center"/>
                </w:tcPr>
                <w:p w14:paraId="645CE11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设置油烟净化器，食堂油烟收集净化后通过排风系统经1根排气筒引至楼顶高空排放，食堂油烟净化去除率不低于75%</w:t>
                  </w:r>
                </w:p>
              </w:tc>
              <w:tc>
                <w:tcPr>
                  <w:tcW w:w="1157" w:type="dxa"/>
                  <w:tcBorders>
                    <w:tl2br w:val="nil"/>
                    <w:tr2bl w:val="nil"/>
                  </w:tcBorders>
                  <w:noWrap w:val="0"/>
                  <w:vAlign w:val="center"/>
                </w:tcPr>
                <w:p w14:paraId="3F00BDF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无组织</w:t>
                  </w:r>
                </w:p>
              </w:tc>
            </w:tr>
            <w:tr w14:paraId="49BA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noWrap w:val="0"/>
                  <w:vAlign w:val="center"/>
                </w:tcPr>
                <w:p w14:paraId="4A8604E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r>
                    <w:rPr>
                      <w:rFonts w:hint="default" w:ascii="Times New Roman" w:hAnsi="Times New Roman" w:eastAsia="宋体" w:cs="Times New Roman"/>
                      <w:b w:val="0"/>
                      <w:bCs w:val="0"/>
                      <w:strike w:val="0"/>
                      <w:dstrike w:val="0"/>
                      <w:color w:val="auto"/>
                      <w:sz w:val="21"/>
                      <w:szCs w:val="21"/>
                      <w:highlight w:val="none"/>
                      <w:vertAlign w:val="baseline"/>
                      <w:lang w:val="en-US" w:eastAsia="zh-CN"/>
                    </w:rPr>
                    <w:t>废水</w:t>
                  </w:r>
                </w:p>
              </w:tc>
              <w:tc>
                <w:tcPr>
                  <w:tcW w:w="819" w:type="dxa"/>
                  <w:tcBorders>
                    <w:tl2br w:val="nil"/>
                    <w:tr2bl w:val="nil"/>
                  </w:tcBorders>
                  <w:shd w:val="clear" w:color="auto" w:fill="auto"/>
                  <w:noWrap w:val="0"/>
                  <w:vAlign w:val="center"/>
                </w:tcPr>
                <w:p w14:paraId="5F32952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W1</w:t>
                  </w:r>
                </w:p>
              </w:tc>
              <w:tc>
                <w:tcPr>
                  <w:tcW w:w="1383" w:type="dxa"/>
                  <w:tcBorders>
                    <w:tl2br w:val="nil"/>
                    <w:tr2bl w:val="nil"/>
                  </w:tcBorders>
                  <w:shd w:val="clear" w:color="auto" w:fill="auto"/>
                  <w:noWrap w:val="0"/>
                  <w:vAlign w:val="center"/>
                </w:tcPr>
                <w:p w14:paraId="5C0F0C6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清洗废水</w:t>
                  </w:r>
                </w:p>
              </w:tc>
              <w:tc>
                <w:tcPr>
                  <w:tcW w:w="1323" w:type="dxa"/>
                  <w:tcBorders>
                    <w:tl2br w:val="nil"/>
                    <w:tr2bl w:val="nil"/>
                  </w:tcBorders>
                  <w:shd w:val="clear" w:color="auto" w:fill="auto"/>
                  <w:noWrap w:val="0"/>
                  <w:vAlign w:val="center"/>
                </w:tcPr>
                <w:p w14:paraId="3AC8698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含尘废水</w:t>
                  </w:r>
                </w:p>
              </w:tc>
              <w:tc>
                <w:tcPr>
                  <w:tcW w:w="2571" w:type="dxa"/>
                  <w:tcBorders>
                    <w:tl2br w:val="nil"/>
                    <w:tr2bl w:val="nil"/>
                  </w:tcBorders>
                  <w:shd w:val="clear" w:color="auto" w:fill="auto"/>
                  <w:noWrap w:val="0"/>
                  <w:vAlign w:val="center"/>
                </w:tcPr>
                <w:p w14:paraId="78ED75E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w:t>
                  </w:r>
                  <w:r>
                    <w:rPr>
                      <w:rFonts w:hint="eastAsia" w:cs="Times New Roman"/>
                      <w:strike w:val="0"/>
                      <w:dstrike w:val="0"/>
                      <w:color w:val="auto"/>
                      <w:sz w:val="21"/>
                      <w:szCs w:val="21"/>
                      <w:highlight w:val="none"/>
                      <w:lang w:eastAsia="zh-CN"/>
                    </w:rPr>
                    <w:t>珠胚</w:t>
                  </w:r>
                  <w:r>
                    <w:rPr>
                      <w:rFonts w:hint="default" w:ascii="Times New Roman" w:hAnsi="Times New Roman" w:eastAsia="宋体" w:cs="Times New Roman"/>
                      <w:strike w:val="0"/>
                      <w:dstrike w:val="0"/>
                      <w:color w:val="auto"/>
                      <w:sz w:val="21"/>
                      <w:szCs w:val="21"/>
                      <w:highlight w:val="none"/>
                    </w:rPr>
                    <w:t>循环沉淀处理后大部分循环回用，少量</w:t>
                  </w:r>
                  <w:r>
                    <w:rPr>
                      <w:rFonts w:hint="default" w:ascii="Times New Roman" w:hAnsi="Times New Roman" w:eastAsia="宋体" w:cs="Times New Roman"/>
                      <w:color w:val="auto"/>
                      <w:spacing w:val="-2"/>
                      <w:sz w:val="21"/>
                      <w:szCs w:val="21"/>
                      <w:highlight w:val="none"/>
                      <w:lang w:val="en-US" w:eastAsia="zh-CN"/>
                    </w:rPr>
                    <w:t>压滤后</w:t>
                  </w:r>
                  <w:r>
                    <w:rPr>
                      <w:rFonts w:hint="default" w:ascii="Times New Roman" w:hAnsi="Times New Roman" w:eastAsia="宋体" w:cs="Times New Roman"/>
                      <w:strike w:val="0"/>
                      <w:dstrike w:val="0"/>
                      <w:color w:val="auto"/>
                      <w:sz w:val="21"/>
                      <w:szCs w:val="21"/>
                      <w:highlight w:val="none"/>
                    </w:rPr>
                    <w:t>进入生化污水处理站</w:t>
                  </w:r>
                </w:p>
              </w:tc>
              <w:tc>
                <w:tcPr>
                  <w:tcW w:w="1157" w:type="dxa"/>
                  <w:vMerge w:val="restart"/>
                  <w:tcBorders>
                    <w:tl2br w:val="nil"/>
                    <w:tr2bl w:val="nil"/>
                  </w:tcBorders>
                  <w:noWrap w:val="0"/>
                  <w:vAlign w:val="center"/>
                </w:tcPr>
                <w:p w14:paraId="1556B9D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pacing w:val="5"/>
                      <w:sz w:val="21"/>
                      <w:szCs w:val="21"/>
                      <w:highlight w:val="none"/>
                      <w:lang w:val="en-US" w:eastAsia="zh-CN"/>
                    </w:rPr>
                    <w:t>经市政管网排入</w:t>
                  </w:r>
                  <w:r>
                    <w:rPr>
                      <w:rFonts w:hint="default" w:ascii="Times New Roman" w:hAnsi="Times New Roman" w:eastAsia="宋体" w:cs="Times New Roman"/>
                      <w:strike w:val="0"/>
                      <w:dstrike w:val="0"/>
                      <w:color w:val="auto"/>
                      <w:sz w:val="21"/>
                      <w:szCs w:val="21"/>
                      <w:highlight w:val="none"/>
                      <w:lang w:val="en-US" w:eastAsia="zh-CN"/>
                    </w:rPr>
                    <w:t>污水处理厂</w:t>
                  </w:r>
                </w:p>
              </w:tc>
            </w:tr>
            <w:tr w14:paraId="5804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7EA177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1F4CC4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W2</w:t>
                  </w:r>
                </w:p>
              </w:tc>
              <w:tc>
                <w:tcPr>
                  <w:tcW w:w="1383" w:type="dxa"/>
                  <w:tcBorders>
                    <w:tl2br w:val="nil"/>
                    <w:tr2bl w:val="nil"/>
                  </w:tcBorders>
                  <w:shd w:val="clear" w:color="auto" w:fill="auto"/>
                  <w:noWrap w:val="0"/>
                  <w:vAlign w:val="center"/>
                </w:tcPr>
                <w:p w14:paraId="20E3252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磨抛废水</w:t>
                  </w:r>
                </w:p>
              </w:tc>
              <w:tc>
                <w:tcPr>
                  <w:tcW w:w="1323" w:type="dxa"/>
                  <w:tcBorders>
                    <w:tl2br w:val="nil"/>
                    <w:tr2bl w:val="nil"/>
                  </w:tcBorders>
                  <w:shd w:val="clear" w:color="auto" w:fill="auto"/>
                  <w:noWrap w:val="0"/>
                  <w:vAlign w:val="center"/>
                </w:tcPr>
                <w:p w14:paraId="1B3D867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含尘废水</w:t>
                  </w:r>
                </w:p>
              </w:tc>
              <w:tc>
                <w:tcPr>
                  <w:tcW w:w="2571" w:type="dxa"/>
                  <w:tcBorders>
                    <w:tl2br w:val="nil"/>
                    <w:tr2bl w:val="nil"/>
                  </w:tcBorders>
                  <w:shd w:val="clear" w:color="auto" w:fill="auto"/>
                  <w:noWrap w:val="0"/>
                  <w:vAlign w:val="center"/>
                </w:tcPr>
                <w:p w14:paraId="4551D4E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w:t>
                  </w:r>
                  <w:r>
                    <w:rPr>
                      <w:rFonts w:hint="default" w:ascii="Times New Roman" w:hAnsi="Times New Roman" w:eastAsia="宋体" w:cs="Times New Roman"/>
                      <w:strike w:val="0"/>
                      <w:dstrike w:val="0"/>
                      <w:color w:val="auto"/>
                      <w:sz w:val="21"/>
                      <w:szCs w:val="21"/>
                      <w:highlight w:val="none"/>
                    </w:rPr>
                    <w:t>磨抛循环</w:t>
                  </w:r>
                  <w:r>
                    <w:rPr>
                      <w:rFonts w:hint="default" w:ascii="Times New Roman" w:hAnsi="Times New Roman" w:eastAsia="宋体" w:cs="Times New Roman"/>
                      <w:strike w:val="0"/>
                      <w:dstrike w:val="0"/>
                      <w:color w:val="auto"/>
                      <w:sz w:val="21"/>
                      <w:szCs w:val="21"/>
                      <w:highlight w:val="none"/>
                      <w:lang w:val="en-US" w:eastAsia="zh-CN"/>
                    </w:rPr>
                    <w:t>沉淀</w:t>
                  </w:r>
                  <w:r>
                    <w:rPr>
                      <w:rFonts w:hint="default" w:ascii="Times New Roman" w:hAnsi="Times New Roman" w:eastAsia="宋体" w:cs="Times New Roman"/>
                      <w:strike w:val="0"/>
                      <w:dstrike w:val="0"/>
                      <w:color w:val="auto"/>
                      <w:sz w:val="21"/>
                      <w:szCs w:val="21"/>
                      <w:highlight w:val="none"/>
                    </w:rPr>
                    <w:t>处理后大部分回用，少量</w:t>
                  </w:r>
                  <w:r>
                    <w:rPr>
                      <w:rFonts w:hint="default" w:ascii="Times New Roman" w:hAnsi="Times New Roman" w:eastAsia="宋体" w:cs="Times New Roman"/>
                      <w:color w:val="auto"/>
                      <w:spacing w:val="-2"/>
                      <w:sz w:val="21"/>
                      <w:szCs w:val="21"/>
                      <w:highlight w:val="none"/>
                      <w:lang w:val="en-US" w:eastAsia="zh-CN"/>
                    </w:rPr>
                    <w:t>压滤后</w:t>
                  </w:r>
                  <w:r>
                    <w:rPr>
                      <w:rFonts w:hint="default" w:ascii="Times New Roman" w:hAnsi="Times New Roman" w:eastAsia="宋体" w:cs="Times New Roman"/>
                      <w:strike w:val="0"/>
                      <w:dstrike w:val="0"/>
                      <w:color w:val="auto"/>
                      <w:sz w:val="21"/>
                      <w:szCs w:val="21"/>
                      <w:highlight w:val="none"/>
                    </w:rPr>
                    <w:t>进入生化污水处理站</w:t>
                  </w:r>
                </w:p>
              </w:tc>
              <w:tc>
                <w:tcPr>
                  <w:tcW w:w="1157" w:type="dxa"/>
                  <w:vMerge w:val="continue"/>
                  <w:tcBorders>
                    <w:tl2br w:val="nil"/>
                    <w:tr2bl w:val="nil"/>
                  </w:tcBorders>
                  <w:noWrap w:val="0"/>
                  <w:vAlign w:val="center"/>
                </w:tcPr>
                <w:p w14:paraId="45DAE99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33C1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5DF428D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7F7138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W3</w:t>
                  </w:r>
                </w:p>
              </w:tc>
              <w:tc>
                <w:tcPr>
                  <w:tcW w:w="1383" w:type="dxa"/>
                  <w:tcBorders>
                    <w:tl2br w:val="nil"/>
                    <w:tr2bl w:val="nil"/>
                  </w:tcBorders>
                  <w:shd w:val="clear" w:color="auto" w:fill="auto"/>
                  <w:noWrap w:val="0"/>
                  <w:vAlign w:val="center"/>
                </w:tcPr>
                <w:p w14:paraId="4B6BA66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碱洗废水</w:t>
                  </w:r>
                </w:p>
              </w:tc>
              <w:tc>
                <w:tcPr>
                  <w:tcW w:w="1323" w:type="dxa"/>
                  <w:tcBorders>
                    <w:tl2br w:val="nil"/>
                    <w:tr2bl w:val="nil"/>
                  </w:tcBorders>
                  <w:shd w:val="clear" w:color="auto" w:fill="auto"/>
                  <w:noWrap w:val="0"/>
                  <w:vAlign w:val="center"/>
                </w:tcPr>
                <w:p w14:paraId="1DBAD6A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碱洗</w:t>
                  </w:r>
                  <w:r>
                    <w:rPr>
                      <w:rFonts w:hint="default" w:ascii="Times New Roman" w:hAnsi="Times New Roman" w:eastAsia="宋体" w:cs="Times New Roman"/>
                      <w:strike w:val="0"/>
                      <w:dstrike w:val="0"/>
                      <w:color w:val="auto"/>
                      <w:sz w:val="21"/>
                      <w:szCs w:val="21"/>
                      <w:highlight w:val="none"/>
                    </w:rPr>
                    <w:t>废水</w:t>
                  </w:r>
                </w:p>
              </w:tc>
              <w:tc>
                <w:tcPr>
                  <w:tcW w:w="2571" w:type="dxa"/>
                  <w:tcBorders>
                    <w:tl2br w:val="nil"/>
                    <w:tr2bl w:val="nil"/>
                  </w:tcBorders>
                  <w:shd w:val="clear" w:color="auto" w:fill="auto"/>
                  <w:noWrap w:val="0"/>
                  <w:vAlign w:val="center"/>
                </w:tcPr>
                <w:p w14:paraId="63678C7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w:t>
                  </w:r>
                  <w:r>
                    <w:rPr>
                      <w:rFonts w:hint="eastAsia" w:cs="Times New Roman"/>
                      <w:strike w:val="0"/>
                      <w:dstrike w:val="0"/>
                      <w:color w:val="auto"/>
                      <w:sz w:val="21"/>
                      <w:szCs w:val="21"/>
                      <w:highlight w:val="none"/>
                      <w:lang w:val="en-US" w:eastAsia="zh-CN"/>
                    </w:rPr>
                    <w:t>碱液收集池沉淀后</w:t>
                  </w:r>
                  <w:r>
                    <w:rPr>
                      <w:rFonts w:hint="default" w:ascii="Times New Roman" w:hAnsi="Times New Roman" w:eastAsia="宋体" w:cs="Times New Roman"/>
                      <w:strike w:val="0"/>
                      <w:dstrike w:val="0"/>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上层澄清液经管道输送回车间循环使用</w:t>
                  </w:r>
                  <w:r>
                    <w:rPr>
                      <w:rFonts w:hint="default" w:ascii="Times New Roman" w:hAnsi="Times New Roman" w:eastAsia="宋体" w:cs="Times New Roman"/>
                      <w:color w:val="auto"/>
                      <w:spacing w:val="-2"/>
                      <w:sz w:val="21"/>
                      <w:szCs w:val="21"/>
                      <w:highlight w:val="none"/>
                      <w:lang w:val="en-US" w:eastAsia="zh-CN"/>
                    </w:rPr>
                    <w:t>，</w:t>
                  </w:r>
                  <w:r>
                    <w:rPr>
                      <w:rFonts w:hint="eastAsia" w:cs="Times New Roman"/>
                      <w:color w:val="auto"/>
                      <w:sz w:val="21"/>
                      <w:szCs w:val="21"/>
                      <w:highlight w:val="none"/>
                      <w:lang w:val="en-US" w:eastAsia="zh-CN"/>
                    </w:rPr>
                    <w:t>其</w:t>
                  </w:r>
                  <w:r>
                    <w:rPr>
                      <w:rFonts w:hint="eastAsia" w:ascii="Times New Roman" w:hAnsi="Times New Roman" w:eastAsia="宋体" w:cs="Times New Roman"/>
                      <w:color w:val="auto"/>
                      <w:sz w:val="21"/>
                      <w:szCs w:val="21"/>
                      <w:highlight w:val="none"/>
                      <w:lang w:val="en-US" w:eastAsia="zh-CN"/>
                    </w:rPr>
                    <w:t>余经调节池进行PH调节后</w:t>
                  </w:r>
                  <w:r>
                    <w:rPr>
                      <w:rFonts w:hint="default" w:ascii="Times New Roman" w:hAnsi="Times New Roman" w:eastAsia="宋体" w:cs="Times New Roman"/>
                      <w:color w:val="auto"/>
                      <w:sz w:val="21"/>
                      <w:szCs w:val="21"/>
                      <w:highlight w:val="none"/>
                      <w:lang w:val="en-US" w:eastAsia="zh-CN"/>
                    </w:rPr>
                    <w:t>排至生化污水处理站处理</w:t>
                  </w:r>
                </w:p>
              </w:tc>
              <w:tc>
                <w:tcPr>
                  <w:tcW w:w="1157" w:type="dxa"/>
                  <w:vMerge w:val="continue"/>
                  <w:tcBorders>
                    <w:tl2br w:val="nil"/>
                    <w:tr2bl w:val="nil"/>
                  </w:tcBorders>
                  <w:noWrap w:val="0"/>
                  <w:vAlign w:val="center"/>
                </w:tcPr>
                <w:p w14:paraId="4BC62E7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1556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25CD3A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733700D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W4</w:t>
                  </w:r>
                </w:p>
              </w:tc>
              <w:tc>
                <w:tcPr>
                  <w:tcW w:w="1383" w:type="dxa"/>
                  <w:tcBorders>
                    <w:tl2br w:val="nil"/>
                    <w:tr2bl w:val="nil"/>
                  </w:tcBorders>
                  <w:shd w:val="clear" w:color="auto" w:fill="auto"/>
                  <w:noWrap w:val="0"/>
                  <w:vAlign w:val="center"/>
                </w:tcPr>
                <w:p w14:paraId="382AA10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碱洗后清洗废水</w:t>
                  </w:r>
                </w:p>
              </w:tc>
              <w:tc>
                <w:tcPr>
                  <w:tcW w:w="1323" w:type="dxa"/>
                  <w:tcBorders>
                    <w:tl2br w:val="nil"/>
                    <w:tr2bl w:val="nil"/>
                  </w:tcBorders>
                  <w:shd w:val="clear" w:color="auto" w:fill="auto"/>
                  <w:noWrap w:val="0"/>
                  <w:vAlign w:val="center"/>
                </w:tcPr>
                <w:p w14:paraId="3225158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清洗废水</w:t>
                  </w:r>
                </w:p>
              </w:tc>
              <w:tc>
                <w:tcPr>
                  <w:tcW w:w="2571" w:type="dxa"/>
                  <w:tcBorders>
                    <w:tl2br w:val="nil"/>
                    <w:tr2bl w:val="nil"/>
                  </w:tcBorders>
                  <w:noWrap w:val="0"/>
                  <w:vAlign w:val="center"/>
                </w:tcPr>
                <w:p w14:paraId="4DC6F80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大部分逆流回用于清洗工序，</w:t>
                  </w:r>
                  <w:r>
                    <w:rPr>
                      <w:rFonts w:hint="default" w:ascii="Times New Roman" w:hAnsi="Times New Roman" w:eastAsia="宋体" w:cs="Times New Roman"/>
                      <w:strike w:val="0"/>
                      <w:dstrike w:val="0"/>
                      <w:color w:val="auto"/>
                      <w:sz w:val="21"/>
                      <w:szCs w:val="21"/>
                      <w:highlight w:val="none"/>
                    </w:rPr>
                    <w:t>少量进入生化污水处理站</w:t>
                  </w:r>
                </w:p>
              </w:tc>
              <w:tc>
                <w:tcPr>
                  <w:tcW w:w="1157" w:type="dxa"/>
                  <w:vMerge w:val="continue"/>
                  <w:tcBorders>
                    <w:tl2br w:val="nil"/>
                    <w:tr2bl w:val="nil"/>
                  </w:tcBorders>
                  <w:noWrap w:val="0"/>
                  <w:vAlign w:val="center"/>
                </w:tcPr>
                <w:p w14:paraId="3025712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39BF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EE14E0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0F97A3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W5</w:t>
                  </w:r>
                </w:p>
              </w:tc>
              <w:tc>
                <w:tcPr>
                  <w:tcW w:w="1383" w:type="dxa"/>
                  <w:tcBorders>
                    <w:tl2br w:val="nil"/>
                    <w:tr2bl w:val="nil"/>
                  </w:tcBorders>
                  <w:shd w:val="clear" w:color="auto" w:fill="auto"/>
                  <w:noWrap w:val="0"/>
                  <w:vAlign w:val="center"/>
                </w:tcPr>
                <w:p w14:paraId="512B419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圆磨清洗</w:t>
                  </w:r>
                </w:p>
              </w:tc>
              <w:tc>
                <w:tcPr>
                  <w:tcW w:w="1323" w:type="dxa"/>
                  <w:tcBorders>
                    <w:tl2br w:val="nil"/>
                    <w:tr2bl w:val="nil"/>
                  </w:tcBorders>
                  <w:shd w:val="clear" w:color="auto" w:fill="auto"/>
                  <w:noWrap w:val="0"/>
                  <w:vAlign w:val="center"/>
                </w:tcPr>
                <w:p w14:paraId="1E8C62F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含尘废水</w:t>
                  </w:r>
                </w:p>
              </w:tc>
              <w:tc>
                <w:tcPr>
                  <w:tcW w:w="2571" w:type="dxa"/>
                  <w:tcBorders>
                    <w:tl2br w:val="nil"/>
                    <w:tr2bl w:val="nil"/>
                  </w:tcBorders>
                  <w:shd w:val="clear" w:color="auto" w:fill="auto"/>
                  <w:noWrap w:val="0"/>
                  <w:vAlign w:val="center"/>
                </w:tcPr>
                <w:p w14:paraId="0E290A6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w:t>
                  </w:r>
                  <w:r>
                    <w:rPr>
                      <w:rFonts w:hint="default" w:ascii="Times New Roman" w:hAnsi="Times New Roman" w:eastAsia="宋体" w:cs="Times New Roman"/>
                      <w:strike w:val="0"/>
                      <w:dstrike w:val="0"/>
                      <w:color w:val="auto"/>
                      <w:sz w:val="21"/>
                      <w:szCs w:val="21"/>
                      <w:highlight w:val="none"/>
                    </w:rPr>
                    <w:t>圆磨循环</w:t>
                  </w:r>
                  <w:r>
                    <w:rPr>
                      <w:rFonts w:hint="default" w:ascii="Times New Roman" w:hAnsi="Times New Roman" w:eastAsia="宋体" w:cs="Times New Roman"/>
                      <w:strike w:val="0"/>
                      <w:dstrike w:val="0"/>
                      <w:color w:val="auto"/>
                      <w:sz w:val="21"/>
                      <w:szCs w:val="21"/>
                      <w:highlight w:val="none"/>
                      <w:lang w:val="en-US" w:eastAsia="zh-CN"/>
                    </w:rPr>
                    <w:t>沉淀</w:t>
                  </w:r>
                  <w:r>
                    <w:rPr>
                      <w:rFonts w:hint="default" w:ascii="Times New Roman" w:hAnsi="Times New Roman" w:eastAsia="宋体" w:cs="Times New Roman"/>
                      <w:strike w:val="0"/>
                      <w:dstrike w:val="0"/>
                      <w:color w:val="auto"/>
                      <w:sz w:val="21"/>
                      <w:szCs w:val="21"/>
                      <w:highlight w:val="none"/>
                    </w:rPr>
                    <w:t>处理后大部分回用，少量</w:t>
                  </w:r>
                  <w:r>
                    <w:rPr>
                      <w:rFonts w:hint="default" w:ascii="Times New Roman" w:hAnsi="Times New Roman" w:eastAsia="宋体" w:cs="Times New Roman"/>
                      <w:color w:val="auto"/>
                      <w:spacing w:val="-2"/>
                      <w:sz w:val="21"/>
                      <w:szCs w:val="21"/>
                      <w:highlight w:val="none"/>
                      <w:lang w:val="en-US" w:eastAsia="zh-CN"/>
                    </w:rPr>
                    <w:t>压滤后</w:t>
                  </w:r>
                  <w:r>
                    <w:rPr>
                      <w:rFonts w:hint="default" w:ascii="Times New Roman" w:hAnsi="Times New Roman" w:eastAsia="宋体" w:cs="Times New Roman"/>
                      <w:strike w:val="0"/>
                      <w:dstrike w:val="0"/>
                      <w:color w:val="auto"/>
                      <w:sz w:val="21"/>
                      <w:szCs w:val="21"/>
                      <w:highlight w:val="none"/>
                    </w:rPr>
                    <w:t>进入生化污水处理站</w:t>
                  </w:r>
                </w:p>
              </w:tc>
              <w:tc>
                <w:tcPr>
                  <w:tcW w:w="1157" w:type="dxa"/>
                  <w:vMerge w:val="continue"/>
                  <w:tcBorders>
                    <w:tl2br w:val="nil"/>
                    <w:tr2bl w:val="nil"/>
                  </w:tcBorders>
                  <w:noWrap w:val="0"/>
                  <w:vAlign w:val="center"/>
                </w:tcPr>
                <w:p w14:paraId="67D2EC9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3CED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5FDCCFD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3ED5860F">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w:t>
                  </w:r>
                  <w:r>
                    <w:rPr>
                      <w:rFonts w:hint="default" w:ascii="Times New Roman" w:hAnsi="Times New Roman" w:eastAsia="宋体" w:cs="Times New Roman"/>
                      <w:color w:val="auto"/>
                      <w:spacing w:val="5"/>
                      <w:sz w:val="21"/>
                      <w:szCs w:val="21"/>
                      <w:highlight w:val="none"/>
                      <w:lang w:val="en-US" w:eastAsia="zh-CN"/>
                    </w:rPr>
                    <w:t>6</w:t>
                  </w:r>
                </w:p>
              </w:tc>
              <w:tc>
                <w:tcPr>
                  <w:tcW w:w="1383" w:type="dxa"/>
                  <w:tcBorders>
                    <w:tl2br w:val="nil"/>
                    <w:tr2bl w:val="nil"/>
                  </w:tcBorders>
                  <w:shd w:val="clear" w:color="auto" w:fill="auto"/>
                  <w:noWrap w:val="0"/>
                  <w:vAlign w:val="center"/>
                </w:tcPr>
                <w:p w14:paraId="503BCF3A">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吸塑片生产</w:t>
                  </w:r>
                  <w:r>
                    <w:rPr>
                      <w:rFonts w:hint="default" w:ascii="Times New Roman" w:hAnsi="Times New Roman" w:eastAsia="宋体" w:cs="Times New Roman"/>
                      <w:color w:val="auto"/>
                      <w:spacing w:val="8"/>
                      <w:sz w:val="21"/>
                      <w:szCs w:val="21"/>
                      <w:highlight w:val="none"/>
                    </w:rPr>
                    <w:t>循环冷却水</w:t>
                  </w:r>
                </w:p>
              </w:tc>
              <w:tc>
                <w:tcPr>
                  <w:tcW w:w="1323" w:type="dxa"/>
                  <w:tcBorders>
                    <w:tl2br w:val="nil"/>
                    <w:tr2bl w:val="nil"/>
                  </w:tcBorders>
                  <w:shd w:val="clear" w:color="auto" w:fill="auto"/>
                  <w:noWrap w:val="0"/>
                  <w:vAlign w:val="center"/>
                </w:tcPr>
                <w:p w14:paraId="234A9E51">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SS</w:t>
                  </w:r>
                </w:p>
              </w:tc>
              <w:tc>
                <w:tcPr>
                  <w:tcW w:w="2571" w:type="dxa"/>
                  <w:tcBorders>
                    <w:tl2br w:val="nil"/>
                    <w:tr2bl w:val="nil"/>
                  </w:tcBorders>
                  <w:shd w:val="clear" w:color="auto" w:fill="auto"/>
                  <w:noWrap w:val="0"/>
                  <w:vAlign w:val="center"/>
                </w:tcPr>
                <w:p w14:paraId="7AD98DC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冷却后全部</w:t>
                  </w:r>
                  <w:r>
                    <w:rPr>
                      <w:rFonts w:hint="default" w:ascii="Times New Roman" w:hAnsi="Times New Roman" w:eastAsia="宋体" w:cs="Times New Roman"/>
                      <w:color w:val="auto"/>
                      <w:spacing w:val="7"/>
                      <w:sz w:val="21"/>
                      <w:szCs w:val="21"/>
                      <w:highlight w:val="none"/>
                    </w:rPr>
                    <w:t>循环回用</w:t>
                  </w:r>
                </w:p>
              </w:tc>
              <w:tc>
                <w:tcPr>
                  <w:tcW w:w="1157" w:type="dxa"/>
                  <w:tcBorders>
                    <w:tl2br w:val="nil"/>
                    <w:tr2bl w:val="nil"/>
                  </w:tcBorders>
                  <w:shd w:val="clear" w:color="auto" w:fill="auto"/>
                  <w:noWrap w:val="0"/>
                  <w:vAlign w:val="center"/>
                </w:tcPr>
                <w:p w14:paraId="3C5109B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不外排</w:t>
                  </w:r>
                </w:p>
              </w:tc>
            </w:tr>
            <w:tr w14:paraId="33FF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85076B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61D6118">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W</w:t>
                  </w:r>
                  <w:r>
                    <w:rPr>
                      <w:rFonts w:hint="default" w:ascii="Times New Roman" w:hAnsi="Times New Roman" w:eastAsia="宋体" w:cs="Times New Roman"/>
                      <w:color w:val="auto"/>
                      <w:spacing w:val="5"/>
                      <w:sz w:val="21"/>
                      <w:szCs w:val="21"/>
                      <w:highlight w:val="none"/>
                      <w:lang w:val="en-US" w:eastAsia="zh-CN"/>
                    </w:rPr>
                    <w:t>7</w:t>
                  </w:r>
                </w:p>
              </w:tc>
              <w:tc>
                <w:tcPr>
                  <w:tcW w:w="1383" w:type="dxa"/>
                  <w:tcBorders>
                    <w:tl2br w:val="nil"/>
                    <w:tr2bl w:val="nil"/>
                  </w:tcBorders>
                  <w:shd w:val="clear" w:color="auto" w:fill="auto"/>
                  <w:noWrap w:val="0"/>
                  <w:vAlign w:val="center"/>
                </w:tcPr>
                <w:p w14:paraId="32203C7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lang w:val="en-US" w:eastAsia="zh-CN"/>
                    </w:rPr>
                    <w:t>磨抛车间</w:t>
                  </w:r>
                  <w:r>
                    <w:rPr>
                      <w:rFonts w:hint="default" w:ascii="Times New Roman" w:hAnsi="Times New Roman" w:eastAsia="宋体" w:cs="Times New Roman"/>
                      <w:color w:val="auto"/>
                      <w:spacing w:val="8"/>
                      <w:sz w:val="21"/>
                      <w:szCs w:val="21"/>
                      <w:highlight w:val="none"/>
                    </w:rPr>
                    <w:t>生产</w:t>
                  </w:r>
                  <w:r>
                    <w:rPr>
                      <w:rFonts w:hint="default" w:ascii="Times New Roman" w:hAnsi="Times New Roman" w:eastAsia="宋体" w:cs="Times New Roman"/>
                      <w:color w:val="auto"/>
                      <w:spacing w:val="8"/>
                      <w:sz w:val="21"/>
                      <w:szCs w:val="21"/>
                      <w:highlight w:val="none"/>
                      <w:lang w:val="en-US" w:eastAsia="zh-CN"/>
                    </w:rPr>
                    <w:t>设备</w:t>
                  </w:r>
                  <w:r>
                    <w:rPr>
                      <w:rFonts w:hint="default" w:ascii="Times New Roman" w:hAnsi="Times New Roman" w:eastAsia="宋体" w:cs="Times New Roman"/>
                      <w:color w:val="auto"/>
                      <w:spacing w:val="8"/>
                      <w:sz w:val="21"/>
                      <w:szCs w:val="21"/>
                      <w:highlight w:val="none"/>
                    </w:rPr>
                    <w:t>冷却循环水</w:t>
                  </w:r>
                </w:p>
              </w:tc>
              <w:tc>
                <w:tcPr>
                  <w:tcW w:w="1323" w:type="dxa"/>
                  <w:tcBorders>
                    <w:tl2br w:val="nil"/>
                    <w:tr2bl w:val="nil"/>
                  </w:tcBorders>
                  <w:shd w:val="clear" w:color="auto" w:fill="auto"/>
                  <w:noWrap w:val="0"/>
                  <w:vAlign w:val="center"/>
                </w:tcPr>
                <w:p w14:paraId="274D85D9">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SS</w:t>
                  </w:r>
                </w:p>
              </w:tc>
              <w:tc>
                <w:tcPr>
                  <w:tcW w:w="2571" w:type="dxa"/>
                  <w:tcBorders>
                    <w:tl2br w:val="nil"/>
                    <w:tr2bl w:val="nil"/>
                  </w:tcBorders>
                  <w:shd w:val="clear" w:color="auto" w:fill="auto"/>
                  <w:noWrap w:val="0"/>
                  <w:vAlign w:val="center"/>
                </w:tcPr>
                <w:p w14:paraId="4673BA3E">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lang w:val="en-US" w:eastAsia="zh-CN"/>
                    </w:rPr>
                    <w:t>冷却后全部</w:t>
                  </w:r>
                  <w:r>
                    <w:rPr>
                      <w:rFonts w:hint="default" w:ascii="Times New Roman" w:hAnsi="Times New Roman" w:eastAsia="宋体" w:cs="Times New Roman"/>
                      <w:color w:val="auto"/>
                      <w:spacing w:val="7"/>
                      <w:sz w:val="21"/>
                      <w:szCs w:val="21"/>
                      <w:highlight w:val="none"/>
                    </w:rPr>
                    <w:t>循环回用</w:t>
                  </w:r>
                </w:p>
              </w:tc>
              <w:tc>
                <w:tcPr>
                  <w:tcW w:w="1157" w:type="dxa"/>
                  <w:tcBorders>
                    <w:tl2br w:val="nil"/>
                    <w:tr2bl w:val="nil"/>
                  </w:tcBorders>
                  <w:shd w:val="clear" w:color="auto" w:fill="auto"/>
                  <w:noWrap w:val="0"/>
                  <w:vAlign w:val="center"/>
                </w:tcPr>
                <w:p w14:paraId="19A6855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不外排</w:t>
                  </w:r>
                </w:p>
              </w:tc>
            </w:tr>
            <w:tr w14:paraId="43C5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6FC5465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E3D554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W</w:t>
                  </w:r>
                  <w:r>
                    <w:rPr>
                      <w:rFonts w:hint="default" w:ascii="Times New Roman" w:hAnsi="Times New Roman" w:eastAsia="宋体" w:cs="Times New Roman"/>
                      <w:strike w:val="0"/>
                      <w:dstrike w:val="0"/>
                      <w:color w:val="auto"/>
                      <w:sz w:val="21"/>
                      <w:szCs w:val="21"/>
                      <w:highlight w:val="none"/>
                      <w:lang w:val="en-US" w:eastAsia="zh-CN"/>
                    </w:rPr>
                    <w:t>8</w:t>
                  </w:r>
                </w:p>
              </w:tc>
              <w:tc>
                <w:tcPr>
                  <w:tcW w:w="1383" w:type="dxa"/>
                  <w:tcBorders>
                    <w:tl2br w:val="nil"/>
                    <w:tr2bl w:val="nil"/>
                  </w:tcBorders>
                  <w:shd w:val="clear" w:color="auto" w:fill="auto"/>
                  <w:noWrap w:val="0"/>
                  <w:vAlign w:val="center"/>
                </w:tcPr>
                <w:p w14:paraId="4BC6457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去离子水制备浓水</w:t>
                  </w:r>
                  <w:r>
                    <w:rPr>
                      <w:rFonts w:hint="default" w:ascii="Times New Roman" w:hAnsi="Times New Roman" w:eastAsia="宋体" w:cs="Times New Roman"/>
                      <w:color w:val="auto"/>
                      <w:spacing w:val="-1"/>
                      <w:sz w:val="21"/>
                      <w:szCs w:val="21"/>
                      <w:highlight w:val="none"/>
                      <w:lang w:val="en-US" w:eastAsia="zh-CN"/>
                    </w:rPr>
                    <w:t>及反冲洗水</w:t>
                  </w:r>
                </w:p>
              </w:tc>
              <w:tc>
                <w:tcPr>
                  <w:tcW w:w="1323" w:type="dxa"/>
                  <w:tcBorders>
                    <w:tl2br w:val="nil"/>
                    <w:tr2bl w:val="nil"/>
                  </w:tcBorders>
                  <w:shd w:val="clear" w:color="auto" w:fill="auto"/>
                  <w:noWrap w:val="0"/>
                  <w:vAlign w:val="center"/>
                </w:tcPr>
                <w:p w14:paraId="13608A14">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SS</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盐类</w:t>
                  </w:r>
                </w:p>
              </w:tc>
              <w:tc>
                <w:tcPr>
                  <w:tcW w:w="2571" w:type="dxa"/>
                  <w:tcBorders>
                    <w:tl2br w:val="nil"/>
                    <w:tr2bl w:val="nil"/>
                  </w:tcBorders>
                  <w:shd w:val="clear" w:color="auto" w:fill="auto"/>
                  <w:noWrap w:val="0"/>
                  <w:vAlign w:val="center"/>
                </w:tcPr>
                <w:p w14:paraId="5D84EB69">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项目总排口</w:t>
                  </w:r>
                </w:p>
              </w:tc>
              <w:tc>
                <w:tcPr>
                  <w:tcW w:w="1157" w:type="dxa"/>
                  <w:tcBorders>
                    <w:tl2br w:val="nil"/>
                    <w:tr2bl w:val="nil"/>
                  </w:tcBorders>
                  <w:shd w:val="clear" w:color="auto" w:fill="auto"/>
                  <w:noWrap w:val="0"/>
                  <w:vAlign w:val="center"/>
                </w:tcPr>
                <w:p w14:paraId="4B80FF2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pacing w:val="5"/>
                      <w:sz w:val="21"/>
                      <w:szCs w:val="21"/>
                      <w:highlight w:val="none"/>
                      <w:lang w:val="en-US" w:eastAsia="zh-CN"/>
                    </w:rPr>
                    <w:t>经市政管网排入</w:t>
                  </w:r>
                  <w:r>
                    <w:rPr>
                      <w:rFonts w:hint="default" w:ascii="Times New Roman" w:hAnsi="Times New Roman" w:eastAsia="宋体" w:cs="Times New Roman"/>
                      <w:strike w:val="0"/>
                      <w:dstrike w:val="0"/>
                      <w:color w:val="auto"/>
                      <w:sz w:val="21"/>
                      <w:szCs w:val="21"/>
                      <w:highlight w:val="none"/>
                      <w:lang w:val="en-US" w:eastAsia="zh-CN"/>
                    </w:rPr>
                    <w:t>污水处理厂</w:t>
                  </w:r>
                </w:p>
              </w:tc>
            </w:tr>
            <w:tr w14:paraId="005B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039538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72F7D2A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color w:val="auto"/>
                      <w:spacing w:val="5"/>
                      <w:sz w:val="21"/>
                      <w:szCs w:val="21"/>
                      <w:highlight w:val="none"/>
                    </w:rPr>
                    <w:t>W</w:t>
                  </w:r>
                  <w:r>
                    <w:rPr>
                      <w:rFonts w:hint="default" w:ascii="Times New Roman" w:hAnsi="Times New Roman" w:eastAsia="宋体" w:cs="Times New Roman"/>
                      <w:color w:val="auto"/>
                      <w:spacing w:val="5"/>
                      <w:sz w:val="21"/>
                      <w:szCs w:val="21"/>
                      <w:highlight w:val="none"/>
                      <w:lang w:val="en-US" w:eastAsia="zh-CN"/>
                    </w:rPr>
                    <w:t>9</w:t>
                  </w:r>
                </w:p>
              </w:tc>
              <w:tc>
                <w:tcPr>
                  <w:tcW w:w="1383" w:type="dxa"/>
                  <w:tcBorders>
                    <w:tl2br w:val="nil"/>
                    <w:tr2bl w:val="nil"/>
                  </w:tcBorders>
                  <w:shd w:val="clear" w:color="auto" w:fill="auto"/>
                  <w:noWrap w:val="0"/>
                  <w:vAlign w:val="center"/>
                </w:tcPr>
                <w:p w14:paraId="0AC76548">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车间冲洗水</w:t>
                  </w:r>
                </w:p>
              </w:tc>
              <w:tc>
                <w:tcPr>
                  <w:tcW w:w="1323" w:type="dxa"/>
                  <w:tcBorders>
                    <w:tl2br w:val="nil"/>
                    <w:tr2bl w:val="nil"/>
                  </w:tcBorders>
                  <w:shd w:val="clear" w:color="auto" w:fill="auto"/>
                  <w:noWrap w:val="0"/>
                  <w:vAlign w:val="center"/>
                </w:tcPr>
                <w:p w14:paraId="4BAB11CD">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rPr>
                    <w:t>COD、BOD5、SS、</w:t>
                  </w:r>
                  <w:r>
                    <w:rPr>
                      <w:rFonts w:hint="default" w:ascii="Times New Roman" w:hAnsi="Times New Roman" w:eastAsia="宋体" w:cs="Times New Roman"/>
                      <w:color w:val="auto"/>
                      <w:spacing w:val="-3"/>
                      <w:sz w:val="21"/>
                      <w:szCs w:val="21"/>
                      <w:highlight w:val="none"/>
                      <w:lang w:val="en-US" w:eastAsia="zh-CN"/>
                    </w:rPr>
                    <w:t>石油类</w:t>
                  </w:r>
                </w:p>
              </w:tc>
              <w:tc>
                <w:tcPr>
                  <w:tcW w:w="2571" w:type="dxa"/>
                  <w:tcBorders>
                    <w:tl2br w:val="nil"/>
                    <w:tr2bl w:val="nil"/>
                  </w:tcBorders>
                  <w:shd w:val="clear" w:color="auto" w:fill="auto"/>
                  <w:noWrap w:val="0"/>
                  <w:vAlign w:val="center"/>
                </w:tcPr>
                <w:p w14:paraId="6BF6B3D7">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排至生化废水处理站</w:t>
                  </w:r>
                </w:p>
              </w:tc>
              <w:tc>
                <w:tcPr>
                  <w:tcW w:w="1157" w:type="dxa"/>
                  <w:tcBorders>
                    <w:tl2br w:val="nil"/>
                    <w:tr2bl w:val="nil"/>
                  </w:tcBorders>
                  <w:shd w:val="clear" w:color="auto" w:fill="auto"/>
                  <w:noWrap w:val="0"/>
                  <w:vAlign w:val="center"/>
                </w:tcPr>
                <w:p w14:paraId="5147944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pacing w:val="5"/>
                      <w:sz w:val="21"/>
                      <w:szCs w:val="21"/>
                      <w:highlight w:val="none"/>
                      <w:lang w:val="en-US" w:eastAsia="zh-CN"/>
                    </w:rPr>
                  </w:pPr>
                  <w:r>
                    <w:rPr>
                      <w:rFonts w:hint="default" w:ascii="Times New Roman" w:hAnsi="Times New Roman" w:eastAsia="宋体" w:cs="Times New Roman"/>
                      <w:strike w:val="0"/>
                      <w:dstrike w:val="0"/>
                      <w:color w:val="auto"/>
                      <w:spacing w:val="5"/>
                      <w:sz w:val="21"/>
                      <w:szCs w:val="21"/>
                      <w:highlight w:val="none"/>
                      <w:lang w:val="en-US" w:eastAsia="zh-CN"/>
                    </w:rPr>
                    <w:t>经市政管网排入污水处理厂</w:t>
                  </w:r>
                </w:p>
              </w:tc>
            </w:tr>
            <w:tr w14:paraId="27B4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4A7409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vMerge w:val="restart"/>
                  <w:tcBorders>
                    <w:tl2br w:val="nil"/>
                    <w:tr2bl w:val="nil"/>
                  </w:tcBorders>
                  <w:shd w:val="clear" w:color="auto" w:fill="auto"/>
                  <w:noWrap w:val="0"/>
                  <w:vAlign w:val="center"/>
                </w:tcPr>
                <w:p w14:paraId="3BB642D7">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W10</w:t>
                  </w:r>
                </w:p>
              </w:tc>
              <w:tc>
                <w:tcPr>
                  <w:tcW w:w="1383" w:type="dxa"/>
                  <w:tcBorders>
                    <w:tl2br w:val="nil"/>
                    <w:tr2bl w:val="nil"/>
                  </w:tcBorders>
                  <w:shd w:val="clear" w:color="auto" w:fill="auto"/>
                  <w:noWrap w:val="0"/>
                  <w:vAlign w:val="center"/>
                </w:tcPr>
                <w:p w14:paraId="0809515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食堂废水</w:t>
                  </w:r>
                </w:p>
              </w:tc>
              <w:tc>
                <w:tcPr>
                  <w:tcW w:w="1323" w:type="dxa"/>
                  <w:vMerge w:val="restart"/>
                  <w:tcBorders>
                    <w:tl2br w:val="nil"/>
                    <w:tr2bl w:val="nil"/>
                  </w:tcBorders>
                  <w:shd w:val="clear" w:color="auto" w:fill="auto"/>
                  <w:noWrap w:val="0"/>
                  <w:vAlign w:val="center"/>
                </w:tcPr>
                <w:p w14:paraId="641FD33A">
                  <w:pPr>
                    <w:keepNext w:val="0"/>
                    <w:keepLines w:val="0"/>
                    <w:pageBreakBefore w:val="0"/>
                    <w:widowControl w:val="0"/>
                    <w:kinsoku/>
                    <w:wordWrap/>
                    <w:overflowPunct/>
                    <w:topLinePunct/>
                    <w:autoSpaceDE w:val="0"/>
                    <w:autoSpaceDN/>
                    <w:bidi w:val="0"/>
                    <w:spacing w:line="240" w:lineRule="auto"/>
                    <w:ind w:left="0" w:right="0" w:firstLine="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COD</w:t>
                  </w:r>
                  <w:r>
                    <w:rPr>
                      <w:rFonts w:hint="default" w:ascii="Times New Roman" w:hAnsi="Times New Roman" w:eastAsia="宋体" w:cs="Times New Roman"/>
                      <w:strike w:val="0"/>
                      <w:dstrike w:val="0"/>
                      <w:color w:val="auto"/>
                      <w:spacing w:val="11"/>
                      <w:sz w:val="21"/>
                      <w:szCs w:val="21"/>
                      <w:highlight w:val="none"/>
                    </w:rPr>
                    <w:t>、</w:t>
                  </w:r>
                  <w:r>
                    <w:rPr>
                      <w:rFonts w:hint="default" w:ascii="Times New Roman" w:hAnsi="Times New Roman" w:eastAsia="宋体" w:cs="Times New Roman"/>
                      <w:strike w:val="0"/>
                      <w:dstrike w:val="0"/>
                      <w:color w:val="auto"/>
                      <w:sz w:val="21"/>
                      <w:szCs w:val="21"/>
                      <w:highlight w:val="none"/>
                    </w:rPr>
                    <w:t>BOD</w:t>
                  </w:r>
                  <w:r>
                    <w:rPr>
                      <w:rFonts w:hint="default" w:ascii="Times New Roman" w:hAnsi="Times New Roman" w:eastAsia="宋体" w:cs="Times New Roman"/>
                      <w:strike w:val="0"/>
                      <w:dstrike w:val="0"/>
                      <w:color w:val="auto"/>
                      <w:spacing w:val="6"/>
                      <w:position w:val="-1"/>
                      <w:sz w:val="21"/>
                      <w:szCs w:val="21"/>
                      <w:highlight w:val="none"/>
                      <w:vertAlign w:val="subscript"/>
                    </w:rPr>
                    <w:t>5</w:t>
                  </w:r>
                  <w:r>
                    <w:rPr>
                      <w:rFonts w:hint="default" w:ascii="Times New Roman" w:hAnsi="Times New Roman" w:eastAsia="宋体" w:cs="Times New Roman"/>
                      <w:strike w:val="0"/>
                      <w:dstrike w:val="0"/>
                      <w:color w:val="auto"/>
                      <w:spacing w:val="6"/>
                      <w:sz w:val="21"/>
                      <w:szCs w:val="21"/>
                      <w:highlight w:val="none"/>
                    </w:rPr>
                    <w:t>、</w:t>
                  </w:r>
                  <w:r>
                    <w:rPr>
                      <w:rFonts w:hint="default" w:ascii="Times New Roman" w:hAnsi="Times New Roman" w:eastAsia="宋体" w:cs="Times New Roman"/>
                      <w:strike w:val="0"/>
                      <w:dstrike w:val="0"/>
                      <w:color w:val="auto"/>
                      <w:sz w:val="21"/>
                      <w:szCs w:val="21"/>
                      <w:highlight w:val="none"/>
                    </w:rPr>
                    <w:t>SS</w:t>
                  </w:r>
                  <w:r>
                    <w:rPr>
                      <w:rFonts w:hint="default" w:ascii="Times New Roman" w:hAnsi="Times New Roman" w:eastAsia="宋体" w:cs="Times New Roman"/>
                      <w:strike w:val="0"/>
                      <w:dstrike w:val="0"/>
                      <w:color w:val="auto"/>
                      <w:spacing w:val="6"/>
                      <w:sz w:val="21"/>
                      <w:szCs w:val="21"/>
                      <w:highlight w:val="none"/>
                    </w:rPr>
                    <w:t>、</w:t>
                  </w:r>
                </w:p>
                <w:p w14:paraId="180B97D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NH</w:t>
                  </w:r>
                  <w:r>
                    <w:rPr>
                      <w:rFonts w:hint="default" w:ascii="Times New Roman" w:hAnsi="Times New Roman" w:eastAsia="宋体" w:cs="Times New Roman"/>
                      <w:strike w:val="0"/>
                      <w:dstrike w:val="0"/>
                      <w:color w:val="auto"/>
                      <w:spacing w:val="5"/>
                      <w:sz w:val="21"/>
                      <w:szCs w:val="21"/>
                      <w:highlight w:val="none"/>
                      <w:vertAlign w:val="subscript"/>
                    </w:rPr>
                    <w:t>3</w:t>
                  </w:r>
                  <w:r>
                    <w:rPr>
                      <w:rFonts w:hint="default" w:ascii="Times New Roman" w:hAnsi="Times New Roman" w:eastAsia="宋体" w:cs="Times New Roman"/>
                      <w:strike w:val="0"/>
                      <w:dstrike w:val="0"/>
                      <w:color w:val="auto"/>
                      <w:spacing w:val="5"/>
                      <w:sz w:val="21"/>
                      <w:szCs w:val="21"/>
                      <w:highlight w:val="none"/>
                    </w:rPr>
                    <w:t>-N、</w:t>
                  </w:r>
                  <w:r>
                    <w:rPr>
                      <w:rFonts w:hint="default" w:ascii="Times New Roman" w:hAnsi="Times New Roman" w:eastAsia="宋体" w:cs="Times New Roman"/>
                      <w:strike w:val="0"/>
                      <w:dstrike w:val="0"/>
                      <w:color w:val="auto"/>
                      <w:sz w:val="21"/>
                      <w:szCs w:val="21"/>
                      <w:highlight w:val="none"/>
                    </w:rPr>
                    <w:t>TP</w:t>
                  </w:r>
                </w:p>
              </w:tc>
              <w:tc>
                <w:tcPr>
                  <w:tcW w:w="2571" w:type="dxa"/>
                  <w:tcBorders>
                    <w:tl2br w:val="nil"/>
                    <w:tr2bl w:val="nil"/>
                  </w:tcBorders>
                  <w:shd w:val="clear" w:color="auto" w:fill="auto"/>
                  <w:noWrap w:val="0"/>
                  <w:vAlign w:val="center"/>
                </w:tcPr>
                <w:p w14:paraId="1B69C59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经隔油池预处理</w:t>
                  </w:r>
                </w:p>
              </w:tc>
              <w:tc>
                <w:tcPr>
                  <w:tcW w:w="1157" w:type="dxa"/>
                  <w:vMerge w:val="restart"/>
                  <w:tcBorders>
                    <w:tl2br w:val="nil"/>
                    <w:tr2bl w:val="nil"/>
                  </w:tcBorders>
                  <w:noWrap w:val="0"/>
                  <w:vAlign w:val="center"/>
                </w:tcPr>
                <w:p w14:paraId="7FB6184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pacing w:val="5"/>
                      <w:sz w:val="21"/>
                      <w:szCs w:val="21"/>
                      <w:highlight w:val="none"/>
                      <w:lang w:val="en-US" w:eastAsia="zh-CN"/>
                    </w:rPr>
                    <w:t>经项目总排口进入市政管网、最终排入</w:t>
                  </w:r>
                  <w:r>
                    <w:rPr>
                      <w:rFonts w:hint="default" w:ascii="Times New Roman" w:hAnsi="Times New Roman" w:eastAsia="宋体" w:cs="Times New Roman"/>
                      <w:strike w:val="0"/>
                      <w:dstrike w:val="0"/>
                      <w:color w:val="auto"/>
                      <w:sz w:val="21"/>
                      <w:szCs w:val="21"/>
                      <w:highlight w:val="none"/>
                      <w:lang w:val="en-US" w:eastAsia="zh-CN"/>
                    </w:rPr>
                    <w:t>污水处理厂</w:t>
                  </w:r>
                </w:p>
              </w:tc>
            </w:tr>
            <w:tr w14:paraId="5531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505F26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vMerge w:val="continue"/>
                  <w:tcBorders>
                    <w:tl2br w:val="nil"/>
                    <w:tr2bl w:val="nil"/>
                  </w:tcBorders>
                  <w:shd w:val="clear" w:color="auto" w:fill="auto"/>
                  <w:noWrap w:val="0"/>
                  <w:vAlign w:val="center"/>
                </w:tcPr>
                <w:p w14:paraId="2B308826">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83" w:type="dxa"/>
                  <w:tcBorders>
                    <w:tl2br w:val="nil"/>
                    <w:tr2bl w:val="nil"/>
                  </w:tcBorders>
                  <w:shd w:val="clear" w:color="auto" w:fill="auto"/>
                  <w:noWrap w:val="0"/>
                  <w:vAlign w:val="center"/>
                </w:tcPr>
                <w:p w14:paraId="0498A721">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7"/>
                      <w:sz w:val="21"/>
                      <w:szCs w:val="21"/>
                      <w:highlight w:val="none"/>
                    </w:rPr>
                    <w:t>生活</w:t>
                  </w:r>
                  <w:r>
                    <w:rPr>
                      <w:rFonts w:hint="default" w:ascii="Times New Roman" w:hAnsi="Times New Roman" w:eastAsia="宋体" w:cs="Times New Roman"/>
                      <w:strike w:val="0"/>
                      <w:dstrike w:val="0"/>
                      <w:color w:val="auto"/>
                      <w:spacing w:val="7"/>
                      <w:sz w:val="21"/>
                      <w:szCs w:val="21"/>
                      <w:highlight w:val="none"/>
                      <w:lang w:val="en-US" w:eastAsia="zh-CN"/>
                    </w:rPr>
                    <w:t>污水</w:t>
                  </w:r>
                </w:p>
              </w:tc>
              <w:tc>
                <w:tcPr>
                  <w:tcW w:w="1323" w:type="dxa"/>
                  <w:vMerge w:val="continue"/>
                  <w:tcBorders>
                    <w:tl2br w:val="nil"/>
                    <w:tr2bl w:val="nil"/>
                  </w:tcBorders>
                  <w:shd w:val="clear" w:color="auto" w:fill="auto"/>
                  <w:noWrap w:val="0"/>
                  <w:vAlign w:val="center"/>
                </w:tcPr>
                <w:p w14:paraId="19AF47C5">
                  <w:pPr>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571" w:type="dxa"/>
                  <w:tcBorders>
                    <w:tl2br w:val="nil"/>
                    <w:tr2bl w:val="nil"/>
                  </w:tcBorders>
                  <w:shd w:val="clear" w:color="auto" w:fill="auto"/>
                  <w:noWrap w:val="0"/>
                  <w:vAlign w:val="center"/>
                </w:tcPr>
                <w:p w14:paraId="6EB08FC0">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经化粪池预处理</w:t>
                  </w:r>
                </w:p>
              </w:tc>
              <w:tc>
                <w:tcPr>
                  <w:tcW w:w="1157" w:type="dxa"/>
                  <w:vMerge w:val="continue"/>
                  <w:tcBorders>
                    <w:tl2br w:val="nil"/>
                    <w:tr2bl w:val="nil"/>
                  </w:tcBorders>
                  <w:noWrap w:val="0"/>
                  <w:vAlign w:val="center"/>
                </w:tcPr>
                <w:p w14:paraId="436AE09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176E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tcBorders>
                    <w:tl2br w:val="nil"/>
                    <w:tr2bl w:val="nil"/>
                  </w:tcBorders>
                  <w:shd w:val="clear" w:color="auto" w:fill="auto"/>
                  <w:noWrap w:val="0"/>
                  <w:vAlign w:val="center"/>
                </w:tcPr>
                <w:p w14:paraId="692CA4D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strike w:val="0"/>
                      <w:dstrike w:val="0"/>
                      <w:color w:val="auto"/>
                      <w:kern w:val="1"/>
                      <w:sz w:val="21"/>
                      <w:szCs w:val="21"/>
                      <w:highlight w:val="none"/>
                      <w:lang w:val="en-US" w:eastAsia="zh-CN" w:bidi="ar-SA"/>
                    </w:rPr>
                  </w:pPr>
                  <w:r>
                    <w:rPr>
                      <w:rFonts w:hint="default" w:ascii="Times New Roman" w:hAnsi="Times New Roman" w:eastAsia="宋体" w:cs="Times New Roman"/>
                      <w:b w:val="0"/>
                      <w:bCs w:val="0"/>
                      <w:strike w:val="0"/>
                      <w:dstrike w:val="0"/>
                      <w:color w:val="auto"/>
                      <w:sz w:val="21"/>
                      <w:szCs w:val="21"/>
                      <w:highlight w:val="none"/>
                    </w:rPr>
                    <w:t>噪声</w:t>
                  </w:r>
                </w:p>
              </w:tc>
              <w:tc>
                <w:tcPr>
                  <w:tcW w:w="819" w:type="dxa"/>
                  <w:tcBorders>
                    <w:tl2br w:val="nil"/>
                    <w:tr2bl w:val="nil"/>
                  </w:tcBorders>
                  <w:shd w:val="clear" w:color="auto" w:fill="auto"/>
                  <w:noWrap w:val="0"/>
                  <w:vAlign w:val="center"/>
                </w:tcPr>
                <w:p w14:paraId="1C9FE3F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N1~N</w:t>
                  </w:r>
                  <w:r>
                    <w:rPr>
                      <w:rFonts w:hint="default" w:ascii="Times New Roman" w:hAnsi="Times New Roman" w:eastAsia="宋体" w:cs="Times New Roman"/>
                      <w:strike w:val="0"/>
                      <w:dstrike w:val="0"/>
                      <w:color w:val="auto"/>
                      <w:sz w:val="21"/>
                      <w:szCs w:val="21"/>
                      <w:highlight w:val="none"/>
                      <w:lang w:val="en-US" w:eastAsia="zh-CN"/>
                    </w:rPr>
                    <w:t>8</w:t>
                  </w:r>
                </w:p>
              </w:tc>
              <w:tc>
                <w:tcPr>
                  <w:tcW w:w="1383" w:type="dxa"/>
                  <w:tcBorders>
                    <w:tl2br w:val="nil"/>
                    <w:tr2bl w:val="nil"/>
                  </w:tcBorders>
                  <w:shd w:val="clear" w:color="auto" w:fill="auto"/>
                  <w:noWrap w:val="0"/>
                  <w:vAlign w:val="center"/>
                </w:tcPr>
                <w:p w14:paraId="0A01221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生产工序</w:t>
                  </w:r>
                </w:p>
              </w:tc>
              <w:tc>
                <w:tcPr>
                  <w:tcW w:w="1323" w:type="dxa"/>
                  <w:tcBorders>
                    <w:tl2br w:val="nil"/>
                    <w:tr2bl w:val="nil"/>
                  </w:tcBorders>
                  <w:shd w:val="clear" w:color="auto" w:fill="auto"/>
                  <w:noWrap w:val="0"/>
                  <w:vAlign w:val="center"/>
                </w:tcPr>
                <w:p w14:paraId="54D3BFE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设备噪声</w:t>
                  </w:r>
                </w:p>
              </w:tc>
              <w:tc>
                <w:tcPr>
                  <w:tcW w:w="2571" w:type="dxa"/>
                  <w:tcBorders>
                    <w:tl2br w:val="nil"/>
                    <w:tr2bl w:val="nil"/>
                  </w:tcBorders>
                  <w:shd w:val="clear" w:color="auto" w:fill="auto"/>
                  <w:noWrap w:val="0"/>
                  <w:vAlign w:val="center"/>
                </w:tcPr>
                <w:p w14:paraId="4F22BB9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基础减震、距离衰减</w:t>
                  </w:r>
                </w:p>
              </w:tc>
              <w:tc>
                <w:tcPr>
                  <w:tcW w:w="1157" w:type="dxa"/>
                  <w:tcBorders>
                    <w:tl2br w:val="nil"/>
                    <w:tr2bl w:val="nil"/>
                  </w:tcBorders>
                  <w:shd w:val="clear" w:color="auto" w:fill="auto"/>
                  <w:noWrap w:val="0"/>
                  <w:vAlign w:val="center"/>
                </w:tcPr>
                <w:p w14:paraId="110DA42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连续</w:t>
                  </w:r>
                </w:p>
              </w:tc>
            </w:tr>
            <w:tr w14:paraId="1CCC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noWrap w:val="0"/>
                  <w:vAlign w:val="center"/>
                </w:tcPr>
                <w:p w14:paraId="3B8988A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r>
                    <w:rPr>
                      <w:rFonts w:hint="default" w:ascii="Times New Roman" w:hAnsi="Times New Roman" w:eastAsia="宋体" w:cs="Times New Roman"/>
                      <w:b w:val="0"/>
                      <w:bCs w:val="0"/>
                      <w:strike w:val="0"/>
                      <w:dstrike w:val="0"/>
                      <w:color w:val="auto"/>
                      <w:sz w:val="21"/>
                      <w:szCs w:val="21"/>
                      <w:highlight w:val="none"/>
                      <w:vertAlign w:val="baseline"/>
                      <w:lang w:val="en-US" w:eastAsia="zh-CN"/>
                    </w:rPr>
                    <w:t>一般固废</w:t>
                  </w:r>
                </w:p>
              </w:tc>
              <w:tc>
                <w:tcPr>
                  <w:tcW w:w="819" w:type="dxa"/>
                  <w:tcBorders>
                    <w:tl2br w:val="nil"/>
                    <w:tr2bl w:val="nil"/>
                  </w:tcBorders>
                  <w:shd w:val="clear" w:color="auto" w:fill="auto"/>
                  <w:noWrap w:val="0"/>
                  <w:vAlign w:val="center"/>
                </w:tcPr>
                <w:p w14:paraId="1938C1B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S1</w:t>
                  </w:r>
                </w:p>
              </w:tc>
              <w:tc>
                <w:tcPr>
                  <w:tcW w:w="1383" w:type="dxa"/>
                  <w:tcBorders>
                    <w:tl2br w:val="nil"/>
                    <w:tr2bl w:val="nil"/>
                  </w:tcBorders>
                  <w:shd w:val="clear" w:color="auto" w:fill="auto"/>
                  <w:noWrap w:val="0"/>
                  <w:vAlign w:val="center"/>
                </w:tcPr>
                <w:p w14:paraId="79CCFD2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生产</w:t>
                  </w:r>
                  <w:r>
                    <w:rPr>
                      <w:rFonts w:hint="default" w:ascii="Times New Roman" w:hAnsi="Times New Roman" w:eastAsia="宋体" w:cs="Times New Roman"/>
                      <w:strike w:val="0"/>
                      <w:dstrike w:val="0"/>
                      <w:color w:val="auto"/>
                      <w:sz w:val="21"/>
                      <w:szCs w:val="21"/>
                      <w:highlight w:val="none"/>
                    </w:rPr>
                    <w:t>原料</w:t>
                  </w:r>
                  <w:r>
                    <w:rPr>
                      <w:rFonts w:hint="eastAsia" w:cs="Times New Roman"/>
                      <w:strike w:val="0"/>
                      <w:dstrike w:val="0"/>
                      <w:color w:val="auto"/>
                      <w:sz w:val="21"/>
                      <w:szCs w:val="21"/>
                      <w:highlight w:val="none"/>
                      <w:lang w:eastAsia="zh-CN"/>
                    </w:rPr>
                    <w:t>（</w:t>
                  </w:r>
                  <w:r>
                    <w:rPr>
                      <w:rFonts w:hint="eastAsia" w:cs="Times New Roman"/>
                      <w:strike w:val="0"/>
                      <w:dstrike w:val="0"/>
                      <w:color w:val="auto"/>
                      <w:sz w:val="21"/>
                      <w:szCs w:val="21"/>
                      <w:highlight w:val="none"/>
                      <w:lang w:val="en-US" w:eastAsia="zh-CN"/>
                    </w:rPr>
                    <w:t>各生产线</w:t>
                  </w:r>
                  <w:r>
                    <w:rPr>
                      <w:rFonts w:hint="eastAsia" w:cs="Times New Roman"/>
                      <w:strike w:val="0"/>
                      <w:dstrike w:val="0"/>
                      <w:color w:val="auto"/>
                      <w:sz w:val="21"/>
                      <w:szCs w:val="21"/>
                      <w:highlight w:val="none"/>
                      <w:lang w:eastAsia="zh-CN"/>
                    </w:rPr>
                    <w:t>）</w:t>
                  </w:r>
                </w:p>
              </w:tc>
              <w:tc>
                <w:tcPr>
                  <w:tcW w:w="1323" w:type="dxa"/>
                  <w:tcBorders>
                    <w:tl2br w:val="nil"/>
                    <w:tr2bl w:val="nil"/>
                  </w:tcBorders>
                  <w:shd w:val="clear" w:color="auto" w:fill="auto"/>
                  <w:noWrap w:val="0"/>
                  <w:vAlign w:val="center"/>
                </w:tcPr>
                <w:p w14:paraId="1E7C079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废包装</w:t>
                  </w:r>
                </w:p>
              </w:tc>
              <w:tc>
                <w:tcPr>
                  <w:tcW w:w="2571" w:type="dxa"/>
                  <w:tcBorders>
                    <w:tl2br w:val="nil"/>
                    <w:tr2bl w:val="nil"/>
                  </w:tcBorders>
                  <w:shd w:val="clear" w:color="auto" w:fill="auto"/>
                  <w:noWrap w:val="0"/>
                  <w:vAlign w:val="center"/>
                </w:tcPr>
                <w:p w14:paraId="0055E8B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收集后</w:t>
                  </w:r>
                  <w:r>
                    <w:rPr>
                      <w:rFonts w:hint="default" w:ascii="Times New Roman" w:hAnsi="Times New Roman" w:eastAsia="宋体" w:cs="Times New Roman"/>
                      <w:strike w:val="0"/>
                      <w:dstrike w:val="0"/>
                      <w:color w:val="auto"/>
                      <w:sz w:val="21"/>
                      <w:szCs w:val="21"/>
                      <w:highlight w:val="none"/>
                    </w:rPr>
                    <w:t>外售</w:t>
                  </w:r>
                  <w:r>
                    <w:rPr>
                      <w:rFonts w:hint="default" w:ascii="Times New Roman" w:hAnsi="Times New Roman" w:eastAsia="宋体" w:cs="Times New Roman"/>
                      <w:strike w:val="0"/>
                      <w:dstrike w:val="0"/>
                      <w:color w:val="auto"/>
                      <w:sz w:val="21"/>
                      <w:szCs w:val="21"/>
                      <w:highlight w:val="none"/>
                      <w:lang w:val="en-US" w:eastAsia="zh-CN"/>
                    </w:rPr>
                    <w:t>废品收购站</w:t>
                  </w:r>
                </w:p>
              </w:tc>
              <w:tc>
                <w:tcPr>
                  <w:tcW w:w="1157" w:type="dxa"/>
                  <w:vMerge w:val="restart"/>
                  <w:tcBorders>
                    <w:tl2br w:val="nil"/>
                    <w:tr2bl w:val="nil"/>
                  </w:tcBorders>
                  <w:noWrap w:val="0"/>
                  <w:vAlign w:val="center"/>
                </w:tcPr>
                <w:p w14:paraId="2C1E4B0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pacing w:val="6"/>
                      <w:sz w:val="21"/>
                      <w:szCs w:val="21"/>
                      <w:highlight w:val="none"/>
                    </w:rPr>
                    <w:t>合理处</w:t>
                  </w:r>
                  <w:r>
                    <w:rPr>
                      <w:rFonts w:hint="default" w:ascii="Times New Roman" w:hAnsi="Times New Roman" w:eastAsia="宋体" w:cs="Times New Roman"/>
                      <w:strike w:val="0"/>
                      <w:dstrike w:val="0"/>
                      <w:color w:val="auto"/>
                      <w:spacing w:val="7"/>
                      <w:sz w:val="21"/>
                      <w:szCs w:val="21"/>
                      <w:highlight w:val="none"/>
                    </w:rPr>
                    <w:t>置，处</w:t>
                  </w:r>
                  <w:r>
                    <w:rPr>
                      <w:rFonts w:hint="default" w:ascii="Times New Roman" w:hAnsi="Times New Roman" w:eastAsia="宋体" w:cs="Times New Roman"/>
                      <w:strike w:val="0"/>
                      <w:dstrike w:val="0"/>
                      <w:color w:val="auto"/>
                      <w:spacing w:val="6"/>
                      <w:sz w:val="21"/>
                      <w:szCs w:val="21"/>
                      <w:highlight w:val="none"/>
                    </w:rPr>
                    <w:t>置率</w:t>
                  </w:r>
                  <w:r>
                    <w:rPr>
                      <w:rFonts w:hint="default" w:ascii="Times New Roman" w:hAnsi="Times New Roman" w:eastAsia="宋体" w:cs="Times New Roman"/>
                      <w:strike w:val="0"/>
                      <w:dstrike w:val="0"/>
                      <w:color w:val="auto"/>
                      <w:spacing w:val="-1"/>
                      <w:position w:val="2"/>
                      <w:sz w:val="21"/>
                      <w:szCs w:val="21"/>
                      <w:highlight w:val="none"/>
                    </w:rPr>
                    <w:t>100%</w:t>
                  </w:r>
                </w:p>
              </w:tc>
            </w:tr>
            <w:tr w14:paraId="5A40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69E862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D1A842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S2</w:t>
                  </w:r>
                </w:p>
              </w:tc>
              <w:tc>
                <w:tcPr>
                  <w:tcW w:w="1383" w:type="dxa"/>
                  <w:tcBorders>
                    <w:tl2br w:val="nil"/>
                    <w:tr2bl w:val="nil"/>
                  </w:tcBorders>
                  <w:shd w:val="clear" w:color="auto" w:fill="auto"/>
                  <w:noWrap w:val="0"/>
                  <w:vAlign w:val="center"/>
                </w:tcPr>
                <w:p w14:paraId="3EA7201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珠胚生产</w:t>
                  </w:r>
                  <w:r>
                    <w:rPr>
                      <w:rFonts w:hint="default" w:ascii="Times New Roman" w:hAnsi="Times New Roman" w:eastAsia="宋体" w:cs="Times New Roman"/>
                      <w:strike w:val="0"/>
                      <w:dstrike w:val="0"/>
                      <w:color w:val="auto"/>
                      <w:sz w:val="21"/>
                      <w:szCs w:val="21"/>
                      <w:highlight w:val="none"/>
                    </w:rPr>
                    <w:t>布袋除尘器</w:t>
                  </w:r>
                </w:p>
              </w:tc>
              <w:tc>
                <w:tcPr>
                  <w:tcW w:w="1323" w:type="dxa"/>
                  <w:tcBorders>
                    <w:tl2br w:val="nil"/>
                    <w:tr2bl w:val="nil"/>
                  </w:tcBorders>
                  <w:shd w:val="clear" w:color="auto" w:fill="auto"/>
                  <w:noWrap w:val="0"/>
                  <w:vAlign w:val="center"/>
                </w:tcPr>
                <w:p w14:paraId="04D0B70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布袋收尘</w:t>
                  </w:r>
                </w:p>
              </w:tc>
              <w:tc>
                <w:tcPr>
                  <w:tcW w:w="2571" w:type="dxa"/>
                  <w:tcBorders>
                    <w:tl2br w:val="nil"/>
                    <w:tr2bl w:val="nil"/>
                  </w:tcBorders>
                  <w:shd w:val="clear" w:color="auto" w:fill="auto"/>
                  <w:noWrap w:val="0"/>
                  <w:vAlign w:val="center"/>
                </w:tcPr>
                <w:p w14:paraId="2DE9FB0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回用于</w:t>
                  </w:r>
                  <w:r>
                    <w:rPr>
                      <w:rFonts w:hint="eastAsia" w:cs="Times New Roman"/>
                      <w:color w:val="auto"/>
                      <w:spacing w:val="-2"/>
                      <w:sz w:val="21"/>
                      <w:szCs w:val="21"/>
                      <w:highlight w:val="none"/>
                      <w:lang w:eastAsia="zh-CN"/>
                    </w:rPr>
                    <w:t>珠胚生产</w:t>
                  </w:r>
                  <w:r>
                    <w:rPr>
                      <w:rFonts w:hint="default" w:ascii="Times New Roman" w:hAnsi="Times New Roman" w:eastAsia="宋体" w:cs="Times New Roman"/>
                      <w:color w:val="auto"/>
                      <w:spacing w:val="-1"/>
                      <w:sz w:val="21"/>
                      <w:szCs w:val="21"/>
                      <w:highlight w:val="none"/>
                    </w:rPr>
                    <w:t>电熔炉再利用</w:t>
                  </w:r>
                </w:p>
              </w:tc>
              <w:tc>
                <w:tcPr>
                  <w:tcW w:w="1157" w:type="dxa"/>
                  <w:vMerge w:val="continue"/>
                  <w:tcBorders>
                    <w:tl2br w:val="nil"/>
                    <w:tr2bl w:val="nil"/>
                  </w:tcBorders>
                  <w:noWrap w:val="0"/>
                  <w:vAlign w:val="center"/>
                </w:tcPr>
                <w:p w14:paraId="0D0B6F0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609E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9E7A4F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798DB1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S3</w:t>
                  </w:r>
                </w:p>
              </w:tc>
              <w:tc>
                <w:tcPr>
                  <w:tcW w:w="1383" w:type="dxa"/>
                  <w:tcBorders>
                    <w:tl2br w:val="nil"/>
                    <w:tr2bl w:val="nil"/>
                  </w:tcBorders>
                  <w:shd w:val="clear" w:color="auto" w:fill="auto"/>
                  <w:noWrap w:val="0"/>
                  <w:vAlign w:val="center"/>
                </w:tcPr>
                <w:p w14:paraId="5A73ABE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机械除</w:t>
                  </w:r>
                  <w:r>
                    <w:rPr>
                      <w:rFonts w:hint="default" w:ascii="Times New Roman" w:hAnsi="Times New Roman" w:eastAsia="宋体" w:cs="Times New Roman"/>
                      <w:strike w:val="0"/>
                      <w:dstrike w:val="0"/>
                      <w:color w:val="auto"/>
                      <w:sz w:val="21"/>
                      <w:szCs w:val="21"/>
                      <w:highlight w:val="none"/>
                      <w:lang w:val="en-US" w:eastAsia="zh-CN"/>
                    </w:rPr>
                    <w:t>棱</w:t>
                  </w:r>
                </w:p>
              </w:tc>
              <w:tc>
                <w:tcPr>
                  <w:tcW w:w="1323" w:type="dxa"/>
                  <w:tcBorders>
                    <w:tl2br w:val="nil"/>
                    <w:tr2bl w:val="nil"/>
                  </w:tcBorders>
                  <w:shd w:val="clear" w:color="auto" w:fill="auto"/>
                  <w:noWrap w:val="0"/>
                  <w:vAlign w:val="center"/>
                </w:tcPr>
                <w:p w14:paraId="3BB3223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废边角料</w:t>
                  </w:r>
                </w:p>
              </w:tc>
              <w:tc>
                <w:tcPr>
                  <w:tcW w:w="2571" w:type="dxa"/>
                  <w:vMerge w:val="restart"/>
                  <w:tcBorders>
                    <w:tl2br w:val="nil"/>
                    <w:tr2bl w:val="nil"/>
                  </w:tcBorders>
                  <w:shd w:val="clear" w:color="auto" w:fill="auto"/>
                  <w:noWrap w:val="0"/>
                  <w:vAlign w:val="center"/>
                </w:tcPr>
                <w:p w14:paraId="0B38A3C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收集后回用于</w:t>
                  </w:r>
                  <w:r>
                    <w:rPr>
                      <w:rFonts w:hint="eastAsia" w:cs="Times New Roman"/>
                      <w:color w:val="auto"/>
                      <w:spacing w:val="-2"/>
                      <w:sz w:val="21"/>
                      <w:szCs w:val="21"/>
                      <w:highlight w:val="none"/>
                      <w:lang w:eastAsia="zh-CN"/>
                    </w:rPr>
                    <w:t>珠胚生产，</w:t>
                  </w:r>
                  <w:r>
                    <w:rPr>
                      <w:rFonts w:hint="eastAsia" w:cs="Times New Roman"/>
                      <w:color w:val="auto"/>
                      <w:spacing w:val="-1"/>
                      <w:sz w:val="21"/>
                      <w:szCs w:val="21"/>
                      <w:highlight w:val="none"/>
                      <w:lang w:val="en-US" w:eastAsia="zh-CN"/>
                    </w:rPr>
                    <w:t>重新熔制</w:t>
                  </w:r>
                </w:p>
              </w:tc>
              <w:tc>
                <w:tcPr>
                  <w:tcW w:w="1157" w:type="dxa"/>
                  <w:vMerge w:val="continue"/>
                  <w:tcBorders>
                    <w:tl2br w:val="nil"/>
                    <w:tr2bl w:val="nil"/>
                  </w:tcBorders>
                  <w:noWrap w:val="0"/>
                  <w:vAlign w:val="center"/>
                </w:tcPr>
                <w:p w14:paraId="6ED7900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774E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7D7ED2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val="0"/>
                      <w:bCs w:val="0"/>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B86130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S4</w:t>
                  </w:r>
                </w:p>
              </w:tc>
              <w:tc>
                <w:tcPr>
                  <w:tcW w:w="1383" w:type="dxa"/>
                  <w:tcBorders>
                    <w:tl2br w:val="nil"/>
                    <w:tr2bl w:val="nil"/>
                  </w:tcBorders>
                  <w:shd w:val="clear" w:color="auto" w:fill="auto"/>
                  <w:noWrap w:val="0"/>
                  <w:vAlign w:val="center"/>
                </w:tcPr>
                <w:p w14:paraId="6770B3B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机筛、</w:t>
                  </w:r>
                  <w:r>
                    <w:rPr>
                      <w:rFonts w:hint="default" w:ascii="Times New Roman" w:hAnsi="Times New Roman" w:eastAsia="宋体" w:cs="Times New Roman"/>
                      <w:strike w:val="0"/>
                      <w:dstrike w:val="0"/>
                      <w:color w:val="auto"/>
                      <w:sz w:val="21"/>
                      <w:szCs w:val="21"/>
                      <w:highlight w:val="none"/>
                      <w:lang w:eastAsia="zh-CN"/>
                    </w:rPr>
                    <w:t>分拣</w:t>
                  </w:r>
                </w:p>
              </w:tc>
              <w:tc>
                <w:tcPr>
                  <w:tcW w:w="1323" w:type="dxa"/>
                  <w:tcBorders>
                    <w:tl2br w:val="nil"/>
                    <w:tr2bl w:val="nil"/>
                  </w:tcBorders>
                  <w:shd w:val="clear" w:color="auto" w:fill="auto"/>
                  <w:noWrap w:val="0"/>
                  <w:vAlign w:val="center"/>
                </w:tcPr>
                <w:p w14:paraId="5E7B8F1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残次品</w:t>
                  </w:r>
                </w:p>
              </w:tc>
              <w:tc>
                <w:tcPr>
                  <w:tcW w:w="2571" w:type="dxa"/>
                  <w:vMerge w:val="continue"/>
                  <w:tcBorders>
                    <w:tl2br w:val="nil"/>
                    <w:tr2bl w:val="nil"/>
                  </w:tcBorders>
                  <w:shd w:val="clear" w:color="auto" w:fill="auto"/>
                  <w:noWrap w:val="0"/>
                  <w:vAlign w:val="center"/>
                </w:tcPr>
                <w:p w14:paraId="1653ADF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1157" w:type="dxa"/>
                  <w:vMerge w:val="continue"/>
                  <w:tcBorders>
                    <w:tl2br w:val="nil"/>
                    <w:tr2bl w:val="nil"/>
                  </w:tcBorders>
                  <w:noWrap w:val="0"/>
                  <w:vAlign w:val="center"/>
                </w:tcPr>
                <w:p w14:paraId="287CCF0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6106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5361DD6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600F03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S5</w:t>
                  </w:r>
                </w:p>
              </w:tc>
              <w:tc>
                <w:tcPr>
                  <w:tcW w:w="1383" w:type="dxa"/>
                  <w:vMerge w:val="restart"/>
                  <w:tcBorders>
                    <w:tl2br w:val="nil"/>
                    <w:tr2bl w:val="nil"/>
                  </w:tcBorders>
                  <w:shd w:val="clear" w:color="auto" w:fill="auto"/>
                  <w:noWrap w:val="0"/>
                  <w:vAlign w:val="center"/>
                </w:tcPr>
                <w:p w14:paraId="7E0959B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磨抛机</w:t>
                  </w:r>
                </w:p>
              </w:tc>
              <w:tc>
                <w:tcPr>
                  <w:tcW w:w="1323" w:type="dxa"/>
                  <w:tcBorders>
                    <w:tl2br w:val="nil"/>
                    <w:tr2bl w:val="nil"/>
                  </w:tcBorders>
                  <w:shd w:val="clear" w:color="auto" w:fill="auto"/>
                  <w:noWrap w:val="0"/>
                  <w:vAlign w:val="center"/>
                </w:tcPr>
                <w:p w14:paraId="0D4178A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废磨轮</w:t>
                  </w:r>
                </w:p>
              </w:tc>
              <w:tc>
                <w:tcPr>
                  <w:tcW w:w="2571" w:type="dxa"/>
                  <w:tcBorders>
                    <w:tl2br w:val="nil"/>
                    <w:tr2bl w:val="nil"/>
                  </w:tcBorders>
                  <w:shd w:val="clear" w:color="auto" w:fill="auto"/>
                  <w:noWrap w:val="0"/>
                  <w:vAlign w:val="center"/>
                </w:tcPr>
                <w:p w14:paraId="347659A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定期由供应厂家</w:t>
                  </w:r>
                  <w:r>
                    <w:rPr>
                      <w:rFonts w:hint="default" w:ascii="Times New Roman" w:hAnsi="Times New Roman" w:eastAsia="宋体" w:cs="Times New Roman"/>
                      <w:strike w:val="0"/>
                      <w:dstrike w:val="0"/>
                      <w:color w:val="auto"/>
                      <w:sz w:val="21"/>
                      <w:szCs w:val="21"/>
                      <w:highlight w:val="none"/>
                    </w:rPr>
                    <w:t>回收</w:t>
                  </w:r>
                  <w:r>
                    <w:rPr>
                      <w:rFonts w:hint="default" w:ascii="Times New Roman" w:hAnsi="Times New Roman" w:eastAsia="宋体" w:cs="Times New Roman"/>
                      <w:strike w:val="0"/>
                      <w:dstrike w:val="0"/>
                      <w:color w:val="auto"/>
                      <w:sz w:val="21"/>
                      <w:szCs w:val="21"/>
                      <w:highlight w:val="none"/>
                      <w:lang w:val="en-US" w:eastAsia="zh-CN"/>
                    </w:rPr>
                    <w:t>处置</w:t>
                  </w:r>
                </w:p>
              </w:tc>
              <w:tc>
                <w:tcPr>
                  <w:tcW w:w="1157" w:type="dxa"/>
                  <w:vMerge w:val="continue"/>
                  <w:tcBorders>
                    <w:tl2br w:val="nil"/>
                    <w:tr2bl w:val="nil"/>
                  </w:tcBorders>
                  <w:noWrap w:val="0"/>
                  <w:vAlign w:val="center"/>
                </w:tcPr>
                <w:p w14:paraId="572CACE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086A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4F4B385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4CCC755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S6</w:t>
                  </w:r>
                </w:p>
              </w:tc>
              <w:tc>
                <w:tcPr>
                  <w:tcW w:w="1383" w:type="dxa"/>
                  <w:vMerge w:val="continue"/>
                  <w:tcBorders>
                    <w:tl2br w:val="nil"/>
                    <w:tr2bl w:val="nil"/>
                  </w:tcBorders>
                  <w:shd w:val="clear" w:color="auto" w:fill="auto"/>
                  <w:noWrap w:val="0"/>
                  <w:vAlign w:val="center"/>
                </w:tcPr>
                <w:p w14:paraId="2BA7AB7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p>
              </w:tc>
              <w:tc>
                <w:tcPr>
                  <w:tcW w:w="1323" w:type="dxa"/>
                  <w:tcBorders>
                    <w:tl2br w:val="nil"/>
                    <w:tr2bl w:val="nil"/>
                  </w:tcBorders>
                  <w:shd w:val="clear" w:color="auto" w:fill="auto"/>
                  <w:noWrap w:val="0"/>
                  <w:vAlign w:val="center"/>
                </w:tcPr>
                <w:p w14:paraId="5F628BE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废抛轮</w:t>
                  </w:r>
                </w:p>
              </w:tc>
              <w:tc>
                <w:tcPr>
                  <w:tcW w:w="2571" w:type="dxa"/>
                  <w:tcBorders>
                    <w:tl2br w:val="nil"/>
                    <w:tr2bl w:val="nil"/>
                  </w:tcBorders>
                  <w:shd w:val="clear" w:color="auto" w:fill="auto"/>
                  <w:noWrap w:val="0"/>
                  <w:vAlign w:val="center"/>
                </w:tcPr>
                <w:p w14:paraId="10CFE2E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eastAsia="zh-CN"/>
                    </w:rPr>
                  </w:pPr>
                  <w:r>
                    <w:rPr>
                      <w:rFonts w:hint="default" w:ascii="Times New Roman" w:hAnsi="Times New Roman" w:eastAsia="宋体" w:cs="Times New Roman"/>
                      <w:strike w:val="0"/>
                      <w:dstrike w:val="0"/>
                      <w:color w:val="auto"/>
                      <w:sz w:val="21"/>
                      <w:szCs w:val="21"/>
                      <w:highlight w:val="none"/>
                    </w:rPr>
                    <w:t>回收用于抛轮</w:t>
                  </w:r>
                  <w:r>
                    <w:rPr>
                      <w:rFonts w:hint="default" w:ascii="Times New Roman" w:hAnsi="Times New Roman" w:eastAsia="宋体" w:cs="Times New Roman"/>
                      <w:strike w:val="0"/>
                      <w:dstrike w:val="0"/>
                      <w:color w:val="auto"/>
                      <w:sz w:val="21"/>
                      <w:szCs w:val="21"/>
                      <w:highlight w:val="none"/>
                      <w:lang w:val="en-US" w:eastAsia="zh-CN"/>
                    </w:rPr>
                    <w:t>修复</w:t>
                  </w:r>
                  <w:r>
                    <w:rPr>
                      <w:rFonts w:hint="default" w:ascii="Times New Roman" w:hAnsi="Times New Roman" w:eastAsia="宋体" w:cs="Times New Roman"/>
                      <w:strike w:val="0"/>
                      <w:dstrike w:val="0"/>
                      <w:color w:val="auto"/>
                      <w:sz w:val="21"/>
                      <w:szCs w:val="21"/>
                      <w:highlight w:val="none"/>
                    </w:rPr>
                    <w:t>再</w:t>
                  </w:r>
                  <w:r>
                    <w:rPr>
                      <w:rFonts w:hint="default" w:ascii="Times New Roman" w:hAnsi="Times New Roman" w:eastAsia="宋体" w:cs="Times New Roman"/>
                      <w:strike w:val="0"/>
                      <w:dstrike w:val="0"/>
                      <w:color w:val="auto"/>
                      <w:sz w:val="21"/>
                      <w:szCs w:val="21"/>
                      <w:highlight w:val="none"/>
                      <w:lang w:val="en-US" w:eastAsia="zh-CN"/>
                    </w:rPr>
                    <w:t>使用</w:t>
                  </w:r>
                </w:p>
              </w:tc>
              <w:tc>
                <w:tcPr>
                  <w:tcW w:w="1157" w:type="dxa"/>
                  <w:vMerge w:val="continue"/>
                  <w:tcBorders>
                    <w:tl2br w:val="nil"/>
                    <w:tr2bl w:val="nil"/>
                  </w:tcBorders>
                  <w:noWrap w:val="0"/>
                  <w:vAlign w:val="center"/>
                </w:tcPr>
                <w:p w14:paraId="6605EE9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31E0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5A0554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B3606E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S7</w:t>
                  </w:r>
                </w:p>
              </w:tc>
              <w:tc>
                <w:tcPr>
                  <w:tcW w:w="1383" w:type="dxa"/>
                  <w:tcBorders>
                    <w:tl2br w:val="nil"/>
                    <w:tr2bl w:val="nil"/>
                  </w:tcBorders>
                  <w:shd w:val="clear" w:color="auto" w:fill="auto"/>
                  <w:noWrap w:val="0"/>
                  <w:vAlign w:val="center"/>
                </w:tcPr>
                <w:p w14:paraId="0D4AF0C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检验分筛</w:t>
                  </w:r>
                </w:p>
              </w:tc>
              <w:tc>
                <w:tcPr>
                  <w:tcW w:w="1323" w:type="dxa"/>
                  <w:tcBorders>
                    <w:tl2br w:val="nil"/>
                    <w:tr2bl w:val="nil"/>
                  </w:tcBorders>
                  <w:shd w:val="clear" w:color="auto" w:fill="auto"/>
                  <w:noWrap w:val="0"/>
                  <w:vAlign w:val="center"/>
                </w:tcPr>
                <w:p w14:paraId="4985CA9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残次品</w:t>
                  </w:r>
                </w:p>
              </w:tc>
              <w:tc>
                <w:tcPr>
                  <w:tcW w:w="2571" w:type="dxa"/>
                  <w:tcBorders>
                    <w:tl2br w:val="nil"/>
                    <w:tr2bl w:val="nil"/>
                  </w:tcBorders>
                  <w:shd w:val="clear" w:color="auto" w:fill="auto"/>
                  <w:noWrap w:val="0"/>
                  <w:vAlign w:val="center"/>
                </w:tcPr>
                <w:p w14:paraId="5B3AE39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回用至熔炉熔化</w:t>
                  </w:r>
                </w:p>
              </w:tc>
              <w:tc>
                <w:tcPr>
                  <w:tcW w:w="1157" w:type="dxa"/>
                  <w:vMerge w:val="continue"/>
                  <w:tcBorders>
                    <w:tl2br w:val="nil"/>
                    <w:tr2bl w:val="nil"/>
                  </w:tcBorders>
                  <w:noWrap w:val="0"/>
                  <w:vAlign w:val="center"/>
                </w:tcPr>
                <w:p w14:paraId="7384867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5CE3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47B8A5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B8543F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S8</w:t>
                  </w:r>
                </w:p>
              </w:tc>
              <w:tc>
                <w:tcPr>
                  <w:tcW w:w="1383" w:type="dxa"/>
                  <w:tcBorders>
                    <w:tl2br w:val="nil"/>
                    <w:tr2bl w:val="nil"/>
                  </w:tcBorders>
                  <w:shd w:val="clear" w:color="auto" w:fill="auto"/>
                  <w:noWrap w:val="0"/>
                  <w:vAlign w:val="center"/>
                </w:tcPr>
                <w:p w14:paraId="7298F62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切边</w:t>
                  </w:r>
                </w:p>
              </w:tc>
              <w:tc>
                <w:tcPr>
                  <w:tcW w:w="1323" w:type="dxa"/>
                  <w:tcBorders>
                    <w:tl2br w:val="nil"/>
                    <w:tr2bl w:val="nil"/>
                  </w:tcBorders>
                  <w:shd w:val="clear" w:color="auto" w:fill="auto"/>
                  <w:noWrap w:val="0"/>
                  <w:vAlign w:val="center"/>
                </w:tcPr>
                <w:p w14:paraId="447C330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lang w:eastAsia="zh-CN"/>
                    </w:rPr>
                    <w:t>废吸塑片边角料</w:t>
                  </w:r>
                </w:p>
              </w:tc>
              <w:tc>
                <w:tcPr>
                  <w:tcW w:w="2571" w:type="dxa"/>
                  <w:tcBorders>
                    <w:tl2br w:val="nil"/>
                    <w:tr2bl w:val="nil"/>
                  </w:tcBorders>
                  <w:shd w:val="clear" w:color="auto" w:fill="auto"/>
                  <w:noWrap w:val="0"/>
                  <w:vAlign w:val="center"/>
                </w:tcPr>
                <w:p w14:paraId="523F121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回用于</w:t>
                  </w:r>
                  <w:r>
                    <w:rPr>
                      <w:rFonts w:hint="default" w:ascii="Times New Roman" w:hAnsi="Times New Roman" w:eastAsia="宋体" w:cs="Times New Roman"/>
                      <w:strike w:val="0"/>
                      <w:dstrike w:val="0"/>
                      <w:color w:val="auto"/>
                      <w:sz w:val="21"/>
                      <w:szCs w:val="21"/>
                      <w:highlight w:val="none"/>
                      <w:lang w:val="en-US" w:eastAsia="zh-CN"/>
                    </w:rPr>
                    <w:t>PVC</w:t>
                  </w:r>
                  <w:r>
                    <w:rPr>
                      <w:rFonts w:hint="default" w:ascii="Times New Roman" w:hAnsi="Times New Roman" w:eastAsia="宋体" w:cs="Times New Roman"/>
                      <w:strike w:val="0"/>
                      <w:dstrike w:val="0"/>
                      <w:color w:val="auto"/>
                      <w:sz w:val="21"/>
                      <w:szCs w:val="21"/>
                      <w:highlight w:val="none"/>
                    </w:rPr>
                    <w:t>生产线</w:t>
                  </w:r>
                </w:p>
              </w:tc>
              <w:tc>
                <w:tcPr>
                  <w:tcW w:w="1157" w:type="dxa"/>
                  <w:vMerge w:val="continue"/>
                  <w:tcBorders>
                    <w:tl2br w:val="nil"/>
                    <w:tr2bl w:val="nil"/>
                  </w:tcBorders>
                  <w:noWrap w:val="0"/>
                  <w:vAlign w:val="center"/>
                </w:tcPr>
                <w:p w14:paraId="34084C4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2DED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78EF48B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7F37D32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S9</w:t>
                  </w:r>
                </w:p>
              </w:tc>
              <w:tc>
                <w:tcPr>
                  <w:tcW w:w="1383" w:type="dxa"/>
                  <w:tcBorders>
                    <w:tl2br w:val="nil"/>
                    <w:tr2bl w:val="nil"/>
                  </w:tcBorders>
                  <w:shd w:val="clear" w:color="auto" w:fill="auto"/>
                  <w:noWrap w:val="0"/>
                  <w:vAlign w:val="center"/>
                </w:tcPr>
                <w:p w14:paraId="0517D40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卸吸塑片</w:t>
                  </w:r>
                </w:p>
              </w:tc>
              <w:tc>
                <w:tcPr>
                  <w:tcW w:w="1323" w:type="dxa"/>
                  <w:tcBorders>
                    <w:tl2br w:val="nil"/>
                    <w:tr2bl w:val="nil"/>
                  </w:tcBorders>
                  <w:shd w:val="clear" w:color="auto" w:fill="auto"/>
                  <w:noWrap w:val="0"/>
                  <w:vAlign w:val="center"/>
                </w:tcPr>
                <w:p w14:paraId="6003969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废吸塑片</w:t>
                  </w:r>
                </w:p>
              </w:tc>
              <w:tc>
                <w:tcPr>
                  <w:tcW w:w="2571" w:type="dxa"/>
                  <w:tcBorders>
                    <w:tl2br w:val="nil"/>
                    <w:tr2bl w:val="nil"/>
                  </w:tcBorders>
                  <w:shd w:val="clear" w:color="auto" w:fill="auto"/>
                  <w:noWrap w:val="0"/>
                  <w:vAlign w:val="center"/>
                </w:tcPr>
                <w:p w14:paraId="58A7930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回用于</w:t>
                  </w:r>
                  <w:r>
                    <w:rPr>
                      <w:rFonts w:hint="default" w:ascii="Times New Roman" w:hAnsi="Times New Roman" w:eastAsia="宋体" w:cs="Times New Roman"/>
                      <w:strike w:val="0"/>
                      <w:dstrike w:val="0"/>
                      <w:color w:val="auto"/>
                      <w:sz w:val="21"/>
                      <w:szCs w:val="21"/>
                      <w:highlight w:val="none"/>
                      <w:lang w:val="en-US" w:eastAsia="zh-CN"/>
                    </w:rPr>
                    <w:t>PVC</w:t>
                  </w:r>
                  <w:r>
                    <w:rPr>
                      <w:rFonts w:hint="default" w:ascii="Times New Roman" w:hAnsi="Times New Roman" w:eastAsia="宋体" w:cs="Times New Roman"/>
                      <w:strike w:val="0"/>
                      <w:dstrike w:val="0"/>
                      <w:color w:val="auto"/>
                      <w:sz w:val="21"/>
                      <w:szCs w:val="21"/>
                      <w:highlight w:val="none"/>
                    </w:rPr>
                    <w:t>生产线</w:t>
                  </w:r>
                </w:p>
              </w:tc>
              <w:tc>
                <w:tcPr>
                  <w:tcW w:w="1157" w:type="dxa"/>
                  <w:vMerge w:val="continue"/>
                  <w:tcBorders>
                    <w:tl2br w:val="nil"/>
                    <w:tr2bl w:val="nil"/>
                  </w:tcBorders>
                  <w:noWrap w:val="0"/>
                  <w:vAlign w:val="center"/>
                </w:tcPr>
                <w:p w14:paraId="58E22A3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66D6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B67CD0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05AA394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w:t>
                  </w:r>
                  <w:r>
                    <w:rPr>
                      <w:rFonts w:hint="default" w:ascii="Times New Roman" w:hAnsi="Times New Roman" w:eastAsia="宋体" w:cs="Times New Roman"/>
                      <w:strike w:val="0"/>
                      <w:dstrike w:val="0"/>
                      <w:color w:val="auto"/>
                      <w:sz w:val="21"/>
                      <w:szCs w:val="21"/>
                      <w:highlight w:val="none"/>
                      <w:lang w:val="en-US" w:eastAsia="zh-CN"/>
                    </w:rPr>
                    <w:t>10</w:t>
                  </w:r>
                </w:p>
              </w:tc>
              <w:tc>
                <w:tcPr>
                  <w:tcW w:w="1383" w:type="dxa"/>
                  <w:tcBorders>
                    <w:tl2br w:val="nil"/>
                    <w:tr2bl w:val="nil"/>
                  </w:tcBorders>
                  <w:shd w:val="clear" w:color="auto" w:fill="auto"/>
                  <w:noWrap w:val="0"/>
                  <w:vAlign w:val="center"/>
                </w:tcPr>
                <w:p w14:paraId="7FDC8DE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eastAsia="zh-CN"/>
                    </w:rPr>
                    <w:t>珠胚循环水池</w:t>
                  </w:r>
                </w:p>
              </w:tc>
              <w:tc>
                <w:tcPr>
                  <w:tcW w:w="1323" w:type="dxa"/>
                  <w:tcBorders>
                    <w:tl2br w:val="nil"/>
                    <w:tr2bl w:val="nil"/>
                  </w:tcBorders>
                  <w:shd w:val="clear" w:color="auto" w:fill="auto"/>
                  <w:noWrap w:val="0"/>
                  <w:vAlign w:val="center"/>
                </w:tcPr>
                <w:p w14:paraId="6B2BA95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沉渣</w:t>
                  </w:r>
                </w:p>
              </w:tc>
              <w:tc>
                <w:tcPr>
                  <w:tcW w:w="2571" w:type="dxa"/>
                  <w:vMerge w:val="restart"/>
                  <w:tcBorders>
                    <w:tl2br w:val="nil"/>
                    <w:tr2bl w:val="nil"/>
                  </w:tcBorders>
                  <w:shd w:val="clear" w:color="auto" w:fill="auto"/>
                  <w:noWrap w:val="0"/>
                  <w:vAlign w:val="center"/>
                </w:tcPr>
                <w:p w14:paraId="763B910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经脱水干化集后</w:t>
                  </w:r>
                  <w:r>
                    <w:rPr>
                      <w:rFonts w:hint="default" w:ascii="Times New Roman" w:hAnsi="Times New Roman" w:eastAsia="宋体" w:cs="Times New Roman"/>
                      <w:color w:val="auto"/>
                      <w:spacing w:val="-1"/>
                      <w:sz w:val="21"/>
                      <w:szCs w:val="21"/>
                      <w:highlight w:val="none"/>
                      <w:lang w:val="en-US" w:eastAsia="zh-CN"/>
                    </w:rPr>
                    <w:t>收</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p>
              </w:tc>
              <w:tc>
                <w:tcPr>
                  <w:tcW w:w="1157" w:type="dxa"/>
                  <w:vMerge w:val="continue"/>
                  <w:tcBorders>
                    <w:tl2br w:val="nil"/>
                    <w:tr2bl w:val="nil"/>
                  </w:tcBorders>
                  <w:noWrap w:val="0"/>
                  <w:vAlign w:val="center"/>
                </w:tcPr>
                <w:p w14:paraId="75A79EE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3F95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2778C22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4A84238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1</w:t>
                  </w:r>
                </w:p>
              </w:tc>
              <w:tc>
                <w:tcPr>
                  <w:tcW w:w="1383" w:type="dxa"/>
                  <w:tcBorders>
                    <w:tl2br w:val="nil"/>
                    <w:tr2bl w:val="nil"/>
                  </w:tcBorders>
                  <w:shd w:val="clear" w:color="auto" w:fill="auto"/>
                  <w:noWrap w:val="0"/>
                  <w:vAlign w:val="center"/>
                </w:tcPr>
                <w:p w14:paraId="001D7D7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磨抛</w:t>
                  </w:r>
                  <w:r>
                    <w:rPr>
                      <w:rFonts w:hint="default" w:ascii="Times New Roman" w:hAnsi="Times New Roman" w:eastAsia="宋体" w:cs="Times New Roman"/>
                      <w:strike w:val="0"/>
                      <w:dstrike w:val="0"/>
                      <w:color w:val="auto"/>
                      <w:sz w:val="21"/>
                      <w:szCs w:val="21"/>
                      <w:highlight w:val="none"/>
                      <w:lang w:val="en-US" w:eastAsia="zh-CN"/>
                    </w:rPr>
                    <w:t>循环</w:t>
                  </w:r>
                  <w:r>
                    <w:rPr>
                      <w:rFonts w:hint="default" w:ascii="Times New Roman" w:hAnsi="Times New Roman" w:eastAsia="宋体" w:cs="Times New Roman"/>
                      <w:strike w:val="0"/>
                      <w:dstrike w:val="0"/>
                      <w:color w:val="auto"/>
                      <w:sz w:val="21"/>
                      <w:szCs w:val="21"/>
                      <w:highlight w:val="none"/>
                    </w:rPr>
                    <w:t>水池</w:t>
                  </w:r>
                </w:p>
              </w:tc>
              <w:tc>
                <w:tcPr>
                  <w:tcW w:w="1323" w:type="dxa"/>
                  <w:tcBorders>
                    <w:tl2br w:val="nil"/>
                    <w:tr2bl w:val="nil"/>
                  </w:tcBorders>
                  <w:shd w:val="clear" w:color="auto" w:fill="auto"/>
                  <w:noWrap w:val="0"/>
                  <w:vAlign w:val="center"/>
                </w:tcPr>
                <w:p w14:paraId="0DA9E27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沉渣</w:t>
                  </w:r>
                </w:p>
              </w:tc>
              <w:tc>
                <w:tcPr>
                  <w:tcW w:w="2571" w:type="dxa"/>
                  <w:vMerge w:val="continue"/>
                  <w:tcBorders>
                    <w:tl2br w:val="nil"/>
                    <w:tr2bl w:val="nil"/>
                  </w:tcBorders>
                  <w:shd w:val="clear" w:color="auto" w:fill="auto"/>
                  <w:noWrap w:val="0"/>
                  <w:vAlign w:val="center"/>
                </w:tcPr>
                <w:p w14:paraId="49F457F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p>
              </w:tc>
              <w:tc>
                <w:tcPr>
                  <w:tcW w:w="1157" w:type="dxa"/>
                  <w:vMerge w:val="continue"/>
                  <w:tcBorders>
                    <w:tl2br w:val="nil"/>
                    <w:tr2bl w:val="nil"/>
                  </w:tcBorders>
                  <w:noWrap w:val="0"/>
                  <w:vAlign w:val="center"/>
                </w:tcPr>
                <w:p w14:paraId="0CE2F72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37F9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D7C000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122D5FB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2</w:t>
                  </w:r>
                </w:p>
              </w:tc>
              <w:tc>
                <w:tcPr>
                  <w:tcW w:w="1383" w:type="dxa"/>
                  <w:tcBorders>
                    <w:tl2br w:val="nil"/>
                    <w:tr2bl w:val="nil"/>
                  </w:tcBorders>
                  <w:shd w:val="clear" w:color="auto" w:fill="auto"/>
                  <w:noWrap w:val="0"/>
                  <w:vAlign w:val="center"/>
                </w:tcPr>
                <w:p w14:paraId="31B32A4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圆磨</w:t>
                  </w:r>
                  <w:r>
                    <w:rPr>
                      <w:rFonts w:hint="default" w:ascii="Times New Roman" w:hAnsi="Times New Roman" w:eastAsia="宋体" w:cs="Times New Roman"/>
                      <w:strike w:val="0"/>
                      <w:dstrike w:val="0"/>
                      <w:color w:val="auto"/>
                      <w:sz w:val="21"/>
                      <w:szCs w:val="21"/>
                      <w:highlight w:val="none"/>
                      <w:lang w:val="en-US" w:eastAsia="zh-CN"/>
                    </w:rPr>
                    <w:t>循环</w:t>
                  </w:r>
                  <w:r>
                    <w:rPr>
                      <w:rFonts w:hint="default" w:ascii="Times New Roman" w:hAnsi="Times New Roman" w:eastAsia="宋体" w:cs="Times New Roman"/>
                      <w:strike w:val="0"/>
                      <w:dstrike w:val="0"/>
                      <w:color w:val="auto"/>
                      <w:sz w:val="21"/>
                      <w:szCs w:val="21"/>
                      <w:highlight w:val="none"/>
                    </w:rPr>
                    <w:t>水池</w:t>
                  </w:r>
                </w:p>
              </w:tc>
              <w:tc>
                <w:tcPr>
                  <w:tcW w:w="1323" w:type="dxa"/>
                  <w:tcBorders>
                    <w:tl2br w:val="nil"/>
                    <w:tr2bl w:val="nil"/>
                  </w:tcBorders>
                  <w:shd w:val="clear" w:color="auto" w:fill="auto"/>
                  <w:noWrap w:val="0"/>
                  <w:vAlign w:val="center"/>
                </w:tcPr>
                <w:p w14:paraId="7D63777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沉渣</w:t>
                  </w:r>
                </w:p>
              </w:tc>
              <w:tc>
                <w:tcPr>
                  <w:tcW w:w="2571" w:type="dxa"/>
                  <w:vMerge w:val="continue"/>
                  <w:tcBorders>
                    <w:tl2br w:val="nil"/>
                    <w:tr2bl w:val="nil"/>
                  </w:tcBorders>
                  <w:shd w:val="clear" w:color="auto" w:fill="auto"/>
                  <w:noWrap w:val="0"/>
                  <w:vAlign w:val="center"/>
                </w:tcPr>
                <w:p w14:paraId="76D2E3E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p>
              </w:tc>
              <w:tc>
                <w:tcPr>
                  <w:tcW w:w="1157" w:type="dxa"/>
                  <w:vMerge w:val="continue"/>
                  <w:tcBorders>
                    <w:tl2br w:val="nil"/>
                    <w:tr2bl w:val="nil"/>
                  </w:tcBorders>
                  <w:noWrap w:val="0"/>
                  <w:vAlign w:val="center"/>
                </w:tcPr>
                <w:p w14:paraId="20A539E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2103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6535F08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2951B2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3</w:t>
                  </w:r>
                </w:p>
              </w:tc>
              <w:tc>
                <w:tcPr>
                  <w:tcW w:w="1383" w:type="dxa"/>
                  <w:tcBorders>
                    <w:tl2br w:val="nil"/>
                    <w:tr2bl w:val="nil"/>
                  </w:tcBorders>
                  <w:shd w:val="clear" w:color="auto" w:fill="auto"/>
                  <w:noWrap w:val="0"/>
                  <w:vAlign w:val="center"/>
                </w:tcPr>
                <w:p w14:paraId="4C52907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碱液收集池</w:t>
                  </w:r>
                </w:p>
              </w:tc>
              <w:tc>
                <w:tcPr>
                  <w:tcW w:w="1323" w:type="dxa"/>
                  <w:tcBorders>
                    <w:tl2br w:val="nil"/>
                    <w:tr2bl w:val="nil"/>
                  </w:tcBorders>
                  <w:shd w:val="clear" w:color="auto" w:fill="auto"/>
                  <w:noWrap w:val="0"/>
                  <w:vAlign w:val="center"/>
                </w:tcPr>
                <w:p w14:paraId="17DC53E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碱洗沉渣</w:t>
                  </w:r>
                </w:p>
              </w:tc>
              <w:tc>
                <w:tcPr>
                  <w:tcW w:w="2571" w:type="dxa"/>
                  <w:tcBorders>
                    <w:tl2br w:val="nil"/>
                    <w:tr2bl w:val="nil"/>
                  </w:tcBorders>
                  <w:shd w:val="clear" w:color="auto" w:fill="auto"/>
                  <w:noWrap w:val="0"/>
                  <w:vAlign w:val="center"/>
                </w:tcPr>
                <w:p w14:paraId="38A0BD4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收集后</w:t>
                  </w:r>
                  <w:r>
                    <w:rPr>
                      <w:rFonts w:hint="default" w:ascii="Times New Roman" w:hAnsi="Times New Roman" w:eastAsia="宋体" w:cs="Times New Roman"/>
                      <w:strike w:val="0"/>
                      <w:dstrike w:val="0"/>
                      <w:color w:val="auto"/>
                      <w:sz w:val="21"/>
                      <w:szCs w:val="21"/>
                      <w:highlight w:val="none"/>
                      <w:lang w:val="en-US" w:eastAsia="zh-CN"/>
                    </w:rPr>
                    <w:t>外售给胶厂作为原料使用</w:t>
                  </w:r>
                  <w:r>
                    <w:rPr>
                      <w:rFonts w:hint="eastAsia" w:cs="Times New Roman"/>
                      <w:strike w:val="0"/>
                      <w:dstrike w:val="0"/>
                      <w:color w:val="auto"/>
                      <w:sz w:val="21"/>
                      <w:szCs w:val="21"/>
                      <w:highlight w:val="none"/>
                      <w:lang w:val="en-US" w:eastAsia="zh-CN"/>
                    </w:rPr>
                    <w:t>（总公司已签订处置合同）</w:t>
                  </w:r>
                </w:p>
              </w:tc>
              <w:tc>
                <w:tcPr>
                  <w:tcW w:w="1157" w:type="dxa"/>
                  <w:vMerge w:val="continue"/>
                  <w:tcBorders>
                    <w:tl2br w:val="nil"/>
                    <w:tr2bl w:val="nil"/>
                  </w:tcBorders>
                  <w:noWrap w:val="0"/>
                  <w:vAlign w:val="center"/>
                </w:tcPr>
                <w:p w14:paraId="5680082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14F0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2506957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2E8A853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4</w:t>
                  </w:r>
                </w:p>
              </w:tc>
              <w:tc>
                <w:tcPr>
                  <w:tcW w:w="1383" w:type="dxa"/>
                  <w:tcBorders>
                    <w:tl2br w:val="nil"/>
                    <w:tr2bl w:val="nil"/>
                  </w:tcBorders>
                  <w:shd w:val="clear" w:color="auto" w:fill="auto"/>
                  <w:noWrap w:val="0"/>
                  <w:vAlign w:val="center"/>
                </w:tcPr>
                <w:p w14:paraId="0123B78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生化污水处理站</w:t>
                  </w:r>
                </w:p>
              </w:tc>
              <w:tc>
                <w:tcPr>
                  <w:tcW w:w="1323" w:type="dxa"/>
                  <w:tcBorders>
                    <w:tl2br w:val="nil"/>
                    <w:tr2bl w:val="nil"/>
                  </w:tcBorders>
                  <w:shd w:val="clear" w:color="auto" w:fill="auto"/>
                  <w:noWrap w:val="0"/>
                  <w:vAlign w:val="center"/>
                </w:tcPr>
                <w:p w14:paraId="6906EA6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污泥</w:t>
                  </w:r>
                </w:p>
              </w:tc>
              <w:tc>
                <w:tcPr>
                  <w:tcW w:w="2571" w:type="dxa"/>
                  <w:tcBorders>
                    <w:tl2br w:val="nil"/>
                    <w:tr2bl w:val="nil"/>
                  </w:tcBorders>
                  <w:shd w:val="clear" w:color="auto" w:fill="auto"/>
                  <w:noWrap w:val="0"/>
                  <w:vAlign w:val="center"/>
                </w:tcPr>
                <w:p w14:paraId="487AE50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委托环卫部门清运处置</w:t>
                  </w:r>
                </w:p>
              </w:tc>
              <w:tc>
                <w:tcPr>
                  <w:tcW w:w="1157" w:type="dxa"/>
                  <w:vMerge w:val="continue"/>
                  <w:tcBorders>
                    <w:tl2br w:val="nil"/>
                    <w:tr2bl w:val="nil"/>
                  </w:tcBorders>
                  <w:noWrap w:val="0"/>
                  <w:vAlign w:val="center"/>
                </w:tcPr>
                <w:p w14:paraId="7C9B743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3F2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0AECF5F4">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7C91226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5</w:t>
                  </w:r>
                </w:p>
              </w:tc>
              <w:tc>
                <w:tcPr>
                  <w:tcW w:w="1383" w:type="dxa"/>
                  <w:tcBorders>
                    <w:tl2br w:val="nil"/>
                    <w:tr2bl w:val="nil"/>
                  </w:tcBorders>
                  <w:shd w:val="clear" w:color="auto" w:fill="auto"/>
                  <w:noWrap w:val="0"/>
                  <w:vAlign w:val="center"/>
                </w:tcPr>
                <w:p w14:paraId="1356C33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吸塑生产</w:t>
                  </w:r>
                  <w:r>
                    <w:rPr>
                      <w:rFonts w:hint="default" w:ascii="Times New Roman" w:hAnsi="Times New Roman" w:eastAsia="宋体" w:cs="Times New Roman"/>
                      <w:strike w:val="0"/>
                      <w:dstrike w:val="0"/>
                      <w:color w:val="auto"/>
                      <w:sz w:val="21"/>
                      <w:szCs w:val="21"/>
                      <w:highlight w:val="none"/>
                    </w:rPr>
                    <w:t>布袋除尘器</w:t>
                  </w:r>
                </w:p>
              </w:tc>
              <w:tc>
                <w:tcPr>
                  <w:tcW w:w="1323" w:type="dxa"/>
                  <w:tcBorders>
                    <w:tl2br w:val="nil"/>
                    <w:tr2bl w:val="nil"/>
                  </w:tcBorders>
                  <w:shd w:val="clear" w:color="auto" w:fill="auto"/>
                  <w:noWrap w:val="0"/>
                  <w:vAlign w:val="center"/>
                </w:tcPr>
                <w:p w14:paraId="66CC86D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布袋收尘</w:t>
                  </w:r>
                </w:p>
              </w:tc>
              <w:tc>
                <w:tcPr>
                  <w:tcW w:w="2571" w:type="dxa"/>
                  <w:tcBorders>
                    <w:tl2br w:val="nil"/>
                    <w:tr2bl w:val="nil"/>
                  </w:tcBorders>
                  <w:shd w:val="clear" w:color="auto" w:fill="auto"/>
                  <w:noWrap w:val="0"/>
                  <w:vAlign w:val="center"/>
                </w:tcPr>
                <w:p w14:paraId="395CAB5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回收后用于吸塑片生产</w:t>
                  </w:r>
                </w:p>
              </w:tc>
              <w:tc>
                <w:tcPr>
                  <w:tcW w:w="1157" w:type="dxa"/>
                  <w:vMerge w:val="restart"/>
                  <w:tcBorders>
                    <w:tl2br w:val="nil"/>
                    <w:tr2bl w:val="nil"/>
                  </w:tcBorders>
                  <w:noWrap w:val="0"/>
                  <w:vAlign w:val="center"/>
                </w:tcPr>
                <w:p w14:paraId="4BDBEC2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r>
            <w:tr w14:paraId="57FD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4308498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62D2F31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w:t>
                  </w:r>
                  <w:r>
                    <w:rPr>
                      <w:rFonts w:hint="default" w:ascii="Times New Roman" w:hAnsi="Times New Roman" w:eastAsia="宋体" w:cs="Times New Roman"/>
                      <w:strike w:val="0"/>
                      <w:dstrike w:val="0"/>
                      <w:color w:val="auto"/>
                      <w:sz w:val="21"/>
                      <w:szCs w:val="21"/>
                      <w:highlight w:val="none"/>
                      <w:lang w:val="en-US" w:eastAsia="zh-CN"/>
                    </w:rPr>
                    <w:t>16</w:t>
                  </w:r>
                </w:p>
              </w:tc>
              <w:tc>
                <w:tcPr>
                  <w:tcW w:w="1383" w:type="dxa"/>
                  <w:tcBorders>
                    <w:tl2br w:val="nil"/>
                    <w:tr2bl w:val="nil"/>
                  </w:tcBorders>
                  <w:shd w:val="clear" w:color="auto" w:fill="auto"/>
                  <w:noWrap w:val="0"/>
                  <w:vAlign w:val="center"/>
                </w:tcPr>
                <w:p w14:paraId="799493DD">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切片切角</w:t>
                  </w:r>
                </w:p>
              </w:tc>
              <w:tc>
                <w:tcPr>
                  <w:tcW w:w="1323" w:type="dxa"/>
                  <w:tcBorders>
                    <w:tl2br w:val="nil"/>
                    <w:tr2bl w:val="nil"/>
                  </w:tcBorders>
                  <w:shd w:val="clear" w:color="auto" w:fill="auto"/>
                  <w:noWrap w:val="0"/>
                  <w:vAlign w:val="center"/>
                </w:tcPr>
                <w:p w14:paraId="4E1A657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废边角料</w:t>
                  </w:r>
                </w:p>
              </w:tc>
              <w:tc>
                <w:tcPr>
                  <w:tcW w:w="2571" w:type="dxa"/>
                  <w:tcBorders>
                    <w:tl2br w:val="nil"/>
                    <w:tr2bl w:val="nil"/>
                  </w:tcBorders>
                  <w:shd w:val="clear" w:color="auto" w:fill="auto"/>
                  <w:noWrap w:val="0"/>
                  <w:vAlign w:val="center"/>
                </w:tcPr>
                <w:p w14:paraId="27ABC7D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回收后用于吸塑片生产</w:t>
                  </w:r>
                </w:p>
              </w:tc>
              <w:tc>
                <w:tcPr>
                  <w:tcW w:w="1157" w:type="dxa"/>
                  <w:vMerge w:val="continue"/>
                  <w:tcBorders>
                    <w:tl2br w:val="nil"/>
                    <w:tr2bl w:val="nil"/>
                  </w:tcBorders>
                  <w:noWrap w:val="0"/>
                  <w:vAlign w:val="center"/>
                </w:tcPr>
                <w:p w14:paraId="344323F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485B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DFFF55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0C4B0CD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w:t>
                  </w:r>
                  <w:r>
                    <w:rPr>
                      <w:rFonts w:hint="default" w:ascii="Times New Roman" w:hAnsi="Times New Roman" w:eastAsia="宋体" w:cs="Times New Roman"/>
                      <w:strike w:val="0"/>
                      <w:dstrike w:val="0"/>
                      <w:color w:val="auto"/>
                      <w:sz w:val="21"/>
                      <w:szCs w:val="21"/>
                      <w:highlight w:val="none"/>
                      <w:lang w:val="en-US" w:eastAsia="zh-CN"/>
                    </w:rPr>
                    <w:t>17</w:t>
                  </w:r>
                </w:p>
              </w:tc>
              <w:tc>
                <w:tcPr>
                  <w:tcW w:w="1383" w:type="dxa"/>
                  <w:tcBorders>
                    <w:tl2br w:val="nil"/>
                    <w:tr2bl w:val="nil"/>
                  </w:tcBorders>
                  <w:shd w:val="clear" w:color="auto" w:fill="auto"/>
                  <w:noWrap w:val="0"/>
                  <w:vAlign w:val="center"/>
                </w:tcPr>
                <w:p w14:paraId="3103BA6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en-US" w:bidi="ar-SA"/>
                    </w:rPr>
                  </w:pPr>
                  <w:r>
                    <w:rPr>
                      <w:rFonts w:hint="default" w:ascii="Times New Roman" w:hAnsi="Times New Roman" w:eastAsia="宋体" w:cs="Times New Roman"/>
                      <w:strike w:val="0"/>
                      <w:dstrike w:val="0"/>
                      <w:color w:val="auto"/>
                      <w:sz w:val="21"/>
                      <w:szCs w:val="21"/>
                      <w:highlight w:val="none"/>
                      <w:lang w:val="en-US" w:eastAsia="zh-CN"/>
                    </w:rPr>
                    <w:t>抛轮修复</w:t>
                  </w:r>
                  <w:r>
                    <w:rPr>
                      <w:rFonts w:hint="default" w:ascii="Times New Roman" w:hAnsi="Times New Roman" w:eastAsia="宋体" w:cs="Times New Roman"/>
                      <w:strike w:val="0"/>
                      <w:dstrike w:val="0"/>
                      <w:color w:val="auto"/>
                      <w:sz w:val="21"/>
                      <w:szCs w:val="21"/>
                      <w:highlight w:val="none"/>
                    </w:rPr>
                    <w:t>布袋除尘器</w:t>
                  </w:r>
                </w:p>
              </w:tc>
              <w:tc>
                <w:tcPr>
                  <w:tcW w:w="1323" w:type="dxa"/>
                  <w:tcBorders>
                    <w:tl2br w:val="nil"/>
                    <w:tr2bl w:val="nil"/>
                  </w:tcBorders>
                  <w:shd w:val="clear" w:color="auto" w:fill="auto"/>
                  <w:noWrap w:val="0"/>
                  <w:vAlign w:val="center"/>
                </w:tcPr>
                <w:p w14:paraId="6790E10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en-US" w:bidi="ar-SA"/>
                    </w:rPr>
                  </w:pPr>
                  <w:r>
                    <w:rPr>
                      <w:rFonts w:hint="default" w:ascii="Times New Roman" w:hAnsi="Times New Roman" w:eastAsia="宋体" w:cs="Times New Roman"/>
                      <w:strike w:val="0"/>
                      <w:dstrike w:val="0"/>
                      <w:color w:val="auto"/>
                      <w:sz w:val="21"/>
                      <w:szCs w:val="21"/>
                      <w:highlight w:val="none"/>
                    </w:rPr>
                    <w:t>粉尘</w:t>
                  </w:r>
                </w:p>
              </w:tc>
              <w:tc>
                <w:tcPr>
                  <w:tcW w:w="2571" w:type="dxa"/>
                  <w:tcBorders>
                    <w:tl2br w:val="nil"/>
                    <w:tr2bl w:val="nil"/>
                  </w:tcBorders>
                  <w:shd w:val="clear" w:color="auto" w:fill="auto"/>
                  <w:noWrap w:val="0"/>
                  <w:vAlign w:val="center"/>
                </w:tcPr>
                <w:p w14:paraId="60A47B13">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en-US" w:bidi="ar-SA"/>
                    </w:rPr>
                  </w:pPr>
                  <w:r>
                    <w:rPr>
                      <w:rFonts w:hint="default" w:ascii="Times New Roman" w:hAnsi="Times New Roman" w:eastAsia="宋体" w:cs="Times New Roman"/>
                      <w:strike w:val="0"/>
                      <w:dstrike w:val="0"/>
                      <w:color w:val="auto"/>
                      <w:sz w:val="21"/>
                      <w:szCs w:val="21"/>
                      <w:highlight w:val="none"/>
                    </w:rPr>
                    <w:t>回收后用于</w:t>
                  </w:r>
                  <w:r>
                    <w:rPr>
                      <w:rFonts w:hint="default" w:ascii="Times New Roman" w:hAnsi="Times New Roman" w:eastAsia="宋体" w:cs="Times New Roman"/>
                      <w:strike w:val="0"/>
                      <w:dstrike w:val="0"/>
                      <w:color w:val="auto"/>
                      <w:sz w:val="21"/>
                      <w:szCs w:val="21"/>
                      <w:highlight w:val="none"/>
                      <w:lang w:val="en-US" w:eastAsia="zh-CN"/>
                    </w:rPr>
                    <w:t>抛轮修复</w:t>
                  </w:r>
                </w:p>
              </w:tc>
              <w:tc>
                <w:tcPr>
                  <w:tcW w:w="1157" w:type="dxa"/>
                  <w:vMerge w:val="continue"/>
                  <w:tcBorders>
                    <w:tl2br w:val="nil"/>
                    <w:tr2bl w:val="nil"/>
                  </w:tcBorders>
                  <w:noWrap w:val="0"/>
                  <w:vAlign w:val="center"/>
                </w:tcPr>
                <w:p w14:paraId="2C718CA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482E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1E05123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p>
              </w:tc>
              <w:tc>
                <w:tcPr>
                  <w:tcW w:w="819" w:type="dxa"/>
                  <w:tcBorders>
                    <w:tl2br w:val="nil"/>
                    <w:tr2bl w:val="nil"/>
                  </w:tcBorders>
                  <w:shd w:val="clear" w:color="auto" w:fill="auto"/>
                  <w:noWrap w:val="0"/>
                  <w:vAlign w:val="center"/>
                </w:tcPr>
                <w:p w14:paraId="4ECD46EA">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rPr>
                  </w:pPr>
                  <w:r>
                    <w:rPr>
                      <w:rFonts w:hint="default" w:ascii="Times New Roman" w:hAnsi="Times New Roman" w:eastAsia="宋体" w:cs="Times New Roman"/>
                      <w:strike w:val="0"/>
                      <w:dstrike w:val="0"/>
                      <w:color w:val="auto"/>
                      <w:sz w:val="21"/>
                      <w:szCs w:val="21"/>
                      <w:highlight w:val="none"/>
                    </w:rPr>
                    <w:t>S</w:t>
                  </w:r>
                  <w:r>
                    <w:rPr>
                      <w:rFonts w:hint="default" w:ascii="Times New Roman" w:hAnsi="Times New Roman" w:eastAsia="宋体" w:cs="Times New Roman"/>
                      <w:strike w:val="0"/>
                      <w:dstrike w:val="0"/>
                      <w:color w:val="auto"/>
                      <w:sz w:val="21"/>
                      <w:szCs w:val="21"/>
                      <w:highlight w:val="none"/>
                      <w:lang w:val="en-US" w:eastAsia="zh-CN"/>
                    </w:rPr>
                    <w:t>20</w:t>
                  </w:r>
                </w:p>
              </w:tc>
              <w:tc>
                <w:tcPr>
                  <w:tcW w:w="1383" w:type="dxa"/>
                  <w:tcBorders>
                    <w:tl2br w:val="nil"/>
                    <w:tr2bl w:val="nil"/>
                  </w:tcBorders>
                  <w:shd w:val="clear" w:color="auto" w:fill="auto"/>
                  <w:noWrap w:val="0"/>
                  <w:vAlign w:val="center"/>
                </w:tcPr>
                <w:p w14:paraId="17FCD6D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去离子水制备系统</w:t>
                  </w:r>
                </w:p>
              </w:tc>
              <w:tc>
                <w:tcPr>
                  <w:tcW w:w="1323" w:type="dxa"/>
                  <w:tcBorders>
                    <w:tl2br w:val="nil"/>
                    <w:tr2bl w:val="nil"/>
                  </w:tcBorders>
                  <w:shd w:val="clear" w:color="auto" w:fill="auto"/>
                  <w:noWrap w:val="0"/>
                  <w:vAlign w:val="center"/>
                </w:tcPr>
                <w:p w14:paraId="1C63AA7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废石英砂、废活性炭、</w:t>
                  </w:r>
                  <w:r>
                    <w:rPr>
                      <w:rFonts w:hint="default" w:ascii="Times New Roman" w:hAnsi="Times New Roman" w:eastAsia="宋体" w:cs="Times New Roman"/>
                      <w:bCs/>
                      <w:strike w:val="0"/>
                      <w:dstrike w:val="0"/>
                      <w:snapToGrid w:val="0"/>
                      <w:color w:val="auto"/>
                      <w:kern w:val="0"/>
                      <w:sz w:val="21"/>
                      <w:szCs w:val="21"/>
                      <w:highlight w:val="none"/>
                    </w:rPr>
                    <w:t>废</w:t>
                  </w:r>
                  <w:r>
                    <w:rPr>
                      <w:rFonts w:hint="eastAsia" w:cs="Times New Roman"/>
                      <w:bCs/>
                      <w:strike w:val="0"/>
                      <w:dstrike w:val="0"/>
                      <w:snapToGrid w:val="0"/>
                      <w:color w:val="auto"/>
                      <w:kern w:val="0"/>
                      <w:sz w:val="21"/>
                      <w:szCs w:val="21"/>
                      <w:highlight w:val="none"/>
                      <w:lang w:val="en-US" w:eastAsia="zh-CN"/>
                    </w:rPr>
                    <w:t>反渗透</w:t>
                  </w:r>
                  <w:r>
                    <w:rPr>
                      <w:rFonts w:hint="default" w:ascii="Times New Roman" w:hAnsi="Times New Roman" w:eastAsia="宋体" w:cs="Times New Roman"/>
                      <w:bCs/>
                      <w:strike w:val="0"/>
                      <w:dstrike w:val="0"/>
                      <w:snapToGrid w:val="0"/>
                      <w:color w:val="auto"/>
                      <w:kern w:val="0"/>
                      <w:sz w:val="21"/>
                      <w:szCs w:val="21"/>
                      <w:highlight w:val="none"/>
                    </w:rPr>
                    <w:t>膜</w:t>
                  </w:r>
                  <w:r>
                    <w:rPr>
                      <w:rFonts w:hint="eastAsia" w:cs="Times New Roman"/>
                      <w:bCs/>
                      <w:strike w:val="0"/>
                      <w:dstrike w:val="0"/>
                      <w:snapToGrid w:val="0"/>
                      <w:color w:val="auto"/>
                      <w:kern w:val="0"/>
                      <w:sz w:val="21"/>
                      <w:szCs w:val="21"/>
                      <w:highlight w:val="none"/>
                      <w:lang w:val="en-US" w:eastAsia="zh-CN"/>
                    </w:rPr>
                    <w:t>及废离子交换树脂</w:t>
                  </w:r>
                </w:p>
              </w:tc>
              <w:tc>
                <w:tcPr>
                  <w:tcW w:w="2571" w:type="dxa"/>
                  <w:tcBorders>
                    <w:tl2br w:val="nil"/>
                    <w:tr2bl w:val="nil"/>
                  </w:tcBorders>
                  <w:shd w:val="clear" w:color="auto" w:fill="auto"/>
                  <w:noWrap w:val="0"/>
                  <w:vAlign w:val="center"/>
                </w:tcPr>
                <w:p w14:paraId="464D559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统一收集后由厂家定期更换回收</w:t>
                  </w:r>
                </w:p>
              </w:tc>
              <w:tc>
                <w:tcPr>
                  <w:tcW w:w="1157" w:type="dxa"/>
                  <w:vMerge w:val="continue"/>
                  <w:tcBorders>
                    <w:tl2br w:val="nil"/>
                    <w:tr2bl w:val="nil"/>
                  </w:tcBorders>
                  <w:noWrap w:val="0"/>
                  <w:vAlign w:val="center"/>
                </w:tcPr>
                <w:p w14:paraId="16E9CFE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r>
            <w:tr w14:paraId="7EF0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noWrap w:val="0"/>
                  <w:vAlign w:val="center"/>
                </w:tcPr>
                <w:p w14:paraId="15081FA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危险</w:t>
                  </w:r>
                </w:p>
                <w:p w14:paraId="334CA77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b/>
                      <w:bCs/>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rPr>
                    <w:t>废物</w:t>
                  </w:r>
                </w:p>
              </w:tc>
              <w:tc>
                <w:tcPr>
                  <w:tcW w:w="819" w:type="dxa"/>
                  <w:tcBorders>
                    <w:tl2br w:val="nil"/>
                    <w:tr2bl w:val="nil"/>
                  </w:tcBorders>
                  <w:shd w:val="clear" w:color="auto" w:fill="auto"/>
                  <w:noWrap w:val="0"/>
                  <w:vAlign w:val="center"/>
                </w:tcPr>
                <w:p w14:paraId="182DCCC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8</w:t>
                  </w:r>
                </w:p>
              </w:tc>
              <w:tc>
                <w:tcPr>
                  <w:tcW w:w="1383" w:type="dxa"/>
                  <w:tcBorders>
                    <w:tl2br w:val="nil"/>
                    <w:tr2bl w:val="nil"/>
                  </w:tcBorders>
                  <w:noWrap w:val="0"/>
                  <w:vAlign w:val="center"/>
                </w:tcPr>
                <w:p w14:paraId="1C852D69">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有机废气处理装置</w:t>
                  </w:r>
                </w:p>
              </w:tc>
              <w:tc>
                <w:tcPr>
                  <w:tcW w:w="1323" w:type="dxa"/>
                  <w:tcBorders>
                    <w:tl2br w:val="nil"/>
                    <w:tr2bl w:val="nil"/>
                  </w:tcBorders>
                  <w:noWrap w:val="0"/>
                  <w:vAlign w:val="center"/>
                </w:tcPr>
                <w:p w14:paraId="4AE5AF37">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废活性炭</w:t>
                  </w:r>
                </w:p>
              </w:tc>
              <w:tc>
                <w:tcPr>
                  <w:tcW w:w="2571" w:type="dxa"/>
                  <w:vMerge w:val="restart"/>
                  <w:tcBorders>
                    <w:tl2br w:val="nil"/>
                    <w:tr2bl w:val="nil"/>
                  </w:tcBorders>
                  <w:shd w:val="clear" w:color="auto" w:fill="auto"/>
                  <w:noWrap w:val="0"/>
                  <w:vAlign w:val="center"/>
                </w:tcPr>
                <w:p w14:paraId="346E4EE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经收集后暂存于</w:t>
                  </w:r>
                  <w:r>
                    <w:rPr>
                      <w:rFonts w:hint="eastAsia" w:cs="Times New Roman"/>
                      <w:strike w:val="0"/>
                      <w:dstrike w:val="0"/>
                      <w:color w:val="auto"/>
                      <w:sz w:val="21"/>
                      <w:szCs w:val="21"/>
                      <w:highlight w:val="none"/>
                      <w:lang w:eastAsia="zh-CN"/>
                    </w:rPr>
                    <w:t>危险废物贮存库</w:t>
                  </w:r>
                  <w:r>
                    <w:rPr>
                      <w:rFonts w:hint="default" w:ascii="Times New Roman" w:hAnsi="Times New Roman" w:eastAsia="宋体" w:cs="Times New Roman"/>
                      <w:strike w:val="0"/>
                      <w:dstrike w:val="0"/>
                      <w:color w:val="auto"/>
                      <w:sz w:val="21"/>
                      <w:szCs w:val="21"/>
                      <w:highlight w:val="none"/>
                    </w:rPr>
                    <w:t>，定期交由资质单位清运处置</w:t>
                  </w:r>
                  <w:r>
                    <w:rPr>
                      <w:rFonts w:hint="eastAsia" w:cs="Times New Roman"/>
                      <w:strike w:val="0"/>
                      <w:dstrike w:val="0"/>
                      <w:color w:val="auto"/>
                      <w:sz w:val="21"/>
                      <w:szCs w:val="21"/>
                      <w:highlight w:val="none"/>
                      <w:lang w:eastAsia="zh-CN"/>
                    </w:rPr>
                    <w:t>（</w:t>
                  </w:r>
                  <w:r>
                    <w:rPr>
                      <w:rFonts w:hint="eastAsia" w:ascii="Times New Roman" w:hAnsi="Times New Roman" w:eastAsia="宋体" w:cs="Times New Roman"/>
                      <w:color w:val="auto"/>
                      <w:spacing w:val="-1"/>
                      <w:sz w:val="21"/>
                      <w:szCs w:val="21"/>
                      <w:highlight w:val="none"/>
                      <w:lang w:val="en-US" w:eastAsia="zh-CN"/>
                    </w:rPr>
                    <w:t>与曲靖同磊再生资源回收有限公司签订危险废物处置合同</w:t>
                  </w:r>
                  <w:r>
                    <w:rPr>
                      <w:rFonts w:hint="eastAsia" w:cs="Times New Roman"/>
                      <w:strike w:val="0"/>
                      <w:dstrike w:val="0"/>
                      <w:color w:val="auto"/>
                      <w:sz w:val="21"/>
                      <w:szCs w:val="21"/>
                      <w:highlight w:val="none"/>
                      <w:lang w:eastAsia="zh-CN"/>
                    </w:rPr>
                    <w:t>）</w:t>
                  </w:r>
                </w:p>
              </w:tc>
              <w:tc>
                <w:tcPr>
                  <w:tcW w:w="1157" w:type="dxa"/>
                  <w:vMerge w:val="restart"/>
                  <w:tcBorders>
                    <w:tl2br w:val="nil"/>
                    <w:tr2bl w:val="nil"/>
                  </w:tcBorders>
                  <w:shd w:val="clear" w:color="auto" w:fill="auto"/>
                  <w:noWrap w:val="0"/>
                  <w:vAlign w:val="center"/>
                </w:tcPr>
                <w:p w14:paraId="1FED7D86">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合理处置，处置率100%</w:t>
                  </w:r>
                </w:p>
              </w:tc>
            </w:tr>
            <w:tr w14:paraId="0FCA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DD6A23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strike w:val="0"/>
                      <w:dstrike w:val="0"/>
                      <w:color w:val="auto"/>
                      <w:sz w:val="21"/>
                      <w:szCs w:val="21"/>
                      <w:highlight w:val="none"/>
                    </w:rPr>
                  </w:pPr>
                </w:p>
              </w:tc>
              <w:tc>
                <w:tcPr>
                  <w:tcW w:w="819" w:type="dxa"/>
                  <w:tcBorders>
                    <w:tl2br w:val="nil"/>
                    <w:tr2bl w:val="nil"/>
                  </w:tcBorders>
                  <w:shd w:val="clear" w:color="auto" w:fill="auto"/>
                  <w:noWrap w:val="0"/>
                  <w:vAlign w:val="center"/>
                </w:tcPr>
                <w:p w14:paraId="6B3FDDA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S1</w:t>
                  </w:r>
                  <w:r>
                    <w:rPr>
                      <w:rFonts w:hint="default" w:ascii="Times New Roman" w:hAnsi="Times New Roman" w:eastAsia="宋体" w:cs="Times New Roman"/>
                      <w:strike w:val="0"/>
                      <w:dstrike w:val="0"/>
                      <w:color w:val="auto"/>
                      <w:sz w:val="21"/>
                      <w:szCs w:val="21"/>
                      <w:highlight w:val="none"/>
                      <w:lang w:val="en-US" w:eastAsia="zh-CN"/>
                    </w:rPr>
                    <w:t>9</w:t>
                  </w:r>
                </w:p>
              </w:tc>
              <w:tc>
                <w:tcPr>
                  <w:tcW w:w="1383" w:type="dxa"/>
                  <w:tcBorders>
                    <w:tl2br w:val="nil"/>
                    <w:tr2bl w:val="nil"/>
                  </w:tcBorders>
                  <w:shd w:val="clear" w:color="auto" w:fill="auto"/>
                  <w:noWrap w:val="0"/>
                  <w:vAlign w:val="center"/>
                </w:tcPr>
                <w:p w14:paraId="1A7A71A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8"/>
                      <w:kern w:val="1"/>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机修</w:t>
                  </w:r>
                </w:p>
              </w:tc>
              <w:tc>
                <w:tcPr>
                  <w:tcW w:w="1323" w:type="dxa"/>
                  <w:tcBorders>
                    <w:tl2br w:val="nil"/>
                    <w:tr2bl w:val="nil"/>
                  </w:tcBorders>
                  <w:shd w:val="clear" w:color="auto" w:fill="auto"/>
                  <w:noWrap w:val="0"/>
                  <w:vAlign w:val="center"/>
                </w:tcPr>
                <w:p w14:paraId="7758D7CB">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废矿物油</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lang w:val="en-US" w:eastAsia="zh-CN"/>
                    </w:rPr>
                    <w:t>废油桶</w:t>
                  </w:r>
                </w:p>
              </w:tc>
              <w:tc>
                <w:tcPr>
                  <w:tcW w:w="2571" w:type="dxa"/>
                  <w:vMerge w:val="continue"/>
                  <w:tcBorders>
                    <w:tl2br w:val="nil"/>
                    <w:tr2bl w:val="nil"/>
                  </w:tcBorders>
                  <w:shd w:val="clear" w:color="auto" w:fill="auto"/>
                  <w:noWrap w:val="0"/>
                  <w:vAlign w:val="center"/>
                </w:tcPr>
                <w:p w14:paraId="71C4825E">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p>
              </w:tc>
              <w:tc>
                <w:tcPr>
                  <w:tcW w:w="1157" w:type="dxa"/>
                  <w:vMerge w:val="continue"/>
                  <w:tcBorders>
                    <w:tl2br w:val="nil"/>
                    <w:tr2bl w:val="nil"/>
                  </w:tcBorders>
                  <w:shd w:val="clear" w:color="auto" w:fill="auto"/>
                  <w:noWrap w:val="0"/>
                  <w:vAlign w:val="center"/>
                </w:tcPr>
                <w:p w14:paraId="5C16E851">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p>
              </w:tc>
            </w:tr>
            <w:tr w14:paraId="51BF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noWrap w:val="0"/>
                  <w:vAlign w:val="center"/>
                </w:tcPr>
                <w:p w14:paraId="3B197B3C">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firstLine="0"/>
                    <w:jc w:val="center"/>
                    <w:textAlignment w:val="auto"/>
                    <w:rPr>
                      <w:rFonts w:hint="default" w:ascii="Times New Roman" w:hAnsi="Times New Roman" w:eastAsia="宋体" w:cs="Times New Roman"/>
                      <w:strike w:val="0"/>
                      <w:dstrike w:val="0"/>
                      <w:color w:val="auto"/>
                      <w:sz w:val="21"/>
                      <w:szCs w:val="21"/>
                      <w:highlight w:val="none"/>
                    </w:rPr>
                  </w:pPr>
                </w:p>
              </w:tc>
              <w:tc>
                <w:tcPr>
                  <w:tcW w:w="819" w:type="dxa"/>
                  <w:tcBorders>
                    <w:tl2br w:val="nil"/>
                    <w:tr2bl w:val="nil"/>
                  </w:tcBorders>
                  <w:shd w:val="clear" w:color="auto" w:fill="auto"/>
                  <w:noWrap w:val="0"/>
                  <w:vAlign w:val="center"/>
                </w:tcPr>
                <w:p w14:paraId="4A749500">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rPr>
                    <w:t>S</w:t>
                  </w:r>
                  <w:r>
                    <w:rPr>
                      <w:rFonts w:hint="default" w:ascii="Times New Roman" w:hAnsi="Times New Roman" w:eastAsia="宋体" w:cs="Times New Roman"/>
                      <w:strike w:val="0"/>
                      <w:dstrike w:val="0"/>
                      <w:color w:val="auto"/>
                      <w:sz w:val="21"/>
                      <w:szCs w:val="21"/>
                      <w:highlight w:val="none"/>
                      <w:lang w:val="en-US" w:eastAsia="zh-CN"/>
                    </w:rPr>
                    <w:t>2</w:t>
                  </w:r>
                  <w:r>
                    <w:rPr>
                      <w:rFonts w:hint="eastAsia" w:cs="Times New Roman"/>
                      <w:strike w:val="0"/>
                      <w:dstrike w:val="0"/>
                      <w:color w:val="auto"/>
                      <w:sz w:val="21"/>
                      <w:szCs w:val="21"/>
                      <w:highlight w:val="none"/>
                      <w:lang w:val="en-US" w:eastAsia="zh-CN"/>
                    </w:rPr>
                    <w:t>1</w:t>
                  </w:r>
                </w:p>
              </w:tc>
              <w:tc>
                <w:tcPr>
                  <w:tcW w:w="1383" w:type="dxa"/>
                  <w:tcBorders>
                    <w:tl2br w:val="nil"/>
                    <w:tr2bl w:val="nil"/>
                  </w:tcBorders>
                  <w:shd w:val="clear" w:color="auto" w:fill="auto"/>
                  <w:noWrap w:val="0"/>
                  <w:vAlign w:val="center"/>
                </w:tcPr>
                <w:p w14:paraId="3A878502">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8"/>
                      <w:kern w:val="1"/>
                      <w:sz w:val="21"/>
                      <w:szCs w:val="21"/>
                      <w:highlight w:val="none"/>
                      <w:lang w:val="en-US" w:eastAsia="zh-CN" w:bidi="ar-SA"/>
                    </w:rPr>
                  </w:pPr>
                  <w:r>
                    <w:rPr>
                      <w:rFonts w:hint="eastAsia" w:cs="Times New Roman"/>
                      <w:color w:val="auto"/>
                      <w:spacing w:val="8"/>
                      <w:kern w:val="1"/>
                      <w:sz w:val="21"/>
                      <w:szCs w:val="21"/>
                      <w:highlight w:val="none"/>
                      <w:lang w:val="en-US" w:eastAsia="zh-CN" w:bidi="ar-SA"/>
                    </w:rPr>
                    <w:t>生产过程</w:t>
                  </w:r>
                </w:p>
              </w:tc>
              <w:tc>
                <w:tcPr>
                  <w:tcW w:w="1323" w:type="dxa"/>
                  <w:tcBorders>
                    <w:tl2br w:val="nil"/>
                    <w:tr2bl w:val="nil"/>
                  </w:tcBorders>
                  <w:shd w:val="clear" w:color="auto" w:fill="auto"/>
                  <w:noWrap w:val="0"/>
                  <w:vAlign w:val="center"/>
                </w:tcPr>
                <w:p w14:paraId="2DB10D95">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eastAsia" w:cs="Times New Roman"/>
                      <w:color w:val="auto"/>
                      <w:sz w:val="21"/>
                      <w:szCs w:val="21"/>
                      <w:highlight w:val="none"/>
                      <w:lang w:val="en-US" w:eastAsia="zh-CN"/>
                    </w:rPr>
                    <w:t>废化学品包装物</w:t>
                  </w:r>
                </w:p>
              </w:tc>
              <w:tc>
                <w:tcPr>
                  <w:tcW w:w="2571" w:type="dxa"/>
                  <w:vMerge w:val="continue"/>
                  <w:tcBorders>
                    <w:tl2br w:val="nil"/>
                    <w:tr2bl w:val="nil"/>
                  </w:tcBorders>
                  <w:shd w:val="clear" w:color="auto" w:fill="auto"/>
                  <w:noWrap w:val="0"/>
                  <w:vAlign w:val="center"/>
                </w:tcPr>
                <w:p w14:paraId="6DB286E8">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p>
              </w:tc>
              <w:tc>
                <w:tcPr>
                  <w:tcW w:w="1157" w:type="dxa"/>
                  <w:vMerge w:val="continue"/>
                  <w:tcBorders>
                    <w:tl2br w:val="nil"/>
                    <w:tr2bl w:val="nil"/>
                  </w:tcBorders>
                  <w:shd w:val="clear" w:color="auto" w:fill="auto"/>
                  <w:noWrap w:val="0"/>
                  <w:vAlign w:val="center"/>
                </w:tcPr>
                <w:p w14:paraId="4A2070FF">
                  <w:pPr>
                    <w:pStyle w:val="28"/>
                    <w:keepNext w:val="0"/>
                    <w:keepLines w:val="0"/>
                    <w:pageBreakBefore w:val="0"/>
                    <w:widowControl w:val="0"/>
                    <w:kinsoku/>
                    <w:wordWrap/>
                    <w:overflowPunct/>
                    <w:topLinePunct/>
                    <w:autoSpaceDE w:val="0"/>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rPr>
                  </w:pPr>
                </w:p>
              </w:tc>
            </w:tr>
          </w:tbl>
          <w:p w14:paraId="3A2EDEFE">
            <w:pPr>
              <w:pStyle w:val="19"/>
              <w:keepNext w:val="0"/>
              <w:keepLines w:val="0"/>
              <w:pageBreakBefore w:val="0"/>
              <w:numPr>
                <w:ilvl w:val="0"/>
                <w:numId w:val="0"/>
              </w:numPr>
              <w:kinsoku/>
              <w:overflowPunct/>
              <w:topLinePunct/>
              <w:autoSpaceDE w:val="0"/>
              <w:bidi w:val="0"/>
              <w:jc w:val="both"/>
              <w:rPr>
                <w:rFonts w:hint="default" w:ascii="Times New Roman" w:hAnsi="Times New Roman" w:eastAsia="宋体" w:cs="Times New Roman"/>
                <w:color w:val="auto"/>
                <w:highlight w:val="none"/>
                <w:lang w:val="en-US" w:eastAsia="zh-CN"/>
              </w:rPr>
            </w:pPr>
          </w:p>
        </w:tc>
      </w:tr>
      <w:tr w14:paraId="5CB32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3" w:type="dxa"/>
            <w:vAlign w:val="center"/>
          </w:tcPr>
          <w:p w14:paraId="0478D6DF">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与项目有关的原有环境污染问题</w:t>
            </w:r>
          </w:p>
        </w:tc>
        <w:tc>
          <w:tcPr>
            <w:tcW w:w="8161" w:type="dxa"/>
          </w:tcPr>
          <w:p w14:paraId="71DAADC2">
            <w:pPr>
              <w:keepNext w:val="0"/>
              <w:keepLines w:val="0"/>
              <w:pageBreakBefore w:val="0"/>
              <w:widowControl w:val="0"/>
              <w:kinsoku/>
              <w:wordWrap/>
              <w:overflowPunct/>
              <w:topLinePunct/>
              <w:autoSpaceDE w:val="0"/>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本项目为新建项目，目前项目区用地已由园区场地平整完成，不存在与本项目有关的原有污染情况。</w:t>
            </w:r>
          </w:p>
          <w:p w14:paraId="289B3018">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598BD9F7">
            <w:pPr>
              <w:pStyle w:val="28"/>
              <w:rPr>
                <w:rFonts w:hint="default" w:ascii="Times New Roman" w:hAnsi="Times New Roman" w:eastAsia="宋体" w:cs="Times New Roman"/>
                <w:color w:val="auto"/>
                <w:highlight w:val="none"/>
                <w:lang w:val="en-US" w:eastAsia="zh-CN"/>
              </w:rPr>
            </w:pPr>
          </w:p>
          <w:p w14:paraId="6B802D4F">
            <w:pPr>
              <w:pStyle w:val="27"/>
              <w:rPr>
                <w:rFonts w:hint="default" w:ascii="Times New Roman" w:hAnsi="Times New Roman" w:eastAsia="宋体" w:cs="Times New Roman"/>
                <w:color w:val="auto"/>
                <w:highlight w:val="none"/>
                <w:lang w:val="en-US" w:eastAsia="zh-CN"/>
              </w:rPr>
            </w:pPr>
          </w:p>
          <w:p w14:paraId="4A88B97A">
            <w:pPr>
              <w:rPr>
                <w:rFonts w:hint="default" w:ascii="Times New Roman" w:hAnsi="Times New Roman" w:eastAsia="宋体" w:cs="Times New Roman"/>
                <w:color w:val="auto"/>
                <w:highlight w:val="none"/>
                <w:lang w:val="en-US" w:eastAsia="zh-CN"/>
              </w:rPr>
            </w:pPr>
          </w:p>
          <w:p w14:paraId="74F61313">
            <w:pPr>
              <w:rPr>
                <w:rFonts w:hint="default" w:ascii="Times New Roman" w:hAnsi="Times New Roman" w:eastAsia="宋体" w:cs="Times New Roman"/>
                <w:color w:val="auto"/>
                <w:highlight w:val="none"/>
                <w:lang w:val="en-US" w:eastAsia="zh-CN"/>
              </w:rPr>
            </w:pPr>
          </w:p>
          <w:p w14:paraId="67713154">
            <w:pPr>
              <w:rPr>
                <w:rFonts w:hint="default" w:ascii="Times New Roman" w:hAnsi="Times New Roman" w:eastAsia="宋体" w:cs="Times New Roman"/>
                <w:color w:val="auto"/>
                <w:highlight w:val="none"/>
                <w:lang w:val="en-US" w:eastAsia="zh-CN"/>
              </w:rPr>
            </w:pPr>
          </w:p>
          <w:p w14:paraId="16515711">
            <w:pPr>
              <w:rPr>
                <w:rFonts w:hint="default" w:ascii="Times New Roman" w:hAnsi="Times New Roman" w:eastAsia="宋体" w:cs="Times New Roman"/>
                <w:color w:val="auto"/>
                <w:highlight w:val="none"/>
                <w:lang w:val="en-US" w:eastAsia="zh-CN"/>
              </w:rPr>
            </w:pPr>
          </w:p>
          <w:p w14:paraId="7829A6E6">
            <w:pPr>
              <w:rPr>
                <w:rFonts w:hint="default" w:ascii="Times New Roman" w:hAnsi="Times New Roman" w:eastAsia="宋体" w:cs="Times New Roman"/>
                <w:color w:val="auto"/>
                <w:highlight w:val="none"/>
                <w:lang w:val="en-US" w:eastAsia="zh-CN"/>
              </w:rPr>
            </w:pPr>
          </w:p>
          <w:p w14:paraId="62D839A0">
            <w:pPr>
              <w:rPr>
                <w:rFonts w:hint="default" w:ascii="Times New Roman" w:hAnsi="Times New Roman" w:eastAsia="宋体" w:cs="Times New Roman"/>
                <w:color w:val="auto"/>
                <w:highlight w:val="none"/>
                <w:lang w:val="en-US" w:eastAsia="zh-CN"/>
              </w:rPr>
            </w:pPr>
          </w:p>
          <w:p w14:paraId="45D61384">
            <w:pPr>
              <w:rPr>
                <w:rFonts w:hint="default" w:ascii="Times New Roman" w:hAnsi="Times New Roman" w:eastAsia="宋体" w:cs="Times New Roman"/>
                <w:color w:val="auto"/>
                <w:highlight w:val="none"/>
                <w:lang w:val="en-US" w:eastAsia="zh-CN"/>
              </w:rPr>
            </w:pPr>
          </w:p>
          <w:p w14:paraId="705D4031">
            <w:pPr>
              <w:rPr>
                <w:rFonts w:hint="default" w:ascii="Times New Roman" w:hAnsi="Times New Roman" w:eastAsia="宋体" w:cs="Times New Roman"/>
                <w:color w:val="auto"/>
                <w:highlight w:val="none"/>
                <w:lang w:val="en-US" w:eastAsia="zh-CN"/>
              </w:rPr>
            </w:pPr>
          </w:p>
          <w:p w14:paraId="07B86DC3">
            <w:pPr>
              <w:rPr>
                <w:rFonts w:hint="default" w:ascii="Times New Roman" w:hAnsi="Times New Roman" w:eastAsia="宋体" w:cs="Times New Roman"/>
                <w:color w:val="auto"/>
                <w:highlight w:val="none"/>
                <w:lang w:val="en-US" w:eastAsia="zh-CN"/>
              </w:rPr>
            </w:pPr>
          </w:p>
          <w:p w14:paraId="5D082827">
            <w:pPr>
              <w:rPr>
                <w:rFonts w:hint="default" w:ascii="Times New Roman" w:hAnsi="Times New Roman" w:eastAsia="宋体" w:cs="Times New Roman"/>
                <w:color w:val="auto"/>
                <w:highlight w:val="none"/>
                <w:lang w:val="en-US" w:eastAsia="zh-CN"/>
              </w:rPr>
            </w:pPr>
          </w:p>
          <w:p w14:paraId="43AA9B69">
            <w:pPr>
              <w:rPr>
                <w:rFonts w:hint="default" w:ascii="Times New Roman" w:hAnsi="Times New Roman" w:eastAsia="宋体" w:cs="Times New Roman"/>
                <w:color w:val="auto"/>
                <w:highlight w:val="none"/>
                <w:lang w:val="en-US" w:eastAsia="zh-CN"/>
              </w:rPr>
            </w:pPr>
          </w:p>
          <w:p w14:paraId="00CDA4C4">
            <w:pPr>
              <w:rPr>
                <w:rFonts w:hint="default" w:ascii="Times New Roman" w:hAnsi="Times New Roman" w:eastAsia="宋体" w:cs="Times New Roman"/>
                <w:color w:val="auto"/>
                <w:highlight w:val="none"/>
                <w:lang w:val="en-US" w:eastAsia="zh-CN"/>
              </w:rPr>
            </w:pPr>
          </w:p>
          <w:p w14:paraId="434524FA">
            <w:pPr>
              <w:pStyle w:val="27"/>
              <w:rPr>
                <w:rFonts w:hint="default" w:ascii="Times New Roman" w:hAnsi="Times New Roman" w:eastAsia="宋体" w:cs="Times New Roman"/>
                <w:color w:val="auto"/>
                <w:highlight w:val="none"/>
                <w:lang w:val="en-US" w:eastAsia="zh-CN"/>
              </w:rPr>
            </w:pPr>
          </w:p>
          <w:p w14:paraId="0DF1730C">
            <w:pPr>
              <w:rPr>
                <w:rFonts w:hint="default" w:ascii="Times New Roman" w:hAnsi="Times New Roman" w:eastAsia="宋体" w:cs="Times New Roman"/>
                <w:color w:val="auto"/>
                <w:highlight w:val="none"/>
                <w:lang w:val="en-US" w:eastAsia="zh-CN"/>
              </w:rPr>
            </w:pPr>
          </w:p>
          <w:p w14:paraId="51ACBA73">
            <w:pPr>
              <w:pStyle w:val="27"/>
              <w:rPr>
                <w:rFonts w:hint="default" w:ascii="Times New Roman" w:hAnsi="Times New Roman" w:eastAsia="宋体" w:cs="Times New Roman"/>
                <w:color w:val="auto"/>
                <w:highlight w:val="none"/>
                <w:lang w:val="en-US" w:eastAsia="zh-CN"/>
              </w:rPr>
            </w:pPr>
          </w:p>
          <w:p w14:paraId="32410F22">
            <w:pPr>
              <w:pStyle w:val="27"/>
              <w:rPr>
                <w:rFonts w:hint="default" w:ascii="Times New Roman" w:hAnsi="Times New Roman" w:eastAsia="宋体" w:cs="Times New Roman"/>
                <w:color w:val="auto"/>
                <w:highlight w:val="none"/>
                <w:lang w:val="en-US" w:eastAsia="zh-CN"/>
              </w:rPr>
            </w:pPr>
          </w:p>
        </w:tc>
      </w:tr>
    </w:tbl>
    <w:p w14:paraId="6160AB44">
      <w:pPr>
        <w:pStyle w:val="26"/>
        <w:keepNext w:val="0"/>
        <w:keepLines w:val="0"/>
        <w:pageBreakBefore w:val="0"/>
        <w:kinsoku/>
        <w:overflowPunct/>
        <w:topLinePunct/>
        <w:autoSpaceDE w:val="0"/>
        <w:bidi w:val="0"/>
        <w:jc w:val="center"/>
        <w:rPr>
          <w:rFonts w:hint="default" w:ascii="Times New Roman" w:hAnsi="Times New Roman" w:eastAsia="宋体" w:cs="Times New Roman"/>
          <w:snapToGrid w:val="0"/>
          <w:color w:val="auto"/>
          <w:sz w:val="36"/>
          <w:szCs w:val="36"/>
          <w:highlight w:val="none"/>
        </w:rPr>
        <w:sectPr>
          <w:pgSz w:w="11906" w:h="16838"/>
          <w:pgMar w:top="1440" w:right="1080" w:bottom="1440" w:left="1080" w:header="851" w:footer="1134" w:gutter="0"/>
          <w:pgBorders>
            <w:top w:val="none" w:sz="0" w:space="0"/>
            <w:left w:val="none" w:sz="0" w:space="0"/>
            <w:bottom w:val="none" w:sz="0" w:space="0"/>
            <w:right w:val="none" w:sz="0" w:space="0"/>
          </w:pgBorders>
          <w:pgNumType w:fmt="decimal"/>
          <w:cols w:space="720" w:num="1"/>
          <w:docGrid w:linePitch="312" w:charSpace="0"/>
        </w:sectPr>
      </w:pPr>
    </w:p>
    <w:p w14:paraId="4981E060">
      <w:pPr>
        <w:pStyle w:val="26"/>
        <w:keepNext w:val="0"/>
        <w:keepLines w:val="0"/>
        <w:pageBreakBefore w:val="0"/>
        <w:widowControl/>
        <w:kinsoku/>
        <w:wordWrap/>
        <w:overflowPunct/>
        <w:topLinePunct/>
        <w:autoSpaceDE w:val="0"/>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宋体" w:cs="Times New Roman"/>
          <w:snapToGrid w:val="0"/>
          <w:color w:val="auto"/>
          <w:sz w:val="30"/>
          <w:szCs w:val="30"/>
          <w:highlight w:val="none"/>
        </w:rPr>
      </w:pPr>
    </w:p>
    <w:p w14:paraId="19D86745">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b/>
          <w:bCs/>
          <w:snapToGrid w:val="0"/>
          <w:color w:val="auto"/>
          <w:sz w:val="30"/>
          <w:szCs w:val="30"/>
          <w:highlight w:val="none"/>
        </w:rPr>
      </w:pPr>
      <w:bookmarkStart w:id="8" w:name="_Toc16297"/>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8"/>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6C6B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1DF75E3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14:paraId="7BD33EA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7F98F0E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14:paraId="0C1BEDF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现状</w:t>
            </w:r>
          </w:p>
        </w:tc>
        <w:tc>
          <w:tcPr>
            <w:tcW w:w="8190" w:type="dxa"/>
            <w:vAlign w:val="top"/>
          </w:tcPr>
          <w:p w14:paraId="69014806">
            <w:pPr>
              <w:keepNext w:val="0"/>
              <w:keepLines w:val="0"/>
              <w:pageBreakBefore w:val="0"/>
              <w:widowControl w:val="0"/>
              <w:numPr>
                <w:ilvl w:val="0"/>
                <w:numId w:val="5"/>
              </w:numPr>
              <w:kinsoku/>
              <w:wordWrap/>
              <w:overflowPunct/>
              <w:topLinePunct/>
              <w:autoSpaceDE w:val="0"/>
              <w:autoSpaceDN/>
              <w:bidi w:val="0"/>
              <w:adjustRightInd w:val="0"/>
              <w:snapToGrid w:val="0"/>
              <w:spacing w:line="360" w:lineRule="auto"/>
              <w:ind w:left="0" w:right="0" w:firstLine="0" w:firstLineChars="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环境空气质量现状</w:t>
            </w:r>
          </w:p>
          <w:p w14:paraId="5B8B8BD2">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78" w:firstLineChars="200"/>
              <w:jc w:val="both"/>
              <w:textAlignment w:val="auto"/>
              <w:rPr>
                <w:rFonts w:hint="default" w:ascii="Times New Roman" w:hAnsi="Times New Roman" w:eastAsia="宋体" w:cs="Times New Roman"/>
                <w:b/>
                <w:bCs/>
                <w:color w:val="auto"/>
                <w:spacing w:val="-1"/>
                <w:sz w:val="24"/>
                <w:szCs w:val="24"/>
                <w:highlight w:val="none"/>
                <w:lang w:val="en-US" w:eastAsia="zh-CN"/>
              </w:rPr>
            </w:pPr>
            <w:r>
              <w:rPr>
                <w:rFonts w:hint="eastAsia" w:ascii="Times New Roman" w:hAnsi="Times New Roman" w:eastAsia="宋体" w:cs="Times New Roman"/>
                <w:b/>
                <w:bCs/>
                <w:color w:val="auto"/>
                <w:spacing w:val="-1"/>
                <w:sz w:val="24"/>
                <w:szCs w:val="24"/>
                <w:highlight w:val="none"/>
                <w:lang w:val="en-US" w:eastAsia="zh-CN"/>
              </w:rPr>
              <w:t>（1）</w:t>
            </w:r>
            <w:r>
              <w:rPr>
                <w:rFonts w:hint="default" w:ascii="Times New Roman" w:hAnsi="Times New Roman" w:eastAsia="宋体" w:cs="Times New Roman"/>
                <w:b/>
                <w:bCs/>
                <w:color w:val="auto"/>
                <w:spacing w:val="-1"/>
                <w:sz w:val="24"/>
                <w:szCs w:val="24"/>
                <w:highlight w:val="none"/>
                <w:lang w:val="en-US" w:eastAsia="zh-CN"/>
              </w:rPr>
              <w:t>基本污染物</w:t>
            </w:r>
            <w:r>
              <w:rPr>
                <w:rFonts w:hint="default" w:ascii="Times New Roman" w:hAnsi="Times New Roman" w:eastAsia="宋体" w:cs="Times New Roman"/>
                <w:b/>
                <w:bCs/>
                <w:color w:val="auto"/>
                <w:kern w:val="0"/>
                <w:sz w:val="24"/>
                <w:highlight w:val="none"/>
                <w:lang w:val="en-US" w:eastAsia="zh-CN"/>
              </w:rPr>
              <w:t>环境质量现状</w:t>
            </w:r>
            <w:r>
              <w:rPr>
                <w:rFonts w:hint="default" w:ascii="Times New Roman" w:hAnsi="Times New Roman" w:eastAsia="宋体" w:cs="Times New Roman"/>
                <w:b/>
                <w:bCs/>
                <w:color w:val="auto"/>
                <w:spacing w:val="-1"/>
                <w:sz w:val="24"/>
                <w:szCs w:val="24"/>
                <w:highlight w:val="none"/>
                <w:lang w:val="en-US" w:eastAsia="zh-CN"/>
              </w:rPr>
              <w:t>及达标区判定</w:t>
            </w:r>
          </w:p>
          <w:p w14:paraId="1D49CF50">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项目位于</w:t>
            </w:r>
            <w:r>
              <w:rPr>
                <w:rFonts w:hint="default" w:ascii="Times New Roman" w:hAnsi="Times New Roman" w:eastAsia="宋体" w:cs="Times New Roman"/>
                <w:color w:val="auto"/>
                <w:sz w:val="24"/>
                <w:szCs w:val="24"/>
                <w:highlight w:val="none"/>
                <w:lang w:val="en-US" w:eastAsia="zh-CN"/>
              </w:rPr>
              <w:t>云南易门产业园区麦子田片区</w:t>
            </w:r>
            <w:r>
              <w:rPr>
                <w:rFonts w:hint="default" w:ascii="Times New Roman" w:hAnsi="Times New Roman" w:eastAsia="宋体" w:cs="Times New Roman"/>
                <w:color w:val="auto"/>
                <w:spacing w:val="-1"/>
                <w:sz w:val="24"/>
                <w:szCs w:val="24"/>
                <w:highlight w:val="none"/>
              </w:rPr>
              <w:t>。项目所在区域为大气环境功能</w:t>
            </w:r>
            <w:r>
              <w:rPr>
                <w:rFonts w:hint="default" w:ascii="Times New Roman" w:hAnsi="Times New Roman" w:eastAsia="宋体" w:cs="Times New Roman"/>
                <w:color w:val="auto"/>
                <w:spacing w:val="3"/>
                <w:sz w:val="24"/>
                <w:szCs w:val="24"/>
                <w:highlight w:val="none"/>
              </w:rPr>
              <w:t>二类</w:t>
            </w:r>
            <w:r>
              <w:rPr>
                <w:rFonts w:hint="default" w:ascii="Times New Roman" w:hAnsi="Times New Roman" w:eastAsia="宋体" w:cs="Times New Roman"/>
                <w:color w:val="auto"/>
                <w:spacing w:val="-1"/>
                <w:sz w:val="24"/>
                <w:szCs w:val="24"/>
                <w:highlight w:val="none"/>
              </w:rPr>
              <w:t>区，环境空气质量执行《环境空气质量标准》（GB3095-2026）浓度限值中二级标准要求。</w:t>
            </w:r>
          </w:p>
          <w:p w14:paraId="2041A98E">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aps w:val="0"/>
                <w:smallCaps w:val="0"/>
                <w:color w:val="auto"/>
                <w:highlight w:val="none"/>
              </w:rPr>
            </w:pPr>
            <w:r>
              <w:rPr>
                <w:rFonts w:hint="default" w:ascii="Times New Roman" w:hAnsi="Times New Roman" w:eastAsia="宋体" w:cs="Times New Roman"/>
                <w:caps w:val="0"/>
                <w:smallCaps w:val="0"/>
                <w:color w:val="auto"/>
                <w:sz w:val="24"/>
                <w:szCs w:val="24"/>
                <w:highlight w:val="none"/>
                <w:lang w:eastAsia="zh-CN" w:bidi="en-US"/>
              </w:rPr>
              <w:t>根据</w:t>
            </w:r>
            <w:r>
              <w:rPr>
                <w:rFonts w:hint="default" w:ascii="Times New Roman" w:hAnsi="Times New Roman" w:eastAsia="宋体" w:cs="Times New Roman"/>
                <w:caps w:val="0"/>
                <w:smallCaps w:val="0"/>
                <w:color w:val="auto"/>
                <w:sz w:val="24"/>
                <w:szCs w:val="24"/>
                <w:highlight w:val="none"/>
                <w:lang w:val="en-US" w:eastAsia="zh-CN" w:bidi="en-US"/>
              </w:rPr>
              <w:t>易门县人民政府网发布的</w:t>
            </w:r>
            <w:r>
              <w:rPr>
                <w:rFonts w:hint="default" w:ascii="Times New Roman" w:hAnsi="Times New Roman" w:eastAsia="宋体" w:cs="Times New Roman"/>
                <w:caps w:val="0"/>
                <w:smallCaps w:val="0"/>
                <w:color w:val="auto"/>
                <w:sz w:val="24"/>
                <w:szCs w:val="24"/>
                <w:highlight w:val="none"/>
                <w:lang w:eastAsia="zh-CN" w:bidi="en-US"/>
              </w:rPr>
              <w:t>《</w:t>
            </w:r>
            <w:r>
              <w:rPr>
                <w:rFonts w:hint="default" w:ascii="Times New Roman" w:hAnsi="Times New Roman" w:eastAsia="宋体" w:cs="Times New Roman"/>
                <w:caps w:val="0"/>
                <w:smallCaps w:val="0"/>
                <w:color w:val="auto"/>
                <w:sz w:val="24"/>
                <w:szCs w:val="24"/>
                <w:highlight w:val="none"/>
                <w:lang w:val="en-US" w:eastAsia="zh-CN" w:bidi="en-US"/>
              </w:rPr>
              <w:t>2024年易门县生态环境状况公报</w:t>
            </w:r>
            <w:r>
              <w:rPr>
                <w:rFonts w:hint="default" w:ascii="Times New Roman" w:hAnsi="Times New Roman" w:eastAsia="宋体" w:cs="Times New Roman"/>
                <w:caps w:val="0"/>
                <w:smallCaps w:val="0"/>
                <w:color w:val="auto"/>
                <w:sz w:val="24"/>
                <w:szCs w:val="24"/>
                <w:highlight w:val="none"/>
                <w:lang w:eastAsia="zh-CN" w:bidi="en-US"/>
              </w:rPr>
              <w:t>》，</w:t>
            </w:r>
            <w:r>
              <w:rPr>
                <w:rFonts w:hint="default" w:ascii="Times New Roman" w:hAnsi="Times New Roman" w:eastAsia="宋体" w:cs="Times New Roman"/>
                <w:caps w:val="0"/>
                <w:smallCaps w:val="0"/>
                <w:color w:val="auto"/>
                <w:sz w:val="24"/>
                <w:szCs w:val="24"/>
                <w:highlight w:val="none"/>
                <w:lang w:val="en-US" w:eastAsia="zh-CN" w:bidi="en-US"/>
              </w:rPr>
              <w:t>2024年县城区（中医院楼顶监测点）共开展空气环境质量监测360天。其中达一级252天，占70.0%，二级107天，占29.7%，超标1天（O</w:t>
            </w:r>
            <w:r>
              <w:rPr>
                <w:rFonts w:hint="default" w:ascii="Times New Roman" w:hAnsi="Times New Roman" w:eastAsia="宋体" w:cs="Times New Roman"/>
                <w:caps w:val="0"/>
                <w:smallCaps w:val="0"/>
                <w:color w:val="auto"/>
                <w:sz w:val="24"/>
                <w:szCs w:val="24"/>
                <w:highlight w:val="none"/>
                <w:vertAlign w:val="subscript"/>
                <w:lang w:val="en-US" w:eastAsia="zh-CN" w:bidi="en-US"/>
              </w:rPr>
              <w:t>3</w:t>
            </w:r>
            <w:r>
              <w:rPr>
                <w:rFonts w:hint="default" w:ascii="Times New Roman" w:hAnsi="Times New Roman" w:eastAsia="宋体" w:cs="Times New Roman"/>
                <w:caps w:val="0"/>
                <w:smallCaps w:val="0"/>
                <w:color w:val="auto"/>
                <w:sz w:val="24"/>
                <w:szCs w:val="24"/>
                <w:highlight w:val="none"/>
                <w:lang w:val="en-US" w:eastAsia="zh-CN" w:bidi="en-US"/>
              </w:rPr>
              <w:t>超标），占0.3%，空气质量优良率99.7%，与2023年98.9%相比上升0.8%</w:t>
            </w:r>
            <w:r>
              <w:rPr>
                <w:rFonts w:hint="eastAsia" w:cs="Times New Roman"/>
                <w:caps w:val="0"/>
                <w:smallCaps w:val="0"/>
                <w:color w:val="auto"/>
                <w:sz w:val="24"/>
                <w:szCs w:val="24"/>
                <w:highlight w:val="none"/>
                <w:lang w:val="en-US" w:eastAsia="zh-CN" w:bidi="en-US"/>
              </w:rPr>
              <w:t>，满足</w:t>
            </w:r>
            <w:r>
              <w:rPr>
                <w:rFonts w:hint="default" w:ascii="Times New Roman" w:hAnsi="Times New Roman" w:eastAsia="宋体" w:cs="Times New Roman"/>
                <w:color w:val="auto"/>
                <w:spacing w:val="-1"/>
                <w:sz w:val="24"/>
                <w:szCs w:val="24"/>
                <w:highlight w:val="none"/>
              </w:rPr>
              <w:t>《环境空气质量标准》（GB3095-20</w:t>
            </w:r>
            <w:r>
              <w:rPr>
                <w:rFonts w:hint="eastAsia" w:cs="Times New Roman"/>
                <w:color w:val="auto"/>
                <w:spacing w:val="-1"/>
                <w:sz w:val="24"/>
                <w:szCs w:val="24"/>
                <w:highlight w:val="none"/>
                <w:lang w:val="en-US" w:eastAsia="zh-CN"/>
              </w:rPr>
              <w:t>12</w:t>
            </w:r>
            <w:r>
              <w:rPr>
                <w:rFonts w:hint="default" w:ascii="Times New Roman" w:hAnsi="Times New Roman" w:eastAsia="宋体" w:cs="Times New Roman"/>
                <w:color w:val="auto"/>
                <w:spacing w:val="-1"/>
                <w:sz w:val="24"/>
                <w:szCs w:val="24"/>
                <w:highlight w:val="none"/>
              </w:rPr>
              <w:t>）浓度限值中二级标准要求</w:t>
            </w:r>
            <w:r>
              <w:rPr>
                <w:rFonts w:hint="eastAsia" w:cs="Times New Roman"/>
                <w:color w:val="auto"/>
                <w:spacing w:val="-1"/>
                <w:sz w:val="24"/>
                <w:szCs w:val="24"/>
                <w:highlight w:val="none"/>
                <w:lang w:eastAsia="zh-CN"/>
              </w:rPr>
              <w:t>，</w:t>
            </w:r>
            <w:r>
              <w:rPr>
                <w:rFonts w:hint="default" w:ascii="Times New Roman" w:hAnsi="Times New Roman" w:eastAsia="宋体" w:cs="Times New Roman"/>
                <w:caps w:val="0"/>
                <w:smallCaps w:val="0"/>
                <w:color w:val="auto"/>
                <w:sz w:val="24"/>
                <w:szCs w:val="24"/>
                <w:highlight w:val="none"/>
                <w:lang w:eastAsia="zh-CN"/>
              </w:rPr>
              <w:t>故本项目所在区域为达标区域</w:t>
            </w:r>
            <w:r>
              <w:rPr>
                <w:rFonts w:hint="default" w:ascii="Times New Roman" w:hAnsi="Times New Roman" w:eastAsia="宋体" w:cs="Times New Roman"/>
                <w:caps w:val="0"/>
                <w:smallCaps w:val="0"/>
                <w:color w:val="auto"/>
                <w:sz w:val="24"/>
                <w:szCs w:val="21"/>
                <w:highlight w:val="none"/>
              </w:rPr>
              <w:t>。</w:t>
            </w:r>
          </w:p>
          <w:p w14:paraId="1236950F">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lang w:val="en-US" w:eastAsia="zh-CN" w:bidi="ar-SA"/>
              </w:rPr>
              <w:t>（2）</w:t>
            </w:r>
            <w:r>
              <w:rPr>
                <w:rFonts w:hint="default" w:ascii="Times New Roman" w:hAnsi="Times New Roman" w:eastAsia="宋体" w:cs="Times New Roman"/>
                <w:b/>
                <w:bCs/>
                <w:color w:val="auto"/>
                <w:kern w:val="0"/>
                <w:sz w:val="24"/>
                <w:highlight w:val="none"/>
                <w:lang w:val="en-US" w:eastAsia="zh-CN"/>
              </w:rPr>
              <w:t>其他污染物环境质量现状</w:t>
            </w:r>
          </w:p>
          <w:p w14:paraId="0ABDD530">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根据生态环境部“《建设项目环境影响报告表》内容、格式及编制技术指南常见问题解答，排放的特征污染物需要在国家、地方环境空气质量标准中有限值要求才涉及现状监测，且优先引用现有监测数据。技术指南中提到“排放国家、地方环境空气质量标准中有标准限值要求的特征污染物”，其中环境空气质量标准指《环境空气质量标准》（</w:t>
            </w:r>
            <w:r>
              <w:rPr>
                <w:rFonts w:hint="default" w:ascii="Times New Roman" w:hAnsi="Times New Roman" w:eastAsia="宋体" w:cs="Times New Roman"/>
                <w:color w:val="auto"/>
                <w:spacing w:val="-1"/>
                <w:sz w:val="24"/>
                <w:szCs w:val="24"/>
                <w:highlight w:val="none"/>
              </w:rPr>
              <w:t>GB3095-20</w:t>
            </w:r>
            <w:r>
              <w:rPr>
                <w:rFonts w:hint="default" w:ascii="Times New Roman" w:hAnsi="Times New Roman" w:eastAsia="宋体" w:cs="Times New Roman"/>
                <w:color w:val="auto"/>
                <w:spacing w:val="-1"/>
                <w:sz w:val="24"/>
                <w:szCs w:val="24"/>
                <w:highlight w:val="none"/>
                <w:lang w:val="en-US" w:eastAsia="zh-CN"/>
              </w:rPr>
              <w:t>12）和地方的环境空气质量标准，不包括《环境影响评价技术导则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w:t>
            </w:r>
          </w:p>
          <w:p w14:paraId="5FBF31E7">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本项目特征污染物主要为PM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、TSP、HCl、非甲烷总烃、氨、硫化氢，因《环境空气质量标准》（</w:t>
            </w:r>
            <w:r>
              <w:rPr>
                <w:rFonts w:hint="default" w:ascii="Times New Roman" w:hAnsi="Times New Roman" w:eastAsia="宋体" w:cs="Times New Roman"/>
                <w:color w:val="auto"/>
                <w:spacing w:val="-1"/>
                <w:sz w:val="24"/>
                <w:szCs w:val="24"/>
                <w:highlight w:val="none"/>
              </w:rPr>
              <w:t>GB3095-2026</w:t>
            </w:r>
            <w:r>
              <w:rPr>
                <w:rFonts w:hint="default" w:ascii="Times New Roman" w:hAnsi="Times New Roman" w:eastAsia="宋体" w:cs="Times New Roman"/>
                <w:color w:val="auto"/>
                <w:sz w:val="24"/>
                <w:szCs w:val="24"/>
                <w:highlight w:val="none"/>
                <w:lang w:val="en-US" w:eastAsia="zh-CN"/>
              </w:rPr>
              <w:t>）中无HCl、非甲烷总烃、氨、硫化氢标准（</w:t>
            </w:r>
            <w:r>
              <w:rPr>
                <w:rFonts w:hint="default" w:ascii="Times New Roman" w:hAnsi="Times New Roman" w:eastAsia="宋体" w:cs="Times New Roman"/>
                <w:b w:val="0"/>
                <w:bCs w:val="0"/>
                <w:color w:val="auto"/>
                <w:kern w:val="2"/>
                <w:sz w:val="24"/>
                <w:szCs w:val="24"/>
                <w:highlight w:val="none"/>
                <w:lang w:val="en-US" w:eastAsia="zh-CN" w:bidi="ar-SA"/>
              </w:rPr>
              <w:t>非甲烷总烃执行《大气污染物综合排放标准详解》（国家环境保护局科技标准司编著、中国环境科学出版社1997年10月1日出版）中一次浓度限值2mg/m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；HCl、氨、硫化氢执行《环境影响评价技术导则 大气环境》（HJ2.2-2018）附录D限值</w:t>
            </w:r>
            <w:r>
              <w:rPr>
                <w:rFonts w:hint="default" w:ascii="Times New Roman" w:hAnsi="Times New Roman" w:eastAsia="宋体" w:cs="Times New Roman"/>
                <w:color w:val="auto"/>
                <w:sz w:val="24"/>
                <w:szCs w:val="24"/>
                <w:highlight w:val="none"/>
                <w:lang w:val="en-US" w:eastAsia="zh-CN"/>
              </w:rPr>
              <w:t>），目前区域也没有该因子的地方标准，故不涉及该类因子的补充监测。</w:t>
            </w:r>
          </w:p>
          <w:p w14:paraId="03D3870E">
            <w:pPr>
              <w:pStyle w:val="57"/>
              <w:keepNext w:val="0"/>
              <w:keepLines w:val="0"/>
              <w:pageBreakBefore w:val="0"/>
              <w:widowControl w:val="0"/>
              <w:kinsoku/>
              <w:wordWrap/>
              <w:overflowPunct/>
              <w:topLinePunct/>
              <w:autoSpaceDE w:val="0"/>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为了解区域环境质量现状，结合本项目特征污染物，本次补充调查TSP；本次评价委托云南环普检测科技有限公司2026.01.01~2026.01.03对项目区下风向特征污染物进行监测。项目监测点位布置图详见附图</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p>
          <w:p w14:paraId="1F64BA07">
            <w:pPr>
              <w:pStyle w:val="58"/>
              <w:keepNext w:val="0"/>
              <w:keepLines w:val="0"/>
              <w:pageBreakBefore w:val="0"/>
              <w:kinsoku/>
              <w:overflowPunct/>
              <w:topLinePunct/>
              <w:autoSpaceDE w:val="0"/>
              <w:bidi w:val="0"/>
              <w:rPr>
                <w:rFonts w:hint="default" w:ascii="Times New Roman" w:hAnsi="Times New Roman" w:eastAsia="宋体" w:cs="Times New Roman"/>
                <w:caps w:val="0"/>
                <w:smallCaps w:val="0"/>
                <w:color w:val="auto"/>
                <w:highlight w:val="none"/>
              </w:rPr>
            </w:pPr>
            <w:r>
              <w:rPr>
                <w:rFonts w:hint="eastAsia" w:cs="Times New Roman"/>
                <w:caps w:val="0"/>
                <w:smallCaps w:val="0"/>
                <w:color w:val="auto"/>
                <w:highlight w:val="none"/>
                <w:lang w:val="en-US" w:eastAsia="zh-CN"/>
              </w:rPr>
              <w:t>①</w:t>
            </w:r>
            <w:r>
              <w:rPr>
                <w:rFonts w:hint="default" w:ascii="Times New Roman" w:hAnsi="Times New Roman" w:eastAsia="宋体" w:cs="Times New Roman"/>
                <w:caps w:val="0"/>
                <w:smallCaps w:val="0"/>
                <w:color w:val="auto"/>
                <w:highlight w:val="none"/>
              </w:rPr>
              <w:t>监测点位：</w:t>
            </w:r>
            <w:r>
              <w:rPr>
                <w:rFonts w:hint="default" w:ascii="Times New Roman" w:hAnsi="Times New Roman" w:eastAsia="宋体" w:cs="Times New Roman"/>
                <w:b w:val="0"/>
                <w:bCs w:val="0"/>
                <w:caps w:val="0"/>
                <w:smallCaps w:val="0"/>
                <w:color w:val="auto"/>
                <w:kern w:val="0"/>
                <w:sz w:val="24"/>
                <w:szCs w:val="24"/>
                <w:highlight w:val="none"/>
                <w:lang w:val="en-US" w:eastAsia="zh-CN"/>
              </w:rPr>
              <w:t>项目厂址下风向</w:t>
            </w:r>
          </w:p>
          <w:p w14:paraId="1DD30034">
            <w:pPr>
              <w:pStyle w:val="58"/>
              <w:keepNext w:val="0"/>
              <w:keepLines w:val="0"/>
              <w:pageBreakBefore w:val="0"/>
              <w:kinsoku/>
              <w:overflowPunct/>
              <w:topLinePunct/>
              <w:autoSpaceDE w:val="0"/>
              <w:bidi w:val="0"/>
              <w:rPr>
                <w:rFonts w:hint="default" w:ascii="Times New Roman" w:hAnsi="Times New Roman" w:eastAsia="宋体" w:cs="Times New Roman"/>
                <w:caps w:val="0"/>
                <w:smallCaps w:val="0"/>
                <w:color w:val="auto"/>
                <w:sz w:val="24"/>
                <w:highlight w:val="none"/>
                <w:lang w:val="en-US" w:eastAsia="zh-CN"/>
              </w:rPr>
            </w:pPr>
            <w:r>
              <w:rPr>
                <w:rFonts w:hint="eastAsia" w:cs="Times New Roman"/>
                <w:caps w:val="0"/>
                <w:smallCaps w:val="0"/>
                <w:color w:val="auto"/>
                <w:sz w:val="24"/>
                <w:highlight w:val="none"/>
                <w:lang w:val="en-US" w:eastAsia="zh-CN"/>
              </w:rPr>
              <w:t>②</w:t>
            </w:r>
            <w:r>
              <w:rPr>
                <w:rFonts w:hint="default" w:ascii="Times New Roman" w:hAnsi="Times New Roman" w:eastAsia="宋体" w:cs="Times New Roman"/>
                <w:caps w:val="0"/>
                <w:smallCaps w:val="0"/>
                <w:color w:val="auto"/>
                <w:sz w:val="24"/>
                <w:highlight w:val="none"/>
              </w:rPr>
              <w:t>监测因子：TSP</w:t>
            </w:r>
          </w:p>
          <w:p w14:paraId="16CDDA94">
            <w:pPr>
              <w:pStyle w:val="58"/>
              <w:keepNext w:val="0"/>
              <w:keepLines w:val="0"/>
              <w:pageBreakBefore w:val="0"/>
              <w:kinsoku/>
              <w:overflowPunct/>
              <w:topLinePunct/>
              <w:autoSpaceDE w:val="0"/>
              <w:bidi w:val="0"/>
              <w:rPr>
                <w:rFonts w:hint="default" w:ascii="Times New Roman" w:hAnsi="Times New Roman" w:eastAsia="宋体" w:cs="Times New Roman"/>
                <w:caps w:val="0"/>
                <w:smallCaps w:val="0"/>
                <w:color w:val="auto"/>
                <w:sz w:val="24"/>
                <w:highlight w:val="none"/>
              </w:rPr>
            </w:pPr>
            <w:r>
              <w:rPr>
                <w:rFonts w:hint="eastAsia" w:cs="Times New Roman"/>
                <w:caps w:val="0"/>
                <w:smallCaps w:val="0"/>
                <w:color w:val="auto"/>
                <w:sz w:val="24"/>
                <w:highlight w:val="none"/>
                <w:lang w:val="en-US" w:eastAsia="zh-CN"/>
              </w:rPr>
              <w:t>③</w:t>
            </w:r>
            <w:r>
              <w:rPr>
                <w:rFonts w:hint="default" w:ascii="Times New Roman" w:hAnsi="Times New Roman" w:eastAsia="宋体" w:cs="Times New Roman"/>
                <w:caps w:val="0"/>
                <w:smallCaps w:val="0"/>
                <w:color w:val="auto"/>
                <w:sz w:val="24"/>
                <w:highlight w:val="none"/>
              </w:rPr>
              <w:t>监测频次：连续监测</w:t>
            </w:r>
            <w:r>
              <w:rPr>
                <w:rFonts w:hint="default" w:ascii="Times New Roman" w:hAnsi="Times New Roman" w:eastAsia="宋体" w:cs="Times New Roman"/>
                <w:caps w:val="0"/>
                <w:smallCaps w:val="0"/>
                <w:color w:val="auto"/>
                <w:sz w:val="24"/>
                <w:highlight w:val="none"/>
                <w:lang w:val="en-US" w:eastAsia="zh-CN"/>
              </w:rPr>
              <w:t>3</w:t>
            </w:r>
            <w:r>
              <w:rPr>
                <w:rFonts w:hint="default" w:ascii="Times New Roman" w:hAnsi="Times New Roman" w:eastAsia="宋体" w:cs="Times New Roman"/>
                <w:caps w:val="0"/>
                <w:smallCaps w:val="0"/>
                <w:color w:val="auto"/>
                <w:sz w:val="24"/>
                <w:highlight w:val="none"/>
              </w:rPr>
              <w:t>天，监测日均值</w:t>
            </w:r>
          </w:p>
          <w:p w14:paraId="64128527">
            <w:pPr>
              <w:keepNext w:val="0"/>
              <w:keepLines w:val="0"/>
              <w:pageBreakBefore w:val="0"/>
              <w:kinsoku/>
              <w:overflowPunct/>
              <w:topLinePunct/>
              <w:autoSpaceDE w:val="0"/>
              <w:bidi w:val="0"/>
              <w:spacing w:line="360" w:lineRule="auto"/>
              <w:ind w:firstLine="482"/>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④</w:t>
            </w:r>
            <w:r>
              <w:rPr>
                <w:rFonts w:hint="default" w:ascii="Times New Roman" w:hAnsi="Times New Roman" w:eastAsia="宋体" w:cs="Times New Roman"/>
                <w:color w:val="auto"/>
                <w:sz w:val="24"/>
                <w:highlight w:val="none"/>
              </w:rPr>
              <w:t>评价标准：</w:t>
            </w:r>
            <w:r>
              <w:rPr>
                <w:rFonts w:hint="default" w:ascii="Times New Roman" w:hAnsi="Times New Roman" w:eastAsia="宋体" w:cs="Times New Roman"/>
                <w:color w:val="auto"/>
                <w:spacing w:val="-1"/>
                <w:sz w:val="24"/>
                <w:szCs w:val="24"/>
                <w:highlight w:val="none"/>
              </w:rPr>
              <w:t>《环境空气质量标准》（GB3095-</w:t>
            </w:r>
            <w:r>
              <w:rPr>
                <w:rFonts w:hint="eastAsia" w:cs="Times New Roman"/>
                <w:color w:val="auto"/>
                <w:spacing w:val="-1"/>
                <w:sz w:val="24"/>
                <w:szCs w:val="24"/>
                <w:highlight w:val="none"/>
                <w:lang w:val="en-US" w:eastAsia="zh-CN"/>
              </w:rPr>
              <w:t>2012</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z w:val="24"/>
                <w:highlight w:val="none"/>
                <w:lang w:eastAsia="zh-CN"/>
              </w:rPr>
              <w:t>；</w:t>
            </w:r>
          </w:p>
          <w:p w14:paraId="4F605CC0">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rPr>
              <w:t>评价方法：采用对标法对监测因子进行评价，对照监测因子有关的环境质量标准，分析监测因子日均浓度达标情况，污染物的最大浓度占标率按下式计算：</w:t>
            </w:r>
          </w:p>
          <w:p w14:paraId="6E614014">
            <w:pPr>
              <w:keepNext w:val="0"/>
              <w:keepLines w:val="0"/>
              <w:pageBreakBefore w:val="0"/>
              <w:widowControl/>
              <w:kinsoku/>
              <w:overflowPunct/>
              <w:topLinePunct/>
              <w:autoSpaceDE w:val="0"/>
              <w:bidi w:val="0"/>
              <w:jc w:val="center"/>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P</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=C</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/C</w:t>
            </w:r>
            <w:r>
              <w:rPr>
                <w:rFonts w:hint="default" w:ascii="Times New Roman" w:hAnsi="Times New Roman" w:eastAsia="宋体" w:cs="Times New Roman"/>
                <w:color w:val="auto"/>
                <w:kern w:val="0"/>
                <w:sz w:val="24"/>
                <w:highlight w:val="none"/>
                <w:vertAlign w:val="subscript"/>
                <w:lang w:bidi="ar"/>
              </w:rPr>
              <w:t>oi</w:t>
            </w:r>
            <w:r>
              <w:rPr>
                <w:rFonts w:hint="default" w:ascii="Times New Roman" w:hAnsi="Times New Roman" w:eastAsia="宋体" w:cs="Times New Roman"/>
                <w:color w:val="auto"/>
                <w:kern w:val="0"/>
                <w:sz w:val="24"/>
                <w:highlight w:val="none"/>
                <w:lang w:bidi="ar"/>
              </w:rPr>
              <w:t>×100</w:t>
            </w:r>
            <w:r>
              <w:rPr>
                <w:rFonts w:hint="default" w:ascii="Times New Roman" w:hAnsi="Times New Roman" w:eastAsia="宋体" w:cs="Times New Roman"/>
                <w:color w:val="auto"/>
                <w:kern w:val="0"/>
                <w:sz w:val="24"/>
                <w:highlight w:val="none"/>
                <w:lang w:eastAsia="zh-CN" w:bidi="ar"/>
              </w:rPr>
              <w:t>%</w:t>
            </w:r>
          </w:p>
          <w:p w14:paraId="01A89374">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42EA28B7">
            <w:pPr>
              <w:keepNext w:val="0"/>
              <w:keepLines w:val="0"/>
              <w:pageBreakBefore w:val="0"/>
              <w:widowControl/>
              <w:kinsoku/>
              <w:overflowPunct/>
              <w:topLinePunct/>
              <w:autoSpaceDE w:val="0"/>
              <w:bidi w:val="0"/>
              <w:spacing w:line="360" w:lineRule="auto"/>
              <w:ind w:firstLine="960" w:firstLineChars="4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P</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—第i个污染物的最大浓度占标率；</w:t>
            </w:r>
          </w:p>
          <w:p w14:paraId="5AB11104">
            <w:pPr>
              <w:keepNext w:val="0"/>
              <w:keepLines w:val="0"/>
              <w:pageBreakBefore w:val="0"/>
              <w:widowControl/>
              <w:kinsoku/>
              <w:overflowPunct/>
              <w:topLinePunct/>
              <w:autoSpaceDE w:val="0"/>
              <w:bidi w:val="0"/>
              <w:spacing w:line="360" w:lineRule="auto"/>
              <w:ind w:firstLine="960" w:firstLineChars="4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C</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—第i个污染物的的实测最大浓度</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μg/m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vertAlign w:val="superscript"/>
                <w:lang w:eastAsia="zh-CN" w:bidi="ar"/>
              </w:rPr>
              <w:t>）</w:t>
            </w:r>
            <w:r>
              <w:rPr>
                <w:rFonts w:hint="default" w:ascii="Times New Roman" w:hAnsi="Times New Roman" w:eastAsia="宋体" w:cs="Times New Roman"/>
                <w:color w:val="auto"/>
                <w:kern w:val="0"/>
                <w:sz w:val="24"/>
                <w:highlight w:val="none"/>
                <w:lang w:bidi="ar"/>
              </w:rPr>
              <w:t>；</w:t>
            </w:r>
          </w:p>
          <w:p w14:paraId="3E4121D8">
            <w:pPr>
              <w:keepNext w:val="0"/>
              <w:keepLines w:val="0"/>
              <w:pageBreakBefore w:val="0"/>
              <w:widowControl/>
              <w:kinsoku/>
              <w:overflowPunct/>
              <w:topLinePunct/>
              <w:autoSpaceDE w:val="0"/>
              <w:bidi w:val="0"/>
              <w:spacing w:line="360" w:lineRule="auto"/>
              <w:ind w:firstLine="960" w:firstLineChars="4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C</w:t>
            </w:r>
            <w:r>
              <w:rPr>
                <w:rFonts w:hint="default" w:ascii="Times New Roman" w:hAnsi="Times New Roman" w:eastAsia="宋体" w:cs="Times New Roman"/>
                <w:color w:val="auto"/>
                <w:kern w:val="0"/>
                <w:sz w:val="24"/>
                <w:highlight w:val="none"/>
                <w:vertAlign w:val="subscript"/>
                <w:lang w:bidi="ar"/>
              </w:rPr>
              <w:t>oi</w:t>
            </w:r>
            <w:r>
              <w:rPr>
                <w:rFonts w:hint="default" w:ascii="Times New Roman" w:hAnsi="Times New Roman" w:eastAsia="宋体" w:cs="Times New Roman"/>
                <w:color w:val="auto"/>
                <w:kern w:val="0"/>
                <w:sz w:val="24"/>
                <w:highlight w:val="none"/>
                <w:lang w:bidi="ar"/>
              </w:rPr>
              <w:t>—第i污染物的环境空气质量标准</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μg/m</w:t>
            </w:r>
            <w:r>
              <w:rPr>
                <w:rFonts w:hint="default" w:ascii="Times New Roman" w:hAnsi="Times New Roman" w:eastAsia="宋体" w:cs="Times New Roman"/>
                <w:color w:val="auto"/>
                <w:kern w:val="0"/>
                <w:sz w:val="24"/>
                <w:highlight w:val="none"/>
                <w:vertAlign w:val="superscript"/>
                <w:lang w:bidi="ar"/>
              </w:rPr>
              <w:t>3</w:t>
            </w:r>
            <w:r>
              <w:rPr>
                <w:rFonts w:hint="default" w:ascii="Times New Roman" w:hAnsi="Times New Roman" w:eastAsia="宋体" w:cs="Times New Roman"/>
                <w:color w:val="auto"/>
                <w:kern w:val="0"/>
                <w:sz w:val="24"/>
                <w:highlight w:val="none"/>
                <w:vertAlign w:val="superscript"/>
                <w:lang w:eastAsia="zh-CN" w:bidi="ar"/>
              </w:rPr>
              <w:t>）</w:t>
            </w:r>
            <w:r>
              <w:rPr>
                <w:rFonts w:hint="default" w:ascii="Times New Roman" w:hAnsi="Times New Roman" w:eastAsia="宋体" w:cs="Times New Roman"/>
                <w:color w:val="auto"/>
                <w:kern w:val="0"/>
                <w:sz w:val="24"/>
                <w:highlight w:val="none"/>
                <w:lang w:bidi="ar"/>
              </w:rPr>
              <w:t>；</w:t>
            </w:r>
          </w:p>
          <w:p w14:paraId="73DAD3CD">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超标率按下式计算：超标率=超标数据个数×100％</w:t>
            </w:r>
            <w:r>
              <w:rPr>
                <w:rFonts w:hint="default" w:ascii="Times New Roman" w:hAnsi="Times New Roman" w:eastAsia="宋体" w:cs="Times New Roman"/>
                <w:color w:val="auto"/>
                <w:sz w:val="24"/>
                <w:highlight w:val="none"/>
                <w:lang w:eastAsia="zh-CN"/>
              </w:rPr>
              <w:t>；</w:t>
            </w:r>
          </w:p>
          <w:p w14:paraId="2F487ECE">
            <w:pPr>
              <w:keepNext w:val="0"/>
              <w:keepLines w:val="0"/>
              <w:pageBreakBefore w:val="0"/>
              <w:kinsoku/>
              <w:overflowPunct/>
              <w:topLinePunct/>
              <w:autoSpaceDE w:val="0"/>
              <w:bidi w:val="0"/>
              <w:spacing w:line="360" w:lineRule="auto"/>
              <w:ind w:firstLine="482"/>
              <w:rPr>
                <w:rFonts w:hint="default" w:ascii="Times New Roman" w:hAnsi="Times New Roman" w:eastAsia="宋体" w:cs="Times New Roman"/>
                <w:caps w:val="0"/>
                <w:smallCaps w:val="0"/>
                <w:color w:val="auto"/>
                <w:sz w:val="24"/>
                <w:highlight w:val="none"/>
              </w:rPr>
            </w:pPr>
            <w:r>
              <w:rPr>
                <w:rFonts w:hint="eastAsia" w:cs="Times New Roman"/>
                <w:caps w:val="0"/>
                <w:smallCaps w:val="0"/>
                <w:color w:val="auto"/>
                <w:sz w:val="24"/>
                <w:highlight w:val="none"/>
                <w:lang w:val="en-US" w:eastAsia="zh-CN"/>
              </w:rPr>
              <w:t>⑥</w:t>
            </w:r>
            <w:r>
              <w:rPr>
                <w:rFonts w:hint="default" w:ascii="Times New Roman" w:hAnsi="Times New Roman" w:eastAsia="宋体" w:cs="Times New Roman"/>
                <w:caps w:val="0"/>
                <w:smallCaps w:val="0"/>
                <w:color w:val="auto"/>
                <w:sz w:val="24"/>
                <w:highlight w:val="none"/>
              </w:rPr>
              <w:t>监测结果</w:t>
            </w:r>
            <w:r>
              <w:rPr>
                <w:rFonts w:hint="default" w:ascii="Times New Roman" w:hAnsi="Times New Roman" w:eastAsia="宋体" w:cs="Times New Roman"/>
                <w:caps w:val="0"/>
                <w:smallCaps w:val="0"/>
                <w:color w:val="auto"/>
                <w:sz w:val="24"/>
                <w:highlight w:val="none"/>
                <w:lang w:val="en-US" w:eastAsia="zh-CN"/>
              </w:rPr>
              <w:t>及分析</w:t>
            </w:r>
            <w:r>
              <w:rPr>
                <w:rFonts w:hint="default" w:ascii="Times New Roman" w:hAnsi="Times New Roman" w:eastAsia="宋体" w:cs="Times New Roman"/>
                <w:caps w:val="0"/>
                <w:smallCaps w:val="0"/>
                <w:color w:val="auto"/>
                <w:sz w:val="24"/>
                <w:highlight w:val="none"/>
              </w:rPr>
              <w:t>如下表（监测报告详见附件）。</w:t>
            </w:r>
          </w:p>
          <w:p w14:paraId="5A77B577">
            <w:pPr>
              <w:pStyle w:val="17"/>
              <w:keepNext w:val="0"/>
              <w:keepLines w:val="0"/>
              <w:pageBreakBefore w:val="0"/>
              <w:widowControl w:val="0"/>
              <w:kinsoku/>
              <w:wordWrap/>
              <w:overflowPunct/>
              <w:topLinePunct/>
              <w:autoSpaceDE w:val="0"/>
              <w:autoSpaceDN/>
              <w:bidi w:val="0"/>
              <w:adjustRightInd/>
              <w:snapToGrid w:val="0"/>
              <w:spacing w:before="0" w:beforeLines="0" w:line="240" w:lineRule="auto"/>
              <w:textAlignment w:val="auto"/>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3-1</w:t>
            </w:r>
            <w:r>
              <w:rPr>
                <w:rFonts w:hint="default" w:ascii="Times New Roman" w:hAnsi="Times New Roman" w:eastAsia="宋体" w:cs="Times New Roman"/>
                <w:b/>
                <w:bCs/>
                <w:caps w:val="0"/>
                <w:smallCaps w:val="0"/>
                <w:color w:val="auto"/>
                <w:sz w:val="21"/>
                <w:szCs w:val="21"/>
                <w:highlight w:val="none"/>
              </w:rPr>
              <w:t xml:space="preserve"> </w:t>
            </w:r>
            <w:r>
              <w:rPr>
                <w:rFonts w:hint="default" w:ascii="Times New Roman" w:hAnsi="Times New Roman" w:eastAsia="宋体" w:cs="Times New Roman"/>
                <w:b/>
                <w:bCs/>
                <w:caps w:val="0"/>
                <w:smallCaps w:val="0"/>
                <w:color w:val="auto"/>
                <w:sz w:val="21"/>
                <w:szCs w:val="21"/>
                <w:highlight w:val="none"/>
                <w:lang w:val="en-US" w:eastAsia="zh-CN"/>
              </w:rPr>
              <w:t xml:space="preserve"> </w:t>
            </w:r>
            <w:r>
              <w:rPr>
                <w:rFonts w:hint="default" w:ascii="Times New Roman" w:hAnsi="Times New Roman" w:eastAsia="宋体" w:cs="Times New Roman"/>
                <w:b/>
                <w:bCs/>
                <w:caps w:val="0"/>
                <w:smallCaps w:val="0"/>
                <w:color w:val="auto"/>
                <w:sz w:val="21"/>
                <w:szCs w:val="21"/>
                <w:highlight w:val="none"/>
              </w:rPr>
              <w:t>TSP</w:t>
            </w:r>
            <w:r>
              <w:rPr>
                <w:rFonts w:hint="default" w:ascii="Times New Roman" w:hAnsi="Times New Roman" w:eastAsia="宋体" w:cs="Times New Roman"/>
                <w:b/>
                <w:bCs/>
                <w:caps w:val="0"/>
                <w:smallCaps w:val="0"/>
                <w:color w:val="auto"/>
                <w:sz w:val="21"/>
                <w:szCs w:val="21"/>
                <w:highlight w:val="none"/>
                <w:lang w:val="en-US" w:eastAsia="zh-CN"/>
              </w:rPr>
              <w:t>日均值</w:t>
            </w:r>
            <w:r>
              <w:rPr>
                <w:rFonts w:hint="default" w:ascii="Times New Roman" w:hAnsi="Times New Roman" w:eastAsia="宋体" w:cs="Times New Roman"/>
                <w:b/>
                <w:bCs/>
                <w:caps w:val="0"/>
                <w:smallCaps w:val="0"/>
                <w:color w:val="auto"/>
                <w:sz w:val="21"/>
                <w:szCs w:val="21"/>
                <w:highlight w:val="none"/>
              </w:rPr>
              <w:t>监测结果</w:t>
            </w:r>
            <w:r>
              <w:rPr>
                <w:rFonts w:hint="default" w:ascii="Times New Roman" w:hAnsi="Times New Roman" w:eastAsia="宋体" w:cs="Times New Roman"/>
                <w:b/>
                <w:bCs/>
                <w:caps w:val="0"/>
                <w:smallCaps w:val="0"/>
                <w:color w:val="auto"/>
                <w:sz w:val="21"/>
                <w:szCs w:val="21"/>
                <w:highlight w:val="none"/>
                <w:lang w:val="en-US" w:eastAsia="zh-CN"/>
              </w:rPr>
              <w:t>及评价</w:t>
            </w:r>
            <w:r>
              <w:rPr>
                <w:rFonts w:hint="default" w:ascii="Times New Roman" w:hAnsi="Times New Roman" w:eastAsia="宋体" w:cs="Times New Roman"/>
                <w:b/>
                <w:bCs/>
                <w:caps w:val="0"/>
                <w:smallCaps w:val="0"/>
                <w:color w:val="auto"/>
                <w:sz w:val="21"/>
                <w:szCs w:val="21"/>
                <w:highlight w:val="none"/>
              </w:rPr>
              <w:t>一览表</w:t>
            </w:r>
            <w:r>
              <w:rPr>
                <w:rFonts w:hint="default" w:ascii="Times New Roman" w:hAnsi="Times New Roman" w:eastAsia="宋体" w:cs="Times New Roman"/>
                <w:b/>
                <w:bCs/>
                <w:caps w:val="0"/>
                <w:smallCaps w:val="0"/>
                <w:color w:val="auto"/>
                <w:sz w:val="21"/>
                <w:szCs w:val="21"/>
                <w:highlight w:val="none"/>
                <w:lang w:val="en-US" w:eastAsia="zh-CN"/>
              </w:rPr>
              <w:t xml:space="preserve">  单位：μ</w:t>
            </w:r>
            <w:r>
              <w:rPr>
                <w:rFonts w:hint="default" w:ascii="Times New Roman" w:hAnsi="Times New Roman" w:eastAsia="宋体" w:cs="Times New Roman"/>
                <w:b/>
                <w:bCs/>
                <w:caps w:val="0"/>
                <w:smallCaps w:val="0"/>
                <w:color w:val="auto"/>
                <w:sz w:val="21"/>
                <w:szCs w:val="21"/>
                <w:highlight w:val="none"/>
              </w:rPr>
              <w:t>g/m</w:t>
            </w:r>
            <w:r>
              <w:rPr>
                <w:rFonts w:hint="default" w:ascii="Times New Roman" w:hAnsi="Times New Roman" w:eastAsia="宋体" w:cs="Times New Roman"/>
                <w:b/>
                <w:bCs/>
                <w:caps w:val="0"/>
                <w:smallCaps w:val="0"/>
                <w:color w:val="auto"/>
                <w:sz w:val="21"/>
                <w:szCs w:val="21"/>
                <w:highlight w:val="none"/>
                <w:vertAlign w:val="superscript"/>
              </w:rPr>
              <w:t>3</w:t>
            </w:r>
          </w:p>
          <w:tbl>
            <w:tblPr>
              <w:tblStyle w:val="30"/>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650"/>
              <w:gridCol w:w="750"/>
              <w:gridCol w:w="1083"/>
              <w:gridCol w:w="1117"/>
              <w:gridCol w:w="1171"/>
              <w:gridCol w:w="967"/>
              <w:gridCol w:w="900"/>
              <w:gridCol w:w="660"/>
            </w:tblGrid>
            <w:tr w14:paraId="7560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89" w:type="pct"/>
                  <w:noWrap w:val="0"/>
                  <w:vAlign w:val="center"/>
                </w:tcPr>
                <w:p w14:paraId="076B6511">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监测点位</w:t>
                  </w:r>
                </w:p>
              </w:tc>
              <w:tc>
                <w:tcPr>
                  <w:tcW w:w="401" w:type="pct"/>
                  <w:noWrap w:val="0"/>
                  <w:vAlign w:val="center"/>
                </w:tcPr>
                <w:p w14:paraId="59A0C71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污染物</w:t>
                  </w:r>
                </w:p>
              </w:tc>
              <w:tc>
                <w:tcPr>
                  <w:tcW w:w="463" w:type="pct"/>
                  <w:noWrap w:val="0"/>
                  <w:vAlign w:val="center"/>
                </w:tcPr>
                <w:p w14:paraId="43B82CE7">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平均时间</w:t>
                  </w:r>
                </w:p>
              </w:tc>
              <w:tc>
                <w:tcPr>
                  <w:tcW w:w="669" w:type="pct"/>
                  <w:noWrap w:val="0"/>
                  <w:vAlign w:val="center"/>
                </w:tcPr>
                <w:p w14:paraId="1DF5AD79">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eastAsia="宋体" w:cs="Times New Roman"/>
                      <w:b/>
                      <w:bCs/>
                      <w:caps w:val="0"/>
                      <w:smallCaps w:val="0"/>
                      <w:color w:val="auto"/>
                      <w:sz w:val="21"/>
                      <w:szCs w:val="21"/>
                      <w:highlight w:val="none"/>
                      <w:lang w:val="en-US" w:eastAsia="zh-CN"/>
                    </w:rPr>
                    <w:t>检测时间</w:t>
                  </w:r>
                </w:p>
              </w:tc>
              <w:tc>
                <w:tcPr>
                  <w:tcW w:w="690" w:type="pct"/>
                  <w:noWrap w:val="0"/>
                  <w:vAlign w:val="center"/>
                </w:tcPr>
                <w:p w14:paraId="14B7D803">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评价标准/（μg/m</w:t>
                  </w:r>
                  <w:r>
                    <w:rPr>
                      <w:rFonts w:hint="default" w:ascii="Times New Roman" w:hAnsi="Times New Roman" w:eastAsia="宋体" w:cs="Times New Roman"/>
                      <w:b/>
                      <w:bCs/>
                      <w:caps w:val="0"/>
                      <w:smallCaps w:val="0"/>
                      <w:color w:val="auto"/>
                      <w:sz w:val="21"/>
                      <w:szCs w:val="21"/>
                      <w:highlight w:val="none"/>
                      <w:vertAlign w:val="superscript"/>
                    </w:rPr>
                    <w:t>3</w:t>
                  </w:r>
                  <w:r>
                    <w:rPr>
                      <w:rFonts w:hint="default" w:ascii="Times New Roman" w:hAnsi="Times New Roman" w:eastAsia="宋体" w:cs="Times New Roman"/>
                      <w:b/>
                      <w:bCs/>
                      <w:caps w:val="0"/>
                      <w:smallCaps w:val="0"/>
                      <w:color w:val="auto"/>
                      <w:sz w:val="21"/>
                      <w:szCs w:val="21"/>
                      <w:highlight w:val="none"/>
                    </w:rPr>
                    <w:t>）</w:t>
                  </w:r>
                </w:p>
              </w:tc>
              <w:tc>
                <w:tcPr>
                  <w:tcW w:w="723" w:type="pct"/>
                  <w:noWrap w:val="0"/>
                  <w:vAlign w:val="center"/>
                </w:tcPr>
                <w:p w14:paraId="571EB759">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监测浓度/（μg/m</w:t>
                  </w:r>
                  <w:r>
                    <w:rPr>
                      <w:rFonts w:hint="default" w:ascii="Times New Roman" w:hAnsi="Times New Roman" w:eastAsia="宋体" w:cs="Times New Roman"/>
                      <w:b/>
                      <w:bCs/>
                      <w:caps w:val="0"/>
                      <w:smallCaps w:val="0"/>
                      <w:color w:val="auto"/>
                      <w:sz w:val="21"/>
                      <w:szCs w:val="21"/>
                      <w:highlight w:val="none"/>
                      <w:vertAlign w:val="superscript"/>
                    </w:rPr>
                    <w:t>3</w:t>
                  </w:r>
                  <w:r>
                    <w:rPr>
                      <w:rFonts w:hint="default" w:ascii="Times New Roman" w:hAnsi="Times New Roman" w:eastAsia="宋体" w:cs="Times New Roman"/>
                      <w:b/>
                      <w:bCs/>
                      <w:caps w:val="0"/>
                      <w:smallCaps w:val="0"/>
                      <w:color w:val="auto"/>
                      <w:sz w:val="21"/>
                      <w:szCs w:val="21"/>
                      <w:highlight w:val="none"/>
                    </w:rPr>
                    <w:t>）</w:t>
                  </w:r>
                </w:p>
              </w:tc>
              <w:tc>
                <w:tcPr>
                  <w:tcW w:w="597" w:type="pct"/>
                  <w:noWrap w:val="0"/>
                  <w:vAlign w:val="center"/>
                </w:tcPr>
                <w:p w14:paraId="63BFE127">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最大浓度占标率/%</w:t>
                  </w:r>
                </w:p>
              </w:tc>
              <w:tc>
                <w:tcPr>
                  <w:tcW w:w="556" w:type="pct"/>
                  <w:noWrap w:val="0"/>
                  <w:vAlign w:val="center"/>
                </w:tcPr>
                <w:p w14:paraId="544B72CA">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超标率/（%）</w:t>
                  </w:r>
                </w:p>
              </w:tc>
              <w:tc>
                <w:tcPr>
                  <w:tcW w:w="407" w:type="pct"/>
                  <w:noWrap w:val="0"/>
                  <w:vAlign w:val="center"/>
                </w:tcPr>
                <w:p w14:paraId="7FC96C90">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达标情况</w:t>
                  </w:r>
                </w:p>
              </w:tc>
            </w:tr>
            <w:tr w14:paraId="4E35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9" w:type="pct"/>
                  <w:vMerge w:val="restart"/>
                  <w:noWrap w:val="0"/>
                  <w:vAlign w:val="center"/>
                </w:tcPr>
                <w:p w14:paraId="1FA1BE17">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eastAsia="zh-CN"/>
                    </w:rPr>
                  </w:pPr>
                  <w:r>
                    <w:rPr>
                      <w:rFonts w:hint="default" w:ascii="Times New Roman" w:hAnsi="Times New Roman" w:eastAsia="宋体" w:cs="Times New Roman"/>
                      <w:b w:val="0"/>
                      <w:bCs w:val="0"/>
                      <w:color w:val="auto"/>
                      <w:szCs w:val="21"/>
                      <w:highlight w:val="none"/>
                    </w:rPr>
                    <w:t>厂界下风向</w:t>
                  </w:r>
                </w:p>
              </w:tc>
              <w:tc>
                <w:tcPr>
                  <w:tcW w:w="401" w:type="pct"/>
                  <w:vMerge w:val="restart"/>
                  <w:noWrap w:val="0"/>
                  <w:vAlign w:val="center"/>
                </w:tcPr>
                <w:p w14:paraId="07A35C87">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r>
                    <w:rPr>
                      <w:rFonts w:hint="default" w:ascii="Times New Roman" w:hAnsi="Times New Roman" w:eastAsia="宋体" w:cs="Times New Roman"/>
                      <w:b w:val="0"/>
                      <w:bCs w:val="0"/>
                      <w:caps w:val="0"/>
                      <w:smallCaps w:val="0"/>
                      <w:color w:val="auto"/>
                      <w:sz w:val="21"/>
                      <w:szCs w:val="21"/>
                      <w:highlight w:val="none"/>
                    </w:rPr>
                    <w:t>TSP</w:t>
                  </w:r>
                </w:p>
              </w:tc>
              <w:tc>
                <w:tcPr>
                  <w:tcW w:w="463" w:type="pct"/>
                  <w:vMerge w:val="restart"/>
                  <w:noWrap w:val="0"/>
                  <w:vAlign w:val="center"/>
                </w:tcPr>
                <w:p w14:paraId="6D9B7D34">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eastAsia="zh-CN"/>
                    </w:rPr>
                    <w:t>平均</w:t>
                  </w:r>
                  <w:r>
                    <w:rPr>
                      <w:rFonts w:hint="default" w:ascii="Times New Roman" w:hAnsi="Times New Roman" w:eastAsia="宋体" w:cs="Times New Roman"/>
                      <w:b w:val="0"/>
                      <w:bCs w:val="0"/>
                      <w:caps w:val="0"/>
                      <w:smallCaps w:val="0"/>
                      <w:color w:val="auto"/>
                      <w:sz w:val="21"/>
                      <w:szCs w:val="21"/>
                      <w:highlight w:val="none"/>
                      <w:lang w:val="en-US" w:eastAsia="zh-CN"/>
                    </w:rPr>
                    <w:t>24小时</w:t>
                  </w:r>
                </w:p>
              </w:tc>
              <w:tc>
                <w:tcPr>
                  <w:tcW w:w="669" w:type="pct"/>
                  <w:noWrap w:val="0"/>
                  <w:vAlign w:val="center"/>
                </w:tcPr>
                <w:p w14:paraId="54AF32F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2026.1.1</w:t>
                  </w:r>
                </w:p>
              </w:tc>
              <w:tc>
                <w:tcPr>
                  <w:tcW w:w="690" w:type="pct"/>
                  <w:vMerge w:val="restart"/>
                  <w:noWrap w:val="0"/>
                  <w:vAlign w:val="center"/>
                </w:tcPr>
                <w:p w14:paraId="2E99FF8A">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r>
                    <w:rPr>
                      <w:rFonts w:hint="default" w:ascii="Times New Roman" w:hAnsi="Times New Roman" w:eastAsia="宋体" w:cs="Times New Roman"/>
                      <w:b w:val="0"/>
                      <w:bCs w:val="0"/>
                      <w:caps w:val="0"/>
                      <w:smallCaps w:val="0"/>
                      <w:color w:val="auto"/>
                      <w:sz w:val="21"/>
                      <w:szCs w:val="21"/>
                      <w:highlight w:val="none"/>
                    </w:rPr>
                    <w:t>300</w:t>
                  </w:r>
                </w:p>
              </w:tc>
              <w:tc>
                <w:tcPr>
                  <w:tcW w:w="1171" w:type="dxa"/>
                  <w:noWrap w:val="0"/>
                  <w:vAlign w:val="center"/>
                </w:tcPr>
                <w:p w14:paraId="38549925">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96</w:t>
                  </w:r>
                </w:p>
              </w:tc>
              <w:tc>
                <w:tcPr>
                  <w:tcW w:w="597" w:type="pct"/>
                  <w:noWrap w:val="0"/>
                  <w:vAlign w:val="center"/>
                </w:tcPr>
                <w:p w14:paraId="642EFDA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32.0</w:t>
                  </w:r>
                </w:p>
              </w:tc>
              <w:tc>
                <w:tcPr>
                  <w:tcW w:w="556" w:type="pct"/>
                  <w:noWrap w:val="0"/>
                  <w:vAlign w:val="center"/>
                </w:tcPr>
                <w:p w14:paraId="169D0D79">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0</w:t>
                  </w:r>
                </w:p>
              </w:tc>
              <w:tc>
                <w:tcPr>
                  <w:tcW w:w="407" w:type="pct"/>
                  <w:noWrap w:val="0"/>
                  <w:vAlign w:val="center"/>
                </w:tcPr>
                <w:p w14:paraId="577A304F">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达标</w:t>
                  </w:r>
                </w:p>
              </w:tc>
            </w:tr>
            <w:tr w14:paraId="2933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9" w:type="pct"/>
                  <w:vMerge w:val="continue"/>
                  <w:noWrap w:val="0"/>
                  <w:vAlign w:val="center"/>
                </w:tcPr>
                <w:p w14:paraId="76EDD8E6">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olor w:val="auto"/>
                      <w:szCs w:val="21"/>
                      <w:highlight w:val="none"/>
                    </w:rPr>
                  </w:pPr>
                </w:p>
              </w:tc>
              <w:tc>
                <w:tcPr>
                  <w:tcW w:w="401" w:type="pct"/>
                  <w:vMerge w:val="continue"/>
                  <w:noWrap w:val="0"/>
                  <w:vAlign w:val="center"/>
                </w:tcPr>
                <w:p w14:paraId="5378D34D">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p>
              </w:tc>
              <w:tc>
                <w:tcPr>
                  <w:tcW w:w="463" w:type="pct"/>
                  <w:vMerge w:val="continue"/>
                  <w:noWrap w:val="0"/>
                  <w:vAlign w:val="center"/>
                </w:tcPr>
                <w:p w14:paraId="41D71064">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eastAsia="zh-CN"/>
                    </w:rPr>
                  </w:pPr>
                </w:p>
              </w:tc>
              <w:tc>
                <w:tcPr>
                  <w:tcW w:w="669" w:type="pct"/>
                  <w:noWrap w:val="0"/>
                  <w:vAlign w:val="center"/>
                </w:tcPr>
                <w:p w14:paraId="6938E9FE">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eastAsia="zh-CN"/>
                    </w:rPr>
                  </w:pPr>
                  <w:r>
                    <w:rPr>
                      <w:rFonts w:hint="default" w:ascii="Times New Roman" w:hAnsi="Times New Roman" w:eastAsia="宋体" w:cs="Times New Roman"/>
                      <w:b w:val="0"/>
                      <w:bCs w:val="0"/>
                      <w:caps w:val="0"/>
                      <w:smallCaps w:val="0"/>
                      <w:color w:val="auto"/>
                      <w:sz w:val="21"/>
                      <w:szCs w:val="21"/>
                      <w:highlight w:val="none"/>
                      <w:lang w:val="en-US" w:eastAsia="zh-CN"/>
                    </w:rPr>
                    <w:t>2026.1.2</w:t>
                  </w:r>
                </w:p>
              </w:tc>
              <w:tc>
                <w:tcPr>
                  <w:tcW w:w="690" w:type="pct"/>
                  <w:vMerge w:val="continue"/>
                  <w:noWrap w:val="0"/>
                  <w:vAlign w:val="center"/>
                </w:tcPr>
                <w:p w14:paraId="6E29DDE5">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p>
              </w:tc>
              <w:tc>
                <w:tcPr>
                  <w:tcW w:w="1171" w:type="dxa"/>
                  <w:noWrap w:val="0"/>
                  <w:vAlign w:val="center"/>
                </w:tcPr>
                <w:p w14:paraId="374F6DCE">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82</w:t>
                  </w:r>
                </w:p>
              </w:tc>
              <w:tc>
                <w:tcPr>
                  <w:tcW w:w="597" w:type="pct"/>
                  <w:noWrap w:val="0"/>
                  <w:vAlign w:val="center"/>
                </w:tcPr>
                <w:p w14:paraId="741F1558">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27.3</w:t>
                  </w:r>
                </w:p>
              </w:tc>
              <w:tc>
                <w:tcPr>
                  <w:tcW w:w="556" w:type="pct"/>
                  <w:noWrap w:val="0"/>
                  <w:vAlign w:val="center"/>
                </w:tcPr>
                <w:p w14:paraId="2C5A8DC8">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0</w:t>
                  </w:r>
                </w:p>
              </w:tc>
              <w:tc>
                <w:tcPr>
                  <w:tcW w:w="407" w:type="pct"/>
                  <w:noWrap w:val="0"/>
                  <w:vAlign w:val="center"/>
                </w:tcPr>
                <w:p w14:paraId="516FEDCB">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达标</w:t>
                  </w:r>
                </w:p>
              </w:tc>
            </w:tr>
            <w:tr w14:paraId="7859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89" w:type="pct"/>
                  <w:vMerge w:val="continue"/>
                  <w:noWrap w:val="0"/>
                  <w:vAlign w:val="center"/>
                </w:tcPr>
                <w:p w14:paraId="58F9B1CD">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olor w:val="auto"/>
                      <w:szCs w:val="21"/>
                      <w:highlight w:val="none"/>
                    </w:rPr>
                  </w:pPr>
                </w:p>
              </w:tc>
              <w:tc>
                <w:tcPr>
                  <w:tcW w:w="401" w:type="pct"/>
                  <w:vMerge w:val="continue"/>
                  <w:noWrap w:val="0"/>
                  <w:vAlign w:val="center"/>
                </w:tcPr>
                <w:p w14:paraId="35C6AD8E">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p>
              </w:tc>
              <w:tc>
                <w:tcPr>
                  <w:tcW w:w="463" w:type="pct"/>
                  <w:vMerge w:val="continue"/>
                  <w:noWrap w:val="0"/>
                  <w:vAlign w:val="center"/>
                </w:tcPr>
                <w:p w14:paraId="0DD3283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eastAsia="zh-CN"/>
                    </w:rPr>
                  </w:pPr>
                </w:p>
              </w:tc>
              <w:tc>
                <w:tcPr>
                  <w:tcW w:w="669" w:type="pct"/>
                  <w:noWrap w:val="0"/>
                  <w:vAlign w:val="center"/>
                </w:tcPr>
                <w:p w14:paraId="71346668">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eastAsia="zh-CN"/>
                    </w:rPr>
                  </w:pPr>
                  <w:r>
                    <w:rPr>
                      <w:rFonts w:hint="default" w:ascii="Times New Roman" w:hAnsi="Times New Roman" w:eastAsia="宋体" w:cs="Times New Roman"/>
                      <w:b w:val="0"/>
                      <w:bCs w:val="0"/>
                      <w:caps w:val="0"/>
                      <w:smallCaps w:val="0"/>
                      <w:color w:val="auto"/>
                      <w:sz w:val="21"/>
                      <w:szCs w:val="21"/>
                      <w:highlight w:val="none"/>
                      <w:lang w:val="en-US" w:eastAsia="zh-CN"/>
                    </w:rPr>
                    <w:t>2026.1.3</w:t>
                  </w:r>
                </w:p>
              </w:tc>
              <w:tc>
                <w:tcPr>
                  <w:tcW w:w="690" w:type="pct"/>
                  <w:vMerge w:val="continue"/>
                  <w:noWrap w:val="0"/>
                  <w:vAlign w:val="center"/>
                </w:tcPr>
                <w:p w14:paraId="53172D3E">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rPr>
                  </w:pPr>
                </w:p>
              </w:tc>
              <w:tc>
                <w:tcPr>
                  <w:tcW w:w="1171" w:type="dxa"/>
                  <w:noWrap w:val="0"/>
                  <w:vAlign w:val="center"/>
                </w:tcPr>
                <w:p w14:paraId="1931944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64</w:t>
                  </w:r>
                </w:p>
              </w:tc>
              <w:tc>
                <w:tcPr>
                  <w:tcW w:w="597" w:type="pct"/>
                  <w:noWrap w:val="0"/>
                  <w:vAlign w:val="center"/>
                </w:tcPr>
                <w:p w14:paraId="586FFDB7">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21.3</w:t>
                  </w:r>
                </w:p>
              </w:tc>
              <w:tc>
                <w:tcPr>
                  <w:tcW w:w="556" w:type="pct"/>
                  <w:noWrap w:val="0"/>
                  <w:vAlign w:val="center"/>
                </w:tcPr>
                <w:p w14:paraId="1B10783C">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0</w:t>
                  </w:r>
                </w:p>
              </w:tc>
              <w:tc>
                <w:tcPr>
                  <w:tcW w:w="407" w:type="pct"/>
                  <w:noWrap w:val="0"/>
                  <w:vAlign w:val="center"/>
                </w:tcPr>
                <w:p w14:paraId="77B29872">
                  <w:pPr>
                    <w:keepNext w:val="0"/>
                    <w:keepLines w:val="0"/>
                    <w:pageBreakBefore w:val="0"/>
                    <w:tabs>
                      <w:tab w:val="left" w:pos="1817"/>
                    </w:tabs>
                    <w:kinsoku/>
                    <w:overflowPunct/>
                    <w:topLinePunct/>
                    <w:autoSpaceDE w:val="0"/>
                    <w:bidi w:val="0"/>
                    <w:spacing w:line="240" w:lineRule="auto"/>
                    <w:jc w:val="center"/>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达标</w:t>
                  </w:r>
                </w:p>
              </w:tc>
            </w:tr>
          </w:tbl>
          <w:p w14:paraId="7E7062E1">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lang w:eastAsia="zh-CN"/>
              </w:rPr>
              <w:t>由上表结果可以看出，</w:t>
            </w:r>
            <w:r>
              <w:rPr>
                <w:rFonts w:hint="default" w:ascii="Times New Roman" w:hAnsi="Times New Roman" w:eastAsia="宋体" w:cs="Times New Roman"/>
                <w:color w:val="auto"/>
                <w:sz w:val="24"/>
                <w:szCs w:val="24"/>
                <w:highlight w:val="none"/>
                <w:lang w:val="en-US" w:eastAsia="zh-CN"/>
              </w:rPr>
              <w:t>项目区所在区域</w:t>
            </w:r>
            <w:r>
              <w:rPr>
                <w:rFonts w:hint="default" w:ascii="Times New Roman" w:hAnsi="Times New Roman" w:eastAsia="宋体" w:cs="Times New Roman"/>
                <w:color w:val="auto"/>
                <w:sz w:val="24"/>
                <w:szCs w:val="24"/>
                <w:highlight w:val="none"/>
                <w:lang w:eastAsia="zh-CN"/>
              </w:rPr>
              <w:t>TSP</w:t>
            </w:r>
            <w:r>
              <w:rPr>
                <w:rFonts w:hint="default" w:ascii="Times New Roman" w:hAnsi="Times New Roman" w:eastAsia="宋体" w:cs="Times New Roman"/>
                <w:color w:val="auto"/>
                <w:sz w:val="24"/>
                <w:szCs w:val="24"/>
                <w:highlight w:val="none"/>
                <w:lang w:val="en-US" w:eastAsia="zh-CN"/>
              </w:rPr>
              <w:t>日均值</w:t>
            </w:r>
            <w:r>
              <w:rPr>
                <w:rFonts w:hint="default" w:ascii="Times New Roman" w:hAnsi="Times New Roman" w:eastAsia="宋体" w:cs="Times New Roman"/>
                <w:color w:val="auto"/>
                <w:sz w:val="24"/>
                <w:szCs w:val="24"/>
                <w:highlight w:val="none"/>
                <w:lang w:eastAsia="zh-CN"/>
              </w:rPr>
              <w:t>满足</w:t>
            </w:r>
            <w:r>
              <w:rPr>
                <w:rFonts w:hint="default" w:ascii="Times New Roman" w:hAnsi="Times New Roman" w:eastAsia="宋体" w:cs="Times New Roman"/>
                <w:color w:val="auto"/>
                <w:spacing w:val="-1"/>
                <w:sz w:val="24"/>
                <w:szCs w:val="24"/>
                <w:highlight w:val="none"/>
              </w:rPr>
              <w:t>《环境空气质量标准》（GB3095-20</w:t>
            </w:r>
            <w:r>
              <w:rPr>
                <w:rFonts w:hint="eastAsia" w:cs="Times New Roman"/>
                <w:color w:val="auto"/>
                <w:spacing w:val="-1"/>
                <w:sz w:val="24"/>
                <w:szCs w:val="24"/>
                <w:highlight w:val="none"/>
                <w:lang w:val="en-US" w:eastAsia="zh-CN"/>
              </w:rPr>
              <w:t>12</w:t>
            </w:r>
            <w:r>
              <w:rPr>
                <w:rFonts w:hint="default" w:ascii="Times New Roman" w:hAnsi="Times New Roman" w:eastAsia="宋体" w:cs="Times New Roman"/>
                <w:color w:val="auto"/>
                <w:spacing w:val="-1"/>
                <w:sz w:val="24"/>
                <w:szCs w:val="24"/>
                <w:highlight w:val="none"/>
              </w:rPr>
              <w:t>）中二级标准限值要求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项目区环境空气质量较好。</w:t>
            </w:r>
          </w:p>
          <w:p w14:paraId="47519BD4">
            <w:pPr>
              <w:keepNext w:val="0"/>
              <w:keepLines w:val="0"/>
              <w:pageBreakBefore w:val="0"/>
              <w:widowControl w:val="0"/>
              <w:numPr>
                <w:ilvl w:val="0"/>
                <w:numId w:val="5"/>
              </w:numPr>
              <w:kinsoku/>
              <w:wordWrap/>
              <w:overflowPunct/>
              <w:topLinePunct/>
              <w:autoSpaceDE w:val="0"/>
              <w:autoSpaceDN/>
              <w:bidi w:val="0"/>
              <w:adjustRightInd w:val="0"/>
              <w:snapToGrid w:val="0"/>
              <w:spacing w:line="360" w:lineRule="auto"/>
              <w:ind w:left="0" w:right="0" w:firstLine="0" w:firstLineChars="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地表水环境质量</w:t>
            </w:r>
          </w:p>
          <w:p w14:paraId="77397C16">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项目附近主要的地表水体为位于项目东面</w:t>
            </w:r>
            <w:r>
              <w:rPr>
                <w:rFonts w:hint="default" w:ascii="Times New Roman" w:hAnsi="Times New Roman" w:eastAsia="宋体" w:cs="Times New Roman"/>
                <w:color w:val="auto"/>
                <w:sz w:val="24"/>
                <w:szCs w:val="24"/>
                <w:highlight w:val="none"/>
                <w:lang w:val="en-US" w:eastAsia="zh-CN"/>
              </w:rPr>
              <w:t>0.72</w:t>
            </w:r>
            <w:r>
              <w:rPr>
                <w:rFonts w:hint="default" w:ascii="Times New Roman" w:hAnsi="Times New Roman" w:eastAsia="宋体" w:cs="Times New Roman"/>
                <w:color w:val="auto"/>
                <w:sz w:val="24"/>
                <w:szCs w:val="24"/>
                <w:highlight w:val="none"/>
              </w:rPr>
              <w:t>km的双龙河，双龙河最终汇入扒河。</w:t>
            </w:r>
            <w:r>
              <w:rPr>
                <w:rFonts w:hint="default" w:ascii="Times New Roman" w:hAnsi="Times New Roman" w:eastAsia="宋体" w:cs="Times New Roman"/>
                <w:i w:val="0"/>
                <w:iCs w:val="0"/>
                <w:color w:val="auto"/>
                <w:sz w:val="24"/>
                <w:szCs w:val="24"/>
                <w:highlight w:val="none"/>
                <w:lang w:val="en-US" w:eastAsia="zh-CN"/>
              </w:rPr>
              <w:t>根据《云南省水功能区划（2014年修订）》，扒河（易门县大谷厂至阿姑水文站）水环境功能为工业、农业用水，</w:t>
            </w:r>
            <w:r>
              <w:rPr>
                <w:rFonts w:hint="default" w:ascii="Times New Roman" w:hAnsi="Times New Roman" w:eastAsia="宋体" w:cs="Times New Roman"/>
                <w:color w:val="auto"/>
                <w:sz w:val="24"/>
                <w:szCs w:val="24"/>
                <w:highlight w:val="none"/>
                <w:lang w:eastAsia="zh-CN"/>
              </w:rPr>
              <w:t>类别为</w:t>
            </w:r>
            <w:r>
              <w:rPr>
                <w:rFonts w:hint="default" w:ascii="Times New Roman" w:hAnsi="Times New Roman" w:eastAsia="宋体" w:cs="Times New Roman"/>
                <w:color w:val="auto"/>
                <w:sz w:val="24"/>
                <w:szCs w:val="24"/>
                <w:highlight w:val="none"/>
              </w:rPr>
              <w:t>III类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sz w:val="24"/>
                <w:szCs w:val="24"/>
                <w:highlight w:val="none"/>
              </w:rPr>
              <w:t>执行《地表水环境质量标准》（GB3838-2002）Ⅲ类水质标准</w:t>
            </w:r>
            <w:r>
              <w:rPr>
                <w:rFonts w:hint="default" w:ascii="Times New Roman" w:hAnsi="Times New Roman" w:eastAsia="宋体" w:cs="Times New Roman"/>
                <w:i w:val="0"/>
                <w:iCs w:val="0"/>
                <w:color w:val="auto"/>
                <w:sz w:val="24"/>
                <w:szCs w:val="24"/>
                <w:highlight w:val="none"/>
                <w:lang w:eastAsia="zh-CN"/>
              </w:rPr>
              <w:t>；</w:t>
            </w:r>
            <w:r>
              <w:rPr>
                <w:rFonts w:hint="default" w:ascii="Times New Roman" w:hAnsi="Times New Roman" w:eastAsia="宋体" w:cs="Times New Roman"/>
                <w:color w:val="auto"/>
                <w:sz w:val="24"/>
                <w:szCs w:val="24"/>
                <w:highlight w:val="none"/>
              </w:rPr>
              <w:t>双龙河未</w:t>
            </w:r>
            <w:r>
              <w:rPr>
                <w:rFonts w:hint="default" w:ascii="Times New Roman" w:hAnsi="Times New Roman" w:eastAsia="宋体" w:cs="Times New Roman"/>
                <w:color w:val="auto"/>
                <w:sz w:val="24"/>
                <w:szCs w:val="24"/>
                <w:highlight w:val="none"/>
                <w:lang w:eastAsia="zh-CN"/>
              </w:rPr>
              <w:t>作</w:t>
            </w:r>
            <w:r>
              <w:rPr>
                <w:rFonts w:hint="default" w:ascii="Times New Roman" w:hAnsi="Times New Roman" w:eastAsia="宋体" w:cs="Times New Roman"/>
                <w:color w:val="auto"/>
                <w:sz w:val="24"/>
                <w:szCs w:val="24"/>
                <w:highlight w:val="none"/>
              </w:rPr>
              <w:t>功能区划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根据支流保护级别不得低于干流，双龙河为扒河支流，所以双龙河执行《地表水环境质量标准》（GB3838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2002）Ⅲ类标准。</w:t>
            </w:r>
          </w:p>
          <w:p w14:paraId="31F58FD6">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根据《202</w:t>
            </w:r>
            <w:r>
              <w:rPr>
                <w:rFonts w:hint="eastAsia"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年易门县生态环境状况公报》，</w:t>
            </w:r>
            <w:r>
              <w:rPr>
                <w:rFonts w:hint="eastAsia" w:cs="Times New Roman"/>
                <w:color w:val="auto"/>
                <w:sz w:val="24"/>
                <w:szCs w:val="24"/>
                <w:highlight w:val="none"/>
                <w:lang w:val="en-US" w:eastAsia="zh-CN"/>
              </w:rPr>
              <w:t>2024年</w:t>
            </w:r>
            <w:r>
              <w:rPr>
                <w:rFonts w:hint="default" w:ascii="Times New Roman" w:hAnsi="Times New Roman" w:cs="Times New Roman"/>
                <w:color w:val="auto"/>
                <w:sz w:val="24"/>
                <w:szCs w:val="24"/>
                <w:highlight w:val="none"/>
              </w:rPr>
              <w:t>全县共有地表水国控断面2个，分别是绿汁江大桥断面和扒河大谷厂水管所断面，省控断面2个分别是岔河水库和绿汁江江边（炉房村出境）断面，</w:t>
            </w:r>
            <w:r>
              <w:rPr>
                <w:rFonts w:hint="eastAsia" w:cs="Times New Roman"/>
                <w:color w:val="auto"/>
                <w:sz w:val="24"/>
                <w:szCs w:val="24"/>
                <w:highlight w:val="none"/>
                <w:lang w:val="en-US" w:eastAsia="zh-CN"/>
              </w:rPr>
              <w:t>距离本项目最近的控制断面为下游</w:t>
            </w:r>
            <w:r>
              <w:rPr>
                <w:rFonts w:hint="default" w:ascii="Times New Roman" w:hAnsi="Times New Roman" w:cs="Times New Roman"/>
                <w:color w:val="auto"/>
                <w:sz w:val="24"/>
                <w:szCs w:val="24"/>
                <w:highlight w:val="none"/>
              </w:rPr>
              <w:t>扒河大谷厂水管所断面</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位于项目东南侧直线距离约6.8km；</w:t>
            </w:r>
            <w:r>
              <w:rPr>
                <w:rFonts w:hint="default" w:ascii="Times New Roman" w:hAnsi="Times New Roman" w:cs="Times New Roman"/>
                <w:color w:val="auto"/>
                <w:sz w:val="24"/>
                <w:szCs w:val="24"/>
                <w:highlight w:val="none"/>
              </w:rPr>
              <w:t>按《地表水环境质量标准》﹙GB3838-2002﹚评价，扒河大谷厂水管所断面水质类别为Ⅱ类，</w:t>
            </w:r>
            <w:r>
              <w:rPr>
                <w:rFonts w:hint="eastAsia" w:cs="Times New Roman"/>
                <w:color w:val="auto"/>
                <w:sz w:val="24"/>
                <w:szCs w:val="24"/>
                <w:highlight w:val="none"/>
                <w:lang w:val="en-US" w:eastAsia="zh-CN"/>
              </w:rPr>
              <w:t>2024年</w:t>
            </w:r>
            <w:r>
              <w:rPr>
                <w:rFonts w:hint="default" w:ascii="Times New Roman" w:hAnsi="Times New Roman" w:cs="Times New Roman"/>
                <w:color w:val="auto"/>
                <w:sz w:val="24"/>
                <w:szCs w:val="24"/>
                <w:highlight w:val="none"/>
              </w:rPr>
              <w:t>地表水考核断面水质优良率为100%</w:t>
            </w:r>
            <w:r>
              <w:rPr>
                <w:rFonts w:hint="eastAsia"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故</w:t>
            </w:r>
            <w:r>
              <w:rPr>
                <w:rFonts w:hint="default" w:ascii="Times New Roman" w:hAnsi="Times New Roman" w:eastAsia="宋体" w:cs="Times New Roman"/>
                <w:color w:val="auto"/>
                <w:sz w:val="24"/>
                <w:szCs w:val="24"/>
                <w:highlight w:val="none"/>
              </w:rPr>
              <w:t>扒河水质能满足《地表水环境质量标准》（GB3838-2002）Ⅲ类水质标准。</w:t>
            </w:r>
            <w:r>
              <w:rPr>
                <w:rFonts w:hint="default" w:ascii="Times New Roman" w:hAnsi="Times New Roman" w:cs="Times New Roman"/>
                <w:color w:val="auto"/>
                <w:sz w:val="24"/>
                <w:szCs w:val="24"/>
              </w:rPr>
              <w:t>项目区地表水环境质量现状较好。</w:t>
            </w:r>
          </w:p>
          <w:p w14:paraId="166B442F">
            <w:pPr>
              <w:keepNext w:val="0"/>
              <w:keepLines w:val="0"/>
              <w:pageBreakBefore w:val="0"/>
              <w:widowControl w:val="0"/>
              <w:numPr>
                <w:ilvl w:val="0"/>
                <w:numId w:val="5"/>
              </w:numPr>
              <w:kinsoku/>
              <w:wordWrap/>
              <w:overflowPunct/>
              <w:topLinePunct/>
              <w:autoSpaceDE w:val="0"/>
              <w:autoSpaceDN/>
              <w:bidi w:val="0"/>
              <w:adjustRightInd w:val="0"/>
              <w:snapToGrid w:val="0"/>
              <w:spacing w:line="360" w:lineRule="auto"/>
              <w:ind w:left="0" w:right="0" w:firstLine="0" w:firstLineChars="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声环境质量现状</w:t>
            </w:r>
          </w:p>
          <w:p w14:paraId="76092A88">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项目位于</w:t>
            </w:r>
            <w:r>
              <w:rPr>
                <w:rFonts w:hint="default" w:ascii="Times New Roman" w:hAnsi="Times New Roman" w:eastAsia="宋体" w:cs="Times New Roman"/>
                <w:color w:val="auto"/>
                <w:sz w:val="24"/>
                <w:szCs w:val="24"/>
                <w:highlight w:val="none"/>
                <w:lang w:val="en-US" w:eastAsia="zh-CN"/>
              </w:rPr>
              <w:t>易门产业园区麦子田片区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kern w:val="2"/>
                <w:sz w:val="24"/>
                <w:szCs w:val="24"/>
                <w:highlight w:val="none"/>
                <w:lang w:val="en-US" w:eastAsia="zh-CN" w:bidi="ar-SA"/>
              </w:rPr>
              <w:t>属于3类声环境功能区，</w:t>
            </w:r>
            <w:r>
              <w:rPr>
                <w:rFonts w:hint="default" w:ascii="Times New Roman" w:hAnsi="Times New Roman" w:eastAsia="宋体" w:cs="Times New Roman"/>
                <w:color w:val="auto"/>
                <w:sz w:val="24"/>
                <w:szCs w:val="24"/>
                <w:highlight w:val="none"/>
              </w:rPr>
              <w:t>执行《声环境质量标准》（GB3096-2008）中的</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p>
          <w:p w14:paraId="7AB8E515">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i w:val="0"/>
                <w:iCs w:val="0"/>
                <w:caps w:val="0"/>
                <w:color w:val="auto"/>
                <w:spacing w:val="0"/>
                <w:sz w:val="24"/>
                <w:szCs w:val="24"/>
                <w:highlight w:val="none"/>
                <w:shd w:val="clear" w:fill="FFFFFF"/>
              </w:rPr>
            </w:pPr>
            <w:r>
              <w:rPr>
                <w:rFonts w:hint="default" w:ascii="Times New Roman" w:hAnsi="Times New Roman" w:eastAsia="宋体" w:cs="Times New Roman"/>
                <w:b w:val="0"/>
                <w:bCs w:val="0"/>
                <w:color w:val="auto"/>
                <w:kern w:val="2"/>
                <w:sz w:val="24"/>
                <w:szCs w:val="24"/>
                <w:highlight w:val="none"/>
                <w:lang w:val="en-US" w:eastAsia="zh-CN" w:bidi="ar-SA"/>
              </w:rPr>
              <w:t>根</w:t>
            </w:r>
            <w:r>
              <w:rPr>
                <w:rFonts w:hint="default" w:ascii="Times New Roman" w:hAnsi="Times New Roman" w:eastAsia="宋体" w:cs="Times New Roman"/>
                <w:color w:val="auto"/>
                <w:kern w:val="2"/>
                <w:sz w:val="24"/>
                <w:szCs w:val="24"/>
                <w:highlight w:val="none"/>
                <w:lang w:val="en-US" w:eastAsia="zh-CN"/>
              </w:rPr>
              <w:t>据《2024年易门县生态环境状况公报》，</w:t>
            </w:r>
            <w:r>
              <w:rPr>
                <w:rFonts w:hint="default" w:ascii="Times New Roman" w:hAnsi="Times New Roman" w:eastAsia="宋体" w:cs="Times New Roman"/>
                <w:i w:val="0"/>
                <w:iCs w:val="0"/>
                <w:caps w:val="0"/>
                <w:color w:val="auto"/>
                <w:spacing w:val="0"/>
                <w:sz w:val="24"/>
                <w:szCs w:val="24"/>
                <w:highlight w:val="none"/>
                <w:shd w:val="clear" w:fill="FFFFFF"/>
              </w:rPr>
              <w:t>2024年，易门县城昼间城市环境区域噪声达标区覆盖率为98.3%，昼间平均等效声级为49.9dB（A），依据《声环境质量标准》（GB3096-2008）对应城市区域声环境质量昼间等级为“二级”，评价为“较好”。与上年相比，2024年昼间达标区覆盖率提高1.6%，平均等效声级下降了2.0dB</w:t>
            </w:r>
            <w:r>
              <w:rPr>
                <w:rFonts w:hint="eastAsia"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A</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w:t>
            </w:r>
          </w:p>
          <w:p w14:paraId="27ABB489">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根据现场调查，项目</w:t>
            </w:r>
            <w:r>
              <w:rPr>
                <w:rFonts w:hint="default"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eastAsia="zh-CN"/>
              </w:rPr>
              <w:t>侧为</w:t>
            </w:r>
            <w:r>
              <w:rPr>
                <w:rFonts w:hint="default" w:ascii="Times New Roman" w:hAnsi="Times New Roman" w:eastAsia="宋体" w:cs="Times New Roman"/>
                <w:color w:val="auto"/>
                <w:sz w:val="24"/>
                <w:szCs w:val="24"/>
                <w:highlight w:val="none"/>
                <w:lang w:val="en-US" w:eastAsia="zh-CN"/>
              </w:rPr>
              <w:t>园区道路，由于东侧为山体、尚未完全开发，道路车流量较小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北侧、西侧均分布有园区企业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南侧为空地；</w:t>
            </w:r>
            <w:r>
              <w:rPr>
                <w:rFonts w:hint="default" w:ascii="Times New Roman" w:hAnsi="Times New Roman" w:eastAsia="宋体" w:cs="Times New Roman"/>
                <w:color w:val="auto"/>
                <w:kern w:val="0"/>
                <w:sz w:val="24"/>
                <w:szCs w:val="24"/>
                <w:highlight w:val="none"/>
                <w:lang w:val="en-US" w:eastAsia="zh-CN"/>
              </w:rPr>
              <w:t>本项目声环境质量现状能够达到</w:t>
            </w:r>
            <w:r>
              <w:rPr>
                <w:rFonts w:hint="default" w:ascii="Times New Roman" w:hAnsi="Times New Roman" w:eastAsia="宋体" w:cs="Times New Roman"/>
                <w:color w:val="auto"/>
                <w:sz w:val="24"/>
                <w:szCs w:val="24"/>
                <w:highlight w:val="none"/>
              </w:rPr>
              <w:t>《声环境质量标准》（GB3096-2008）</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kern w:val="0"/>
                <w:sz w:val="24"/>
                <w:szCs w:val="24"/>
                <w:highlight w:val="none"/>
                <w:lang w:val="en-US" w:eastAsia="zh-CN"/>
              </w:rPr>
              <w:t>，属于声环境质量达标区</w:t>
            </w:r>
            <w:r>
              <w:rPr>
                <w:rFonts w:hint="default" w:ascii="Times New Roman" w:hAnsi="Times New Roman" w:eastAsia="宋体" w:cs="Times New Roman"/>
                <w:color w:val="auto"/>
                <w:sz w:val="24"/>
                <w:szCs w:val="24"/>
                <w:highlight w:val="none"/>
              </w:rPr>
              <w:t>。</w:t>
            </w:r>
          </w:p>
          <w:p w14:paraId="54DE6B42">
            <w:pPr>
              <w:keepNext w:val="0"/>
              <w:keepLines w:val="0"/>
              <w:pageBreakBefore w:val="0"/>
              <w:widowControl w:val="0"/>
              <w:numPr>
                <w:ilvl w:val="0"/>
                <w:numId w:val="5"/>
              </w:numPr>
              <w:kinsoku/>
              <w:wordWrap/>
              <w:overflowPunct/>
              <w:topLinePunct/>
              <w:autoSpaceDE w:val="0"/>
              <w:autoSpaceDN/>
              <w:bidi w:val="0"/>
              <w:adjustRightInd w:val="0"/>
              <w:snapToGrid w:val="0"/>
              <w:spacing w:line="360" w:lineRule="auto"/>
              <w:ind w:left="0" w:right="0" w:firstLine="0" w:firstLineChars="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生态环境现状</w:t>
            </w:r>
          </w:p>
          <w:p w14:paraId="44D2E07F">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smallCaps w:val="0"/>
                <w:color w:val="auto"/>
                <w:sz w:val="24"/>
                <w:szCs w:val="24"/>
                <w:highlight w:val="none"/>
              </w:rPr>
              <w:t>项目位于</w:t>
            </w:r>
            <w:r>
              <w:rPr>
                <w:rFonts w:hint="default" w:ascii="Times New Roman" w:hAnsi="Times New Roman" w:eastAsia="宋体" w:cs="Times New Roman"/>
                <w:color w:val="auto"/>
                <w:sz w:val="24"/>
                <w:szCs w:val="24"/>
                <w:highlight w:val="none"/>
              </w:rPr>
              <w:t>云南易门产业园区麦子田片区</w:t>
            </w:r>
            <w:r>
              <w:rPr>
                <w:rFonts w:hint="default" w:ascii="Times New Roman" w:hAnsi="Times New Roman" w:eastAsia="宋体" w:cs="Times New Roman"/>
                <w:smallCaps w:val="0"/>
                <w:color w:val="auto"/>
                <w:kern w:val="1"/>
                <w:sz w:val="24"/>
                <w:szCs w:val="24"/>
                <w:highlight w:val="none"/>
              </w:rPr>
              <w:t>，项目区块内主要为绿化植被，地块内原生的植被已经不存在，</w:t>
            </w:r>
            <w:r>
              <w:rPr>
                <w:rFonts w:hint="default" w:ascii="Times New Roman" w:hAnsi="Times New Roman" w:eastAsia="宋体" w:cs="Times New Roman"/>
                <w:smallCaps w:val="0"/>
                <w:color w:val="auto"/>
                <w:sz w:val="24"/>
                <w:szCs w:val="24"/>
                <w:highlight w:val="none"/>
              </w:rPr>
              <w:t>区域内无国家和云南省重点保护野生植物物种和珍稀植物、无地方狭域特有物种分布。</w:t>
            </w:r>
            <w:r>
              <w:rPr>
                <w:rFonts w:hint="default" w:ascii="Times New Roman" w:hAnsi="Times New Roman" w:eastAsia="宋体" w:cs="Times New Roman"/>
                <w:smallCaps w:val="0"/>
                <w:color w:val="auto"/>
                <w:kern w:val="0"/>
                <w:sz w:val="24"/>
                <w:szCs w:val="24"/>
                <w:highlight w:val="none"/>
              </w:rPr>
              <w:t>目前</w:t>
            </w:r>
            <w:r>
              <w:rPr>
                <w:rFonts w:hint="default" w:ascii="Times New Roman" w:hAnsi="Times New Roman" w:eastAsia="宋体" w:cs="Times New Roman"/>
                <w:smallCaps w:val="0"/>
                <w:color w:val="auto"/>
                <w:kern w:val="1"/>
                <w:sz w:val="24"/>
                <w:szCs w:val="24"/>
                <w:highlight w:val="none"/>
                <w:lang w:val="en-US" w:eastAsia="zh-CN"/>
              </w:rPr>
              <w:t>项目区已由园区场地平整完成，</w:t>
            </w:r>
            <w:r>
              <w:rPr>
                <w:rFonts w:hint="default" w:ascii="Times New Roman" w:hAnsi="Times New Roman" w:eastAsia="宋体" w:cs="Times New Roman"/>
                <w:smallCaps w:val="0"/>
                <w:color w:val="auto"/>
                <w:sz w:val="24"/>
                <w:szCs w:val="24"/>
                <w:highlight w:val="none"/>
              </w:rPr>
              <w:t>项目区内已无原生植被，总体植被覆盖率低，</w:t>
            </w:r>
            <w:r>
              <w:rPr>
                <w:rFonts w:hint="default" w:ascii="Times New Roman" w:hAnsi="Times New Roman" w:eastAsia="宋体" w:cs="Times New Roman"/>
                <w:smallCaps w:val="0"/>
                <w:color w:val="auto"/>
                <w:kern w:val="32"/>
                <w:sz w:val="24"/>
                <w:szCs w:val="24"/>
                <w:highlight w:val="none"/>
              </w:rPr>
              <w:t>生态环境受人为干扰较大</w:t>
            </w:r>
            <w:r>
              <w:rPr>
                <w:rFonts w:hint="default" w:ascii="Times New Roman" w:hAnsi="Times New Roman" w:eastAsia="宋体" w:cs="Times New Roman"/>
                <w:smallCaps w:val="0"/>
                <w:color w:val="auto"/>
                <w:sz w:val="24"/>
                <w:szCs w:val="24"/>
                <w:highlight w:val="none"/>
              </w:rPr>
              <w:t>，生态环境脆弱，生态调节能力较差。</w:t>
            </w:r>
          </w:p>
          <w:p w14:paraId="04DF85DE">
            <w:pPr>
              <w:keepNext w:val="0"/>
              <w:keepLines w:val="0"/>
              <w:pageBreakBefore w:val="0"/>
              <w:widowControl w:val="0"/>
              <w:numPr>
                <w:ilvl w:val="0"/>
                <w:numId w:val="5"/>
              </w:numPr>
              <w:kinsoku/>
              <w:wordWrap/>
              <w:overflowPunct/>
              <w:topLinePunct/>
              <w:autoSpaceDE w:val="0"/>
              <w:autoSpaceDN/>
              <w:bidi w:val="0"/>
              <w:adjustRightInd w:val="0"/>
              <w:snapToGrid w:val="0"/>
              <w:spacing w:line="360" w:lineRule="auto"/>
              <w:ind w:left="0" w:right="0" w:firstLine="0" w:firstLineChars="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土壤、地下水环境质量现状</w:t>
            </w:r>
          </w:p>
          <w:p w14:paraId="5FFB6F2E">
            <w:pPr>
              <w:keepNext w:val="0"/>
              <w:keepLines w:val="0"/>
              <w:pageBreakBefore w:val="0"/>
              <w:widowControl w:val="0"/>
              <w:numPr>
                <w:ilvl w:val="0"/>
                <w:numId w:val="0"/>
              </w:numPr>
              <w:kinsoku/>
              <w:wordWrap/>
              <w:overflowPunct/>
              <w:topLinePunct w:val="0"/>
              <w:bidi w:val="0"/>
              <w:adjustRightInd/>
              <w:snapToGrid/>
              <w:spacing w:line="360" w:lineRule="auto"/>
              <w:ind w:firstLine="456"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pacing w:val="-6"/>
                <w:sz w:val="24"/>
                <w:szCs w:val="24"/>
                <w:highlight w:val="none"/>
                <w:lang w:val="en-US" w:eastAsia="zh-CN"/>
              </w:rPr>
              <w:t>根据《建设项目环境影响报告表编制技术指南》（污染影响类）（试行）中区域环境质量现状中相关要求：</w:t>
            </w:r>
            <w:r>
              <w:rPr>
                <w:rFonts w:hint="default" w:ascii="Times New Roman" w:hAnsi="Times New Roman" w:eastAsia="宋体" w:cs="Times New Roman"/>
                <w:color w:val="auto"/>
                <w:sz w:val="24"/>
                <w:highlight w:val="none"/>
              </w:rPr>
              <w:t>“6、地下水、土壤环境。原则上不开展环境质量现状调查。建设项目存在土壤、地下水环境污染途径的，应结合污染源、保护目标分布情况开展现状调查以留作背景值”。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建成后</w:t>
            </w:r>
            <w:r>
              <w:rPr>
                <w:rFonts w:hint="default" w:ascii="Times New Roman" w:hAnsi="Times New Roman" w:eastAsia="宋体" w:cs="Times New Roman"/>
                <w:color w:val="auto"/>
                <w:sz w:val="24"/>
                <w:highlight w:val="none"/>
              </w:rPr>
              <w:t>厂区及周边区域均进行硬化，不存在土壤环境污染途径，</w:t>
            </w:r>
            <w:r>
              <w:rPr>
                <w:rFonts w:hint="eastAsia" w:ascii="Times New Roman" w:hAnsi="Times New Roman" w:cs="Times New Roman"/>
                <w:color w:val="auto"/>
                <w:sz w:val="24"/>
                <w:highlight w:val="none"/>
                <w:lang w:val="en-US" w:eastAsia="zh-CN"/>
              </w:rPr>
              <w:t>故</w:t>
            </w:r>
            <w:r>
              <w:rPr>
                <w:rFonts w:hint="default" w:ascii="Times New Roman" w:hAnsi="Times New Roman" w:eastAsia="宋体" w:cs="Times New Roman"/>
                <w:color w:val="auto"/>
                <w:sz w:val="24"/>
                <w:highlight w:val="none"/>
              </w:rPr>
              <w:t>不开展土壤</w:t>
            </w:r>
            <w:r>
              <w:rPr>
                <w:rFonts w:hint="eastAsia" w:cs="Times New Roman"/>
                <w:color w:val="auto"/>
                <w:sz w:val="24"/>
                <w:highlight w:val="none"/>
                <w:lang w:eastAsia="zh-CN"/>
              </w:rPr>
              <w:t>、</w:t>
            </w:r>
            <w:r>
              <w:rPr>
                <w:rFonts w:hint="eastAsia" w:cs="Times New Roman"/>
                <w:color w:val="auto"/>
                <w:sz w:val="24"/>
                <w:highlight w:val="none"/>
                <w:lang w:val="en-US" w:eastAsia="zh-CN"/>
              </w:rPr>
              <w:t>地下水</w:t>
            </w:r>
            <w:r>
              <w:rPr>
                <w:rFonts w:hint="default" w:ascii="Times New Roman" w:hAnsi="Times New Roman" w:eastAsia="宋体" w:cs="Times New Roman"/>
                <w:color w:val="auto"/>
                <w:sz w:val="24"/>
                <w:highlight w:val="none"/>
              </w:rPr>
              <w:t>环境质量现状监测。</w:t>
            </w:r>
          </w:p>
        </w:tc>
      </w:tr>
      <w:tr w14:paraId="1A5DE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5788822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62565F02">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08F94C8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190" w:type="dxa"/>
            <w:vAlign w:val="top"/>
          </w:tcPr>
          <w:p w14:paraId="6D6C957E">
            <w:pPr>
              <w:keepNext w:val="0"/>
              <w:keepLines w:val="0"/>
              <w:pageBreakBefore w:val="0"/>
              <w:widowControl w:val="0"/>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color w:val="auto"/>
                <w:sz w:val="24"/>
                <w:highlight w:val="none"/>
                <w:u w:val="none"/>
              </w:rPr>
              <w:t>本项目位于</w:t>
            </w:r>
            <w:r>
              <w:rPr>
                <w:rFonts w:hint="default" w:ascii="Times New Roman" w:hAnsi="Times New Roman" w:eastAsia="宋体" w:cs="Times New Roman"/>
                <w:color w:val="auto"/>
                <w:sz w:val="24"/>
                <w:szCs w:val="24"/>
                <w:highlight w:val="none"/>
              </w:rPr>
              <w:t>云南易门产业园区麦子田片区</w:t>
            </w:r>
            <w:r>
              <w:rPr>
                <w:rFonts w:hint="default" w:ascii="Times New Roman" w:hAnsi="Times New Roman" w:eastAsia="宋体" w:cs="Times New Roman"/>
                <w:bCs/>
                <w:color w:val="auto"/>
                <w:sz w:val="24"/>
                <w:szCs w:val="24"/>
                <w:highlight w:val="none"/>
                <w:u w:val="none"/>
                <w:lang w:val="en-US" w:eastAsia="zh-CN"/>
              </w:rPr>
              <w:t>，根据现场调查，项目厂界外500m范围内无自然保护区、风景名胜区、文化区，也无居民点（最近居民点为东北侧650m的杨保庄）；500m范围内无地下水集中式饮用水水源和热水、矿泉水、温泉等地下水资源；50m范围内无声环境敏感点；项目用地性质为工业用地，项目无生态环境保护目标。</w:t>
            </w:r>
          </w:p>
          <w:p w14:paraId="74F4A68D">
            <w:pPr>
              <w:keepNext w:val="0"/>
              <w:keepLines w:val="0"/>
              <w:pageBreakBefore w:val="0"/>
              <w:widowControl w:val="0"/>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bCs/>
                <w:color w:val="auto"/>
                <w:sz w:val="24"/>
                <w:szCs w:val="24"/>
                <w:highlight w:val="none"/>
                <w:u w:val="none"/>
                <w:lang w:val="en-US" w:eastAsia="zh-CN"/>
              </w:rPr>
              <w:t>项目环境保护目标如下表所示</w:t>
            </w:r>
            <w:r>
              <w:rPr>
                <w:rFonts w:hint="eastAsia" w:cs="Times New Roman"/>
                <w:bCs/>
                <w:color w:val="auto"/>
                <w:sz w:val="24"/>
                <w:szCs w:val="24"/>
                <w:highlight w:val="none"/>
                <w:u w:val="none"/>
                <w:lang w:val="en-US" w:eastAsia="zh-CN"/>
              </w:rPr>
              <w:t>。</w:t>
            </w:r>
          </w:p>
          <w:p w14:paraId="65FDDD28">
            <w:pPr>
              <w:keepNext w:val="0"/>
              <w:keepLines w:val="0"/>
              <w:pageBreakBefore w:val="0"/>
              <w:widowControl w:val="0"/>
              <w:kinsoku/>
              <w:wordWrap/>
              <w:overflowPunct/>
              <w:topLinePunct/>
              <w:autoSpaceDE w:val="0"/>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 xml:space="preserve">2  </w:t>
            </w:r>
            <w:r>
              <w:rPr>
                <w:rFonts w:hint="eastAsia" w:cs="Times New Roman"/>
                <w:b/>
                <w:color w:val="auto"/>
                <w:sz w:val="21"/>
                <w:szCs w:val="21"/>
                <w:highlight w:val="none"/>
                <w:lang w:val="en-US" w:eastAsia="zh-CN"/>
              </w:rPr>
              <w:t>项目环境</w:t>
            </w:r>
            <w:r>
              <w:rPr>
                <w:rFonts w:hint="default" w:ascii="Times New Roman" w:hAnsi="Times New Roman" w:eastAsia="宋体" w:cs="Times New Roman"/>
                <w:b/>
                <w:color w:val="auto"/>
                <w:sz w:val="21"/>
                <w:szCs w:val="21"/>
                <w:highlight w:val="none"/>
              </w:rPr>
              <w:t>主要保护目标情况表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282"/>
              <w:gridCol w:w="763"/>
              <w:gridCol w:w="833"/>
              <w:gridCol w:w="804"/>
              <w:gridCol w:w="1317"/>
              <w:gridCol w:w="935"/>
              <w:gridCol w:w="1093"/>
            </w:tblGrid>
            <w:tr w14:paraId="01D8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Align w:val="center"/>
                </w:tcPr>
                <w:p w14:paraId="149432F1">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环境因素</w:t>
                  </w:r>
                </w:p>
              </w:tc>
              <w:tc>
                <w:tcPr>
                  <w:tcW w:w="1282" w:type="dxa"/>
                  <w:vAlign w:val="center"/>
                </w:tcPr>
                <w:p w14:paraId="19BC4054">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名称</w:t>
                  </w:r>
                </w:p>
              </w:tc>
              <w:tc>
                <w:tcPr>
                  <w:tcW w:w="763" w:type="dxa"/>
                  <w:vAlign w:val="center"/>
                </w:tcPr>
                <w:p w14:paraId="7897D443">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坐标</w:t>
                  </w:r>
                </w:p>
              </w:tc>
              <w:tc>
                <w:tcPr>
                  <w:tcW w:w="833" w:type="dxa"/>
                  <w:vAlign w:val="center"/>
                </w:tcPr>
                <w:p w14:paraId="24464EBF">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保护对象</w:t>
                  </w:r>
                </w:p>
              </w:tc>
              <w:tc>
                <w:tcPr>
                  <w:tcW w:w="804" w:type="dxa"/>
                  <w:vAlign w:val="center"/>
                </w:tcPr>
                <w:p w14:paraId="648D8679">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保护内容</w:t>
                  </w:r>
                </w:p>
              </w:tc>
              <w:tc>
                <w:tcPr>
                  <w:tcW w:w="1317" w:type="dxa"/>
                  <w:shd w:val="clear" w:color="auto" w:fill="auto"/>
                  <w:vAlign w:val="center"/>
                </w:tcPr>
                <w:p w14:paraId="60638D78">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环境功能区</w:t>
                  </w:r>
                </w:p>
              </w:tc>
              <w:tc>
                <w:tcPr>
                  <w:tcW w:w="935" w:type="dxa"/>
                  <w:vAlign w:val="center"/>
                </w:tcPr>
                <w:p w14:paraId="4C3FE319">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相对厂址方位</w:t>
                  </w:r>
                </w:p>
              </w:tc>
              <w:tc>
                <w:tcPr>
                  <w:tcW w:w="1093" w:type="dxa"/>
                  <w:vAlign w:val="center"/>
                </w:tcPr>
                <w:p w14:paraId="38E715B9">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相对厂界距离/m</w:t>
                  </w:r>
                </w:p>
              </w:tc>
            </w:tr>
            <w:tr w14:paraId="4E2D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vAlign w:val="center"/>
                </w:tcPr>
                <w:p w14:paraId="27353E5E">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环境空气</w:t>
                  </w:r>
                </w:p>
              </w:tc>
              <w:tc>
                <w:tcPr>
                  <w:tcW w:w="7027" w:type="dxa"/>
                  <w:gridSpan w:val="7"/>
                  <w:vAlign w:val="center"/>
                </w:tcPr>
                <w:p w14:paraId="01B0918A">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厂界外500m范围内无大气环境保护目标及特殊保护的文物古迹和文化、自然遗产等</w:t>
                  </w:r>
                </w:p>
              </w:tc>
            </w:tr>
            <w:tr w14:paraId="575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shd w:val="clear" w:color="auto" w:fill="auto"/>
                  <w:vAlign w:val="center"/>
                </w:tcPr>
                <w:p w14:paraId="66CE9040">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地表水</w:t>
                  </w:r>
                </w:p>
              </w:tc>
              <w:tc>
                <w:tcPr>
                  <w:tcW w:w="1282" w:type="dxa"/>
                  <w:shd w:val="clear" w:color="auto" w:fill="auto"/>
                  <w:vAlign w:val="center"/>
                </w:tcPr>
                <w:p w14:paraId="4AA6339D">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双龙河</w:t>
                  </w:r>
                </w:p>
              </w:tc>
              <w:tc>
                <w:tcPr>
                  <w:tcW w:w="1596" w:type="dxa"/>
                  <w:gridSpan w:val="2"/>
                  <w:shd w:val="clear" w:color="auto" w:fill="auto"/>
                  <w:vAlign w:val="center"/>
                </w:tcPr>
                <w:p w14:paraId="497C8DF5">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val="en-US" w:eastAsia="zh-CN"/>
                    </w:rPr>
                    <w:t>扒河（易门县大谷厂至阿姑水文站）水环境功能为工业、农业用水</w:t>
                  </w:r>
                </w:p>
              </w:tc>
              <w:tc>
                <w:tcPr>
                  <w:tcW w:w="804" w:type="dxa"/>
                  <w:shd w:val="clear" w:color="auto" w:fill="auto"/>
                  <w:vAlign w:val="center"/>
                </w:tcPr>
                <w:p w14:paraId="5D3BBC3E">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III类</w:t>
                  </w:r>
                  <w:r>
                    <w:rPr>
                      <w:rFonts w:hint="default" w:ascii="Times New Roman" w:hAnsi="Times New Roman" w:eastAsia="宋体" w:cs="Times New Roman"/>
                      <w:color w:val="auto"/>
                      <w:sz w:val="21"/>
                      <w:szCs w:val="21"/>
                      <w:highlight w:val="none"/>
                      <w:lang w:val="en-US" w:eastAsia="zh-CN"/>
                    </w:rPr>
                    <w:t>水体</w:t>
                  </w:r>
                </w:p>
              </w:tc>
              <w:tc>
                <w:tcPr>
                  <w:tcW w:w="1317" w:type="dxa"/>
                  <w:shd w:val="clear" w:color="auto" w:fill="auto"/>
                  <w:vAlign w:val="center"/>
                </w:tcPr>
                <w:p w14:paraId="138EE45C">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《地表水环境质量标准》（GB3838-2002）III类标准</w:t>
                  </w:r>
                </w:p>
              </w:tc>
              <w:tc>
                <w:tcPr>
                  <w:tcW w:w="935" w:type="dxa"/>
                  <w:shd w:val="clear" w:color="auto" w:fill="auto"/>
                  <w:vAlign w:val="center"/>
                </w:tcPr>
                <w:p w14:paraId="7D286CF4">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东北侧</w:t>
                  </w:r>
                </w:p>
              </w:tc>
              <w:tc>
                <w:tcPr>
                  <w:tcW w:w="1093" w:type="dxa"/>
                  <w:shd w:val="clear" w:color="auto" w:fill="auto"/>
                  <w:vAlign w:val="center"/>
                </w:tcPr>
                <w:p w14:paraId="3B7469E1">
                  <w:pPr>
                    <w:keepNext w:val="0"/>
                    <w:keepLines w:val="0"/>
                    <w:pageBreakBefore w:val="0"/>
                    <w:kinsoku/>
                    <w:wordWrap/>
                    <w:overflowPunct/>
                    <w:topLinePunct/>
                    <w:autoSpaceDE w:val="0"/>
                    <w:autoSpaceDN/>
                    <w:bidi w:val="0"/>
                    <w:adjustRightInd w:val="0"/>
                    <w:snapToGrid w:val="0"/>
                    <w:spacing w:line="240" w:lineRule="auto"/>
                    <w:ind w:left="0" w:leftChars="0" w:right="0" w:rightChars="0"/>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720</w:t>
                  </w:r>
                </w:p>
              </w:tc>
            </w:tr>
            <w:tr w14:paraId="7B83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shd w:val="clear" w:color="auto" w:fill="auto"/>
                  <w:vAlign w:val="center"/>
                </w:tcPr>
                <w:p w14:paraId="1F48CB60">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地下水环境</w:t>
                  </w:r>
                </w:p>
              </w:tc>
              <w:tc>
                <w:tcPr>
                  <w:tcW w:w="7027" w:type="dxa"/>
                  <w:gridSpan w:val="7"/>
                  <w:shd w:val="clear" w:color="auto" w:fill="auto"/>
                  <w:vAlign w:val="center"/>
                </w:tcPr>
                <w:p w14:paraId="494DDB85">
                  <w:pPr>
                    <w:adjustRightInd w:val="0"/>
                    <w:snapToGrid w:val="0"/>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厂界外500m范围内无</w:t>
                  </w:r>
                  <w:r>
                    <w:rPr>
                      <w:rFonts w:hint="default" w:ascii="Times New Roman" w:hAnsi="Times New Roman" w:eastAsia="宋体" w:cs="Times New Roman"/>
                      <w:color w:val="auto"/>
                      <w:sz w:val="21"/>
                      <w:szCs w:val="21"/>
                      <w:highlight w:val="none"/>
                    </w:rPr>
                    <w:t>地下水集中式饮用水水源和热水、矿泉水、温泉等特殊地下水资源</w:t>
                  </w:r>
                </w:p>
              </w:tc>
            </w:tr>
            <w:tr w14:paraId="071F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shd w:val="clear" w:color="auto" w:fill="auto"/>
                  <w:vAlign w:val="center"/>
                </w:tcPr>
                <w:p w14:paraId="31DB5829">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声环境</w:t>
                  </w:r>
                </w:p>
              </w:tc>
              <w:tc>
                <w:tcPr>
                  <w:tcW w:w="7027" w:type="dxa"/>
                  <w:gridSpan w:val="7"/>
                  <w:shd w:val="clear" w:color="auto" w:fill="auto"/>
                  <w:vAlign w:val="center"/>
                </w:tcPr>
                <w:p w14:paraId="20FD653D">
                  <w:pPr>
                    <w:adjustRightInd w:val="0"/>
                    <w:snapToGrid w:val="0"/>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厂界外50m范围内无声环境保护目标</w:t>
                  </w:r>
                </w:p>
              </w:tc>
            </w:tr>
            <w:tr w14:paraId="7C54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shd w:val="clear" w:color="auto" w:fill="auto"/>
                  <w:vAlign w:val="center"/>
                </w:tcPr>
                <w:p w14:paraId="7CA72355">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生态环境</w:t>
                  </w:r>
                </w:p>
              </w:tc>
              <w:tc>
                <w:tcPr>
                  <w:tcW w:w="1282" w:type="dxa"/>
                  <w:shd w:val="clear" w:color="auto" w:fill="auto"/>
                  <w:vAlign w:val="center"/>
                </w:tcPr>
                <w:p w14:paraId="293C9475">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植被、土壤、动物等</w:t>
                  </w:r>
                </w:p>
              </w:tc>
              <w:tc>
                <w:tcPr>
                  <w:tcW w:w="763" w:type="dxa"/>
                  <w:shd w:val="clear" w:color="auto" w:fill="auto"/>
                  <w:vAlign w:val="center"/>
                </w:tcPr>
                <w:p w14:paraId="2D6C6763">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833" w:type="dxa"/>
                  <w:shd w:val="clear" w:color="auto" w:fill="auto"/>
                  <w:vAlign w:val="center"/>
                </w:tcPr>
                <w:p w14:paraId="1B6242CE">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804" w:type="dxa"/>
                  <w:shd w:val="clear" w:color="auto" w:fill="auto"/>
                  <w:vAlign w:val="center"/>
                </w:tcPr>
                <w:p w14:paraId="791C3248">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3345" w:type="dxa"/>
                  <w:gridSpan w:val="3"/>
                  <w:shd w:val="clear" w:color="auto" w:fill="auto"/>
                  <w:vAlign w:val="center"/>
                </w:tcPr>
                <w:p w14:paraId="353B385B">
                  <w:pPr>
                    <w:keepNext w:val="0"/>
                    <w:keepLines w:val="0"/>
                    <w:pageBreakBefore w:val="0"/>
                    <w:kinsoku/>
                    <w:wordWrap/>
                    <w:overflowPunct/>
                    <w:topLinePunct/>
                    <w:autoSpaceDE w:val="0"/>
                    <w:autoSpaceDN/>
                    <w:bidi w:val="0"/>
                    <w:adjustRightInd w:val="0"/>
                    <w:snapToGrid w:val="0"/>
                    <w:spacing w:line="240" w:lineRule="auto"/>
                    <w:ind w:left="0" w:right="0"/>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不破坏生态系统功能、减少水土流失、植被覆盖率等</w:t>
                  </w:r>
                </w:p>
              </w:tc>
            </w:tr>
          </w:tbl>
          <w:p w14:paraId="5AF7766D">
            <w:pPr>
              <w:keepNext w:val="0"/>
              <w:keepLines w:val="0"/>
              <w:pageBreakBefore w:val="0"/>
              <w:kinsoku/>
              <w:overflowPunct/>
              <w:topLinePunct/>
              <w:autoSpaceDE w:val="0"/>
              <w:bidi w:val="0"/>
              <w:rPr>
                <w:rFonts w:hint="default" w:ascii="Times New Roman" w:hAnsi="Times New Roman" w:eastAsia="宋体" w:cs="Times New Roman"/>
                <w:color w:val="auto"/>
                <w:highlight w:val="none"/>
              </w:rPr>
            </w:pPr>
          </w:p>
        </w:tc>
      </w:tr>
      <w:tr w14:paraId="765C4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tcMar>
              <w:left w:w="28" w:type="dxa"/>
              <w:right w:w="28" w:type="dxa"/>
            </w:tcMar>
            <w:vAlign w:val="center"/>
          </w:tcPr>
          <w:p w14:paraId="5CEEF97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6AFEB98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4E17F19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5095DA2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2B584A6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190" w:type="dxa"/>
            <w:vAlign w:val="top"/>
          </w:tcPr>
          <w:p w14:paraId="22A3A36A">
            <w:pPr>
              <w:keepNext w:val="0"/>
              <w:keepLines w:val="0"/>
              <w:pageBreakBefore w:val="0"/>
              <w:widowControl w:val="0"/>
              <w:numPr>
                <w:ilvl w:val="0"/>
                <w:numId w:val="6"/>
              </w:numPr>
              <w:kinsoku/>
              <w:wordWrap/>
              <w:overflowPunct/>
              <w:topLinePunct/>
              <w:autoSpaceDE w:val="0"/>
              <w:autoSpaceDN/>
              <w:bidi w:val="0"/>
              <w:adjustRightInd w:val="0"/>
              <w:snapToGrid w:val="0"/>
              <w:spacing w:line="360" w:lineRule="auto"/>
              <w:ind w:firstLine="0" w:firstLineChars="0"/>
              <w:jc w:val="both"/>
              <w:textAlignment w:val="auto"/>
              <w:outlineLvl w:val="9"/>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施工期</w:t>
            </w:r>
          </w:p>
          <w:p w14:paraId="4CAA94D5">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14:paraId="5F46837A">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项目施工期产生的废气主要为施工产生的扬尘，以无组织形式排放，污染物排放执行《大气污染物综合排放标准》（GB16297-1996）表2中无组织排放标准。</w:t>
            </w:r>
          </w:p>
          <w:p w14:paraId="1B8AC363">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表3-3  大气污染物综合排放标准排放限值    单位：mg/m</w:t>
            </w:r>
            <w:r>
              <w:rPr>
                <w:rFonts w:hint="default" w:ascii="Times New Roman" w:hAnsi="Times New Roman" w:eastAsia="宋体" w:cs="Times New Roman"/>
                <w:b/>
                <w:bCs/>
                <w:color w:val="auto"/>
                <w:sz w:val="21"/>
                <w:szCs w:val="21"/>
                <w:highlight w:val="none"/>
                <w:vertAlign w:val="superscript"/>
                <w:lang w:val="en-US" w:eastAsia="zh-CN"/>
              </w:rPr>
              <w:t>3</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51"/>
              <w:gridCol w:w="3452"/>
              <w:gridCol w:w="2961"/>
            </w:tblGrid>
            <w:tr w14:paraId="3FEEAD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65" w:type="dxa"/>
                  <w:vMerge w:val="restart"/>
                  <w:tcBorders>
                    <w:top w:val="single" w:color="auto" w:sz="4" w:space="0"/>
                    <w:left w:val="single" w:color="auto" w:sz="4" w:space="0"/>
                    <w:bottom w:val="single" w:color="auto" w:sz="6" w:space="0"/>
                    <w:right w:val="single" w:color="auto" w:sz="6" w:space="0"/>
                  </w:tcBorders>
                  <w:noWrap w:val="0"/>
                  <w:vAlign w:val="center"/>
                </w:tcPr>
                <w:p w14:paraId="568D5410">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bCs/>
                      <w:snapToGrid w:val="0"/>
                      <w:color w:val="auto"/>
                      <w:spacing w:val="-6"/>
                      <w:sz w:val="21"/>
                      <w:szCs w:val="21"/>
                      <w:highlight w:val="none"/>
                    </w:rPr>
                  </w:pPr>
                  <w:r>
                    <w:rPr>
                      <w:rFonts w:hint="default" w:ascii="Times New Roman" w:hAnsi="Times New Roman" w:eastAsia="宋体" w:cs="Times New Roman"/>
                      <w:b/>
                      <w:bCs/>
                      <w:snapToGrid w:val="0"/>
                      <w:color w:val="auto"/>
                      <w:spacing w:val="-6"/>
                      <w:sz w:val="21"/>
                      <w:szCs w:val="21"/>
                      <w:highlight w:val="none"/>
                    </w:rPr>
                    <w:t>污染物</w:t>
                  </w:r>
                </w:p>
              </w:tc>
              <w:tc>
                <w:tcPr>
                  <w:tcW w:w="6474" w:type="dxa"/>
                  <w:gridSpan w:val="2"/>
                  <w:tcBorders>
                    <w:top w:val="single" w:color="auto" w:sz="4" w:space="0"/>
                    <w:left w:val="single" w:color="auto" w:sz="6" w:space="0"/>
                    <w:bottom w:val="single" w:color="auto" w:sz="6" w:space="0"/>
                    <w:right w:val="single" w:color="auto" w:sz="4" w:space="0"/>
                  </w:tcBorders>
                  <w:noWrap w:val="0"/>
                  <w:vAlign w:val="center"/>
                </w:tcPr>
                <w:p w14:paraId="7E747398">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bCs/>
                      <w:snapToGrid w:val="0"/>
                      <w:color w:val="auto"/>
                      <w:spacing w:val="-6"/>
                      <w:sz w:val="21"/>
                      <w:szCs w:val="21"/>
                      <w:highlight w:val="none"/>
                    </w:rPr>
                  </w:pPr>
                  <w:r>
                    <w:rPr>
                      <w:rFonts w:hint="default" w:ascii="Times New Roman" w:hAnsi="Times New Roman" w:eastAsia="宋体" w:cs="Times New Roman"/>
                      <w:b/>
                      <w:bCs/>
                      <w:snapToGrid w:val="0"/>
                      <w:color w:val="auto"/>
                      <w:spacing w:val="-6"/>
                      <w:sz w:val="21"/>
                      <w:szCs w:val="21"/>
                      <w:highlight w:val="none"/>
                    </w:rPr>
                    <w:t>无组织排放监控浓度限值</w:t>
                  </w:r>
                </w:p>
              </w:tc>
            </w:tr>
            <w:tr w14:paraId="19431A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65" w:type="dxa"/>
                  <w:vMerge w:val="continue"/>
                  <w:tcBorders>
                    <w:top w:val="single" w:color="auto" w:sz="4" w:space="0"/>
                    <w:left w:val="single" w:color="auto" w:sz="4" w:space="0"/>
                    <w:bottom w:val="single" w:color="auto" w:sz="6" w:space="0"/>
                    <w:right w:val="single" w:color="auto" w:sz="6" w:space="0"/>
                  </w:tcBorders>
                  <w:noWrap w:val="0"/>
                  <w:vAlign w:val="center"/>
                </w:tcPr>
                <w:p w14:paraId="17D7F891">
                  <w:pPr>
                    <w:keepNext w:val="0"/>
                    <w:keepLines w:val="0"/>
                    <w:pageBreakBefore w:val="0"/>
                    <w:kinsoku/>
                    <w:wordWrap/>
                    <w:overflowPunct/>
                    <w:topLinePunct/>
                    <w:autoSpaceDE w:val="0"/>
                    <w:autoSpaceDN/>
                    <w:bidi w:val="0"/>
                    <w:spacing w:line="240" w:lineRule="auto"/>
                    <w:ind w:left="0" w:right="0"/>
                    <w:textAlignment w:val="auto"/>
                    <w:outlineLvl w:val="9"/>
                    <w:rPr>
                      <w:rFonts w:hint="default" w:ascii="Times New Roman" w:hAnsi="Times New Roman" w:eastAsia="宋体" w:cs="Times New Roman"/>
                      <w:b/>
                      <w:bCs/>
                      <w:snapToGrid w:val="0"/>
                      <w:color w:val="auto"/>
                      <w:spacing w:val="-6"/>
                      <w:sz w:val="21"/>
                      <w:szCs w:val="21"/>
                      <w:highlight w:val="none"/>
                    </w:rPr>
                  </w:pPr>
                </w:p>
              </w:tc>
              <w:tc>
                <w:tcPr>
                  <w:tcW w:w="3485" w:type="dxa"/>
                  <w:tcBorders>
                    <w:top w:val="single" w:color="auto" w:sz="6" w:space="0"/>
                    <w:left w:val="single" w:color="auto" w:sz="6" w:space="0"/>
                    <w:bottom w:val="single" w:color="auto" w:sz="6" w:space="0"/>
                    <w:right w:val="single" w:color="auto" w:sz="6" w:space="0"/>
                  </w:tcBorders>
                  <w:noWrap w:val="0"/>
                  <w:vAlign w:val="center"/>
                </w:tcPr>
                <w:p w14:paraId="61A92934">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bCs/>
                      <w:snapToGrid w:val="0"/>
                      <w:color w:val="auto"/>
                      <w:spacing w:val="-6"/>
                      <w:sz w:val="21"/>
                      <w:szCs w:val="21"/>
                      <w:highlight w:val="none"/>
                    </w:rPr>
                  </w:pPr>
                  <w:r>
                    <w:rPr>
                      <w:rFonts w:hint="default" w:ascii="Times New Roman" w:hAnsi="Times New Roman" w:eastAsia="宋体" w:cs="Times New Roman"/>
                      <w:b/>
                      <w:bCs/>
                      <w:snapToGrid w:val="0"/>
                      <w:color w:val="auto"/>
                      <w:spacing w:val="-6"/>
                      <w:sz w:val="21"/>
                      <w:szCs w:val="21"/>
                      <w:highlight w:val="none"/>
                    </w:rPr>
                    <w:t>监控点</w:t>
                  </w:r>
                </w:p>
              </w:tc>
              <w:tc>
                <w:tcPr>
                  <w:tcW w:w="2989" w:type="dxa"/>
                  <w:tcBorders>
                    <w:top w:val="single" w:color="auto" w:sz="6" w:space="0"/>
                    <w:left w:val="single" w:color="auto" w:sz="6" w:space="0"/>
                    <w:bottom w:val="single" w:color="auto" w:sz="6" w:space="0"/>
                    <w:right w:val="single" w:color="auto" w:sz="4" w:space="0"/>
                  </w:tcBorders>
                  <w:noWrap w:val="0"/>
                  <w:vAlign w:val="center"/>
                </w:tcPr>
                <w:p w14:paraId="0EBDF037">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
                      <w:bCs/>
                      <w:snapToGrid w:val="0"/>
                      <w:color w:val="auto"/>
                      <w:spacing w:val="-6"/>
                      <w:sz w:val="21"/>
                      <w:szCs w:val="21"/>
                      <w:highlight w:val="none"/>
                    </w:rPr>
                  </w:pPr>
                  <w:r>
                    <w:rPr>
                      <w:rFonts w:hint="default" w:ascii="Times New Roman" w:hAnsi="Times New Roman" w:eastAsia="宋体" w:cs="Times New Roman"/>
                      <w:b/>
                      <w:bCs/>
                      <w:snapToGrid w:val="0"/>
                      <w:color w:val="auto"/>
                      <w:spacing w:val="-6"/>
                      <w:sz w:val="21"/>
                      <w:szCs w:val="21"/>
                      <w:highlight w:val="none"/>
                    </w:rPr>
                    <w:t>浓度（mg/m</w:t>
                  </w:r>
                  <w:r>
                    <w:rPr>
                      <w:rFonts w:hint="default" w:ascii="Times New Roman" w:hAnsi="Times New Roman" w:eastAsia="宋体" w:cs="Times New Roman"/>
                      <w:b/>
                      <w:bCs/>
                      <w:snapToGrid w:val="0"/>
                      <w:color w:val="auto"/>
                      <w:spacing w:val="-6"/>
                      <w:sz w:val="21"/>
                      <w:szCs w:val="21"/>
                      <w:highlight w:val="none"/>
                      <w:vertAlign w:val="superscript"/>
                    </w:rPr>
                    <w:t>3</w:t>
                  </w:r>
                  <w:r>
                    <w:rPr>
                      <w:rFonts w:hint="default" w:ascii="Times New Roman" w:hAnsi="Times New Roman" w:eastAsia="宋体" w:cs="Times New Roman"/>
                      <w:b/>
                      <w:bCs/>
                      <w:snapToGrid w:val="0"/>
                      <w:color w:val="auto"/>
                      <w:spacing w:val="-6"/>
                      <w:sz w:val="21"/>
                      <w:szCs w:val="21"/>
                      <w:highlight w:val="none"/>
                    </w:rPr>
                    <w:t>）</w:t>
                  </w:r>
                </w:p>
              </w:tc>
            </w:tr>
            <w:tr w14:paraId="5ABF12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565" w:type="dxa"/>
                  <w:tcBorders>
                    <w:top w:val="single" w:color="auto" w:sz="6" w:space="0"/>
                    <w:left w:val="single" w:color="auto" w:sz="4" w:space="0"/>
                    <w:bottom w:val="single" w:color="auto" w:sz="4" w:space="0"/>
                    <w:right w:val="single" w:color="auto" w:sz="6" w:space="0"/>
                  </w:tcBorders>
                  <w:noWrap w:val="0"/>
                  <w:vAlign w:val="center"/>
                </w:tcPr>
                <w:p w14:paraId="6802F164">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Cs/>
                      <w:snapToGrid w:val="0"/>
                      <w:color w:val="auto"/>
                      <w:spacing w:val="-6"/>
                      <w:sz w:val="21"/>
                      <w:szCs w:val="21"/>
                      <w:highlight w:val="none"/>
                    </w:rPr>
                  </w:pPr>
                  <w:r>
                    <w:rPr>
                      <w:rFonts w:hint="default" w:ascii="Times New Roman" w:hAnsi="Times New Roman" w:eastAsia="宋体" w:cs="Times New Roman"/>
                      <w:bCs/>
                      <w:snapToGrid w:val="0"/>
                      <w:color w:val="auto"/>
                      <w:spacing w:val="-6"/>
                      <w:sz w:val="21"/>
                      <w:szCs w:val="21"/>
                      <w:highlight w:val="none"/>
                    </w:rPr>
                    <w:t>颗粒物</w:t>
                  </w:r>
                </w:p>
              </w:tc>
              <w:tc>
                <w:tcPr>
                  <w:tcW w:w="3485" w:type="dxa"/>
                  <w:tcBorders>
                    <w:top w:val="single" w:color="auto" w:sz="6" w:space="0"/>
                    <w:left w:val="single" w:color="auto" w:sz="6" w:space="0"/>
                    <w:bottom w:val="single" w:color="auto" w:sz="4" w:space="0"/>
                    <w:right w:val="single" w:color="auto" w:sz="6" w:space="0"/>
                  </w:tcBorders>
                  <w:noWrap w:val="0"/>
                  <w:vAlign w:val="center"/>
                </w:tcPr>
                <w:p w14:paraId="426472BC">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Cs/>
                      <w:snapToGrid w:val="0"/>
                      <w:color w:val="auto"/>
                      <w:spacing w:val="-6"/>
                      <w:sz w:val="21"/>
                      <w:szCs w:val="21"/>
                      <w:highlight w:val="none"/>
                    </w:rPr>
                  </w:pPr>
                  <w:r>
                    <w:rPr>
                      <w:rFonts w:hint="default" w:ascii="Times New Roman" w:hAnsi="Times New Roman" w:eastAsia="宋体" w:cs="Times New Roman"/>
                      <w:bCs/>
                      <w:snapToGrid w:val="0"/>
                      <w:color w:val="auto"/>
                      <w:spacing w:val="-6"/>
                      <w:sz w:val="21"/>
                      <w:szCs w:val="21"/>
                      <w:highlight w:val="none"/>
                    </w:rPr>
                    <w:t>周界外浓度最高点</w:t>
                  </w:r>
                </w:p>
              </w:tc>
              <w:tc>
                <w:tcPr>
                  <w:tcW w:w="2989" w:type="dxa"/>
                  <w:tcBorders>
                    <w:top w:val="single" w:color="auto" w:sz="6" w:space="0"/>
                    <w:left w:val="single" w:color="auto" w:sz="6" w:space="0"/>
                    <w:bottom w:val="single" w:color="auto" w:sz="4" w:space="0"/>
                    <w:right w:val="single" w:color="auto" w:sz="4" w:space="0"/>
                  </w:tcBorders>
                  <w:noWrap w:val="0"/>
                  <w:vAlign w:val="center"/>
                </w:tcPr>
                <w:p w14:paraId="184D908C">
                  <w:pPr>
                    <w:keepNext w:val="0"/>
                    <w:keepLines w:val="0"/>
                    <w:pageBreakBefore w:val="0"/>
                    <w:kinsoku/>
                    <w:wordWrap/>
                    <w:overflowPunct/>
                    <w:topLinePunct/>
                    <w:autoSpaceDE w:val="0"/>
                    <w:autoSpaceDN/>
                    <w:bidi w:val="0"/>
                    <w:adjustRightInd w:val="0"/>
                    <w:snapToGrid w:val="0"/>
                    <w:spacing w:line="240" w:lineRule="auto"/>
                    <w:ind w:left="0" w:right="0"/>
                    <w:jc w:val="center"/>
                    <w:textAlignment w:val="auto"/>
                    <w:outlineLvl w:val="9"/>
                    <w:rPr>
                      <w:rFonts w:hint="default" w:ascii="Times New Roman" w:hAnsi="Times New Roman" w:eastAsia="宋体" w:cs="Times New Roman"/>
                      <w:bCs/>
                      <w:snapToGrid w:val="0"/>
                      <w:color w:val="auto"/>
                      <w:spacing w:val="-6"/>
                      <w:sz w:val="21"/>
                      <w:szCs w:val="21"/>
                      <w:highlight w:val="none"/>
                    </w:rPr>
                  </w:pPr>
                  <w:r>
                    <w:rPr>
                      <w:rFonts w:hint="default" w:ascii="Times New Roman" w:hAnsi="Times New Roman" w:eastAsia="宋体" w:cs="Times New Roman"/>
                      <w:bCs/>
                      <w:snapToGrid w:val="0"/>
                      <w:color w:val="auto"/>
                      <w:spacing w:val="-6"/>
                      <w:sz w:val="21"/>
                      <w:szCs w:val="21"/>
                      <w:highlight w:val="none"/>
                    </w:rPr>
                    <w:t>1.0</w:t>
                  </w:r>
                </w:p>
              </w:tc>
            </w:tr>
          </w:tbl>
          <w:p w14:paraId="22311252">
            <w:pPr>
              <w:keepNext w:val="0"/>
              <w:keepLines w:val="0"/>
              <w:pageBreakBefore w:val="0"/>
              <w:tabs>
                <w:tab w:val="left" w:pos="0"/>
              </w:tabs>
              <w:kinsoku/>
              <w:overflowPunct/>
              <w:topLinePunct/>
              <w:autoSpaceDE w:val="0"/>
              <w:bidi w:val="0"/>
              <w:spacing w:line="360" w:lineRule="auto"/>
              <w:ind w:firstLine="463" w:firstLineChars="192"/>
              <w:rPr>
                <w:rFonts w:hint="default" w:ascii="Times New Roman" w:hAnsi="Times New Roman" w:eastAsia="宋体" w:cs="Times New Roman"/>
                <w:b/>
                <w:caps w:val="0"/>
                <w:smallCaps w:val="0"/>
                <w:color w:val="auto"/>
                <w:sz w:val="24"/>
                <w:highlight w:val="none"/>
                <w:lang w:val="en-US" w:eastAsia="zh-CN"/>
              </w:rPr>
            </w:pPr>
            <w:r>
              <w:rPr>
                <w:rFonts w:hint="default" w:ascii="Times New Roman" w:hAnsi="Times New Roman" w:eastAsia="宋体" w:cs="Times New Roman"/>
                <w:b/>
                <w:caps w:val="0"/>
                <w:smallCaps w:val="0"/>
                <w:color w:val="auto"/>
                <w:sz w:val="24"/>
                <w:highlight w:val="none"/>
                <w:lang w:val="en-US" w:eastAsia="zh-CN"/>
              </w:rPr>
              <w:t>（2）废水</w:t>
            </w:r>
          </w:p>
          <w:p w14:paraId="44B674F0">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施工期废水经沉淀处理后循环</w:t>
            </w:r>
            <w:r>
              <w:rPr>
                <w:rFonts w:hint="default" w:ascii="Times New Roman" w:hAnsi="Times New Roman" w:eastAsia="宋体" w:cs="Times New Roman"/>
                <w:color w:val="auto"/>
                <w:spacing w:val="-1"/>
                <w:sz w:val="24"/>
                <w:szCs w:val="24"/>
                <w:highlight w:val="none"/>
              </w:rPr>
              <w:t>回用于区域洒水抑尘或车辆冲洗</w:t>
            </w:r>
            <w:r>
              <w:rPr>
                <w:rFonts w:hint="default" w:ascii="Times New Roman" w:hAnsi="Times New Roman" w:eastAsia="宋体" w:cs="Times New Roman"/>
                <w:color w:val="auto"/>
                <w:sz w:val="24"/>
                <w:szCs w:val="24"/>
                <w:highlight w:val="none"/>
              </w:rPr>
              <w:t>，不外排。</w:t>
            </w:r>
          </w:p>
          <w:p w14:paraId="6F584F2B">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4557C6C9">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施工期噪声执行《建筑施工噪声排放标准》（GB12523-2025）。</w:t>
            </w:r>
          </w:p>
          <w:p w14:paraId="5825A121">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表3-4  建筑施工噪声排放标准    单位：dB（A）</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4034"/>
            </w:tblGrid>
            <w:tr w14:paraId="7B5A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tcBorders>
                    <w:tl2br w:val="nil"/>
                    <w:tr2bl w:val="nil"/>
                  </w:tcBorders>
                  <w:noWrap w:val="0"/>
                  <w:vAlign w:val="center"/>
                </w:tcPr>
                <w:p w14:paraId="64575F91">
                  <w:pPr>
                    <w:keepNext w:val="0"/>
                    <w:keepLines w:val="0"/>
                    <w:pageBreakBefore w:val="0"/>
                    <w:tabs>
                      <w:tab w:val="left" w:pos="3094"/>
                    </w:tabs>
                    <w:kinsoku/>
                    <w:wordWrap/>
                    <w:overflowPunct/>
                    <w:topLinePunct/>
                    <w:autoSpaceDE w:val="0"/>
                    <w:autoSpaceDN/>
                    <w:bidi w:val="0"/>
                    <w:spacing w:line="240" w:lineRule="auto"/>
                    <w:ind w:left="0" w:right="0"/>
                    <w:jc w:val="center"/>
                    <w:rPr>
                      <w:rFonts w:hint="default" w:ascii="Times New Roman" w:hAnsi="Times New Roman" w:eastAsia="宋体" w:cs="Times New Roman"/>
                      <w:b/>
                      <w:strike w:val="0"/>
                      <w:dstrike w:val="0"/>
                      <w:color w:val="auto"/>
                      <w:sz w:val="21"/>
                      <w:szCs w:val="21"/>
                      <w:highlight w:val="none"/>
                    </w:rPr>
                  </w:pPr>
                  <w:r>
                    <w:rPr>
                      <w:rFonts w:hint="default" w:ascii="Times New Roman" w:hAnsi="Times New Roman" w:eastAsia="宋体" w:cs="Times New Roman"/>
                      <w:b/>
                      <w:strike w:val="0"/>
                      <w:dstrike w:val="0"/>
                      <w:color w:val="auto"/>
                      <w:sz w:val="21"/>
                      <w:szCs w:val="21"/>
                      <w:highlight w:val="none"/>
                    </w:rPr>
                    <w:t>昼间</w:t>
                  </w:r>
                </w:p>
              </w:tc>
              <w:tc>
                <w:tcPr>
                  <w:tcW w:w="3849" w:type="dxa"/>
                  <w:tcBorders>
                    <w:tl2br w:val="nil"/>
                    <w:tr2bl w:val="nil"/>
                  </w:tcBorders>
                  <w:noWrap w:val="0"/>
                  <w:vAlign w:val="center"/>
                </w:tcPr>
                <w:p w14:paraId="39559A09">
                  <w:pPr>
                    <w:keepNext w:val="0"/>
                    <w:keepLines w:val="0"/>
                    <w:pageBreakBefore w:val="0"/>
                    <w:tabs>
                      <w:tab w:val="left" w:pos="3094"/>
                    </w:tabs>
                    <w:kinsoku/>
                    <w:wordWrap/>
                    <w:overflowPunct/>
                    <w:topLinePunct/>
                    <w:autoSpaceDE w:val="0"/>
                    <w:autoSpaceDN/>
                    <w:bidi w:val="0"/>
                    <w:spacing w:line="240" w:lineRule="auto"/>
                    <w:ind w:left="0" w:right="0"/>
                    <w:jc w:val="center"/>
                    <w:rPr>
                      <w:rFonts w:hint="default" w:ascii="Times New Roman" w:hAnsi="Times New Roman" w:eastAsia="宋体" w:cs="Times New Roman"/>
                      <w:b/>
                      <w:strike w:val="0"/>
                      <w:dstrike w:val="0"/>
                      <w:color w:val="auto"/>
                      <w:sz w:val="21"/>
                      <w:szCs w:val="21"/>
                      <w:highlight w:val="none"/>
                    </w:rPr>
                  </w:pPr>
                  <w:r>
                    <w:rPr>
                      <w:rFonts w:hint="default" w:ascii="Times New Roman" w:hAnsi="Times New Roman" w:eastAsia="宋体" w:cs="Times New Roman"/>
                      <w:b/>
                      <w:strike w:val="0"/>
                      <w:dstrike w:val="0"/>
                      <w:color w:val="auto"/>
                      <w:sz w:val="21"/>
                      <w:szCs w:val="21"/>
                      <w:highlight w:val="none"/>
                    </w:rPr>
                    <w:t>夜间</w:t>
                  </w:r>
                </w:p>
              </w:tc>
            </w:tr>
            <w:tr w14:paraId="3EA7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0" w:type="dxa"/>
                  <w:tcBorders>
                    <w:tl2br w:val="nil"/>
                    <w:tr2bl w:val="nil"/>
                  </w:tcBorders>
                  <w:noWrap w:val="0"/>
                  <w:vAlign w:val="center"/>
                </w:tcPr>
                <w:p w14:paraId="738DB0A4">
                  <w:pPr>
                    <w:keepNext w:val="0"/>
                    <w:keepLines w:val="0"/>
                    <w:pageBreakBefore w:val="0"/>
                    <w:tabs>
                      <w:tab w:val="left" w:pos="3094"/>
                    </w:tabs>
                    <w:kinsoku/>
                    <w:wordWrap/>
                    <w:overflowPunct/>
                    <w:topLinePunct/>
                    <w:autoSpaceDE w:val="0"/>
                    <w:autoSpaceDN/>
                    <w:bidi w:val="0"/>
                    <w:spacing w:line="240" w:lineRule="auto"/>
                    <w:ind w:left="0" w:right="0"/>
                    <w:jc w:val="center"/>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70</w:t>
                  </w:r>
                </w:p>
              </w:tc>
              <w:tc>
                <w:tcPr>
                  <w:tcW w:w="3849" w:type="dxa"/>
                  <w:tcBorders>
                    <w:tl2br w:val="nil"/>
                    <w:tr2bl w:val="nil"/>
                  </w:tcBorders>
                  <w:noWrap w:val="0"/>
                  <w:vAlign w:val="center"/>
                </w:tcPr>
                <w:p w14:paraId="4097BD5D">
                  <w:pPr>
                    <w:keepNext w:val="0"/>
                    <w:keepLines w:val="0"/>
                    <w:pageBreakBefore w:val="0"/>
                    <w:tabs>
                      <w:tab w:val="left" w:pos="3094"/>
                    </w:tabs>
                    <w:kinsoku/>
                    <w:wordWrap/>
                    <w:overflowPunct/>
                    <w:topLinePunct/>
                    <w:autoSpaceDE w:val="0"/>
                    <w:autoSpaceDN/>
                    <w:bidi w:val="0"/>
                    <w:spacing w:line="240" w:lineRule="auto"/>
                    <w:ind w:left="0" w:right="0"/>
                    <w:jc w:val="center"/>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55</w:t>
                  </w:r>
                </w:p>
              </w:tc>
            </w:tr>
          </w:tbl>
          <w:p w14:paraId="3E435B85">
            <w:pPr>
              <w:keepNext w:val="0"/>
              <w:keepLines w:val="0"/>
              <w:pageBreakBefore w:val="0"/>
              <w:widowControl w:val="0"/>
              <w:numPr>
                <w:ilvl w:val="0"/>
                <w:numId w:val="6"/>
              </w:numPr>
              <w:kinsoku/>
              <w:wordWrap/>
              <w:overflowPunct/>
              <w:topLinePunct/>
              <w:autoSpaceDE w:val="0"/>
              <w:autoSpaceDN/>
              <w:bidi w:val="0"/>
              <w:adjustRightInd w:val="0"/>
              <w:snapToGrid w:val="0"/>
              <w:spacing w:line="360" w:lineRule="auto"/>
              <w:ind w:firstLine="0" w:firstLineChars="0"/>
              <w:jc w:val="both"/>
              <w:textAlignment w:val="auto"/>
              <w:outlineLvl w:val="9"/>
              <w:rPr>
                <w:rFonts w:hint="default" w:ascii="Times New Roman" w:hAnsi="Times New Roman" w:eastAsia="宋体" w:cs="Times New Roman"/>
                <w:b/>
                <w:bCs/>
                <w:color w:val="auto"/>
                <w:kern w:val="2"/>
                <w:sz w:val="24"/>
                <w:szCs w:val="24"/>
                <w:highlight w:val="none"/>
                <w:lang w:eastAsia="zh-CN"/>
              </w:rPr>
            </w:pPr>
            <w:r>
              <w:rPr>
                <w:rFonts w:hint="default" w:ascii="Times New Roman" w:hAnsi="Times New Roman" w:eastAsia="宋体" w:cs="Times New Roman"/>
                <w:b/>
                <w:bCs/>
                <w:color w:val="auto"/>
                <w:kern w:val="2"/>
                <w:sz w:val="24"/>
                <w:szCs w:val="24"/>
                <w:highlight w:val="none"/>
                <w:lang w:eastAsia="zh-CN"/>
              </w:rPr>
              <w:t>运营期</w:t>
            </w:r>
          </w:p>
          <w:p w14:paraId="589F8F85">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）大气污染物排放标准</w:t>
            </w:r>
          </w:p>
          <w:p w14:paraId="56AB277C">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①有组织</w:t>
            </w:r>
            <w:r>
              <w:rPr>
                <w:rFonts w:hint="default" w:ascii="Times New Roman" w:hAnsi="Times New Roman" w:eastAsia="宋体" w:cs="Times New Roman"/>
                <w:b/>
                <w:bCs/>
                <w:color w:val="auto"/>
                <w:sz w:val="24"/>
                <w:szCs w:val="24"/>
                <w:highlight w:val="none"/>
              </w:rPr>
              <w:t>废气</w:t>
            </w:r>
          </w:p>
          <w:p w14:paraId="6474DA22">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运营期</w:t>
            </w:r>
            <w:r>
              <w:rPr>
                <w:rFonts w:hint="eastAsia" w:cs="Times New Roman"/>
                <w:color w:val="auto"/>
                <w:sz w:val="24"/>
                <w:szCs w:val="24"/>
                <w:highlight w:val="none"/>
                <w:lang w:val="en-US" w:eastAsia="zh-CN"/>
              </w:rPr>
              <w:t>珠胚生产</w:t>
            </w:r>
            <w:r>
              <w:rPr>
                <w:rFonts w:hint="default" w:ascii="Times New Roman" w:hAnsi="Times New Roman" w:eastAsia="宋体" w:cs="Times New Roman"/>
                <w:color w:val="auto"/>
                <w:sz w:val="24"/>
                <w:szCs w:val="24"/>
                <w:highlight w:val="none"/>
                <w:lang w:val="en-US" w:eastAsia="zh-CN"/>
              </w:rPr>
              <w:t>线</w:t>
            </w:r>
            <w:r>
              <w:rPr>
                <w:rFonts w:hint="default" w:ascii="Times New Roman" w:hAnsi="Times New Roman" w:eastAsia="宋体" w:cs="Times New Roman"/>
                <w:color w:val="auto"/>
                <w:sz w:val="24"/>
                <w:szCs w:val="24"/>
                <w:highlight w:val="none"/>
              </w:rPr>
              <w:t>配料</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lang w:val="en-US" w:eastAsia="zh-CN"/>
              </w:rPr>
              <w:t>及滚抛粉尘执行《玻璃工业大气污染物排放标准》（GB 26453-2022）表1中的排放标准限值要求；吸塑片生产线</w:t>
            </w:r>
            <w:r>
              <w:rPr>
                <w:rFonts w:hint="default" w:ascii="Times New Roman" w:hAnsi="Times New Roman" w:eastAsia="宋体" w:cs="Times New Roman"/>
                <w:color w:val="auto"/>
                <w:sz w:val="24"/>
                <w:szCs w:val="24"/>
                <w:highlight w:val="none"/>
              </w:rPr>
              <w:t>配料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破碎产生的颗粒物，以及加热、挤出塑化、压延产生的非甲烷总烃、HCl执行《大气污染物综合排放标准》（GB16297-1996）表2二级标准；抛轮修复生产线</w:t>
            </w:r>
            <w:r>
              <w:rPr>
                <w:rFonts w:hint="default" w:ascii="Times New Roman" w:hAnsi="Times New Roman" w:eastAsia="宋体" w:cs="Times New Roman"/>
                <w:color w:val="auto"/>
                <w:spacing w:val="2"/>
                <w:sz w:val="24"/>
                <w:szCs w:val="24"/>
                <w:highlight w:val="none"/>
              </w:rPr>
              <w:t>投料、车圆</w:t>
            </w:r>
            <w:r>
              <w:rPr>
                <w:rFonts w:hint="default" w:ascii="Times New Roman" w:hAnsi="Times New Roman" w:eastAsia="宋体" w:cs="Times New Roman"/>
                <w:color w:val="auto"/>
                <w:sz w:val="24"/>
                <w:szCs w:val="24"/>
                <w:highlight w:val="none"/>
                <w:lang w:val="en-US" w:eastAsia="zh-CN"/>
              </w:rPr>
              <w:t>产生的粉尘执行《大气污染物综合排放标准》（GB16297-1996）表2二级标准；具体标准见下表所示。</w:t>
            </w:r>
          </w:p>
          <w:p w14:paraId="0852A1FA">
            <w:pPr>
              <w:keepNext w:val="0"/>
              <w:keepLines w:val="0"/>
              <w:pageBreakBefore w:val="0"/>
              <w:kinsoku/>
              <w:overflowPunct/>
              <w:topLinePunct/>
              <w:autoSpaceDE w:val="0"/>
              <w:bidi w:val="0"/>
              <w:spacing w:line="221" w:lineRule="auto"/>
              <w:ind w:left="1981"/>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pacing w:val="6"/>
                <w:sz w:val="21"/>
                <w:szCs w:val="21"/>
                <w:highlight w:val="none"/>
              </w:rPr>
              <w:t>表3-</w:t>
            </w:r>
            <w:r>
              <w:rPr>
                <w:rFonts w:hint="default" w:ascii="Times New Roman" w:hAnsi="Times New Roman" w:eastAsia="宋体" w:cs="Times New Roman"/>
                <w:b/>
                <w:bCs/>
                <w:strike w:val="0"/>
                <w:dstrike w:val="0"/>
                <w:color w:val="auto"/>
                <w:spacing w:val="6"/>
                <w:sz w:val="21"/>
                <w:szCs w:val="21"/>
                <w:highlight w:val="none"/>
                <w:lang w:val="en-US" w:eastAsia="zh-CN"/>
              </w:rPr>
              <w:t>5</w:t>
            </w:r>
            <w:r>
              <w:rPr>
                <w:rFonts w:hint="default" w:ascii="Times New Roman" w:hAnsi="Times New Roman" w:eastAsia="宋体" w:cs="Times New Roman"/>
                <w:b/>
                <w:bCs/>
                <w:strike w:val="0"/>
                <w:dstrike w:val="0"/>
                <w:color w:val="auto"/>
                <w:spacing w:val="6"/>
                <w:sz w:val="21"/>
                <w:szCs w:val="21"/>
                <w:highlight w:val="none"/>
              </w:rPr>
              <w:t xml:space="preserve">  </w:t>
            </w:r>
            <w:r>
              <w:rPr>
                <w:rFonts w:hint="default" w:ascii="Times New Roman" w:hAnsi="Times New Roman" w:eastAsia="宋体" w:cs="Times New Roman"/>
                <w:b/>
                <w:bCs/>
                <w:strike w:val="0"/>
                <w:dstrike w:val="0"/>
                <w:color w:val="auto"/>
                <w:spacing w:val="6"/>
                <w:sz w:val="21"/>
                <w:szCs w:val="21"/>
                <w:highlight w:val="none"/>
                <w:lang w:val="en-US" w:eastAsia="zh-CN"/>
              </w:rPr>
              <w:t>项目废气执行排放</w:t>
            </w:r>
            <w:r>
              <w:rPr>
                <w:rFonts w:hint="default" w:ascii="Times New Roman" w:hAnsi="Times New Roman" w:eastAsia="宋体" w:cs="Times New Roman"/>
                <w:b/>
                <w:bCs/>
                <w:strike w:val="0"/>
                <w:dstrike w:val="0"/>
                <w:color w:val="auto"/>
                <w:spacing w:val="6"/>
                <w:sz w:val="21"/>
                <w:szCs w:val="21"/>
                <w:highlight w:val="none"/>
              </w:rPr>
              <w:t>标准</w:t>
            </w:r>
            <w:r>
              <w:rPr>
                <w:rFonts w:hint="default" w:ascii="Times New Roman" w:hAnsi="Times New Roman" w:eastAsia="宋体" w:cs="Times New Roman"/>
                <w:b/>
                <w:bCs/>
                <w:strike w:val="0"/>
                <w:dstrike w:val="0"/>
                <w:color w:val="auto"/>
                <w:spacing w:val="6"/>
                <w:sz w:val="21"/>
                <w:szCs w:val="21"/>
                <w:highlight w:val="none"/>
                <w:lang w:val="en-US" w:eastAsia="zh-CN"/>
              </w:rPr>
              <w:t>限值</w:t>
            </w:r>
          </w:p>
          <w:p w14:paraId="750C06CE">
            <w:pPr>
              <w:keepNext w:val="0"/>
              <w:keepLines w:val="0"/>
              <w:pageBreakBefore w:val="0"/>
              <w:kinsoku/>
              <w:overflowPunct/>
              <w:topLinePunct/>
              <w:autoSpaceDE w:val="0"/>
              <w:bidi w:val="0"/>
              <w:spacing w:line="20" w:lineRule="auto"/>
              <w:rPr>
                <w:rFonts w:hint="default" w:ascii="Times New Roman" w:hAnsi="Times New Roman" w:eastAsia="宋体" w:cs="Times New Roman"/>
                <w:strike w:val="0"/>
                <w:dstrike w:val="0"/>
                <w:color w:val="auto"/>
                <w:sz w:val="2"/>
                <w:highlight w:val="none"/>
              </w:rPr>
            </w:pP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3"/>
              <w:gridCol w:w="1650"/>
              <w:gridCol w:w="1386"/>
              <w:gridCol w:w="1482"/>
              <w:gridCol w:w="1723"/>
            </w:tblGrid>
            <w:tr w14:paraId="48A32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vMerge w:val="restart"/>
                  <w:tcBorders>
                    <w:tl2br w:val="nil"/>
                    <w:tr2bl w:val="nil"/>
                  </w:tcBorders>
                  <w:noWrap w:val="0"/>
                  <w:vAlign w:val="center"/>
                </w:tcPr>
                <w:p w14:paraId="49D1134A">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strike w:val="0"/>
                      <w:dstrike w:val="0"/>
                      <w:color w:val="auto"/>
                      <w:spacing w:val="5"/>
                      <w:sz w:val="21"/>
                      <w:szCs w:val="21"/>
                      <w:highlight w:val="none"/>
                      <w:lang w:val="en-US" w:eastAsia="zh-CN"/>
                    </w:rPr>
                  </w:pPr>
                  <w:r>
                    <w:rPr>
                      <w:rFonts w:hint="default" w:ascii="Times New Roman" w:hAnsi="Times New Roman" w:eastAsia="宋体" w:cs="Times New Roman"/>
                      <w:b/>
                      <w:bCs/>
                      <w:strike w:val="0"/>
                      <w:dstrike w:val="0"/>
                      <w:color w:val="auto"/>
                      <w:spacing w:val="5"/>
                      <w:sz w:val="21"/>
                      <w:szCs w:val="21"/>
                      <w:highlight w:val="none"/>
                      <w:lang w:val="en-US" w:eastAsia="zh-CN"/>
                    </w:rPr>
                    <w:t>生产线及工序</w:t>
                  </w:r>
                </w:p>
              </w:tc>
              <w:tc>
                <w:tcPr>
                  <w:tcW w:w="1649" w:type="dxa"/>
                  <w:vMerge w:val="restart"/>
                  <w:tcBorders>
                    <w:tl2br w:val="nil"/>
                    <w:tr2bl w:val="nil"/>
                  </w:tcBorders>
                  <w:noWrap w:val="0"/>
                  <w:vAlign w:val="center"/>
                </w:tcPr>
                <w:p w14:paraId="275D35D7">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b/>
                      <w:bCs/>
                      <w:strike w:val="0"/>
                      <w:dstrike w:val="0"/>
                      <w:color w:val="auto"/>
                      <w:spacing w:val="5"/>
                      <w:sz w:val="21"/>
                      <w:szCs w:val="21"/>
                      <w:highlight w:val="none"/>
                    </w:rPr>
                    <w:t>污染物</w:t>
                  </w:r>
                </w:p>
              </w:tc>
              <w:tc>
                <w:tcPr>
                  <w:tcW w:w="1385" w:type="dxa"/>
                  <w:vMerge w:val="restart"/>
                  <w:tcBorders>
                    <w:tl2br w:val="nil"/>
                    <w:tr2bl w:val="nil"/>
                  </w:tcBorders>
                  <w:noWrap w:val="0"/>
                  <w:vAlign w:val="center"/>
                </w:tcPr>
                <w:p w14:paraId="6D263D74">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b/>
                      <w:bCs/>
                      <w:strike w:val="0"/>
                      <w:dstrike w:val="0"/>
                      <w:color w:val="auto"/>
                      <w:spacing w:val="7"/>
                      <w:sz w:val="21"/>
                      <w:szCs w:val="21"/>
                      <w:highlight w:val="none"/>
                    </w:rPr>
                    <w:t>最高允许排放浓度</w:t>
                  </w:r>
                  <w:r>
                    <w:rPr>
                      <w:rFonts w:hint="default" w:ascii="Times New Roman" w:hAnsi="Times New Roman" w:eastAsia="宋体" w:cs="Times New Roman"/>
                      <w:b/>
                      <w:bCs/>
                      <w:strike w:val="0"/>
                      <w:dstrike w:val="0"/>
                      <w:color w:val="auto"/>
                      <w:spacing w:val="2"/>
                      <w:sz w:val="21"/>
                      <w:szCs w:val="21"/>
                      <w:highlight w:val="none"/>
                    </w:rPr>
                    <w:t>（</w:t>
                  </w:r>
                  <w:r>
                    <w:rPr>
                      <w:rFonts w:hint="default" w:ascii="Times New Roman" w:hAnsi="Times New Roman" w:eastAsia="宋体" w:cs="Times New Roman"/>
                      <w:b/>
                      <w:bCs/>
                      <w:strike w:val="0"/>
                      <w:dstrike w:val="0"/>
                      <w:color w:val="auto"/>
                      <w:sz w:val="21"/>
                      <w:szCs w:val="21"/>
                      <w:highlight w:val="none"/>
                    </w:rPr>
                    <w:t>mg</w:t>
                  </w:r>
                  <w:r>
                    <w:rPr>
                      <w:rFonts w:hint="default" w:ascii="Times New Roman" w:hAnsi="Times New Roman" w:eastAsia="宋体" w:cs="Times New Roman"/>
                      <w:b/>
                      <w:bCs/>
                      <w:strike w:val="0"/>
                      <w:dstrike w:val="0"/>
                      <w:color w:val="auto"/>
                      <w:spacing w:val="2"/>
                      <w:sz w:val="21"/>
                      <w:szCs w:val="21"/>
                      <w:highlight w:val="none"/>
                    </w:rPr>
                    <w:t>/m</w:t>
                  </w:r>
                  <w:r>
                    <w:rPr>
                      <w:rFonts w:hint="default" w:ascii="Times New Roman" w:hAnsi="Times New Roman" w:eastAsia="宋体" w:cs="Times New Roman"/>
                      <w:b/>
                      <w:bCs/>
                      <w:strike w:val="0"/>
                      <w:dstrike w:val="0"/>
                      <w:color w:val="auto"/>
                      <w:spacing w:val="2"/>
                      <w:sz w:val="21"/>
                      <w:szCs w:val="21"/>
                      <w:highlight w:val="none"/>
                      <w:vertAlign w:val="superscript"/>
                      <w:lang w:val="en-US" w:eastAsia="zh-CN"/>
                    </w:rPr>
                    <w:t>3</w:t>
                  </w:r>
                  <w:r>
                    <w:rPr>
                      <w:rFonts w:hint="default" w:ascii="Times New Roman" w:hAnsi="Times New Roman" w:eastAsia="宋体" w:cs="Times New Roman"/>
                      <w:b/>
                      <w:bCs/>
                      <w:strike w:val="0"/>
                      <w:dstrike w:val="0"/>
                      <w:color w:val="auto"/>
                      <w:spacing w:val="2"/>
                      <w:sz w:val="21"/>
                      <w:szCs w:val="21"/>
                      <w:highlight w:val="none"/>
                    </w:rPr>
                    <w:t>）</w:t>
                  </w:r>
                </w:p>
              </w:tc>
              <w:tc>
                <w:tcPr>
                  <w:tcW w:w="3202" w:type="dxa"/>
                  <w:gridSpan w:val="2"/>
                  <w:tcBorders>
                    <w:tl2br w:val="nil"/>
                    <w:tr2bl w:val="nil"/>
                  </w:tcBorders>
                  <w:noWrap w:val="0"/>
                  <w:vAlign w:val="center"/>
                </w:tcPr>
                <w:p w14:paraId="31BED930">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b/>
                      <w:bCs/>
                      <w:strike w:val="0"/>
                      <w:dstrike w:val="0"/>
                      <w:color w:val="auto"/>
                      <w:spacing w:val="6"/>
                      <w:sz w:val="21"/>
                      <w:szCs w:val="21"/>
                      <w:highlight w:val="none"/>
                    </w:rPr>
                    <w:t>最高允许排放速率（</w:t>
                  </w:r>
                  <w:r>
                    <w:rPr>
                      <w:rFonts w:hint="default" w:ascii="Times New Roman" w:hAnsi="Times New Roman" w:eastAsia="宋体" w:cs="Times New Roman"/>
                      <w:b/>
                      <w:bCs/>
                      <w:strike w:val="0"/>
                      <w:dstrike w:val="0"/>
                      <w:color w:val="auto"/>
                      <w:sz w:val="21"/>
                      <w:szCs w:val="21"/>
                      <w:highlight w:val="none"/>
                    </w:rPr>
                    <w:t>kg</w:t>
                  </w:r>
                  <w:r>
                    <w:rPr>
                      <w:rFonts w:hint="default" w:ascii="Times New Roman" w:hAnsi="Times New Roman" w:eastAsia="宋体" w:cs="Times New Roman"/>
                      <w:b/>
                      <w:bCs/>
                      <w:strike w:val="0"/>
                      <w:dstrike w:val="0"/>
                      <w:color w:val="auto"/>
                      <w:spacing w:val="6"/>
                      <w:sz w:val="21"/>
                      <w:szCs w:val="21"/>
                      <w:highlight w:val="none"/>
                    </w:rPr>
                    <w:t>/h）</w:t>
                  </w:r>
                </w:p>
              </w:tc>
            </w:tr>
            <w:tr w14:paraId="1D287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vMerge w:val="continue"/>
                  <w:tcBorders>
                    <w:tl2br w:val="nil"/>
                    <w:tr2bl w:val="nil"/>
                  </w:tcBorders>
                  <w:noWrap w:val="0"/>
                  <w:vAlign w:val="center"/>
                </w:tcPr>
                <w:p w14:paraId="43B90101">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p>
              </w:tc>
              <w:tc>
                <w:tcPr>
                  <w:tcW w:w="1649" w:type="dxa"/>
                  <w:vMerge w:val="continue"/>
                  <w:tcBorders>
                    <w:tl2br w:val="nil"/>
                    <w:tr2bl w:val="nil"/>
                  </w:tcBorders>
                  <w:noWrap w:val="0"/>
                  <w:vAlign w:val="center"/>
                </w:tcPr>
                <w:p w14:paraId="196886D7">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p>
              </w:tc>
              <w:tc>
                <w:tcPr>
                  <w:tcW w:w="1385" w:type="dxa"/>
                  <w:vMerge w:val="continue"/>
                  <w:tcBorders>
                    <w:tl2br w:val="nil"/>
                    <w:tr2bl w:val="nil"/>
                  </w:tcBorders>
                  <w:noWrap w:val="0"/>
                  <w:vAlign w:val="center"/>
                </w:tcPr>
                <w:p w14:paraId="62BC6830">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p>
              </w:tc>
              <w:tc>
                <w:tcPr>
                  <w:tcW w:w="1481" w:type="dxa"/>
                  <w:tcBorders>
                    <w:tl2br w:val="nil"/>
                    <w:tr2bl w:val="nil"/>
                  </w:tcBorders>
                  <w:noWrap w:val="0"/>
                  <w:vAlign w:val="center"/>
                </w:tcPr>
                <w:p w14:paraId="2EBCA6B6">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b/>
                      <w:bCs/>
                      <w:strike w:val="0"/>
                      <w:dstrike w:val="0"/>
                      <w:color w:val="auto"/>
                      <w:spacing w:val="5"/>
                      <w:sz w:val="21"/>
                      <w:szCs w:val="21"/>
                      <w:highlight w:val="none"/>
                    </w:rPr>
                    <w:t>排气筒高度</w:t>
                  </w:r>
                  <w:r>
                    <w:rPr>
                      <w:rFonts w:hint="default" w:ascii="Times New Roman" w:hAnsi="Times New Roman" w:eastAsia="宋体" w:cs="Times New Roman"/>
                      <w:b/>
                      <w:bCs/>
                      <w:strike w:val="0"/>
                      <w:dstrike w:val="0"/>
                      <w:color w:val="auto"/>
                      <w:spacing w:val="5"/>
                      <w:sz w:val="21"/>
                      <w:szCs w:val="21"/>
                      <w:highlight w:val="none"/>
                      <w:lang w:val="en-US" w:eastAsia="zh-CN"/>
                    </w:rPr>
                    <w:t>/</w:t>
                  </w:r>
                  <w:r>
                    <w:rPr>
                      <w:rFonts w:hint="default" w:ascii="Times New Roman" w:hAnsi="Times New Roman" w:eastAsia="宋体" w:cs="Times New Roman"/>
                      <w:b/>
                      <w:bCs/>
                      <w:strike w:val="0"/>
                      <w:dstrike w:val="0"/>
                      <w:color w:val="auto"/>
                      <w:spacing w:val="5"/>
                      <w:sz w:val="21"/>
                      <w:szCs w:val="21"/>
                      <w:highlight w:val="none"/>
                    </w:rPr>
                    <w:t>m</w:t>
                  </w:r>
                </w:p>
              </w:tc>
              <w:tc>
                <w:tcPr>
                  <w:tcW w:w="1721" w:type="dxa"/>
                  <w:tcBorders>
                    <w:tl2br w:val="nil"/>
                    <w:tr2bl w:val="nil"/>
                  </w:tcBorders>
                  <w:noWrap w:val="0"/>
                  <w:vAlign w:val="center"/>
                </w:tcPr>
                <w:p w14:paraId="60F610FE">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b/>
                      <w:bCs/>
                      <w:strike w:val="0"/>
                      <w:dstrike w:val="0"/>
                      <w:color w:val="auto"/>
                      <w:spacing w:val="2"/>
                      <w:sz w:val="21"/>
                      <w:szCs w:val="21"/>
                      <w:highlight w:val="none"/>
                    </w:rPr>
                    <w:t>二级</w:t>
                  </w:r>
                </w:p>
              </w:tc>
            </w:tr>
            <w:tr w14:paraId="0252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tcBorders>
                    <w:tl2br w:val="nil"/>
                    <w:tr2bl w:val="nil"/>
                  </w:tcBorders>
                  <w:noWrap w:val="0"/>
                  <w:vAlign w:val="center"/>
                </w:tcPr>
                <w:p w14:paraId="13762FEB">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珠胚生产</w:t>
                  </w:r>
                  <w:r>
                    <w:rPr>
                      <w:rFonts w:hint="default" w:ascii="Times New Roman" w:hAnsi="Times New Roman" w:eastAsia="宋体" w:cs="Times New Roman"/>
                      <w:color w:val="auto"/>
                      <w:sz w:val="21"/>
                      <w:szCs w:val="21"/>
                      <w:highlight w:val="none"/>
                      <w:lang w:val="en-US" w:eastAsia="zh-CN"/>
                    </w:rPr>
                    <w:t>线配料、电炉及滚抛工序</w:t>
                  </w:r>
                </w:p>
              </w:tc>
              <w:tc>
                <w:tcPr>
                  <w:tcW w:w="1649" w:type="dxa"/>
                  <w:tcBorders>
                    <w:tl2br w:val="nil"/>
                    <w:tr2bl w:val="nil"/>
                  </w:tcBorders>
                  <w:noWrap w:val="0"/>
                  <w:vAlign w:val="center"/>
                </w:tcPr>
                <w:p w14:paraId="40DF08E7">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pacing w:val="7"/>
                      <w:sz w:val="21"/>
                      <w:szCs w:val="21"/>
                      <w:highlight w:val="none"/>
                    </w:rPr>
                    <w:t>颗粒物</w:t>
                  </w:r>
                </w:p>
              </w:tc>
              <w:tc>
                <w:tcPr>
                  <w:tcW w:w="1385" w:type="dxa"/>
                  <w:tcBorders>
                    <w:tl2br w:val="nil"/>
                    <w:tr2bl w:val="nil"/>
                  </w:tcBorders>
                  <w:noWrap w:val="0"/>
                  <w:vAlign w:val="center"/>
                </w:tcPr>
                <w:p w14:paraId="3552DA52">
                  <w:pPr>
                    <w:pStyle w:val="57"/>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30</w:t>
                  </w:r>
                </w:p>
              </w:tc>
              <w:tc>
                <w:tcPr>
                  <w:tcW w:w="1481" w:type="dxa"/>
                  <w:tcBorders>
                    <w:tl2br w:val="nil"/>
                    <w:tr2bl w:val="nil"/>
                  </w:tcBorders>
                  <w:noWrap w:val="0"/>
                  <w:vAlign w:val="center"/>
                </w:tcPr>
                <w:p w14:paraId="47C71891">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strike w:val="0"/>
                      <w:dstrike w:val="0"/>
                      <w:color w:val="auto"/>
                      <w:spacing w:val="5"/>
                      <w:sz w:val="21"/>
                      <w:szCs w:val="21"/>
                      <w:highlight w:val="none"/>
                      <w:lang w:val="en-US" w:eastAsia="zh-CN"/>
                    </w:rPr>
                  </w:pPr>
                  <w:r>
                    <w:rPr>
                      <w:rFonts w:hint="default" w:ascii="Times New Roman" w:hAnsi="Times New Roman" w:eastAsia="宋体" w:cs="Times New Roman"/>
                      <w:b w:val="0"/>
                      <w:bCs w:val="0"/>
                      <w:strike w:val="0"/>
                      <w:dstrike w:val="0"/>
                      <w:color w:val="auto"/>
                      <w:spacing w:val="5"/>
                      <w:sz w:val="21"/>
                      <w:szCs w:val="21"/>
                      <w:highlight w:val="none"/>
                      <w:lang w:val="en-US" w:eastAsia="zh-CN"/>
                    </w:rPr>
                    <w:t>15</w:t>
                  </w:r>
                </w:p>
              </w:tc>
              <w:tc>
                <w:tcPr>
                  <w:tcW w:w="1721" w:type="dxa"/>
                  <w:tcBorders>
                    <w:tl2br w:val="nil"/>
                    <w:tr2bl w:val="nil"/>
                  </w:tcBorders>
                  <w:noWrap w:val="0"/>
                  <w:vAlign w:val="center"/>
                </w:tcPr>
                <w:p w14:paraId="5DE70320">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strike w:val="0"/>
                      <w:dstrike w:val="0"/>
                      <w:color w:val="auto"/>
                      <w:spacing w:val="2"/>
                      <w:sz w:val="21"/>
                      <w:szCs w:val="21"/>
                      <w:highlight w:val="none"/>
                      <w:lang w:val="en-US" w:eastAsia="zh-CN"/>
                    </w:rPr>
                  </w:pPr>
                  <w:r>
                    <w:rPr>
                      <w:rFonts w:hint="default" w:ascii="Times New Roman" w:hAnsi="Times New Roman" w:eastAsia="宋体" w:cs="Times New Roman"/>
                      <w:b/>
                      <w:bCs/>
                      <w:strike w:val="0"/>
                      <w:dstrike w:val="0"/>
                      <w:color w:val="auto"/>
                      <w:spacing w:val="2"/>
                      <w:sz w:val="21"/>
                      <w:szCs w:val="21"/>
                      <w:highlight w:val="none"/>
                      <w:lang w:val="en-US" w:eastAsia="zh-CN"/>
                    </w:rPr>
                    <w:t>/</w:t>
                  </w:r>
                </w:p>
              </w:tc>
            </w:tr>
            <w:tr w14:paraId="3DD73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vMerge w:val="restart"/>
                  <w:tcBorders>
                    <w:tl2br w:val="nil"/>
                    <w:tr2bl w:val="nil"/>
                  </w:tcBorders>
                  <w:noWrap w:val="0"/>
                  <w:vAlign w:val="center"/>
                </w:tcPr>
                <w:p w14:paraId="4B34E015">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spacing w:val="7"/>
                      <w:sz w:val="21"/>
                      <w:szCs w:val="21"/>
                      <w:highlight w:val="none"/>
                    </w:rPr>
                  </w:pPr>
                  <w:r>
                    <w:rPr>
                      <w:rFonts w:hint="default" w:ascii="Times New Roman" w:hAnsi="Times New Roman" w:eastAsia="宋体" w:cs="Times New Roman"/>
                      <w:color w:val="auto"/>
                      <w:sz w:val="21"/>
                      <w:szCs w:val="21"/>
                      <w:highlight w:val="none"/>
                      <w:lang w:val="en-US" w:eastAsia="zh-CN"/>
                    </w:rPr>
                    <w:t>吸塑片生产线</w:t>
                  </w:r>
                  <w:r>
                    <w:rPr>
                      <w:rFonts w:hint="default" w:ascii="Times New Roman" w:hAnsi="Times New Roman" w:eastAsia="宋体" w:cs="Times New Roman"/>
                      <w:color w:val="auto"/>
                      <w:sz w:val="21"/>
                      <w:szCs w:val="21"/>
                      <w:highlight w:val="none"/>
                    </w:rPr>
                    <w:t>配料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破碎，以及加热、挤出塑化、压延工序</w:t>
                  </w:r>
                </w:p>
              </w:tc>
              <w:tc>
                <w:tcPr>
                  <w:tcW w:w="1649" w:type="dxa"/>
                  <w:tcBorders>
                    <w:tl2br w:val="nil"/>
                    <w:tr2bl w:val="nil"/>
                  </w:tcBorders>
                  <w:noWrap w:val="0"/>
                  <w:vAlign w:val="center"/>
                </w:tcPr>
                <w:p w14:paraId="0B6E9880">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7"/>
                      <w:sz w:val="21"/>
                      <w:szCs w:val="21"/>
                      <w:highlight w:val="none"/>
                    </w:rPr>
                    <w:t>颗粒物</w:t>
                  </w:r>
                </w:p>
              </w:tc>
              <w:tc>
                <w:tcPr>
                  <w:tcW w:w="1385" w:type="dxa"/>
                  <w:tcBorders>
                    <w:tl2br w:val="nil"/>
                    <w:tr2bl w:val="nil"/>
                  </w:tcBorders>
                  <w:noWrap w:val="0"/>
                  <w:vAlign w:val="center"/>
                </w:tcPr>
                <w:p w14:paraId="531BFE36">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3"/>
                      <w:position w:val="2"/>
                      <w:sz w:val="21"/>
                      <w:szCs w:val="21"/>
                      <w:highlight w:val="none"/>
                    </w:rPr>
                    <w:t>120</w:t>
                  </w:r>
                </w:p>
              </w:tc>
              <w:tc>
                <w:tcPr>
                  <w:tcW w:w="1481" w:type="dxa"/>
                  <w:vMerge w:val="restart"/>
                  <w:tcBorders>
                    <w:tl2br w:val="nil"/>
                    <w:tr2bl w:val="nil"/>
                  </w:tcBorders>
                  <w:noWrap w:val="0"/>
                  <w:vAlign w:val="center"/>
                </w:tcPr>
                <w:p w14:paraId="267ABD8D">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15</w:t>
                  </w:r>
                </w:p>
              </w:tc>
              <w:tc>
                <w:tcPr>
                  <w:tcW w:w="1721" w:type="dxa"/>
                  <w:tcBorders>
                    <w:tl2br w:val="nil"/>
                    <w:tr2bl w:val="nil"/>
                  </w:tcBorders>
                  <w:noWrap w:val="0"/>
                  <w:vAlign w:val="center"/>
                </w:tcPr>
                <w:p w14:paraId="4A85E36B">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1.75</w:t>
                  </w:r>
                  <w:r>
                    <w:rPr>
                      <w:rFonts w:hint="default" w:ascii="Times New Roman" w:hAnsi="Times New Roman" w:eastAsia="宋体" w:cs="Times New Roman"/>
                      <w:smallCaps w:val="0"/>
                      <w:color w:val="auto"/>
                      <w:kern w:val="2"/>
                      <w:sz w:val="21"/>
                      <w:szCs w:val="21"/>
                      <w:highlight w:val="none"/>
                      <w:lang w:val="en-US" w:eastAsia="zh-CN" w:bidi="ar"/>
                    </w:rPr>
                    <w:t>（已严格50%）</w:t>
                  </w:r>
                </w:p>
              </w:tc>
            </w:tr>
            <w:tr w14:paraId="28568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vMerge w:val="continue"/>
                  <w:tcBorders>
                    <w:tl2br w:val="nil"/>
                    <w:tr2bl w:val="nil"/>
                  </w:tcBorders>
                  <w:shd w:val="clear" w:color="auto" w:fill="auto"/>
                  <w:noWrap w:val="0"/>
                  <w:vAlign w:val="center"/>
                </w:tcPr>
                <w:p w14:paraId="171F7677">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spacing w:val="7"/>
                      <w:sz w:val="21"/>
                      <w:szCs w:val="21"/>
                      <w:highlight w:val="none"/>
                    </w:rPr>
                  </w:pPr>
                </w:p>
              </w:tc>
              <w:tc>
                <w:tcPr>
                  <w:tcW w:w="1649" w:type="dxa"/>
                  <w:tcBorders>
                    <w:tl2br w:val="nil"/>
                    <w:tr2bl w:val="nil"/>
                  </w:tcBorders>
                  <w:shd w:val="clear" w:color="auto" w:fill="auto"/>
                  <w:noWrap w:val="0"/>
                  <w:vAlign w:val="center"/>
                </w:tcPr>
                <w:p w14:paraId="5D16CCF7">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spacing w:val="6"/>
                      <w:kern w:val="2"/>
                      <w:sz w:val="21"/>
                      <w:szCs w:val="21"/>
                      <w:highlight w:val="none"/>
                      <w:lang w:val="en-US" w:eastAsia="zh-CN" w:bidi="ar-SA"/>
                    </w:rPr>
                  </w:pPr>
                  <w:r>
                    <w:rPr>
                      <w:rFonts w:hint="default" w:ascii="Times New Roman" w:hAnsi="Times New Roman" w:eastAsia="宋体" w:cs="Times New Roman"/>
                      <w:strike w:val="0"/>
                      <w:dstrike w:val="0"/>
                      <w:color w:val="auto"/>
                      <w:spacing w:val="7"/>
                      <w:sz w:val="21"/>
                      <w:szCs w:val="21"/>
                      <w:highlight w:val="none"/>
                    </w:rPr>
                    <w:t>非甲烷总烃</w:t>
                  </w:r>
                </w:p>
              </w:tc>
              <w:tc>
                <w:tcPr>
                  <w:tcW w:w="1385" w:type="dxa"/>
                  <w:tcBorders>
                    <w:tl2br w:val="nil"/>
                    <w:tr2bl w:val="nil"/>
                  </w:tcBorders>
                  <w:shd w:val="clear" w:color="auto" w:fill="auto"/>
                  <w:noWrap w:val="0"/>
                  <w:vAlign w:val="center"/>
                </w:tcPr>
                <w:p w14:paraId="6FAB90E2">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spacing w:val="3"/>
                      <w:kern w:val="2"/>
                      <w:position w:val="2"/>
                      <w:sz w:val="21"/>
                      <w:szCs w:val="21"/>
                      <w:highlight w:val="none"/>
                      <w:lang w:val="en-US" w:eastAsia="zh-CN" w:bidi="ar-SA"/>
                    </w:rPr>
                  </w:pPr>
                  <w:r>
                    <w:rPr>
                      <w:rFonts w:hint="default" w:ascii="Times New Roman" w:hAnsi="Times New Roman" w:eastAsia="宋体" w:cs="Times New Roman"/>
                      <w:strike w:val="0"/>
                      <w:dstrike w:val="0"/>
                      <w:color w:val="auto"/>
                      <w:spacing w:val="-3"/>
                      <w:position w:val="2"/>
                      <w:sz w:val="21"/>
                      <w:szCs w:val="21"/>
                      <w:highlight w:val="none"/>
                    </w:rPr>
                    <w:t>120</w:t>
                  </w:r>
                </w:p>
              </w:tc>
              <w:tc>
                <w:tcPr>
                  <w:tcW w:w="1481" w:type="dxa"/>
                  <w:vMerge w:val="continue"/>
                  <w:tcBorders>
                    <w:tl2br w:val="nil"/>
                    <w:tr2bl w:val="nil"/>
                  </w:tcBorders>
                  <w:shd w:val="clear" w:color="auto" w:fill="auto"/>
                  <w:noWrap w:val="0"/>
                  <w:vAlign w:val="center"/>
                </w:tcPr>
                <w:p w14:paraId="5862109B">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p>
              </w:tc>
              <w:tc>
                <w:tcPr>
                  <w:tcW w:w="1721" w:type="dxa"/>
                  <w:tcBorders>
                    <w:tl2br w:val="nil"/>
                    <w:tr2bl w:val="nil"/>
                  </w:tcBorders>
                  <w:shd w:val="clear" w:color="auto" w:fill="auto"/>
                  <w:noWrap w:val="0"/>
                  <w:vAlign w:val="center"/>
                </w:tcPr>
                <w:p w14:paraId="083DC523">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spacing w:val="3"/>
                      <w:kern w:val="2"/>
                      <w:positio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5（已严格50%）</w:t>
                  </w:r>
                </w:p>
              </w:tc>
            </w:tr>
            <w:tr w14:paraId="6488A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vMerge w:val="continue"/>
                  <w:tcBorders>
                    <w:tl2br w:val="nil"/>
                    <w:tr2bl w:val="nil"/>
                  </w:tcBorders>
                  <w:noWrap w:val="0"/>
                  <w:vAlign w:val="center"/>
                </w:tcPr>
                <w:p w14:paraId="3D997CBB">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p>
              </w:tc>
              <w:tc>
                <w:tcPr>
                  <w:tcW w:w="1649" w:type="dxa"/>
                  <w:tcBorders>
                    <w:tl2br w:val="nil"/>
                    <w:tr2bl w:val="nil"/>
                  </w:tcBorders>
                  <w:noWrap w:val="0"/>
                  <w:vAlign w:val="center"/>
                </w:tcPr>
                <w:p w14:paraId="75850DF3">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HCl</w:t>
                  </w:r>
                </w:p>
              </w:tc>
              <w:tc>
                <w:tcPr>
                  <w:tcW w:w="1385" w:type="dxa"/>
                  <w:tcBorders>
                    <w:tl2br w:val="nil"/>
                    <w:tr2bl w:val="nil"/>
                  </w:tcBorders>
                  <w:noWrap w:val="0"/>
                  <w:vAlign w:val="center"/>
                </w:tcPr>
                <w:p w14:paraId="549C67A4">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3"/>
                      <w:position w:val="2"/>
                      <w:sz w:val="21"/>
                      <w:szCs w:val="21"/>
                      <w:highlight w:val="none"/>
                      <w:lang w:val="en-US" w:eastAsia="zh-CN"/>
                    </w:rPr>
                    <w:t>100</w:t>
                  </w:r>
                </w:p>
              </w:tc>
              <w:tc>
                <w:tcPr>
                  <w:tcW w:w="1481" w:type="dxa"/>
                  <w:vMerge w:val="continue"/>
                  <w:tcBorders>
                    <w:tl2br w:val="nil"/>
                    <w:tr2bl w:val="nil"/>
                  </w:tcBorders>
                  <w:noWrap w:val="0"/>
                  <w:vAlign w:val="center"/>
                </w:tcPr>
                <w:p w14:paraId="69E9AE1E">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p>
              </w:tc>
              <w:tc>
                <w:tcPr>
                  <w:tcW w:w="1721" w:type="dxa"/>
                  <w:tcBorders>
                    <w:tl2br w:val="nil"/>
                    <w:tr2bl w:val="nil"/>
                  </w:tcBorders>
                  <w:noWrap w:val="0"/>
                  <w:vAlign w:val="center"/>
                </w:tcPr>
                <w:p w14:paraId="3A2FE555">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0.13（已严格50%）</w:t>
                  </w:r>
                </w:p>
              </w:tc>
            </w:tr>
            <w:tr w14:paraId="7B68A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21" w:type="dxa"/>
                  <w:tcBorders>
                    <w:tl2br w:val="nil"/>
                    <w:tr2bl w:val="nil"/>
                  </w:tcBorders>
                  <w:noWrap w:val="0"/>
                  <w:vAlign w:val="center"/>
                </w:tcPr>
                <w:p w14:paraId="1A55FB2F">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抛轮修复生产线</w:t>
                  </w:r>
                  <w:r>
                    <w:rPr>
                      <w:rFonts w:hint="default" w:ascii="Times New Roman" w:hAnsi="Times New Roman" w:eastAsia="宋体" w:cs="Times New Roman"/>
                      <w:color w:val="auto"/>
                      <w:spacing w:val="2"/>
                      <w:sz w:val="21"/>
                      <w:szCs w:val="21"/>
                      <w:highlight w:val="none"/>
                    </w:rPr>
                    <w:t>投料、车圆</w:t>
                  </w:r>
                  <w:r>
                    <w:rPr>
                      <w:rFonts w:hint="default" w:ascii="Times New Roman" w:hAnsi="Times New Roman" w:eastAsia="宋体" w:cs="Times New Roman"/>
                      <w:color w:val="auto"/>
                      <w:sz w:val="21"/>
                      <w:szCs w:val="21"/>
                      <w:highlight w:val="none"/>
                      <w:lang w:val="en-US" w:eastAsia="zh-CN"/>
                    </w:rPr>
                    <w:t>工序</w:t>
                  </w:r>
                </w:p>
              </w:tc>
              <w:tc>
                <w:tcPr>
                  <w:tcW w:w="1649" w:type="dxa"/>
                  <w:tcBorders>
                    <w:tl2br w:val="nil"/>
                    <w:tr2bl w:val="nil"/>
                  </w:tcBorders>
                  <w:shd w:val="clear" w:color="auto" w:fill="auto"/>
                  <w:noWrap w:val="0"/>
                  <w:vAlign w:val="center"/>
                </w:tcPr>
                <w:p w14:paraId="64818F6A">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7"/>
                      <w:sz w:val="21"/>
                      <w:szCs w:val="21"/>
                      <w:highlight w:val="none"/>
                    </w:rPr>
                    <w:t>颗粒物</w:t>
                  </w:r>
                </w:p>
              </w:tc>
              <w:tc>
                <w:tcPr>
                  <w:tcW w:w="1385" w:type="dxa"/>
                  <w:tcBorders>
                    <w:tl2br w:val="nil"/>
                    <w:tr2bl w:val="nil"/>
                  </w:tcBorders>
                  <w:shd w:val="clear" w:color="auto" w:fill="auto"/>
                  <w:noWrap w:val="0"/>
                  <w:vAlign w:val="center"/>
                </w:tcPr>
                <w:p w14:paraId="614FDAA0">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3"/>
                      <w:position w:val="2"/>
                      <w:sz w:val="21"/>
                      <w:szCs w:val="21"/>
                      <w:highlight w:val="none"/>
                    </w:rPr>
                    <w:t>120</w:t>
                  </w:r>
                </w:p>
              </w:tc>
              <w:tc>
                <w:tcPr>
                  <w:tcW w:w="1481" w:type="dxa"/>
                  <w:tcBorders>
                    <w:tl2br w:val="nil"/>
                    <w:tr2bl w:val="nil"/>
                  </w:tcBorders>
                  <w:noWrap w:val="0"/>
                  <w:vAlign w:val="center"/>
                </w:tcPr>
                <w:p w14:paraId="79DDE802">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lang w:val="en-US" w:eastAsia="zh-CN"/>
                    </w:rPr>
                    <w:t>15</w:t>
                  </w:r>
                </w:p>
              </w:tc>
              <w:tc>
                <w:tcPr>
                  <w:tcW w:w="1721" w:type="dxa"/>
                  <w:tcBorders>
                    <w:tl2br w:val="nil"/>
                    <w:tr2bl w:val="nil"/>
                  </w:tcBorders>
                  <w:noWrap w:val="0"/>
                  <w:vAlign w:val="center"/>
                </w:tcPr>
                <w:p w14:paraId="4F9B29ED">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1.75</w:t>
                  </w:r>
                  <w:r>
                    <w:rPr>
                      <w:rFonts w:hint="default" w:ascii="Times New Roman" w:hAnsi="Times New Roman" w:eastAsia="宋体" w:cs="Times New Roman"/>
                      <w:smallCaps w:val="0"/>
                      <w:color w:val="auto"/>
                      <w:kern w:val="2"/>
                      <w:sz w:val="21"/>
                      <w:szCs w:val="21"/>
                      <w:highlight w:val="none"/>
                      <w:lang w:val="en-US" w:eastAsia="zh-CN" w:bidi="ar"/>
                    </w:rPr>
                    <w:t>（已严格50%）</w:t>
                  </w:r>
                </w:p>
              </w:tc>
            </w:tr>
          </w:tbl>
          <w:p w14:paraId="4870589D">
            <w:pPr>
              <w:pStyle w:val="28"/>
              <w:keepNext w:val="0"/>
              <w:keepLines w:val="0"/>
              <w:pageBreakBefore w:val="0"/>
              <w:widowControl w:val="0"/>
              <w:kinsoku/>
              <w:wordWrap/>
              <w:overflowPunct/>
              <w:topLinePunct/>
              <w:autoSpaceDE w:val="0"/>
              <w:autoSpaceDN/>
              <w:bidi w:val="0"/>
              <w:adjustRightInd/>
              <w:snapToGrid/>
              <w:spacing w:after="0" w:line="360" w:lineRule="auto"/>
              <w:ind w:left="0" w:firstLine="36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i w:val="0"/>
                <w:iCs w:val="0"/>
                <w:strike w:val="0"/>
                <w:dstrike w:val="0"/>
                <w:color w:val="auto"/>
                <w:sz w:val="18"/>
                <w:szCs w:val="18"/>
                <w:highlight w:val="none"/>
                <w:lang w:val="en-US" w:eastAsia="zh-CN"/>
              </w:rPr>
              <w:t>备注：</w:t>
            </w:r>
            <w:r>
              <w:rPr>
                <w:rFonts w:hint="default" w:ascii="Times New Roman" w:hAnsi="Times New Roman" w:eastAsia="宋体" w:cs="Times New Roman"/>
                <w:b w:val="0"/>
                <w:bCs w:val="0"/>
                <w:i w:val="0"/>
                <w:iCs w:val="0"/>
                <w:color w:val="auto"/>
                <w:sz w:val="18"/>
                <w:szCs w:val="18"/>
                <w:highlight w:val="none"/>
                <w:lang w:val="en-US" w:eastAsia="zh-CN"/>
              </w:rPr>
              <w:t>根据</w:t>
            </w:r>
            <w:r>
              <w:rPr>
                <w:rFonts w:hint="default" w:ascii="Times New Roman" w:hAnsi="Times New Roman" w:eastAsia="宋体" w:cs="Times New Roman"/>
                <w:b w:val="0"/>
                <w:bCs w:val="0"/>
                <w:i w:val="0"/>
                <w:iCs w:val="0"/>
                <w:color w:val="auto"/>
                <w:sz w:val="18"/>
                <w:szCs w:val="18"/>
                <w:highlight w:val="none"/>
              </w:rPr>
              <w:t>《大气污染物综合排放标准》（GB16297-1996）</w:t>
            </w:r>
            <w:r>
              <w:rPr>
                <w:rFonts w:hint="default" w:ascii="Times New Roman" w:hAnsi="Times New Roman" w:eastAsia="宋体" w:cs="Times New Roman"/>
                <w:b w:val="0"/>
                <w:bCs w:val="0"/>
                <w:i w:val="0"/>
                <w:iCs w:val="0"/>
                <w:color w:val="auto"/>
                <w:sz w:val="18"/>
                <w:szCs w:val="18"/>
                <w:highlight w:val="none"/>
                <w:lang w:val="en-US" w:eastAsia="zh-CN"/>
              </w:rPr>
              <w:t>中规定“排气筒高度</w:t>
            </w:r>
            <w:r>
              <w:rPr>
                <w:rFonts w:hint="default" w:ascii="Times New Roman" w:hAnsi="Times New Roman" w:eastAsia="宋体" w:cs="Times New Roman"/>
                <w:b w:val="0"/>
                <w:bCs w:val="0"/>
                <w:i w:val="0"/>
                <w:iCs w:val="0"/>
                <w:color w:val="auto"/>
                <w:sz w:val="18"/>
                <w:szCs w:val="18"/>
                <w:highlight w:val="none"/>
              </w:rPr>
              <w:t>要高于200m</w:t>
            </w:r>
            <w:r>
              <w:rPr>
                <w:rFonts w:hint="default" w:ascii="Times New Roman" w:hAnsi="Times New Roman" w:eastAsia="宋体" w:cs="Times New Roman"/>
                <w:b w:val="0"/>
                <w:bCs w:val="0"/>
                <w:i w:val="0"/>
                <w:iCs w:val="0"/>
                <w:color w:val="auto"/>
                <w:sz w:val="18"/>
                <w:szCs w:val="18"/>
                <w:highlight w:val="none"/>
                <w:lang w:val="en-US" w:eastAsia="zh-CN"/>
              </w:rPr>
              <w:t>半径范围的</w:t>
            </w:r>
            <w:r>
              <w:rPr>
                <w:rFonts w:hint="default" w:ascii="Times New Roman" w:hAnsi="Times New Roman" w:eastAsia="宋体" w:cs="Times New Roman"/>
                <w:b w:val="0"/>
                <w:bCs w:val="0"/>
                <w:i w:val="0"/>
                <w:iCs w:val="0"/>
                <w:color w:val="auto"/>
                <w:sz w:val="18"/>
                <w:szCs w:val="18"/>
                <w:highlight w:val="none"/>
              </w:rPr>
              <w:t>建筑物5m以上，</w:t>
            </w:r>
            <w:r>
              <w:rPr>
                <w:rFonts w:hint="default" w:ascii="Times New Roman" w:hAnsi="Times New Roman" w:eastAsia="宋体" w:cs="Times New Roman"/>
                <w:b w:val="0"/>
                <w:bCs w:val="0"/>
                <w:i w:val="0"/>
                <w:iCs w:val="0"/>
                <w:color w:val="auto"/>
                <w:sz w:val="18"/>
                <w:szCs w:val="18"/>
                <w:highlight w:val="none"/>
                <w:lang w:val="en-US" w:eastAsia="zh-CN"/>
              </w:rPr>
              <w:t>不能达到该要求的排气筒应按其高度对应的排放速率标准值严格</w:t>
            </w:r>
            <w:r>
              <w:rPr>
                <w:rFonts w:hint="default" w:ascii="Times New Roman" w:hAnsi="Times New Roman" w:eastAsia="宋体" w:cs="Times New Roman"/>
                <w:b w:val="0"/>
                <w:bCs w:val="0"/>
                <w:i w:val="0"/>
                <w:iCs w:val="0"/>
                <w:color w:val="auto"/>
                <w:sz w:val="18"/>
                <w:szCs w:val="18"/>
                <w:highlight w:val="none"/>
              </w:rPr>
              <w:t>50%</w:t>
            </w:r>
            <w:r>
              <w:rPr>
                <w:rFonts w:hint="default" w:ascii="Times New Roman" w:hAnsi="Times New Roman" w:eastAsia="宋体" w:cs="Times New Roman"/>
                <w:b w:val="0"/>
                <w:bCs w:val="0"/>
                <w:i w:val="0"/>
                <w:iCs w:val="0"/>
                <w:color w:val="auto"/>
                <w:sz w:val="18"/>
                <w:szCs w:val="18"/>
                <w:highlight w:val="none"/>
                <w:lang w:val="en-US" w:eastAsia="zh-CN"/>
              </w:rPr>
              <w:t>”</w:t>
            </w:r>
            <w:r>
              <w:rPr>
                <w:rFonts w:hint="default" w:ascii="Times New Roman" w:hAnsi="Times New Roman" w:eastAsia="宋体" w:cs="Times New Roman"/>
                <w:b w:val="0"/>
                <w:bCs w:val="0"/>
                <w:i w:val="0"/>
                <w:iCs w:val="0"/>
                <w:color w:val="auto"/>
                <w:sz w:val="18"/>
                <w:szCs w:val="18"/>
                <w:highlight w:val="none"/>
                <w:lang w:eastAsia="zh-CN"/>
              </w:rPr>
              <w:t>，</w:t>
            </w:r>
            <w:r>
              <w:rPr>
                <w:rFonts w:hint="default" w:ascii="Times New Roman" w:hAnsi="Times New Roman" w:eastAsia="宋体" w:cs="Times New Roman"/>
                <w:b w:val="0"/>
                <w:bCs w:val="0"/>
                <w:i w:val="0"/>
                <w:iCs w:val="0"/>
                <w:color w:val="auto"/>
                <w:sz w:val="18"/>
                <w:szCs w:val="18"/>
                <w:highlight w:val="none"/>
                <w:lang w:val="en-US" w:eastAsia="zh-CN"/>
              </w:rPr>
              <w:t>项目周围最高建筑为项目宿舍楼22.9m，生产车间排气筒设置15m，故排放速率标准值严格</w:t>
            </w:r>
            <w:r>
              <w:rPr>
                <w:rFonts w:hint="default" w:ascii="Times New Roman" w:hAnsi="Times New Roman" w:eastAsia="宋体" w:cs="Times New Roman"/>
                <w:b w:val="0"/>
                <w:bCs w:val="0"/>
                <w:i w:val="0"/>
                <w:iCs w:val="0"/>
                <w:color w:val="auto"/>
                <w:sz w:val="18"/>
                <w:szCs w:val="18"/>
                <w:highlight w:val="none"/>
              </w:rPr>
              <w:t>50%</w:t>
            </w:r>
            <w:r>
              <w:rPr>
                <w:rFonts w:hint="default" w:ascii="Times New Roman" w:hAnsi="Times New Roman" w:eastAsia="宋体" w:cs="Times New Roman"/>
                <w:b w:val="0"/>
                <w:bCs w:val="0"/>
                <w:i w:val="0"/>
                <w:iCs w:val="0"/>
                <w:color w:val="auto"/>
                <w:sz w:val="18"/>
                <w:szCs w:val="18"/>
                <w:highlight w:val="none"/>
                <w:lang w:val="en-US" w:eastAsia="zh-CN"/>
              </w:rPr>
              <w:t>执行。</w:t>
            </w:r>
          </w:p>
          <w:p w14:paraId="43803253">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outlineLvl w:val="9"/>
              <w:rPr>
                <w:rFonts w:hint="default" w:ascii="Times New Roman" w:hAnsi="Times New Roman" w:eastAsia="宋体" w:cs="Times New Roman"/>
                <w:b/>
                <w:bCs/>
                <w:caps w:val="0"/>
                <w:smallCaps w:val="0"/>
                <w:color w:val="auto"/>
                <w:sz w:val="21"/>
                <w:szCs w:val="21"/>
                <w:highlight w:val="none"/>
                <w:lang w:val="en-US"/>
              </w:rPr>
            </w:pPr>
            <w:r>
              <w:rPr>
                <w:rFonts w:hint="default" w:ascii="Times New Roman" w:hAnsi="Times New Roman" w:eastAsia="宋体" w:cs="Times New Roman"/>
                <w:color w:val="auto"/>
                <w:sz w:val="24"/>
                <w:szCs w:val="24"/>
                <w:highlight w:val="none"/>
                <w:lang w:val="en-US" w:eastAsia="zh-CN"/>
              </w:rPr>
              <w:t>吸塑片生产过程产生</w:t>
            </w:r>
            <w:r>
              <w:rPr>
                <w:rFonts w:hint="default" w:ascii="Times New Roman" w:hAnsi="Times New Roman" w:eastAsia="宋体" w:cs="Times New Roman"/>
                <w:color w:val="auto"/>
                <w:sz w:val="24"/>
                <w:szCs w:val="24"/>
                <w:lang w:val="en-US" w:eastAsia="zh-CN"/>
              </w:rPr>
              <w:t>热熔异味</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臭气浓度执行</w:t>
            </w:r>
            <w:r>
              <w:rPr>
                <w:rFonts w:hint="default" w:ascii="Times New Roman" w:hAnsi="Times New Roman" w:eastAsia="宋体" w:cs="Times New Roman"/>
                <w:color w:val="auto"/>
                <w:sz w:val="24"/>
                <w:szCs w:val="24"/>
              </w:rPr>
              <w:t>《恶臭污染物排放标准》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GB14554-93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表2标准要求，具体见下表。</w:t>
            </w:r>
          </w:p>
          <w:p w14:paraId="1587CC1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 xml:space="preserve">3-6  </w:t>
            </w:r>
            <w:r>
              <w:rPr>
                <w:rFonts w:hint="default" w:ascii="Times New Roman" w:hAnsi="Times New Roman" w:eastAsia="宋体" w:cs="Times New Roman"/>
                <w:b/>
                <w:bCs/>
                <w:caps w:val="0"/>
                <w:smallCaps w:val="0"/>
                <w:color w:val="auto"/>
                <w:sz w:val="21"/>
                <w:szCs w:val="21"/>
                <w:highlight w:val="none"/>
              </w:rPr>
              <w:t>恶臭污染物排放标准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3295"/>
              <w:gridCol w:w="2350"/>
            </w:tblGrid>
            <w:tr w14:paraId="39B7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pct"/>
                  <w:noWrap w:val="0"/>
                  <w:vAlign w:val="center"/>
                </w:tcPr>
                <w:p w14:paraId="2BB77FCE">
                  <w:pPr>
                    <w:keepNext w:val="0"/>
                    <w:keepLines w:val="0"/>
                    <w:pageBreakBefore w:val="0"/>
                    <w:widowControl/>
                    <w:kinsoku/>
                    <w:wordWrap/>
                    <w:overflowPunct/>
                    <w:topLinePunct w:val="0"/>
                    <w:autoSpaceDE w:val="0"/>
                    <w:autoSpaceDN/>
                    <w:bidi w:val="0"/>
                    <w:adjustRightInd/>
                    <w:snapToGrid/>
                    <w:spacing w:line="240" w:lineRule="auto"/>
                    <w:ind w:left="0" w:right="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污染物</w:t>
                  </w:r>
                </w:p>
              </w:tc>
              <w:tc>
                <w:tcPr>
                  <w:tcW w:w="2068" w:type="pct"/>
                  <w:noWrap w:val="0"/>
                  <w:vAlign w:val="center"/>
                </w:tcPr>
                <w:p w14:paraId="51AB5A57">
                  <w:pPr>
                    <w:keepNext w:val="0"/>
                    <w:keepLines w:val="0"/>
                    <w:pageBreakBefore w:val="0"/>
                    <w:widowControl/>
                    <w:kinsoku/>
                    <w:wordWrap/>
                    <w:overflowPunct/>
                    <w:topLinePunct w:val="0"/>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b/>
                      <w:bCs/>
                      <w:caps w:val="0"/>
                      <w:smallCaps w:val="0"/>
                      <w:color w:val="auto"/>
                      <w:sz w:val="21"/>
                      <w:szCs w:val="21"/>
                      <w:highlight w:val="none"/>
                      <w:lang w:eastAsia="zh-CN"/>
                    </w:rPr>
                  </w:pPr>
                  <w:r>
                    <w:rPr>
                      <w:rFonts w:hint="default" w:ascii="Times New Roman" w:hAnsi="Times New Roman" w:eastAsia="宋体" w:cs="Times New Roman"/>
                      <w:b/>
                      <w:bCs/>
                      <w:caps w:val="0"/>
                      <w:smallCaps w:val="0"/>
                      <w:color w:val="auto"/>
                      <w:sz w:val="21"/>
                      <w:szCs w:val="21"/>
                      <w:highlight w:val="none"/>
                      <w:lang w:val="en-US" w:eastAsia="zh-CN"/>
                    </w:rPr>
                    <w:t>标准值</w:t>
                  </w:r>
                </w:p>
              </w:tc>
              <w:tc>
                <w:tcPr>
                  <w:tcW w:w="1475" w:type="pct"/>
                  <w:noWrap w:val="0"/>
                  <w:vAlign w:val="center"/>
                </w:tcPr>
                <w:p w14:paraId="088F7C10">
                  <w:pPr>
                    <w:keepNext w:val="0"/>
                    <w:keepLines w:val="0"/>
                    <w:pageBreakBefore w:val="0"/>
                    <w:widowControl/>
                    <w:kinsoku/>
                    <w:wordWrap/>
                    <w:overflowPunct/>
                    <w:topLinePunct w:val="0"/>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b/>
                      <w:bCs/>
                      <w:caps w:val="0"/>
                      <w:smallCaps w:val="0"/>
                      <w:color w:val="auto"/>
                      <w:sz w:val="21"/>
                      <w:szCs w:val="21"/>
                      <w:highlight w:val="none"/>
                      <w:lang w:eastAsia="zh-CN"/>
                    </w:rPr>
                  </w:pPr>
                  <w:r>
                    <w:rPr>
                      <w:rFonts w:hint="default" w:ascii="Times New Roman" w:hAnsi="Times New Roman" w:eastAsia="宋体" w:cs="Times New Roman"/>
                      <w:b/>
                      <w:bCs/>
                      <w:caps w:val="0"/>
                      <w:smallCaps w:val="0"/>
                      <w:color w:val="auto"/>
                      <w:sz w:val="21"/>
                      <w:szCs w:val="21"/>
                      <w:highlight w:val="none"/>
                    </w:rPr>
                    <w:t>排气筒高度</w:t>
                  </w:r>
                  <w:r>
                    <w:rPr>
                      <w:rFonts w:hint="default" w:ascii="Times New Roman" w:hAnsi="Times New Roman" w:eastAsia="宋体" w:cs="Times New Roman"/>
                      <w:b/>
                      <w:bCs/>
                      <w:caps w:val="0"/>
                      <w:smallCaps w:val="0"/>
                      <w:color w:val="auto"/>
                      <w:sz w:val="21"/>
                      <w:szCs w:val="21"/>
                      <w:highlight w:val="none"/>
                      <w:lang w:eastAsia="zh-CN"/>
                    </w:rPr>
                    <w:t>（</w:t>
                  </w:r>
                  <w:r>
                    <w:rPr>
                      <w:rFonts w:hint="default" w:ascii="Times New Roman" w:hAnsi="Times New Roman" w:eastAsia="宋体" w:cs="Times New Roman"/>
                      <w:b/>
                      <w:bCs/>
                      <w:caps w:val="0"/>
                      <w:smallCaps w:val="0"/>
                      <w:color w:val="auto"/>
                      <w:sz w:val="21"/>
                      <w:szCs w:val="21"/>
                      <w:highlight w:val="none"/>
                      <w:lang w:val="en-US" w:eastAsia="zh-CN"/>
                    </w:rPr>
                    <w:t>m</w:t>
                  </w:r>
                  <w:r>
                    <w:rPr>
                      <w:rFonts w:hint="default" w:ascii="Times New Roman" w:hAnsi="Times New Roman" w:eastAsia="宋体" w:cs="Times New Roman"/>
                      <w:b/>
                      <w:bCs/>
                      <w:caps w:val="0"/>
                      <w:smallCaps w:val="0"/>
                      <w:color w:val="auto"/>
                      <w:sz w:val="21"/>
                      <w:szCs w:val="21"/>
                      <w:highlight w:val="none"/>
                      <w:lang w:eastAsia="zh-CN"/>
                    </w:rPr>
                    <w:t>）</w:t>
                  </w:r>
                </w:p>
              </w:tc>
            </w:tr>
            <w:tr w14:paraId="3A76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6" w:type="pct"/>
                  <w:noWrap w:val="0"/>
                  <w:vAlign w:val="center"/>
                </w:tcPr>
                <w:p w14:paraId="7E2D56BA">
                  <w:pPr>
                    <w:keepNext w:val="0"/>
                    <w:keepLines w:val="0"/>
                    <w:pageBreakBefore w:val="0"/>
                    <w:widowControl/>
                    <w:kinsoku/>
                    <w:wordWrap/>
                    <w:overflowPunct/>
                    <w:topLinePunct w:val="0"/>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臭气浓度</w:t>
                  </w:r>
                </w:p>
              </w:tc>
              <w:tc>
                <w:tcPr>
                  <w:tcW w:w="2068" w:type="pct"/>
                  <w:noWrap w:val="0"/>
                  <w:vAlign w:val="center"/>
                </w:tcPr>
                <w:p w14:paraId="574446FB">
                  <w:pPr>
                    <w:keepNext w:val="0"/>
                    <w:keepLines w:val="0"/>
                    <w:pageBreakBefore w:val="0"/>
                    <w:widowControl/>
                    <w:kinsoku/>
                    <w:wordWrap/>
                    <w:overflowPunct/>
                    <w:topLinePunct w:val="0"/>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rPr>
                  </w:pPr>
                  <w:r>
                    <w:rPr>
                      <w:rFonts w:hint="default" w:ascii="Times New Roman" w:hAnsi="Times New Roman" w:eastAsia="宋体" w:cs="Times New Roman"/>
                      <w:b w:val="0"/>
                      <w:bCs w:val="0"/>
                      <w:caps w:val="0"/>
                      <w:smallCaps w:val="0"/>
                      <w:color w:val="auto"/>
                      <w:sz w:val="21"/>
                      <w:szCs w:val="21"/>
                      <w:highlight w:val="none"/>
                      <w:lang w:val="en-US" w:eastAsia="zh-CN"/>
                    </w:rPr>
                    <w:t>2000（无量纲）</w:t>
                  </w:r>
                </w:p>
              </w:tc>
              <w:tc>
                <w:tcPr>
                  <w:tcW w:w="1475" w:type="pct"/>
                  <w:noWrap w:val="0"/>
                  <w:vAlign w:val="center"/>
                </w:tcPr>
                <w:p w14:paraId="70EAC2A9">
                  <w:pPr>
                    <w:keepNext w:val="0"/>
                    <w:keepLines w:val="0"/>
                    <w:pageBreakBefore w:val="0"/>
                    <w:widowControl/>
                    <w:kinsoku/>
                    <w:wordWrap/>
                    <w:overflowPunct/>
                    <w:topLinePunct w:val="0"/>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rPr>
                  </w:pPr>
                  <w:r>
                    <w:rPr>
                      <w:rFonts w:hint="default" w:ascii="Times New Roman" w:hAnsi="Times New Roman" w:eastAsia="宋体" w:cs="Times New Roman"/>
                      <w:b w:val="0"/>
                      <w:bCs w:val="0"/>
                      <w:caps w:val="0"/>
                      <w:smallCaps w:val="0"/>
                      <w:color w:val="auto"/>
                      <w:sz w:val="21"/>
                      <w:szCs w:val="21"/>
                      <w:highlight w:val="none"/>
                    </w:rPr>
                    <w:t>15</w:t>
                  </w:r>
                </w:p>
              </w:tc>
            </w:tr>
          </w:tbl>
          <w:p w14:paraId="17C1423E">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②无组织废气</w:t>
            </w:r>
          </w:p>
          <w:p w14:paraId="0DC898CE">
            <w:pPr>
              <w:keepNext w:val="0"/>
              <w:keepLines w:val="0"/>
              <w:pageBreakBefore w:val="0"/>
              <w:tabs>
                <w:tab w:val="left" w:pos="7350"/>
              </w:tabs>
              <w:kinsoku/>
              <w:overflowPunct/>
              <w:topLinePunct/>
              <w:autoSpaceDE w:val="0"/>
              <w:bidi w:val="0"/>
              <w:spacing w:line="360" w:lineRule="auto"/>
              <w:ind w:firstLine="482"/>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aps w:val="0"/>
                <w:smallCaps w:val="0"/>
                <w:color w:val="auto"/>
                <w:sz w:val="24"/>
                <w:szCs w:val="24"/>
                <w:highlight w:val="none"/>
                <w:lang w:val="en-US" w:eastAsia="zh-CN"/>
              </w:rPr>
              <w:t>厂界无组织废气执行</w:t>
            </w:r>
            <w:r>
              <w:rPr>
                <w:rFonts w:hint="default" w:ascii="Times New Roman" w:hAnsi="Times New Roman" w:eastAsia="宋体" w:cs="Times New Roman"/>
                <w:color w:val="auto"/>
                <w:sz w:val="24"/>
                <w:szCs w:val="24"/>
                <w:highlight w:val="none"/>
              </w:rPr>
              <w:t>《大气污染物综合排放标准》（GB16297-1996）表2中无组织排放监控浓度限值</w:t>
            </w:r>
            <w:r>
              <w:rPr>
                <w:rFonts w:hint="default" w:ascii="Times New Roman" w:hAnsi="Times New Roman" w:eastAsia="宋体" w:cs="Times New Roman"/>
                <w:color w:val="auto"/>
                <w:sz w:val="24"/>
                <w:szCs w:val="24"/>
                <w:highlight w:val="none"/>
                <w:lang w:eastAsia="zh-CN"/>
              </w:rPr>
              <w:t>。</w:t>
            </w:r>
          </w:p>
          <w:p w14:paraId="23359C1D">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3-7</w:t>
            </w:r>
            <w:r>
              <w:rPr>
                <w:rFonts w:hint="default" w:ascii="Times New Roman" w:hAnsi="Times New Roman" w:eastAsia="宋体" w:cs="Times New Roman"/>
                <w:b/>
                <w:bCs/>
                <w:color w:val="auto"/>
                <w:sz w:val="21"/>
                <w:szCs w:val="21"/>
                <w:highlight w:val="none"/>
                <w:lang w:val="en-US" w:eastAsia="zh-CN"/>
              </w:rPr>
              <w:t xml:space="preserve">  项目厂界非甲烷总烃</w:t>
            </w:r>
            <w:r>
              <w:rPr>
                <w:rFonts w:hint="default" w:ascii="Times New Roman" w:hAnsi="Times New Roman" w:eastAsia="宋体" w:cs="Times New Roman"/>
                <w:b/>
                <w:bCs w:val="0"/>
                <w:color w:val="auto"/>
                <w:sz w:val="21"/>
                <w:szCs w:val="21"/>
                <w:highlight w:val="none"/>
              </w:rPr>
              <w:t>排放</w:t>
            </w:r>
            <w:r>
              <w:rPr>
                <w:rFonts w:hint="default" w:ascii="Times New Roman" w:hAnsi="Times New Roman" w:eastAsia="宋体" w:cs="Times New Roman"/>
                <w:b/>
                <w:bCs/>
                <w:color w:val="auto"/>
                <w:sz w:val="21"/>
                <w:szCs w:val="21"/>
                <w:highlight w:val="none"/>
              </w:rPr>
              <w:t>标准</w:t>
            </w:r>
            <w:r>
              <w:rPr>
                <w:rFonts w:hint="default" w:ascii="Times New Roman" w:hAnsi="Times New Roman" w:eastAsia="宋体" w:cs="Times New Roman"/>
                <w:b/>
                <w:bCs/>
                <w:color w:val="auto"/>
                <w:sz w:val="21"/>
                <w:szCs w:val="21"/>
                <w:highlight w:val="none"/>
                <w:lang w:val="en-US" w:eastAsia="zh-CN"/>
              </w:rPr>
              <w:t>限值</w:t>
            </w:r>
          </w:p>
          <w:tbl>
            <w:tblPr>
              <w:tblStyle w:val="29"/>
              <w:tblW w:w="5000" w:type="pct"/>
              <w:jc w:val="center"/>
              <w:tblBorders>
                <w:top w:val="single" w:color="auto" w:sz="8" w:space="0"/>
                <w:left w:val="none" w:color="auto" w:sz="6" w:space="0"/>
                <w:bottom w:val="single" w:color="auto" w:sz="8"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4128"/>
              <w:gridCol w:w="2377"/>
            </w:tblGrid>
            <w:tr w14:paraId="74831FFA">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1" w:type="pct"/>
                  <w:tcBorders>
                    <w:top w:val="single" w:color="auto" w:sz="8" w:space="0"/>
                    <w:left w:val="single" w:color="auto" w:sz="4" w:space="0"/>
                    <w:right w:val="single" w:color="auto" w:sz="4" w:space="0"/>
                  </w:tcBorders>
                  <w:noWrap w:val="0"/>
                  <w:vAlign w:val="center"/>
                </w:tcPr>
                <w:p w14:paraId="5C57E9E2">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0" w:right="0" w:hanging="422" w:hangingChars="200"/>
                    <w:jc w:val="center"/>
                    <w:rPr>
                      <w:rFonts w:hint="default" w:ascii="Times New Roman" w:hAnsi="Times New Roman" w:eastAsia="宋体" w:cs="Times New Roman"/>
                      <w:b/>
                      <w:bCs/>
                      <w:smallCaps w:val="0"/>
                      <w:color w:val="auto"/>
                      <w:sz w:val="21"/>
                      <w:szCs w:val="21"/>
                      <w:highlight w:val="none"/>
                      <w:lang w:val="en-US"/>
                    </w:rPr>
                  </w:pPr>
                  <w:r>
                    <w:rPr>
                      <w:rFonts w:hint="default" w:ascii="Times New Roman" w:hAnsi="Times New Roman" w:eastAsia="宋体" w:cs="Times New Roman"/>
                      <w:b/>
                      <w:bCs/>
                      <w:smallCaps w:val="0"/>
                      <w:color w:val="auto"/>
                      <w:kern w:val="2"/>
                      <w:sz w:val="21"/>
                      <w:szCs w:val="21"/>
                      <w:highlight w:val="none"/>
                      <w:lang w:val="en-US" w:eastAsia="zh-CN" w:bidi="ar"/>
                    </w:rPr>
                    <w:t>污染物</w:t>
                  </w:r>
                </w:p>
              </w:tc>
              <w:tc>
                <w:tcPr>
                  <w:tcW w:w="2588" w:type="pct"/>
                  <w:tcBorders>
                    <w:top w:val="single" w:color="auto" w:sz="8" w:space="0"/>
                    <w:left w:val="single" w:color="auto" w:sz="4" w:space="0"/>
                    <w:bottom w:val="single" w:color="auto" w:sz="4" w:space="0"/>
                    <w:right w:val="single" w:color="auto" w:sz="4" w:space="0"/>
                  </w:tcBorders>
                  <w:noWrap w:val="0"/>
                  <w:vAlign w:val="center"/>
                </w:tcPr>
                <w:p w14:paraId="3A66BB48">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bCs/>
                      <w:smallCaps w:val="0"/>
                      <w:color w:val="auto"/>
                      <w:kern w:val="2"/>
                      <w:sz w:val="21"/>
                      <w:szCs w:val="21"/>
                      <w:highlight w:val="none"/>
                      <w:lang w:val="en-US" w:eastAsia="zh-CN" w:bidi="ar"/>
                    </w:rPr>
                  </w:pPr>
                  <w:r>
                    <w:rPr>
                      <w:rFonts w:hint="default" w:ascii="Times New Roman" w:hAnsi="Times New Roman" w:eastAsia="宋体" w:cs="Times New Roman"/>
                      <w:b/>
                      <w:bCs/>
                      <w:smallCaps w:val="0"/>
                      <w:color w:val="auto"/>
                      <w:kern w:val="2"/>
                      <w:sz w:val="21"/>
                      <w:szCs w:val="21"/>
                      <w:highlight w:val="none"/>
                      <w:lang w:val="en-US" w:eastAsia="zh-CN" w:bidi="ar"/>
                    </w:rPr>
                    <w:t>无组织排放监控浓度限值（mg/m</w:t>
                  </w:r>
                  <w:r>
                    <w:rPr>
                      <w:rFonts w:hint="default" w:ascii="Times New Roman" w:hAnsi="Times New Roman" w:eastAsia="宋体" w:cs="Times New Roman"/>
                      <w:b/>
                      <w:bCs/>
                      <w:smallCaps w:val="0"/>
                      <w:color w:val="auto"/>
                      <w:kern w:val="2"/>
                      <w:sz w:val="21"/>
                      <w:szCs w:val="21"/>
                      <w:highlight w:val="none"/>
                      <w:vertAlign w:val="superscript"/>
                      <w:lang w:val="en-US" w:eastAsia="zh-CN" w:bidi="ar"/>
                    </w:rPr>
                    <w:t>3</w:t>
                  </w:r>
                  <w:r>
                    <w:rPr>
                      <w:rFonts w:hint="default" w:ascii="Times New Roman" w:hAnsi="Times New Roman" w:eastAsia="宋体" w:cs="Times New Roman"/>
                      <w:b/>
                      <w:bCs/>
                      <w:smallCaps w:val="0"/>
                      <w:color w:val="auto"/>
                      <w:kern w:val="2"/>
                      <w:sz w:val="21"/>
                      <w:szCs w:val="21"/>
                      <w:highlight w:val="none"/>
                      <w:lang w:val="en-US" w:eastAsia="zh-CN" w:bidi="ar"/>
                    </w:rPr>
                    <w:t>）</w:t>
                  </w:r>
                </w:p>
              </w:tc>
              <w:tc>
                <w:tcPr>
                  <w:tcW w:w="1490" w:type="pct"/>
                  <w:tcBorders>
                    <w:top w:val="single" w:color="auto" w:sz="8" w:space="0"/>
                    <w:left w:val="single" w:color="auto" w:sz="4" w:space="0"/>
                    <w:right w:val="single" w:color="auto" w:sz="4" w:space="0"/>
                  </w:tcBorders>
                  <w:noWrap w:val="0"/>
                  <w:vAlign w:val="center"/>
                </w:tcPr>
                <w:p w14:paraId="727D77D2">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b/>
                      <w:bCs/>
                      <w:smallCaps w:val="0"/>
                      <w:color w:val="auto"/>
                      <w:kern w:val="2"/>
                      <w:sz w:val="21"/>
                      <w:szCs w:val="21"/>
                      <w:highlight w:val="none"/>
                      <w:lang w:val="en-US" w:eastAsia="zh-CN" w:bidi="ar"/>
                    </w:rPr>
                    <w:t>执行标准</w:t>
                  </w:r>
                </w:p>
              </w:tc>
            </w:tr>
            <w:tr w14:paraId="478F6884">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47A47E">
                  <w:pPr>
                    <w:keepNext w:val="0"/>
                    <w:keepLines w:val="0"/>
                    <w:pageBreakBefore w:val="0"/>
                    <w:kinsoku/>
                    <w:wordWrap/>
                    <w:overflowPunct/>
                    <w:topLinePunct/>
                    <w:autoSpaceDE w:val="0"/>
                    <w:autoSpaceDN/>
                    <w:bidi w:val="0"/>
                    <w:spacing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颗粒物</w:t>
                  </w:r>
                </w:p>
              </w:tc>
              <w:tc>
                <w:tcPr>
                  <w:tcW w:w="25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471FB4">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420" w:leftChars="0" w:right="0" w:rightChars="0" w:hanging="420" w:hangingChars="200"/>
                    <w:jc w:val="center"/>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smallCaps w:val="0"/>
                      <w:color w:val="auto"/>
                      <w:kern w:val="2"/>
                      <w:sz w:val="21"/>
                      <w:szCs w:val="21"/>
                      <w:highlight w:val="none"/>
                      <w:lang w:val="en-US" w:eastAsia="zh-CN" w:bidi="ar"/>
                    </w:rPr>
                    <w:t>1.0（周界外浓度最高点）</w:t>
                  </w:r>
                </w:p>
              </w:tc>
              <w:tc>
                <w:tcPr>
                  <w:tcW w:w="1490" w:type="pct"/>
                  <w:vMerge w:val="restart"/>
                  <w:tcBorders>
                    <w:left w:val="single" w:color="auto" w:sz="4" w:space="0"/>
                    <w:right w:val="single" w:color="auto" w:sz="4" w:space="0"/>
                  </w:tcBorders>
                  <w:noWrap w:val="0"/>
                  <w:vAlign w:val="center"/>
                </w:tcPr>
                <w:p w14:paraId="7475CA74">
                  <w:pPr>
                    <w:pStyle w:val="26"/>
                    <w:keepNext w:val="0"/>
                    <w:keepLines w:val="0"/>
                    <w:pageBreakBefore w:val="0"/>
                    <w:widowControl w:val="0"/>
                    <w:suppressLineNumbers w:val="0"/>
                    <w:kinsoku/>
                    <w:wordWrap/>
                    <w:overflowPunct/>
                    <w:topLinePunct/>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《大气污染物综合排放标准》（GB16297-1996）表2中无组织排放监控浓度限值</w:t>
                  </w:r>
                </w:p>
              </w:tc>
            </w:tr>
            <w:tr w14:paraId="4B83E047">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1" w:type="pct"/>
                  <w:tcBorders>
                    <w:top w:val="single" w:color="auto" w:sz="4" w:space="0"/>
                    <w:left w:val="single" w:color="auto" w:sz="4" w:space="0"/>
                    <w:bottom w:val="single" w:color="auto" w:sz="4" w:space="0"/>
                    <w:right w:val="single" w:color="auto" w:sz="4" w:space="0"/>
                  </w:tcBorders>
                  <w:noWrap w:val="0"/>
                  <w:vAlign w:val="center"/>
                </w:tcPr>
                <w:p w14:paraId="5D19E3C8">
                  <w:pPr>
                    <w:keepNext w:val="0"/>
                    <w:keepLines w:val="0"/>
                    <w:pageBreakBefore w:val="0"/>
                    <w:kinsoku/>
                    <w:wordWrap/>
                    <w:overflowPunct/>
                    <w:topLinePunct/>
                    <w:autoSpaceDE w:val="0"/>
                    <w:autoSpaceDN/>
                    <w:bidi w:val="0"/>
                    <w:spacing w:line="240" w:lineRule="auto"/>
                    <w:ind w:left="0" w:right="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HCl</w:t>
                  </w:r>
                </w:p>
              </w:tc>
              <w:tc>
                <w:tcPr>
                  <w:tcW w:w="2588" w:type="pct"/>
                  <w:tcBorders>
                    <w:top w:val="single" w:color="auto" w:sz="4" w:space="0"/>
                    <w:left w:val="single" w:color="auto" w:sz="4" w:space="0"/>
                    <w:bottom w:val="single" w:color="auto" w:sz="4" w:space="0"/>
                    <w:right w:val="single" w:color="auto" w:sz="4" w:space="0"/>
                  </w:tcBorders>
                  <w:noWrap w:val="0"/>
                  <w:vAlign w:val="center"/>
                </w:tcPr>
                <w:p w14:paraId="647C6091">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420" w:leftChars="0" w:right="0" w:rightChars="0" w:hanging="420" w:hangingChars="200"/>
                    <w:jc w:val="center"/>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smallCaps w:val="0"/>
                      <w:color w:val="auto"/>
                      <w:kern w:val="2"/>
                      <w:sz w:val="21"/>
                      <w:szCs w:val="21"/>
                      <w:highlight w:val="none"/>
                      <w:lang w:val="en-US" w:eastAsia="zh-CN" w:bidi="ar"/>
                    </w:rPr>
                    <w:t>0.2（周界外浓度最高点）</w:t>
                  </w:r>
                </w:p>
              </w:tc>
              <w:tc>
                <w:tcPr>
                  <w:tcW w:w="1490" w:type="pct"/>
                  <w:vMerge w:val="continue"/>
                  <w:tcBorders>
                    <w:left w:val="single" w:color="auto" w:sz="4" w:space="0"/>
                    <w:right w:val="single" w:color="auto" w:sz="4" w:space="0"/>
                  </w:tcBorders>
                  <w:noWrap w:val="0"/>
                  <w:vAlign w:val="center"/>
                </w:tcPr>
                <w:p w14:paraId="7937B23B">
                  <w:pPr>
                    <w:pStyle w:val="26"/>
                    <w:keepNext w:val="0"/>
                    <w:keepLines w:val="0"/>
                    <w:pageBreakBefore w:val="0"/>
                    <w:widowControl w:val="0"/>
                    <w:suppressLineNumbers w:val="0"/>
                    <w:kinsoku/>
                    <w:wordWrap/>
                    <w:overflowPunct/>
                    <w:topLinePunct/>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3E9910F3">
              <w:tblPrEx>
                <w:tblBorders>
                  <w:top w:val="single" w:color="auto" w:sz="8" w:space="0"/>
                  <w:left w:val="none" w:color="auto" w:sz="6" w:space="0"/>
                  <w:bottom w:val="single" w:color="auto" w:sz="8"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5F9797">
                  <w:pPr>
                    <w:keepNext w:val="0"/>
                    <w:keepLines w:val="0"/>
                    <w:pageBreakBefore w:val="0"/>
                    <w:kinsoku/>
                    <w:wordWrap/>
                    <w:overflowPunct/>
                    <w:topLinePunct/>
                    <w:autoSpaceDE w:val="0"/>
                    <w:autoSpaceDN/>
                    <w:bidi w:val="0"/>
                    <w:spacing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非甲烷总烃</w:t>
                  </w:r>
                </w:p>
              </w:tc>
              <w:tc>
                <w:tcPr>
                  <w:tcW w:w="25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74A413">
                  <w:pPr>
                    <w:pStyle w:val="26"/>
                    <w:keepNext w:val="0"/>
                    <w:keepLines w:val="0"/>
                    <w:pageBreakBefore w:val="0"/>
                    <w:widowControl w:val="0"/>
                    <w:suppressLineNumbers w:val="0"/>
                    <w:kinsoku/>
                    <w:wordWrap/>
                    <w:overflowPunct/>
                    <w:topLinePunct/>
                    <w:autoSpaceDE w:val="0"/>
                    <w:autoSpaceDN/>
                    <w:bidi w:val="0"/>
                    <w:spacing w:before="0" w:beforeAutospacing="0" w:after="0" w:afterAutospacing="0" w:line="240" w:lineRule="auto"/>
                    <w:ind w:left="420" w:leftChars="0" w:right="0" w:rightChars="0" w:hanging="420" w:hangingChars="200"/>
                    <w:jc w:val="center"/>
                    <w:rPr>
                      <w:rFonts w:hint="default" w:ascii="Times New Roman" w:hAnsi="Times New Roman" w:eastAsia="宋体" w:cs="Times New Roman"/>
                      <w:smallCaps w:val="0"/>
                      <w:color w:val="auto"/>
                      <w:kern w:val="2"/>
                      <w:sz w:val="21"/>
                      <w:szCs w:val="21"/>
                      <w:highlight w:val="none"/>
                      <w:lang w:val="en-US" w:eastAsia="zh-CN" w:bidi="ar"/>
                    </w:rPr>
                  </w:pPr>
                  <w:r>
                    <w:rPr>
                      <w:rFonts w:hint="default" w:ascii="Times New Roman" w:hAnsi="Times New Roman" w:eastAsia="宋体" w:cs="Times New Roman"/>
                      <w:smallCaps w:val="0"/>
                      <w:color w:val="auto"/>
                      <w:kern w:val="2"/>
                      <w:sz w:val="21"/>
                      <w:szCs w:val="21"/>
                      <w:highlight w:val="none"/>
                      <w:lang w:val="en-US" w:eastAsia="zh-CN" w:bidi="ar"/>
                    </w:rPr>
                    <w:t>4.0（周界外浓度最高点）</w:t>
                  </w:r>
                </w:p>
              </w:tc>
              <w:tc>
                <w:tcPr>
                  <w:tcW w:w="1490" w:type="pct"/>
                  <w:vMerge w:val="continue"/>
                  <w:tcBorders>
                    <w:left w:val="single" w:color="auto" w:sz="4" w:space="0"/>
                    <w:right w:val="single" w:color="auto" w:sz="4" w:space="0"/>
                  </w:tcBorders>
                  <w:noWrap w:val="0"/>
                  <w:vAlign w:val="center"/>
                </w:tcPr>
                <w:p w14:paraId="35C10987">
                  <w:pPr>
                    <w:pStyle w:val="26"/>
                    <w:keepNext w:val="0"/>
                    <w:keepLines w:val="0"/>
                    <w:pageBreakBefore w:val="0"/>
                    <w:widowControl w:val="0"/>
                    <w:suppressLineNumbers w:val="0"/>
                    <w:kinsoku/>
                    <w:wordWrap/>
                    <w:overflowPunct/>
                    <w:topLinePunct/>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14:paraId="700C2242">
            <w:pPr>
              <w:keepNext w:val="0"/>
              <w:keepLines w:val="0"/>
              <w:pageBreakBefore w:val="0"/>
              <w:widowControl/>
              <w:kinsoku/>
              <w:wordWrap/>
              <w:overflowPunct/>
              <w:topLinePunct/>
              <w:autoSpaceDE w:val="0"/>
              <w:autoSpaceDN/>
              <w:bidi w:val="0"/>
              <w:adjustRightInd/>
              <w:snapToGrid/>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项目厂界区内无组织废气（VOCs）执行《挥发性有机物无组织排放控制标准》（GB37822-2019）中表A.1厂内VOCs无组织排放限值。 </w:t>
            </w:r>
          </w:p>
          <w:p w14:paraId="5E3A0DEF">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 xml:space="preserve">3-8  </w:t>
            </w:r>
            <w:r>
              <w:rPr>
                <w:rFonts w:hint="default" w:ascii="Times New Roman" w:hAnsi="Times New Roman" w:eastAsia="宋体" w:cs="Times New Roman"/>
                <w:b/>
                <w:bCs/>
                <w:caps w:val="0"/>
                <w:smallCaps w:val="0"/>
                <w:color w:val="auto"/>
                <w:sz w:val="21"/>
                <w:szCs w:val="21"/>
                <w:highlight w:val="none"/>
              </w:rPr>
              <w:t xml:space="preserve">厂区内VOCS无组织排放限值 </w:t>
            </w:r>
            <w:r>
              <w:rPr>
                <w:rFonts w:hint="default" w:ascii="Times New Roman" w:hAnsi="Times New Roman" w:eastAsia="宋体" w:cs="Times New Roman"/>
                <w:b/>
                <w:bCs/>
                <w:caps w:val="0"/>
                <w:smallCaps w:val="0"/>
                <w:color w:val="auto"/>
                <w:sz w:val="21"/>
                <w:szCs w:val="21"/>
                <w:highlight w:val="none"/>
                <w:lang w:val="en-US" w:eastAsia="zh-CN"/>
              </w:rPr>
              <w:t xml:space="preserve"> </w:t>
            </w:r>
            <w:r>
              <w:rPr>
                <w:rFonts w:hint="default" w:ascii="Times New Roman" w:hAnsi="Times New Roman" w:eastAsia="宋体" w:cs="Times New Roman"/>
                <w:b/>
                <w:bCs/>
                <w:caps w:val="0"/>
                <w:smallCaps w:val="0"/>
                <w:color w:val="auto"/>
                <w:sz w:val="21"/>
                <w:szCs w:val="21"/>
                <w:highlight w:val="none"/>
              </w:rPr>
              <w:t>单位：mg/m</w:t>
            </w:r>
            <w:r>
              <w:rPr>
                <w:rFonts w:hint="default" w:ascii="Times New Roman" w:hAnsi="Times New Roman" w:eastAsia="宋体" w:cs="Times New Roman"/>
                <w:b/>
                <w:bCs/>
                <w:caps w:val="0"/>
                <w:smallCaps w:val="0"/>
                <w:color w:val="auto"/>
                <w:sz w:val="21"/>
                <w:szCs w:val="21"/>
                <w:highlight w:val="none"/>
                <w:vertAlign w:val="superscript"/>
              </w:rPr>
              <w:t>3</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519"/>
              <w:gridCol w:w="2814"/>
              <w:gridCol w:w="2142"/>
            </w:tblGrid>
            <w:tr w14:paraId="2EE0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dxa"/>
                  <w:noWrap w:val="0"/>
                  <w:vAlign w:val="center"/>
                </w:tcPr>
                <w:p w14:paraId="1F4DC518">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519" w:type="dxa"/>
                  <w:noWrap w:val="0"/>
                  <w:vAlign w:val="center"/>
                </w:tcPr>
                <w:p w14:paraId="04517AA4">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排放限值</w:t>
                  </w:r>
                </w:p>
              </w:tc>
              <w:tc>
                <w:tcPr>
                  <w:tcW w:w="2814" w:type="dxa"/>
                  <w:noWrap w:val="0"/>
                  <w:vAlign w:val="center"/>
                </w:tcPr>
                <w:p w14:paraId="4465626A">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2142" w:type="dxa"/>
                  <w:noWrap w:val="0"/>
                  <w:vAlign w:val="center"/>
                </w:tcPr>
                <w:p w14:paraId="54A6FCD4">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无组织排放监控点</w:t>
                  </w:r>
                </w:p>
              </w:tc>
            </w:tr>
            <w:tr w14:paraId="07F5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dxa"/>
                  <w:vMerge w:val="restart"/>
                  <w:noWrap w:val="0"/>
                  <w:vAlign w:val="center"/>
                </w:tcPr>
                <w:p w14:paraId="5B2B517A">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1519" w:type="dxa"/>
                  <w:noWrap w:val="0"/>
                  <w:vAlign w:val="center"/>
                </w:tcPr>
                <w:p w14:paraId="01A25DDB">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814" w:type="dxa"/>
                  <w:noWrap w:val="0"/>
                  <w:vAlign w:val="center"/>
                </w:tcPr>
                <w:p w14:paraId="19B98AEF">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监控点外1h平均浓度</w:t>
                  </w:r>
                </w:p>
              </w:tc>
              <w:tc>
                <w:tcPr>
                  <w:tcW w:w="2142" w:type="dxa"/>
                  <w:vMerge w:val="restart"/>
                  <w:noWrap w:val="0"/>
                  <w:vAlign w:val="center"/>
                </w:tcPr>
                <w:p w14:paraId="300EDD89">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730D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dxa"/>
                  <w:vMerge w:val="continue"/>
                  <w:noWrap w:val="0"/>
                  <w:vAlign w:val="center"/>
                </w:tcPr>
                <w:p w14:paraId="74639275">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p>
              </w:tc>
              <w:tc>
                <w:tcPr>
                  <w:tcW w:w="1519" w:type="dxa"/>
                  <w:noWrap w:val="0"/>
                  <w:vAlign w:val="center"/>
                </w:tcPr>
                <w:p w14:paraId="1AD6FBAE">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2814" w:type="dxa"/>
                  <w:noWrap w:val="0"/>
                  <w:vAlign w:val="center"/>
                </w:tcPr>
                <w:p w14:paraId="04259AC5">
                  <w:pPr>
                    <w:pStyle w:val="36"/>
                    <w:keepNext w:val="0"/>
                    <w:keepLines w:val="0"/>
                    <w:pageBreakBefore w:val="0"/>
                    <w:widowControl w:val="0"/>
                    <w:kinsoku/>
                    <w:wordWrap/>
                    <w:overflowPunct/>
                    <w:topLinePunct/>
                    <w:autoSpaceDE w:val="0"/>
                    <w:autoSpaceDN/>
                    <w:bidi w:val="0"/>
                    <w:adjustRightInd w:val="0"/>
                    <w:snapToGrid/>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2142" w:type="dxa"/>
                  <w:vMerge w:val="continue"/>
                  <w:noWrap w:val="0"/>
                  <w:vAlign w:val="center"/>
                </w:tcPr>
                <w:p w14:paraId="3DE9AAAE">
                  <w:pPr>
                    <w:pStyle w:val="36"/>
                    <w:keepNext w:val="0"/>
                    <w:keepLines w:val="0"/>
                    <w:pageBreakBefore w:val="0"/>
                    <w:kinsoku/>
                    <w:wordWrap/>
                    <w:overflowPunct/>
                    <w:topLinePunct/>
                    <w:autoSpaceDE w:val="0"/>
                    <w:autoSpaceDN/>
                    <w:bidi w:val="0"/>
                    <w:adjustRightInd w:val="0"/>
                    <w:spacing w:line="240" w:lineRule="auto"/>
                    <w:ind w:left="0" w:right="0" w:firstLine="0" w:firstLineChars="0"/>
                    <w:textAlignment w:val="baseline"/>
                    <w:rPr>
                      <w:rFonts w:hint="default" w:ascii="Times New Roman" w:hAnsi="Times New Roman" w:eastAsia="宋体" w:cs="Times New Roman"/>
                      <w:color w:val="auto"/>
                      <w:sz w:val="21"/>
                      <w:szCs w:val="21"/>
                      <w:highlight w:val="none"/>
                    </w:rPr>
                  </w:pPr>
                </w:p>
              </w:tc>
            </w:tr>
          </w:tbl>
          <w:p w14:paraId="71BA3ADE">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生化污水处理站废气执行《恶臭污染物排放标准》（GB14554-93）表1恶臭污染物厂界标准值。</w:t>
            </w:r>
          </w:p>
          <w:p w14:paraId="18A5670C">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aps w:val="0"/>
                <w:smallCaps w:val="0"/>
                <w:color w:val="auto"/>
                <w:sz w:val="21"/>
                <w:szCs w:val="21"/>
                <w:highlight w:val="none"/>
              </w:rPr>
            </w:pPr>
            <w:r>
              <w:rPr>
                <w:rFonts w:hint="default" w:ascii="Times New Roman" w:hAnsi="Times New Roman" w:eastAsia="宋体" w:cs="Times New Roman"/>
                <w:b/>
                <w:bCs w:val="0"/>
                <w:caps w:val="0"/>
                <w:smallCaps w:val="0"/>
                <w:color w:val="auto"/>
                <w:sz w:val="21"/>
                <w:szCs w:val="21"/>
                <w:highlight w:val="none"/>
              </w:rPr>
              <w:t>表</w:t>
            </w:r>
            <w:r>
              <w:rPr>
                <w:rFonts w:hint="default" w:ascii="Times New Roman" w:hAnsi="Times New Roman" w:eastAsia="宋体" w:cs="Times New Roman"/>
                <w:b/>
                <w:bCs w:val="0"/>
                <w:caps w:val="0"/>
                <w:smallCaps w:val="0"/>
                <w:color w:val="auto"/>
                <w:sz w:val="21"/>
                <w:szCs w:val="21"/>
                <w:highlight w:val="none"/>
                <w:lang w:val="en-US" w:eastAsia="zh-CN"/>
              </w:rPr>
              <w:t xml:space="preserve">3-9  </w:t>
            </w:r>
            <w:r>
              <w:rPr>
                <w:rFonts w:hint="default" w:ascii="Times New Roman" w:hAnsi="Times New Roman" w:eastAsia="宋体" w:cs="Times New Roman"/>
                <w:b/>
                <w:bCs w:val="0"/>
                <w:caps w:val="0"/>
                <w:smallCaps w:val="0"/>
                <w:color w:val="auto"/>
                <w:sz w:val="21"/>
                <w:szCs w:val="21"/>
                <w:highlight w:val="none"/>
              </w:rPr>
              <w:t>恶臭污染物排放标准</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4"/>
              <w:gridCol w:w="2656"/>
            </w:tblGrid>
            <w:tr w14:paraId="2665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14:paraId="3BB75430">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控制项目</w:t>
                  </w:r>
                </w:p>
              </w:tc>
              <w:tc>
                <w:tcPr>
                  <w:tcW w:w="1666" w:type="pct"/>
                  <w:noWrap w:val="0"/>
                  <w:vAlign w:val="center"/>
                </w:tcPr>
                <w:p w14:paraId="40F2C90F">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单位</w:t>
                  </w:r>
                </w:p>
              </w:tc>
              <w:tc>
                <w:tcPr>
                  <w:tcW w:w="1667" w:type="pct"/>
                  <w:noWrap w:val="0"/>
                  <w:vAlign w:val="center"/>
                </w:tcPr>
                <w:p w14:paraId="18E263B1">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标准值</w:t>
                  </w:r>
                </w:p>
              </w:tc>
            </w:tr>
            <w:tr w14:paraId="64A3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14:paraId="1B1B2860">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氨</w:t>
                  </w:r>
                </w:p>
              </w:tc>
              <w:tc>
                <w:tcPr>
                  <w:tcW w:w="1666" w:type="pct"/>
                  <w:noWrap w:val="0"/>
                  <w:vAlign w:val="center"/>
                </w:tcPr>
                <w:p w14:paraId="4FC05277">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1667" w:type="pct"/>
                  <w:noWrap w:val="0"/>
                  <w:vAlign w:val="center"/>
                </w:tcPr>
                <w:p w14:paraId="38341EE1">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1.5</w:t>
                  </w:r>
                </w:p>
              </w:tc>
            </w:tr>
            <w:tr w14:paraId="1C6E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14:paraId="2D782144">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硫化氢</w:t>
                  </w:r>
                </w:p>
              </w:tc>
              <w:tc>
                <w:tcPr>
                  <w:tcW w:w="1666" w:type="pct"/>
                  <w:noWrap w:val="0"/>
                  <w:vAlign w:val="center"/>
                </w:tcPr>
                <w:p w14:paraId="014143F5">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1667" w:type="pct"/>
                  <w:noWrap w:val="0"/>
                  <w:vAlign w:val="center"/>
                </w:tcPr>
                <w:p w14:paraId="19102F32">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b w:val="0"/>
                      <w:bCs w:val="0"/>
                      <w:caps w:val="0"/>
                      <w:smallCaps w:val="0"/>
                      <w:color w:val="auto"/>
                      <w:sz w:val="21"/>
                      <w:szCs w:val="21"/>
                      <w:highlight w:val="none"/>
                      <w:lang w:val="en-US" w:eastAsia="zh-CN"/>
                    </w:rPr>
                  </w:pPr>
                  <w:r>
                    <w:rPr>
                      <w:rFonts w:hint="default" w:ascii="Times New Roman" w:hAnsi="Times New Roman" w:eastAsia="宋体" w:cs="Times New Roman"/>
                      <w:b w:val="0"/>
                      <w:bCs w:val="0"/>
                      <w:caps w:val="0"/>
                      <w:smallCaps w:val="0"/>
                      <w:color w:val="auto"/>
                      <w:sz w:val="21"/>
                      <w:szCs w:val="21"/>
                      <w:highlight w:val="none"/>
                      <w:lang w:val="en-US" w:eastAsia="zh-CN"/>
                    </w:rPr>
                    <w:t>0.06</w:t>
                  </w:r>
                </w:p>
              </w:tc>
            </w:tr>
            <w:tr w14:paraId="6DAE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14:paraId="130570DC">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臭气浓度</w:t>
                  </w:r>
                </w:p>
              </w:tc>
              <w:tc>
                <w:tcPr>
                  <w:tcW w:w="1666" w:type="pct"/>
                  <w:noWrap w:val="0"/>
                  <w:vAlign w:val="center"/>
                </w:tcPr>
                <w:p w14:paraId="709AA11F">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无量纲</w:t>
                  </w:r>
                </w:p>
              </w:tc>
              <w:tc>
                <w:tcPr>
                  <w:tcW w:w="1667" w:type="pct"/>
                  <w:noWrap w:val="0"/>
                  <w:vAlign w:val="center"/>
                </w:tcPr>
                <w:p w14:paraId="4C2C37D2">
                  <w:pPr>
                    <w:keepNext w:val="0"/>
                    <w:keepLines w:val="0"/>
                    <w:pageBreakBefore w:val="0"/>
                    <w:widowControl w:val="0"/>
                    <w:kinsoku/>
                    <w:wordWrap/>
                    <w:overflowPunct/>
                    <w:topLinePunct/>
                    <w:autoSpaceDE w:val="0"/>
                    <w:autoSpaceDN/>
                    <w:bidi w:val="0"/>
                    <w:adjustRightInd/>
                    <w:snapToGrid/>
                    <w:spacing w:line="240" w:lineRule="auto"/>
                    <w:ind w:left="0" w:right="0"/>
                    <w:jc w:val="center"/>
                    <w:textAlignment w:val="auto"/>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20</w:t>
                  </w:r>
                </w:p>
              </w:tc>
            </w:tr>
          </w:tbl>
          <w:p w14:paraId="716E27EC">
            <w:pPr>
              <w:keepNext w:val="0"/>
              <w:keepLines w:val="0"/>
              <w:pageBreakBefore w:val="0"/>
              <w:kinsoku/>
              <w:overflowPunct/>
              <w:topLinePunct/>
              <w:autoSpaceDE w:val="0"/>
              <w:bidi w:val="0"/>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③</w:t>
            </w:r>
            <w:r>
              <w:rPr>
                <w:rFonts w:hint="default" w:ascii="Times New Roman" w:hAnsi="Times New Roman" w:eastAsia="宋体" w:cs="Times New Roman"/>
                <w:b/>
                <w:bCs/>
                <w:color w:val="auto"/>
                <w:sz w:val="24"/>
                <w:szCs w:val="24"/>
                <w:highlight w:val="none"/>
              </w:rPr>
              <w:t>食堂油烟</w:t>
            </w:r>
          </w:p>
          <w:p w14:paraId="4474B0B6">
            <w:pPr>
              <w:keepNext w:val="0"/>
              <w:keepLines w:val="0"/>
              <w:pageBreakBefore w:val="0"/>
              <w:numPr>
                <w:ilvl w:val="0"/>
                <w:numId w:val="0"/>
              </w:numPr>
              <w:kinsoku/>
              <w:overflowPunct/>
              <w:topLinePunct/>
              <w:autoSpaceDE w:val="0"/>
              <w:bidi w:val="0"/>
              <w:spacing w:line="360" w:lineRule="auto"/>
              <w:ind w:firstLine="480" w:firstLineChars="200"/>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caps w:val="0"/>
                <w:smallCaps w:val="0"/>
                <w:color w:val="auto"/>
                <w:sz w:val="24"/>
                <w:highlight w:val="none"/>
                <w:lang w:val="en-US" w:eastAsia="zh-CN"/>
              </w:rPr>
              <w:t>项目食堂</w:t>
            </w:r>
            <w:r>
              <w:rPr>
                <w:rFonts w:hint="eastAsia" w:cs="Times New Roman"/>
                <w:caps w:val="0"/>
                <w:smallCaps w:val="0"/>
                <w:color w:val="auto"/>
                <w:sz w:val="24"/>
                <w:highlight w:val="none"/>
                <w:lang w:val="en-US" w:eastAsia="zh-CN"/>
              </w:rPr>
              <w:t>拟</w:t>
            </w:r>
            <w:r>
              <w:rPr>
                <w:rFonts w:hint="default" w:ascii="Times New Roman" w:hAnsi="Times New Roman" w:eastAsia="宋体" w:cs="Times New Roman"/>
                <w:caps w:val="0"/>
                <w:smallCaps w:val="0"/>
                <w:color w:val="auto"/>
                <w:sz w:val="24"/>
                <w:highlight w:val="none"/>
                <w:lang w:val="en-US" w:eastAsia="zh-CN"/>
              </w:rPr>
              <w:t>设置</w:t>
            </w:r>
            <w:r>
              <w:rPr>
                <w:rFonts w:hint="eastAsia" w:cs="Times New Roman"/>
                <w:caps w:val="0"/>
                <w:smallCaps w:val="0"/>
                <w:color w:val="auto"/>
                <w:sz w:val="24"/>
                <w:highlight w:val="none"/>
                <w:lang w:val="en-US" w:eastAsia="zh-CN"/>
              </w:rPr>
              <w:t>5</w:t>
            </w:r>
            <w:r>
              <w:rPr>
                <w:rFonts w:hint="default" w:ascii="Times New Roman" w:hAnsi="Times New Roman" w:eastAsia="宋体" w:cs="Times New Roman"/>
                <w:caps w:val="0"/>
                <w:smallCaps w:val="0"/>
                <w:color w:val="auto"/>
                <w:sz w:val="24"/>
                <w:highlight w:val="none"/>
                <w:lang w:val="en-US" w:eastAsia="zh-CN"/>
              </w:rPr>
              <w:t>个灶头，属于</w:t>
            </w:r>
            <w:r>
              <w:rPr>
                <w:rFonts w:hint="eastAsia" w:cs="Times New Roman"/>
                <w:caps w:val="0"/>
                <w:smallCaps w:val="0"/>
                <w:color w:val="auto"/>
                <w:sz w:val="24"/>
                <w:highlight w:val="none"/>
                <w:lang w:val="en-US" w:eastAsia="zh-CN"/>
              </w:rPr>
              <w:t>中</w:t>
            </w:r>
            <w:r>
              <w:rPr>
                <w:rFonts w:hint="default" w:ascii="Times New Roman" w:hAnsi="Times New Roman" w:eastAsia="宋体" w:cs="Times New Roman"/>
                <w:caps w:val="0"/>
                <w:smallCaps w:val="0"/>
                <w:color w:val="auto"/>
                <w:sz w:val="24"/>
                <w:highlight w:val="none"/>
                <w:lang w:val="en-US" w:eastAsia="zh-CN"/>
              </w:rPr>
              <w:t>型</w:t>
            </w:r>
            <w:r>
              <w:rPr>
                <w:rFonts w:hint="default" w:ascii="Times New Roman" w:hAnsi="Times New Roman" w:eastAsia="宋体" w:cs="Times New Roman"/>
                <w:caps w:val="0"/>
                <w:smallCaps w:val="0"/>
                <w:color w:val="auto"/>
                <w:sz w:val="24"/>
                <w:highlight w:val="none"/>
              </w:rPr>
              <w:t>饮食业单位</w:t>
            </w:r>
            <w:r>
              <w:rPr>
                <w:rFonts w:hint="default" w:ascii="Times New Roman" w:hAnsi="Times New Roman" w:eastAsia="宋体" w:cs="Times New Roman"/>
                <w:caps w:val="0"/>
                <w:smallCaps w:val="0"/>
                <w:color w:val="auto"/>
                <w:sz w:val="24"/>
                <w:highlight w:val="none"/>
                <w:lang w:eastAsia="zh-CN"/>
              </w:rPr>
              <w:t>，</w:t>
            </w:r>
            <w:r>
              <w:rPr>
                <w:rFonts w:hint="default" w:ascii="Times New Roman" w:hAnsi="Times New Roman" w:eastAsia="宋体" w:cs="Times New Roman"/>
                <w:caps w:val="0"/>
                <w:smallCaps w:val="0"/>
                <w:color w:val="auto"/>
                <w:sz w:val="24"/>
                <w:highlight w:val="none"/>
              </w:rPr>
              <w:t>油烟</w:t>
            </w:r>
            <w:r>
              <w:rPr>
                <w:rFonts w:hint="default" w:ascii="Times New Roman" w:hAnsi="Times New Roman" w:eastAsia="宋体" w:cs="Times New Roman"/>
                <w:caps w:val="0"/>
                <w:smallCaps w:val="0"/>
                <w:color w:val="auto"/>
                <w:sz w:val="24"/>
                <w:highlight w:val="none"/>
                <w:lang w:val="en-US" w:eastAsia="zh-CN"/>
              </w:rPr>
              <w:t>排放</w:t>
            </w:r>
            <w:r>
              <w:rPr>
                <w:rFonts w:hint="default" w:ascii="Times New Roman" w:hAnsi="Times New Roman" w:eastAsia="宋体" w:cs="Times New Roman"/>
                <w:caps w:val="0"/>
                <w:smallCaps w:val="0"/>
                <w:color w:val="auto"/>
                <w:sz w:val="24"/>
                <w:highlight w:val="none"/>
              </w:rPr>
              <w:t>执行《饮食业油烟排放标准（试行）》（GB18483-2001），油烟最高允许排放浓度</w:t>
            </w:r>
            <w:r>
              <w:rPr>
                <w:rFonts w:hint="default" w:ascii="Times New Roman" w:hAnsi="Times New Roman" w:eastAsia="宋体" w:cs="Times New Roman"/>
                <w:caps w:val="0"/>
                <w:smallCaps w:val="0"/>
                <w:color w:val="auto"/>
                <w:sz w:val="24"/>
                <w:highlight w:val="none"/>
                <w:lang w:val="en-US" w:eastAsia="zh-CN"/>
              </w:rPr>
              <w:t>及净化设施最低去除效率详</w:t>
            </w:r>
            <w:r>
              <w:rPr>
                <w:rFonts w:hint="default" w:ascii="Times New Roman" w:hAnsi="Times New Roman" w:eastAsia="宋体" w:cs="Times New Roman"/>
                <w:caps w:val="0"/>
                <w:smallCaps w:val="0"/>
                <w:color w:val="auto"/>
                <w:sz w:val="24"/>
                <w:highlight w:val="none"/>
              </w:rPr>
              <w:t>见</w:t>
            </w:r>
            <w:r>
              <w:rPr>
                <w:rFonts w:hint="default" w:ascii="Times New Roman" w:hAnsi="Times New Roman" w:eastAsia="宋体" w:cs="Times New Roman"/>
                <w:caps w:val="0"/>
                <w:smallCaps w:val="0"/>
                <w:color w:val="auto"/>
                <w:sz w:val="24"/>
                <w:highlight w:val="none"/>
                <w:lang w:val="en-US" w:eastAsia="zh-CN"/>
              </w:rPr>
              <w:t>下</w:t>
            </w:r>
            <w:r>
              <w:rPr>
                <w:rFonts w:hint="default" w:ascii="Times New Roman" w:hAnsi="Times New Roman" w:eastAsia="宋体" w:cs="Times New Roman"/>
                <w:caps w:val="0"/>
                <w:smallCaps w:val="0"/>
                <w:color w:val="auto"/>
                <w:sz w:val="24"/>
                <w:highlight w:val="none"/>
              </w:rPr>
              <w:t>表。</w:t>
            </w:r>
            <w:bookmarkStart w:id="9" w:name="_Ref21245"/>
          </w:p>
          <w:p w14:paraId="0853CA10">
            <w:pPr>
              <w:keepNext w:val="0"/>
              <w:keepLines w:val="0"/>
              <w:pageBreakBefore w:val="0"/>
              <w:widowControl w:val="0"/>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b/>
                <w:bCs w:val="0"/>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bookmarkEnd w:id="9"/>
            <w:r>
              <w:rPr>
                <w:rFonts w:hint="default" w:ascii="Times New Roman" w:hAnsi="Times New Roman" w:eastAsia="宋体" w:cs="Times New Roman"/>
                <w:b/>
                <w:bCs/>
                <w:caps w:val="0"/>
                <w:smallCaps w:val="0"/>
                <w:color w:val="auto"/>
                <w:sz w:val="21"/>
                <w:szCs w:val="21"/>
                <w:highlight w:val="none"/>
                <w:lang w:val="en-US" w:eastAsia="zh-CN"/>
              </w:rPr>
              <w:t>3-10</w:t>
            </w:r>
            <w:r>
              <w:rPr>
                <w:rFonts w:hint="default" w:ascii="Times New Roman" w:hAnsi="Times New Roman" w:eastAsia="宋体" w:cs="Times New Roman"/>
                <w:b/>
                <w:bCs w:val="0"/>
                <w:caps w:val="0"/>
                <w:smallCaps w:val="0"/>
                <w:color w:val="auto"/>
                <w:sz w:val="21"/>
                <w:szCs w:val="21"/>
                <w:highlight w:val="none"/>
              </w:rPr>
              <w:t xml:space="preserve"> </w:t>
            </w:r>
            <w:r>
              <w:rPr>
                <w:rFonts w:hint="default" w:ascii="Times New Roman" w:hAnsi="Times New Roman" w:eastAsia="宋体" w:cs="Times New Roman"/>
                <w:b/>
                <w:bCs w:val="0"/>
                <w:caps w:val="0"/>
                <w:smallCaps w:val="0"/>
                <w:color w:val="auto"/>
                <w:sz w:val="21"/>
                <w:szCs w:val="21"/>
                <w:highlight w:val="none"/>
                <w:lang w:val="en-US" w:eastAsia="zh-CN"/>
              </w:rPr>
              <w:t xml:space="preserve"> </w:t>
            </w:r>
            <w:r>
              <w:rPr>
                <w:rFonts w:hint="default" w:ascii="Times New Roman" w:hAnsi="Times New Roman" w:eastAsia="宋体" w:cs="Times New Roman"/>
                <w:b/>
                <w:bCs w:val="0"/>
                <w:caps w:val="0"/>
                <w:smallCaps w:val="0"/>
                <w:color w:val="auto"/>
                <w:sz w:val="21"/>
                <w:szCs w:val="21"/>
                <w:highlight w:val="none"/>
              </w:rPr>
              <w:t>饮食业油烟排放标准（试行）</w:t>
            </w:r>
          </w:p>
          <w:tbl>
            <w:tblPr>
              <w:tblStyle w:val="29"/>
              <w:tblW w:w="5000" w:type="pct"/>
              <w:jc w:val="center"/>
              <w:tblLayout w:type="fixed"/>
              <w:tblCellMar>
                <w:top w:w="0" w:type="dxa"/>
                <w:left w:w="0" w:type="dxa"/>
                <w:bottom w:w="0" w:type="dxa"/>
                <w:right w:w="0" w:type="dxa"/>
              </w:tblCellMar>
            </w:tblPr>
            <w:tblGrid>
              <w:gridCol w:w="3169"/>
              <w:gridCol w:w="1751"/>
              <w:gridCol w:w="1551"/>
              <w:gridCol w:w="1503"/>
            </w:tblGrid>
            <w:tr w14:paraId="4FEFA52E">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14:paraId="1BFEC78B">
                  <w:pPr>
                    <w:pStyle w:val="48"/>
                    <w:keepNext w:val="0"/>
                    <w:keepLines w:val="0"/>
                    <w:pageBreakBefore w:val="0"/>
                    <w:tabs>
                      <w:tab w:val="left" w:pos="734"/>
                    </w:tabs>
                    <w:kinsoku/>
                    <w:wordWrap/>
                    <w:overflowPunct/>
                    <w:topLinePunct/>
                    <w:autoSpaceDE w:val="0"/>
                    <w:autoSpaceDN/>
                    <w:bidi w:val="0"/>
                    <w:spacing w:before="0" w:line="240" w:lineRule="auto"/>
                    <w:ind w:left="0" w:right="0"/>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规模</w:t>
                  </w:r>
                </w:p>
              </w:tc>
              <w:tc>
                <w:tcPr>
                  <w:tcW w:w="1098" w:type="pct"/>
                  <w:tcBorders>
                    <w:top w:val="single" w:color="000000" w:sz="4" w:space="0"/>
                    <w:left w:val="single" w:color="000000" w:sz="4" w:space="0"/>
                    <w:bottom w:val="single" w:color="000000" w:sz="4" w:space="0"/>
                    <w:right w:val="single" w:color="000000" w:sz="4" w:space="0"/>
                  </w:tcBorders>
                  <w:vAlign w:val="center"/>
                </w:tcPr>
                <w:p w14:paraId="74D9C8D9">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小型</w:t>
                  </w:r>
                </w:p>
              </w:tc>
              <w:tc>
                <w:tcPr>
                  <w:tcW w:w="972" w:type="pct"/>
                  <w:tcBorders>
                    <w:top w:val="single" w:color="000000" w:sz="4" w:space="0"/>
                    <w:left w:val="single" w:color="000000" w:sz="4" w:space="0"/>
                    <w:bottom w:val="single" w:color="000000" w:sz="4" w:space="0"/>
                    <w:right w:val="single" w:color="000000" w:sz="4" w:space="0"/>
                  </w:tcBorders>
                  <w:vAlign w:val="center"/>
                </w:tcPr>
                <w:p w14:paraId="5FF88424">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中型</w:t>
                  </w:r>
                </w:p>
              </w:tc>
              <w:tc>
                <w:tcPr>
                  <w:tcW w:w="940" w:type="pct"/>
                  <w:tcBorders>
                    <w:top w:val="single" w:color="000000" w:sz="4" w:space="0"/>
                    <w:left w:val="single" w:color="000000" w:sz="4" w:space="0"/>
                    <w:bottom w:val="single" w:color="000000" w:sz="4" w:space="0"/>
                    <w:right w:val="single" w:color="000000" w:sz="4" w:space="0"/>
                  </w:tcBorders>
                  <w:vAlign w:val="center"/>
                </w:tcPr>
                <w:p w14:paraId="162DCCA6">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大型</w:t>
                  </w:r>
                </w:p>
              </w:tc>
            </w:tr>
            <w:tr w14:paraId="7C1A6389">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14:paraId="77D148A6">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最高允许排放浓度（mg/m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w:t>
                  </w:r>
                </w:p>
              </w:tc>
              <w:tc>
                <w:tcPr>
                  <w:tcW w:w="3012" w:type="pct"/>
                  <w:gridSpan w:val="3"/>
                  <w:tcBorders>
                    <w:top w:val="single" w:color="000000" w:sz="4" w:space="0"/>
                    <w:left w:val="single" w:color="000000" w:sz="4" w:space="0"/>
                    <w:bottom w:val="single" w:color="000000" w:sz="4" w:space="0"/>
                    <w:right w:val="single" w:color="000000" w:sz="4" w:space="0"/>
                  </w:tcBorders>
                  <w:vAlign w:val="center"/>
                </w:tcPr>
                <w:p w14:paraId="1CEA9B54">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w:t>
                  </w:r>
                </w:p>
              </w:tc>
            </w:tr>
            <w:tr w14:paraId="3A74BBB0">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14:paraId="3061F40E">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净化设施最低去除效率（%）</w:t>
                  </w:r>
                </w:p>
              </w:tc>
              <w:tc>
                <w:tcPr>
                  <w:tcW w:w="1098" w:type="pct"/>
                  <w:tcBorders>
                    <w:top w:val="single" w:color="000000" w:sz="4" w:space="0"/>
                    <w:left w:val="single" w:color="000000" w:sz="4" w:space="0"/>
                    <w:bottom w:val="single" w:color="000000" w:sz="4" w:space="0"/>
                    <w:right w:val="single" w:color="000000" w:sz="4" w:space="0"/>
                  </w:tcBorders>
                  <w:vAlign w:val="center"/>
                </w:tcPr>
                <w:p w14:paraId="19EF05D6">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60</w:t>
                  </w:r>
                </w:p>
              </w:tc>
              <w:tc>
                <w:tcPr>
                  <w:tcW w:w="972" w:type="pct"/>
                  <w:tcBorders>
                    <w:top w:val="single" w:color="000000" w:sz="4" w:space="0"/>
                    <w:left w:val="single" w:color="000000" w:sz="4" w:space="0"/>
                    <w:bottom w:val="single" w:color="000000" w:sz="4" w:space="0"/>
                    <w:right w:val="single" w:color="000000" w:sz="4" w:space="0"/>
                  </w:tcBorders>
                  <w:vAlign w:val="center"/>
                </w:tcPr>
                <w:p w14:paraId="57D54463">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75</w:t>
                  </w:r>
                </w:p>
              </w:tc>
              <w:tc>
                <w:tcPr>
                  <w:tcW w:w="940" w:type="pct"/>
                  <w:tcBorders>
                    <w:top w:val="single" w:color="000000" w:sz="4" w:space="0"/>
                    <w:left w:val="single" w:color="000000" w:sz="4" w:space="0"/>
                    <w:bottom w:val="single" w:color="000000" w:sz="4" w:space="0"/>
                    <w:right w:val="single" w:color="000000" w:sz="4" w:space="0"/>
                  </w:tcBorders>
                  <w:vAlign w:val="center"/>
                </w:tcPr>
                <w:p w14:paraId="055884E3">
                  <w:pPr>
                    <w:pStyle w:val="48"/>
                    <w:keepNext w:val="0"/>
                    <w:keepLines w:val="0"/>
                    <w:pageBreakBefore w:val="0"/>
                    <w:kinsoku/>
                    <w:wordWrap/>
                    <w:overflowPunct/>
                    <w:topLinePunct/>
                    <w:autoSpaceDE w:val="0"/>
                    <w:autoSpaceDN/>
                    <w:bidi w:val="0"/>
                    <w:spacing w:before="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85</w:t>
                  </w:r>
                </w:p>
              </w:tc>
            </w:tr>
          </w:tbl>
          <w:p w14:paraId="607FBD9B">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sz w:val="24"/>
                <w:szCs w:val="24"/>
                <w:highlight w:val="none"/>
                <w:lang w:eastAsia="zh-CN"/>
              </w:rPr>
              <w:t>水污染物排放标准</w:t>
            </w:r>
          </w:p>
          <w:p w14:paraId="3C5D7DCA">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68" w:firstLineChars="200"/>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3"/>
                <w:sz w:val="24"/>
                <w:szCs w:val="24"/>
                <w:highlight w:val="none"/>
              </w:rPr>
              <w:t>项目排水采取雨污分流体制，雨水进入项目区周围雨水管</w:t>
            </w:r>
            <w:r>
              <w:rPr>
                <w:rFonts w:hint="default" w:ascii="Times New Roman" w:hAnsi="Times New Roman" w:eastAsia="宋体" w:cs="Times New Roman"/>
                <w:color w:val="auto"/>
                <w:spacing w:val="-4"/>
                <w:sz w:val="24"/>
                <w:szCs w:val="24"/>
                <w:highlight w:val="none"/>
              </w:rPr>
              <w:t>网。项目产</w:t>
            </w:r>
            <w:r>
              <w:rPr>
                <w:rFonts w:hint="default" w:ascii="Times New Roman" w:hAnsi="Times New Roman" w:eastAsia="宋体" w:cs="Times New Roman"/>
                <w:color w:val="auto"/>
                <w:spacing w:val="-1"/>
                <w:sz w:val="24"/>
                <w:szCs w:val="24"/>
                <w:highlight w:val="none"/>
              </w:rPr>
              <w:t>生的废水</w:t>
            </w:r>
            <w:r>
              <w:rPr>
                <w:rFonts w:hint="default" w:ascii="Times New Roman" w:hAnsi="Times New Roman" w:eastAsia="宋体" w:cs="Times New Roman"/>
                <w:color w:val="auto"/>
                <w:spacing w:val="-3"/>
                <w:sz w:val="24"/>
                <w:szCs w:val="24"/>
                <w:highlight w:val="none"/>
              </w:rPr>
              <w:t>主要为生产废水和生活污水。</w:t>
            </w:r>
          </w:p>
          <w:p w14:paraId="00BAF123">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68" w:firstLineChars="200"/>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①</w:t>
            </w:r>
            <w:r>
              <w:rPr>
                <w:rFonts w:hint="default" w:ascii="Times New Roman" w:hAnsi="Times New Roman" w:eastAsia="宋体" w:cs="Times New Roman"/>
                <w:color w:val="auto"/>
                <w:spacing w:val="-3"/>
                <w:sz w:val="24"/>
                <w:szCs w:val="24"/>
                <w:highlight w:val="none"/>
              </w:rPr>
              <w:t>生活污水</w:t>
            </w:r>
          </w:p>
          <w:p w14:paraId="73FF66B5">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68" w:firstLineChars="200"/>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项目</w:t>
            </w:r>
            <w:r>
              <w:rPr>
                <w:rFonts w:hint="default" w:ascii="Times New Roman" w:hAnsi="Times New Roman" w:eastAsia="宋体" w:cs="Times New Roman"/>
                <w:color w:val="auto"/>
                <w:spacing w:val="-3"/>
                <w:sz w:val="24"/>
                <w:szCs w:val="24"/>
                <w:highlight w:val="none"/>
              </w:rPr>
              <w:t>食堂废水经隔油池处理后同其他生活污水一起经化粪池预处理</w:t>
            </w:r>
            <w:r>
              <w:rPr>
                <w:rFonts w:hint="eastAsia" w:cs="Times New Roman"/>
                <w:color w:val="auto"/>
                <w:spacing w:val="-3"/>
                <w:sz w:val="24"/>
                <w:szCs w:val="24"/>
                <w:highlight w:val="none"/>
                <w:lang w:eastAsia="zh-CN"/>
              </w:rPr>
              <w:t>达到</w:t>
            </w:r>
            <w:r>
              <w:rPr>
                <w:rFonts w:hint="default" w:ascii="Times New Roman" w:hAnsi="Times New Roman" w:eastAsia="宋体" w:cs="Times New Roman"/>
                <w:color w:val="auto"/>
                <w:spacing w:val="4"/>
                <w:sz w:val="24"/>
                <w:szCs w:val="24"/>
                <w:highlight w:val="none"/>
                <w:lang w:eastAsia="zh-CN"/>
              </w:rPr>
              <w:t>《污</w:t>
            </w:r>
            <w:r>
              <w:rPr>
                <w:rFonts w:hint="default" w:ascii="Times New Roman" w:hAnsi="Times New Roman" w:eastAsia="宋体" w:cs="Times New Roman"/>
                <w:color w:val="auto"/>
                <w:spacing w:val="3"/>
                <w:sz w:val="24"/>
                <w:szCs w:val="24"/>
                <w:highlight w:val="none"/>
                <w:lang w:eastAsia="zh-CN"/>
              </w:rPr>
              <w:t>水综合排放标准》（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3"/>
                <w:sz w:val="24"/>
                <w:szCs w:val="24"/>
                <w:highlight w:val="none"/>
                <w:lang w:eastAsia="zh-CN"/>
              </w:rPr>
              <w:t>8978-1996）</w:t>
            </w:r>
            <w:r>
              <w:rPr>
                <w:rFonts w:hint="default" w:ascii="Times New Roman" w:hAnsi="Times New Roman" w:eastAsia="宋体" w:cs="Times New Roman"/>
                <w:color w:val="auto"/>
                <w:spacing w:val="8"/>
                <w:sz w:val="24"/>
                <w:szCs w:val="24"/>
                <w:highlight w:val="none"/>
                <w:lang w:eastAsia="zh-CN"/>
              </w:rPr>
              <w:t>表4中三级标准限值、</w:t>
            </w:r>
            <w:r>
              <w:rPr>
                <w:rFonts w:hint="default" w:ascii="Times New Roman" w:hAnsi="Times New Roman" w:eastAsia="宋体" w:cs="Times New Roman"/>
                <w:color w:val="auto"/>
                <w:spacing w:val="6"/>
                <w:sz w:val="24"/>
                <w:szCs w:val="24"/>
                <w:highlight w:val="none"/>
                <w:lang w:eastAsia="zh-CN"/>
              </w:rPr>
              <w:t>《污水排入城</w:t>
            </w:r>
            <w:r>
              <w:rPr>
                <w:rFonts w:hint="default" w:ascii="Times New Roman" w:hAnsi="Times New Roman" w:eastAsia="宋体" w:cs="Times New Roman"/>
                <w:color w:val="auto"/>
                <w:spacing w:val="9"/>
                <w:sz w:val="24"/>
                <w:szCs w:val="24"/>
                <w:highlight w:val="none"/>
                <w:lang w:eastAsia="zh-CN"/>
              </w:rPr>
              <w:t>镇下水道水质标准》（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9"/>
                <w:sz w:val="24"/>
                <w:szCs w:val="24"/>
                <w:highlight w:val="none"/>
                <w:lang w:eastAsia="zh-CN"/>
              </w:rPr>
              <w:t>/T31962-2015）中A级标准</w:t>
            </w:r>
            <w:r>
              <w:rPr>
                <w:rFonts w:hint="default" w:ascii="Times New Roman" w:hAnsi="Times New Roman" w:eastAsia="宋体" w:cs="Times New Roman"/>
                <w:color w:val="auto"/>
                <w:spacing w:val="-3"/>
                <w:sz w:val="24"/>
                <w:szCs w:val="24"/>
                <w:highlight w:val="none"/>
              </w:rPr>
              <w:t>及</w:t>
            </w:r>
            <w:r>
              <w:rPr>
                <w:rFonts w:hint="default" w:ascii="Times New Roman" w:hAnsi="Times New Roman" w:eastAsia="宋体" w:cs="Times New Roman"/>
                <w:color w:val="auto"/>
                <w:spacing w:val="-3"/>
                <w:sz w:val="24"/>
                <w:szCs w:val="24"/>
                <w:highlight w:val="none"/>
                <w:lang w:val="en-US" w:eastAsia="zh-CN"/>
              </w:rPr>
              <w:t>污水处理厂进水水质要求（</w:t>
            </w:r>
            <w:r>
              <w:rPr>
                <w:rFonts w:hint="default" w:ascii="Times New Roman" w:hAnsi="Times New Roman" w:eastAsia="宋体" w:cs="Times New Roman"/>
                <w:color w:val="auto"/>
                <w:sz w:val="24"/>
                <w:szCs w:val="24"/>
                <w:highlight w:val="none"/>
                <w:u w:val="none"/>
                <w:lang w:val="en-US" w:eastAsia="zh-CN"/>
              </w:rPr>
              <w:t>即7≤pH≤8、COD</w:t>
            </w:r>
            <w:r>
              <w:rPr>
                <w:rFonts w:hint="default" w:ascii="Times New Roman" w:hAnsi="Times New Roman" w:eastAsia="宋体" w:cs="Times New Roman"/>
                <w:color w:val="auto"/>
                <w:sz w:val="24"/>
                <w:szCs w:val="24"/>
                <w:highlight w:val="none"/>
                <w:u w:val="none"/>
                <w:vertAlign w:val="subscript"/>
                <w:lang w:val="en-US" w:eastAsia="zh-CN"/>
              </w:rPr>
              <w:t>Cr</w:t>
            </w:r>
            <w:r>
              <w:rPr>
                <w:rFonts w:hint="default" w:ascii="Times New Roman" w:hAnsi="Times New Roman" w:eastAsia="宋体" w:cs="Times New Roman"/>
                <w:color w:val="auto"/>
                <w:sz w:val="24"/>
                <w:szCs w:val="24"/>
                <w:highlight w:val="none"/>
                <w:u w:val="none"/>
                <w:lang w:val="en-US" w:eastAsia="zh-CN"/>
              </w:rPr>
              <w:t>≤380mg/L、BOD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≤210mg/L、SS≤200mg/L、氨氮≤35mg/L、总氮≤45mg/L、总磷≤4mg/L</w:t>
            </w:r>
            <w:r>
              <w:rPr>
                <w:rFonts w:hint="default" w:ascii="Times New Roman" w:hAnsi="Times New Roman" w:eastAsia="宋体" w:cs="Times New Roman"/>
                <w:color w:val="auto"/>
                <w:spacing w:val="-3"/>
                <w:sz w:val="24"/>
                <w:szCs w:val="24"/>
                <w:highlight w:val="none"/>
                <w:lang w:val="en-US" w:eastAsia="zh-CN"/>
              </w:rPr>
              <w:t>）后</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与去离子水制备浓水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color w:val="auto"/>
                <w:spacing w:val="-3"/>
                <w:sz w:val="24"/>
                <w:szCs w:val="24"/>
                <w:highlight w:val="none"/>
                <w:lang w:val="en-US" w:eastAsia="zh-CN"/>
              </w:rPr>
              <w:t>一起</w:t>
            </w:r>
            <w:r>
              <w:rPr>
                <w:rFonts w:hint="default" w:ascii="Times New Roman" w:hAnsi="Times New Roman" w:eastAsia="宋体" w:cs="Times New Roman"/>
                <w:color w:val="auto"/>
                <w:spacing w:val="-3"/>
                <w:sz w:val="24"/>
                <w:szCs w:val="24"/>
                <w:highlight w:val="none"/>
              </w:rPr>
              <w:t>通过废水</w:t>
            </w:r>
            <w:r>
              <w:rPr>
                <w:rFonts w:hint="default" w:ascii="Times New Roman" w:hAnsi="Times New Roman" w:eastAsia="宋体" w:cs="Times New Roman"/>
                <w:color w:val="auto"/>
                <w:spacing w:val="-3"/>
                <w:sz w:val="24"/>
                <w:szCs w:val="24"/>
                <w:highlight w:val="none"/>
                <w:lang w:val="en-US" w:eastAsia="zh-CN"/>
              </w:rPr>
              <w:t>总</w:t>
            </w:r>
            <w:r>
              <w:rPr>
                <w:rFonts w:hint="default" w:ascii="Times New Roman" w:hAnsi="Times New Roman" w:eastAsia="宋体" w:cs="Times New Roman"/>
                <w:color w:val="auto"/>
                <w:spacing w:val="-3"/>
                <w:sz w:val="24"/>
                <w:szCs w:val="24"/>
                <w:highlight w:val="none"/>
              </w:rPr>
              <w:t>排口进入</w:t>
            </w:r>
            <w:r>
              <w:rPr>
                <w:rFonts w:hint="eastAsia" w:cs="Times New Roman"/>
                <w:color w:val="auto"/>
                <w:spacing w:val="-3"/>
                <w:sz w:val="24"/>
                <w:szCs w:val="24"/>
                <w:highlight w:val="none"/>
                <w:lang w:val="en-US" w:eastAsia="zh-CN"/>
              </w:rPr>
              <w:t>排入市政管网</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最终进入</w:t>
            </w:r>
            <w:r>
              <w:rPr>
                <w:rFonts w:hint="default" w:ascii="Times New Roman" w:hAnsi="Times New Roman" w:eastAsia="宋体" w:cs="Times New Roman"/>
                <w:color w:val="auto"/>
                <w:spacing w:val="-3"/>
                <w:sz w:val="24"/>
                <w:szCs w:val="24"/>
                <w:highlight w:val="none"/>
              </w:rPr>
              <w:t>云南易门产业园区六街和麦子田片区集中式生活污水处理厂处理。</w:t>
            </w:r>
          </w:p>
          <w:p w14:paraId="16A2C78A">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68" w:firstLineChars="200"/>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3"/>
                <w:sz w:val="24"/>
                <w:szCs w:val="24"/>
                <w:highlight w:val="none"/>
                <w:lang w:val="en-US" w:eastAsia="zh-CN"/>
              </w:rPr>
              <w:t>②生产废水</w:t>
            </w:r>
          </w:p>
          <w:p w14:paraId="5C4187BB">
            <w:pPr>
              <w:pStyle w:val="28"/>
              <w:keepNext w:val="0"/>
              <w:keepLines w:val="0"/>
              <w:pageBreakBefore w:val="0"/>
              <w:widowControl w:val="0"/>
              <w:numPr>
                <w:ilvl w:val="0"/>
                <w:numId w:val="0"/>
              </w:numPr>
              <w:kinsoku/>
              <w:wordWrap/>
              <w:overflowPunct/>
              <w:topLinePunct/>
              <w:autoSpaceDE w:val="0"/>
              <w:autoSpaceDN/>
              <w:bidi w:val="0"/>
              <w:adjustRightInd/>
              <w:snapToGrid/>
              <w:spacing w:after="0" w:line="360" w:lineRule="auto"/>
              <w:ind w:left="0" w:leftChars="0" w:firstLine="468" w:firstLineChars="200"/>
              <w:textAlignment w:val="auto"/>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color w:val="auto"/>
                <w:spacing w:val="-3"/>
                <w:sz w:val="24"/>
                <w:szCs w:val="24"/>
                <w:highlight w:val="none"/>
              </w:rPr>
              <w:t>厂区</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废水、圆磨废水经处理后大部分回用于</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、圆磨工序及</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工序，小部分与其余</w:t>
            </w:r>
            <w:r>
              <w:rPr>
                <w:rFonts w:hint="default" w:ascii="Times New Roman" w:hAnsi="Times New Roman" w:eastAsia="宋体" w:cs="Times New Roman"/>
                <w:color w:val="auto"/>
                <w:spacing w:val="-3"/>
                <w:sz w:val="24"/>
                <w:szCs w:val="24"/>
                <w:highlight w:val="none"/>
                <w:lang w:val="en-US" w:eastAsia="zh-CN"/>
              </w:rPr>
              <w:t>生产</w:t>
            </w:r>
            <w:r>
              <w:rPr>
                <w:rFonts w:hint="default" w:ascii="Times New Roman" w:hAnsi="Times New Roman" w:eastAsia="宋体" w:cs="Times New Roman"/>
                <w:color w:val="auto"/>
                <w:spacing w:val="-3"/>
                <w:sz w:val="24"/>
                <w:szCs w:val="24"/>
                <w:highlight w:val="none"/>
              </w:rPr>
              <w:t>废水一起经厂区生化污水处理站处理，各指标在满足</w:t>
            </w:r>
            <w:r>
              <w:rPr>
                <w:rFonts w:hint="default" w:ascii="Times New Roman" w:hAnsi="Times New Roman" w:eastAsia="宋体" w:cs="Times New Roman"/>
                <w:color w:val="auto"/>
                <w:spacing w:val="4"/>
                <w:sz w:val="24"/>
                <w:szCs w:val="24"/>
                <w:highlight w:val="none"/>
                <w:lang w:eastAsia="zh-CN"/>
              </w:rPr>
              <w:t>《污</w:t>
            </w:r>
            <w:r>
              <w:rPr>
                <w:rFonts w:hint="default" w:ascii="Times New Roman" w:hAnsi="Times New Roman" w:eastAsia="宋体" w:cs="Times New Roman"/>
                <w:color w:val="auto"/>
                <w:spacing w:val="3"/>
                <w:sz w:val="24"/>
                <w:szCs w:val="24"/>
                <w:highlight w:val="none"/>
                <w:lang w:eastAsia="zh-CN"/>
              </w:rPr>
              <w:t>水综合排放标准》（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3"/>
                <w:sz w:val="24"/>
                <w:szCs w:val="24"/>
                <w:highlight w:val="none"/>
                <w:lang w:eastAsia="zh-CN"/>
              </w:rPr>
              <w:t>8978-1996）</w:t>
            </w:r>
            <w:r>
              <w:rPr>
                <w:rFonts w:hint="default" w:ascii="Times New Roman" w:hAnsi="Times New Roman" w:eastAsia="宋体" w:cs="Times New Roman"/>
                <w:color w:val="auto"/>
                <w:spacing w:val="8"/>
                <w:sz w:val="24"/>
                <w:szCs w:val="24"/>
                <w:highlight w:val="none"/>
                <w:lang w:eastAsia="zh-CN"/>
              </w:rPr>
              <w:t>表4中三级标准限值、</w:t>
            </w:r>
            <w:r>
              <w:rPr>
                <w:rFonts w:hint="default" w:ascii="Times New Roman" w:hAnsi="Times New Roman" w:eastAsia="宋体" w:cs="Times New Roman"/>
                <w:color w:val="auto"/>
                <w:spacing w:val="6"/>
                <w:sz w:val="24"/>
                <w:szCs w:val="24"/>
                <w:highlight w:val="none"/>
                <w:lang w:eastAsia="zh-CN"/>
              </w:rPr>
              <w:t>《污水排入城</w:t>
            </w:r>
            <w:r>
              <w:rPr>
                <w:rFonts w:hint="default" w:ascii="Times New Roman" w:hAnsi="Times New Roman" w:eastAsia="宋体" w:cs="Times New Roman"/>
                <w:color w:val="auto"/>
                <w:spacing w:val="9"/>
                <w:sz w:val="24"/>
                <w:szCs w:val="24"/>
                <w:highlight w:val="none"/>
                <w:lang w:eastAsia="zh-CN"/>
              </w:rPr>
              <w:t>镇下水道水质标准》（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9"/>
                <w:sz w:val="24"/>
                <w:szCs w:val="24"/>
                <w:highlight w:val="none"/>
                <w:lang w:eastAsia="zh-CN"/>
              </w:rPr>
              <w:t>/T31962-2015）中A级标准</w:t>
            </w:r>
            <w:r>
              <w:rPr>
                <w:rFonts w:hint="default" w:ascii="Times New Roman" w:hAnsi="Times New Roman" w:eastAsia="宋体" w:cs="Times New Roman"/>
                <w:color w:val="auto"/>
                <w:spacing w:val="-3"/>
                <w:sz w:val="24"/>
                <w:szCs w:val="24"/>
                <w:highlight w:val="none"/>
              </w:rPr>
              <w:t>及</w:t>
            </w:r>
            <w:r>
              <w:rPr>
                <w:rFonts w:hint="default" w:ascii="Times New Roman" w:hAnsi="Times New Roman" w:eastAsia="宋体" w:cs="Times New Roman"/>
                <w:color w:val="auto"/>
                <w:spacing w:val="-3"/>
                <w:sz w:val="24"/>
                <w:szCs w:val="24"/>
                <w:highlight w:val="none"/>
                <w:lang w:val="en-US" w:eastAsia="zh-CN"/>
              </w:rPr>
              <w:t>污水处理厂进水水质要求</w:t>
            </w:r>
            <w:r>
              <w:rPr>
                <w:rFonts w:hint="default" w:ascii="Times New Roman" w:hAnsi="Times New Roman" w:eastAsia="宋体" w:cs="Times New Roman"/>
                <w:color w:val="auto"/>
                <w:spacing w:val="-3"/>
                <w:sz w:val="24"/>
                <w:szCs w:val="24"/>
                <w:highlight w:val="none"/>
                <w:lang w:val="en-US" w:eastAsia="zh-CN"/>
              </w:rPr>
              <w:t>（</w:t>
            </w:r>
            <w:r>
              <w:rPr>
                <w:rFonts w:hint="eastAsia" w:cs="Times New Roman"/>
                <w:color w:val="auto"/>
                <w:sz w:val="24"/>
                <w:szCs w:val="24"/>
                <w:highlight w:val="none"/>
                <w:u w:val="none"/>
                <w:lang w:val="en-US" w:eastAsia="zh-CN"/>
              </w:rPr>
              <w:t>根据污水处理厂可研设计资料，污水处理厂进水水质要求：即</w:t>
            </w:r>
            <w:r>
              <w:rPr>
                <w:rFonts w:hint="default" w:ascii="Times New Roman" w:hAnsi="Times New Roman" w:eastAsia="宋体" w:cs="Times New Roman"/>
                <w:color w:val="auto"/>
                <w:sz w:val="24"/>
                <w:szCs w:val="24"/>
                <w:highlight w:val="none"/>
                <w:u w:val="none"/>
                <w:lang w:val="en-US" w:eastAsia="zh-CN"/>
              </w:rPr>
              <w:t>7≤pH≤8、COD</w:t>
            </w:r>
            <w:r>
              <w:rPr>
                <w:rFonts w:hint="default" w:ascii="Times New Roman" w:hAnsi="Times New Roman" w:eastAsia="宋体" w:cs="Times New Roman"/>
                <w:color w:val="auto"/>
                <w:sz w:val="24"/>
                <w:szCs w:val="24"/>
                <w:highlight w:val="none"/>
                <w:u w:val="none"/>
                <w:vertAlign w:val="subscript"/>
                <w:lang w:val="en-US" w:eastAsia="zh-CN"/>
              </w:rPr>
              <w:t>Cr</w:t>
            </w:r>
            <w:r>
              <w:rPr>
                <w:rFonts w:hint="default" w:ascii="Times New Roman" w:hAnsi="Times New Roman" w:eastAsia="宋体" w:cs="Times New Roman"/>
                <w:color w:val="auto"/>
                <w:sz w:val="24"/>
                <w:szCs w:val="24"/>
                <w:highlight w:val="none"/>
                <w:u w:val="none"/>
                <w:lang w:val="en-US" w:eastAsia="zh-CN"/>
              </w:rPr>
              <w:t>≤380mg/L、BOD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≤210mg/L、SS≤200mg/L、氨氮≤35mg/L、总氮≤45mg/L、总磷≤4mg/L</w:t>
            </w:r>
            <w:r>
              <w:rPr>
                <w:rFonts w:hint="default" w:ascii="Times New Roman" w:hAnsi="Times New Roman" w:eastAsia="宋体" w:cs="Times New Roman"/>
                <w:color w:val="auto"/>
                <w:spacing w:val="-3"/>
                <w:sz w:val="24"/>
                <w:szCs w:val="24"/>
                <w:highlight w:val="none"/>
                <w:lang w:val="en-US" w:eastAsia="zh-CN"/>
              </w:rPr>
              <w:t>）</w:t>
            </w:r>
            <w:r>
              <w:rPr>
                <w:rFonts w:hint="default" w:ascii="Times New Roman" w:hAnsi="Times New Roman" w:eastAsia="宋体" w:cs="Times New Roman"/>
                <w:color w:val="auto"/>
                <w:spacing w:val="-3"/>
                <w:sz w:val="24"/>
                <w:szCs w:val="24"/>
                <w:highlight w:val="none"/>
                <w:lang w:val="en-US" w:eastAsia="zh-CN"/>
              </w:rPr>
              <w:t>后</w:t>
            </w:r>
            <w:r>
              <w:rPr>
                <w:rFonts w:hint="eastAsia" w:cs="Times New Roman"/>
                <w:color w:val="auto"/>
                <w:spacing w:val="-3"/>
                <w:sz w:val="24"/>
                <w:szCs w:val="24"/>
                <w:highlight w:val="none"/>
                <w:lang w:val="en-US" w:eastAsia="zh-CN"/>
              </w:rPr>
              <w:t>经项目总</w:t>
            </w:r>
            <w:r>
              <w:rPr>
                <w:rFonts w:hint="default" w:ascii="Times New Roman" w:hAnsi="Times New Roman" w:eastAsia="宋体" w:cs="Times New Roman"/>
                <w:color w:val="auto"/>
                <w:spacing w:val="-3"/>
                <w:sz w:val="24"/>
                <w:szCs w:val="24"/>
                <w:highlight w:val="none"/>
              </w:rPr>
              <w:t>排口</w:t>
            </w:r>
            <w:r>
              <w:rPr>
                <w:rFonts w:hint="eastAsia" w:cs="Times New Roman"/>
                <w:color w:val="auto"/>
                <w:spacing w:val="-3"/>
                <w:sz w:val="24"/>
                <w:szCs w:val="24"/>
                <w:highlight w:val="none"/>
                <w:lang w:val="en-US" w:eastAsia="zh-CN"/>
              </w:rPr>
              <w:t>排入市政管网</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最终进入</w:t>
            </w:r>
            <w:r>
              <w:rPr>
                <w:rFonts w:hint="default" w:ascii="Times New Roman" w:hAnsi="Times New Roman" w:eastAsia="宋体" w:cs="Times New Roman"/>
                <w:color w:val="auto"/>
                <w:spacing w:val="-3"/>
                <w:sz w:val="24"/>
                <w:szCs w:val="24"/>
                <w:highlight w:val="none"/>
              </w:rPr>
              <w:t>云南易门产业园区六街和麦子田片区集中式生活污水处理厂处理</w:t>
            </w:r>
            <w:r>
              <w:rPr>
                <w:rFonts w:hint="default" w:ascii="Times New Roman" w:hAnsi="Times New Roman" w:eastAsia="宋体" w:cs="Times New Roman"/>
                <w:color w:val="auto"/>
                <w:spacing w:val="-3"/>
                <w:sz w:val="24"/>
                <w:szCs w:val="24"/>
                <w:highlight w:val="none"/>
                <w:lang w:eastAsia="zh-CN"/>
              </w:rPr>
              <w:t>。</w:t>
            </w:r>
          </w:p>
          <w:p w14:paraId="66670C47">
            <w:pPr>
              <w:keepNext w:val="0"/>
              <w:keepLines w:val="0"/>
              <w:pageBreakBefore w:val="0"/>
              <w:kinsoku/>
              <w:overflowPunct/>
              <w:topLinePunct/>
              <w:autoSpaceDE w:val="0"/>
              <w:bidi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3-11</w:t>
            </w:r>
            <w:r>
              <w:rPr>
                <w:rFonts w:hint="default" w:ascii="Times New Roman" w:hAnsi="Times New Roman" w:eastAsia="宋体" w:cs="Times New Roman"/>
                <w:b/>
                <w:caps w:val="0"/>
                <w:smallCaps w:val="0"/>
                <w:color w:val="auto"/>
                <w:sz w:val="21"/>
                <w:szCs w:val="21"/>
                <w:highlight w:val="none"/>
              </w:rPr>
              <w:t xml:space="preserve"> </w:t>
            </w:r>
            <w:r>
              <w:rPr>
                <w:rFonts w:hint="default" w:ascii="Times New Roman" w:hAnsi="Times New Roman" w:eastAsia="宋体" w:cs="Times New Roman"/>
                <w:b/>
                <w:caps w:val="0"/>
                <w:smallCaps w:val="0"/>
                <w:color w:val="auto"/>
                <w:sz w:val="21"/>
                <w:szCs w:val="21"/>
                <w:highlight w:val="none"/>
                <w:lang w:val="en-US" w:eastAsia="zh-CN"/>
              </w:rPr>
              <w:t xml:space="preserve"> </w:t>
            </w:r>
            <w:r>
              <w:rPr>
                <w:rFonts w:hint="default" w:ascii="Times New Roman" w:hAnsi="Times New Roman" w:eastAsia="宋体" w:cs="Times New Roman"/>
                <w:b/>
                <w:bCs/>
                <w:color w:val="auto"/>
                <w:szCs w:val="21"/>
                <w:highlight w:val="none"/>
              </w:rPr>
              <w:t>项目</w:t>
            </w:r>
            <w:r>
              <w:rPr>
                <w:rFonts w:hint="default" w:ascii="Times New Roman" w:hAnsi="Times New Roman" w:eastAsia="宋体" w:cs="Times New Roman"/>
                <w:b/>
                <w:bCs/>
                <w:color w:val="auto"/>
                <w:szCs w:val="21"/>
                <w:highlight w:val="none"/>
                <w:lang w:val="en-US" w:eastAsia="zh-CN"/>
              </w:rPr>
              <w:t>外排废水</w:t>
            </w:r>
            <w:r>
              <w:rPr>
                <w:rFonts w:hint="default" w:ascii="Times New Roman" w:hAnsi="Times New Roman" w:eastAsia="宋体" w:cs="Times New Roman"/>
                <w:b/>
                <w:bCs/>
                <w:color w:val="auto"/>
                <w:szCs w:val="21"/>
                <w:highlight w:val="none"/>
              </w:rPr>
              <w:t>执行标准及限值</w:t>
            </w:r>
            <w:r>
              <w:rPr>
                <w:rFonts w:hint="default" w:ascii="Times New Roman" w:hAnsi="Times New Roman" w:eastAsia="宋体" w:cs="Times New Roman"/>
                <w:b/>
                <w:caps w:val="0"/>
                <w:smallCaps w:val="0"/>
                <w:color w:val="auto"/>
                <w:sz w:val="21"/>
                <w:szCs w:val="21"/>
                <w:highlight w:val="none"/>
              </w:rPr>
              <w:t xml:space="preserve"> </w:t>
            </w:r>
            <w:r>
              <w:rPr>
                <w:rFonts w:hint="default" w:ascii="Times New Roman" w:hAnsi="Times New Roman" w:eastAsia="宋体" w:cs="Times New Roman"/>
                <w:b/>
                <w:caps w:val="0"/>
                <w:smallCaps w:val="0"/>
                <w:color w:val="auto"/>
                <w:sz w:val="21"/>
                <w:szCs w:val="21"/>
                <w:highlight w:val="none"/>
                <w:lang w:val="en-US" w:eastAsia="zh-CN"/>
              </w:rPr>
              <w:t xml:space="preserve">  </w:t>
            </w:r>
            <w:r>
              <w:rPr>
                <w:rFonts w:hint="default" w:ascii="Times New Roman" w:hAnsi="Times New Roman" w:eastAsia="宋体" w:cs="Times New Roman"/>
                <w:b/>
                <w:caps w:val="0"/>
                <w:smallCaps w:val="0"/>
                <w:color w:val="auto"/>
                <w:sz w:val="21"/>
                <w:szCs w:val="21"/>
                <w:highlight w:val="none"/>
              </w:rPr>
              <w:t>单位：mg/L，pH为无量纲</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633"/>
              <w:gridCol w:w="807"/>
              <w:gridCol w:w="746"/>
              <w:gridCol w:w="716"/>
              <w:gridCol w:w="657"/>
              <w:gridCol w:w="696"/>
              <w:gridCol w:w="681"/>
              <w:gridCol w:w="696"/>
              <w:gridCol w:w="691"/>
            </w:tblGrid>
            <w:tr w14:paraId="59C1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noWrap w:val="0"/>
                  <w:vAlign w:val="center"/>
                </w:tcPr>
                <w:p w14:paraId="791BA34B">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sz w:val="21"/>
                      <w:szCs w:val="21"/>
                      <w:highlight w:val="none"/>
                      <w:lang w:val="en-GB" w:eastAsia="zh-TW"/>
                    </w:rPr>
                    <w:t>标准类别</w:t>
                  </w:r>
                </w:p>
              </w:tc>
              <w:tc>
                <w:tcPr>
                  <w:tcW w:w="397" w:type="pct"/>
                  <w:noWrap w:val="0"/>
                  <w:vAlign w:val="center"/>
                </w:tcPr>
                <w:p w14:paraId="309F4A2E">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kern w:val="0"/>
                      <w:sz w:val="21"/>
                      <w:szCs w:val="21"/>
                      <w:highlight w:val="none"/>
                      <w:lang w:val="en-GB" w:eastAsia="zh-TW"/>
                    </w:rPr>
                    <w:t>pH</w:t>
                  </w:r>
                </w:p>
              </w:tc>
              <w:tc>
                <w:tcPr>
                  <w:tcW w:w="506" w:type="pct"/>
                  <w:noWrap w:val="0"/>
                  <w:vAlign w:val="center"/>
                </w:tcPr>
                <w:p w14:paraId="4185105F">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kern w:val="0"/>
                      <w:sz w:val="21"/>
                      <w:szCs w:val="21"/>
                      <w:highlight w:val="none"/>
                      <w:lang w:val="en-GB" w:eastAsia="zh-TW"/>
                    </w:rPr>
                    <w:t>COD</w:t>
                  </w:r>
                </w:p>
              </w:tc>
              <w:tc>
                <w:tcPr>
                  <w:tcW w:w="468" w:type="pct"/>
                  <w:noWrap w:val="0"/>
                  <w:vAlign w:val="center"/>
                </w:tcPr>
                <w:p w14:paraId="7A07D22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BOD</w:t>
                  </w:r>
                  <w:r>
                    <w:rPr>
                      <w:rFonts w:hint="default" w:ascii="Times New Roman" w:hAnsi="Times New Roman" w:eastAsia="宋体" w:cs="Times New Roman"/>
                      <w:b/>
                      <w:bCs/>
                      <w:color w:val="auto"/>
                      <w:sz w:val="21"/>
                      <w:szCs w:val="21"/>
                      <w:highlight w:val="none"/>
                      <w:vertAlign w:val="subscript"/>
                      <w:lang w:val="en-US" w:eastAsia="zh-CN"/>
                    </w:rPr>
                    <w:t>5</w:t>
                  </w:r>
                </w:p>
              </w:tc>
              <w:tc>
                <w:tcPr>
                  <w:tcW w:w="449" w:type="pct"/>
                  <w:shd w:val="clear" w:color="auto" w:fill="auto"/>
                  <w:noWrap w:val="0"/>
                  <w:vAlign w:val="center"/>
                </w:tcPr>
                <w:p w14:paraId="3361F23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kern w:val="2"/>
                      <w:sz w:val="21"/>
                      <w:szCs w:val="21"/>
                      <w:highlight w:val="none"/>
                      <w:lang w:val="en-GB" w:eastAsia="zh-TW" w:bidi="ar-SA"/>
                    </w:rPr>
                  </w:pPr>
                  <w:r>
                    <w:rPr>
                      <w:rFonts w:hint="default" w:ascii="Times New Roman" w:hAnsi="Times New Roman" w:eastAsia="宋体" w:cs="Times New Roman"/>
                      <w:b/>
                      <w:bCs/>
                      <w:color w:val="auto"/>
                      <w:kern w:val="0"/>
                      <w:sz w:val="21"/>
                      <w:szCs w:val="21"/>
                      <w:highlight w:val="none"/>
                      <w:lang w:val="en-GB" w:eastAsia="zh-TW"/>
                    </w:rPr>
                    <w:t>SS</w:t>
                  </w:r>
                </w:p>
              </w:tc>
              <w:tc>
                <w:tcPr>
                  <w:tcW w:w="412" w:type="pct"/>
                  <w:noWrap w:val="0"/>
                  <w:vAlign w:val="center"/>
                </w:tcPr>
                <w:p w14:paraId="7F9D8FD7">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kern w:val="0"/>
                      <w:sz w:val="21"/>
                      <w:szCs w:val="21"/>
                      <w:highlight w:val="none"/>
                      <w:lang w:val="en-GB" w:eastAsia="zh-TW"/>
                    </w:rPr>
                    <w:t>氨氮</w:t>
                  </w:r>
                </w:p>
              </w:tc>
              <w:tc>
                <w:tcPr>
                  <w:tcW w:w="436" w:type="pct"/>
                  <w:noWrap w:val="0"/>
                  <w:vAlign w:val="center"/>
                </w:tcPr>
                <w:p w14:paraId="1C31D9EB">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总氮</w:t>
                  </w:r>
                </w:p>
              </w:tc>
              <w:tc>
                <w:tcPr>
                  <w:tcW w:w="427" w:type="pct"/>
                  <w:noWrap w:val="0"/>
                  <w:vAlign w:val="center"/>
                </w:tcPr>
                <w:p w14:paraId="54ADF5C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kern w:val="0"/>
                      <w:sz w:val="21"/>
                      <w:szCs w:val="21"/>
                      <w:highlight w:val="none"/>
                      <w:lang w:val="en-GB" w:eastAsia="zh-TW"/>
                    </w:rPr>
                    <w:t>总磷</w:t>
                  </w:r>
                </w:p>
              </w:tc>
              <w:tc>
                <w:tcPr>
                  <w:tcW w:w="436" w:type="pct"/>
                  <w:noWrap w:val="0"/>
                  <w:vAlign w:val="center"/>
                </w:tcPr>
                <w:p w14:paraId="663A8F07">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b/>
                      <w:bCs/>
                      <w:color w:val="auto"/>
                      <w:sz w:val="21"/>
                      <w:szCs w:val="21"/>
                      <w:highlight w:val="none"/>
                      <w:lang w:val="en-GB" w:eastAsia="zh-TW"/>
                    </w:rPr>
                  </w:pPr>
                  <w:r>
                    <w:rPr>
                      <w:rFonts w:hint="default" w:ascii="Times New Roman" w:hAnsi="Times New Roman" w:eastAsia="宋体" w:cs="Times New Roman"/>
                      <w:b/>
                      <w:bCs/>
                      <w:color w:val="auto"/>
                      <w:kern w:val="0"/>
                      <w:sz w:val="21"/>
                      <w:szCs w:val="21"/>
                      <w:highlight w:val="none"/>
                      <w:lang w:val="en-GB" w:eastAsia="zh-TW"/>
                    </w:rPr>
                    <w:t>动植物油</w:t>
                  </w:r>
                </w:p>
              </w:tc>
              <w:tc>
                <w:tcPr>
                  <w:tcW w:w="433" w:type="pct"/>
                  <w:noWrap w:val="0"/>
                  <w:vAlign w:val="center"/>
                </w:tcPr>
                <w:p w14:paraId="1A51477D">
                  <w:pPr>
                    <w:keepNext w:val="0"/>
                    <w:keepLines w:val="0"/>
                    <w:pageBreakBefore w:val="0"/>
                    <w:tabs>
                      <w:tab w:val="center" w:pos="4153"/>
                      <w:tab w:val="right" w:pos="8306"/>
                    </w:tabs>
                    <w:kinsoku/>
                    <w:overflowPunct/>
                    <w:topLinePunct/>
                    <w:autoSpaceDE w:val="0"/>
                    <w:bidi w:val="0"/>
                    <w:jc w:val="center"/>
                    <w:rPr>
                      <w:rFonts w:hint="eastAsia"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石油类</w:t>
                  </w:r>
                </w:p>
              </w:tc>
            </w:tr>
            <w:tr w14:paraId="1F0F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noWrap w:val="0"/>
                  <w:vAlign w:val="center"/>
                </w:tcPr>
                <w:p w14:paraId="21BF7CCE">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rPr>
                    <w:t>污水综合排放标准中三</w:t>
                  </w:r>
                  <w:r>
                    <w:rPr>
                      <w:rFonts w:hint="default" w:ascii="Times New Roman" w:hAnsi="Times New Roman" w:eastAsia="宋体" w:cs="Times New Roman"/>
                      <w:color w:val="auto"/>
                      <w:sz w:val="21"/>
                      <w:szCs w:val="21"/>
                      <w:highlight w:val="none"/>
                      <w:lang w:val="en-GB" w:eastAsia="zh-TW"/>
                    </w:rPr>
                    <w:t>级标准</w:t>
                  </w:r>
                </w:p>
              </w:tc>
              <w:tc>
                <w:tcPr>
                  <w:tcW w:w="397" w:type="pct"/>
                  <w:noWrap w:val="0"/>
                  <w:vAlign w:val="center"/>
                </w:tcPr>
                <w:p w14:paraId="7E2953E7">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6</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9</w:t>
                  </w:r>
                </w:p>
              </w:tc>
              <w:tc>
                <w:tcPr>
                  <w:tcW w:w="506" w:type="pct"/>
                  <w:noWrap w:val="0"/>
                  <w:vAlign w:val="center"/>
                </w:tcPr>
                <w:p w14:paraId="0936B923">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lang w:val="en-GB" w:eastAsia="zh-TW"/>
                    </w:rPr>
                  </w:pPr>
                  <w:r>
                    <w:rPr>
                      <w:rFonts w:hint="default" w:ascii="Times New Roman" w:hAnsi="Times New Roman" w:eastAsia="宋体" w:cs="Times New Roman"/>
                      <w:color w:val="auto"/>
                      <w:kern w:val="0"/>
                      <w:sz w:val="21"/>
                      <w:szCs w:val="21"/>
                      <w:highlight w:val="none"/>
                      <w:lang w:val="en-GB" w:eastAsia="zh-TW"/>
                    </w:rPr>
                    <w:t>≤500</w:t>
                  </w:r>
                </w:p>
              </w:tc>
              <w:tc>
                <w:tcPr>
                  <w:tcW w:w="468" w:type="pct"/>
                  <w:noWrap w:val="0"/>
                  <w:vAlign w:val="center"/>
                </w:tcPr>
                <w:p w14:paraId="20C33808">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lang w:val="en-GB" w:eastAsia="zh-TW"/>
                    </w:rPr>
                    <w:t>0</w:t>
                  </w:r>
                </w:p>
              </w:tc>
              <w:tc>
                <w:tcPr>
                  <w:tcW w:w="449" w:type="pct"/>
                  <w:shd w:val="clear" w:color="auto" w:fill="auto"/>
                  <w:noWrap w:val="0"/>
                  <w:vAlign w:val="center"/>
                </w:tcPr>
                <w:p w14:paraId="0E3B5E9F">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2"/>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≤400</w:t>
                  </w:r>
                </w:p>
              </w:tc>
              <w:tc>
                <w:tcPr>
                  <w:tcW w:w="412" w:type="pct"/>
                  <w:noWrap w:val="0"/>
                  <w:vAlign w:val="center"/>
                </w:tcPr>
                <w:p w14:paraId="0CEDF45A">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w:t>
                  </w:r>
                </w:p>
              </w:tc>
              <w:tc>
                <w:tcPr>
                  <w:tcW w:w="436" w:type="pct"/>
                  <w:noWrap w:val="0"/>
                  <w:vAlign w:val="center"/>
                </w:tcPr>
                <w:p w14:paraId="0FC01C66">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27" w:type="pct"/>
                  <w:noWrap w:val="0"/>
                  <w:vAlign w:val="center"/>
                </w:tcPr>
                <w:p w14:paraId="75ADB70B">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36" w:type="pct"/>
                  <w:noWrap w:val="0"/>
                  <w:vAlign w:val="center"/>
                </w:tcPr>
                <w:p w14:paraId="31D8CE8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sz w:val="21"/>
                      <w:szCs w:val="21"/>
                      <w:highlight w:val="none"/>
                      <w:lang w:val="en-GB" w:eastAsia="zh-TW"/>
                    </w:rPr>
                  </w:pPr>
                  <w:r>
                    <w:rPr>
                      <w:rFonts w:hint="default" w:ascii="Times New Roman" w:hAnsi="Times New Roman" w:eastAsia="宋体" w:cs="Times New Roman"/>
                      <w:color w:val="auto"/>
                      <w:kern w:val="0"/>
                      <w:sz w:val="21"/>
                      <w:szCs w:val="21"/>
                      <w:highlight w:val="none"/>
                      <w:lang w:val="en-GB" w:eastAsia="zh-TW"/>
                    </w:rPr>
                    <w:t>≤100</w:t>
                  </w:r>
                </w:p>
              </w:tc>
              <w:tc>
                <w:tcPr>
                  <w:tcW w:w="433" w:type="pct"/>
                  <w:noWrap w:val="0"/>
                  <w:vAlign w:val="center"/>
                </w:tcPr>
                <w:p w14:paraId="5A6D88D6">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r>
            <w:tr w14:paraId="2E7C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noWrap w:val="0"/>
                  <w:vAlign w:val="center"/>
                </w:tcPr>
                <w:p w14:paraId="3D10DDAF">
                  <w:pPr>
                    <w:keepNext w:val="0"/>
                    <w:keepLines w:val="0"/>
                    <w:pageBreakBefore w:val="0"/>
                    <w:tabs>
                      <w:tab w:val="center" w:pos="4153"/>
                      <w:tab w:val="right" w:pos="8306"/>
                    </w:tabs>
                    <w:kinsoku/>
                    <w:overflowPunct/>
                    <w:topLinePunct/>
                    <w:autoSpaceDE w:val="0"/>
                    <w:bidi w:val="0"/>
                    <w:jc w:val="center"/>
                    <w:rPr>
                      <w:rFonts w:hint="default"/>
                      <w:color w:val="auto"/>
                      <w:lang w:val="en-US"/>
                    </w:rPr>
                  </w:pPr>
                  <w:r>
                    <w:rPr>
                      <w:rFonts w:hint="default" w:ascii="Times New Roman" w:hAnsi="Times New Roman" w:eastAsia="宋体" w:cs="Times New Roman"/>
                      <w:caps w:val="0"/>
                      <w:smallCaps w:val="0"/>
                      <w:color w:val="auto"/>
                      <w:sz w:val="21"/>
                      <w:szCs w:val="21"/>
                      <w:highlight w:val="none"/>
                      <w:lang w:eastAsia="zh-CN"/>
                    </w:rPr>
                    <w:t>污水排入城镇下水道水质标准</w:t>
                  </w:r>
                  <w:r>
                    <w:rPr>
                      <w:rFonts w:hint="eastAsia" w:cs="Times New Roman"/>
                      <w:caps w:val="0"/>
                      <w:smallCaps w:val="0"/>
                      <w:color w:val="auto"/>
                      <w:sz w:val="21"/>
                      <w:szCs w:val="21"/>
                      <w:highlight w:val="none"/>
                      <w:lang w:val="en-US" w:eastAsia="zh-CN"/>
                    </w:rPr>
                    <w:t>A标</w:t>
                  </w:r>
                </w:p>
              </w:tc>
              <w:tc>
                <w:tcPr>
                  <w:tcW w:w="397" w:type="pct"/>
                  <w:noWrap w:val="0"/>
                  <w:vAlign w:val="center"/>
                </w:tcPr>
                <w:p w14:paraId="3A1CE1ED">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6</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9</w:t>
                  </w:r>
                  <w:r>
                    <w:rPr>
                      <w:rFonts w:hint="eastAsia" w:cs="Times New Roman"/>
                      <w:color w:val="auto"/>
                      <w:kern w:val="0"/>
                      <w:sz w:val="21"/>
                      <w:szCs w:val="21"/>
                      <w:highlight w:val="none"/>
                      <w:lang w:val="en-US" w:eastAsia="zh-CN"/>
                    </w:rPr>
                    <w:t>.5</w:t>
                  </w:r>
                </w:p>
              </w:tc>
              <w:tc>
                <w:tcPr>
                  <w:tcW w:w="506" w:type="pct"/>
                  <w:noWrap w:val="0"/>
                  <w:vAlign w:val="center"/>
                </w:tcPr>
                <w:p w14:paraId="61B8BA55">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rPr>
                  </w:pPr>
                  <w:r>
                    <w:rPr>
                      <w:rFonts w:hint="default" w:ascii="Times New Roman" w:hAnsi="Times New Roman" w:eastAsia="宋体" w:cs="Times New Roman"/>
                      <w:color w:val="auto"/>
                      <w:kern w:val="0"/>
                      <w:sz w:val="21"/>
                      <w:szCs w:val="21"/>
                      <w:highlight w:val="none"/>
                      <w:lang w:val="en-GB" w:eastAsia="zh-TW"/>
                    </w:rPr>
                    <w:t>500</w:t>
                  </w:r>
                </w:p>
              </w:tc>
              <w:tc>
                <w:tcPr>
                  <w:tcW w:w="468" w:type="pct"/>
                  <w:noWrap w:val="0"/>
                  <w:vAlign w:val="center"/>
                </w:tcPr>
                <w:p w14:paraId="68252C9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rPr>
                  </w:pPr>
                  <w:r>
                    <w:rPr>
                      <w:rFonts w:hint="default" w:ascii="Times New Roman" w:hAnsi="Times New Roman" w:eastAsia="宋体" w:cs="Times New Roman"/>
                      <w:color w:val="auto"/>
                      <w:kern w:val="0"/>
                      <w:sz w:val="21"/>
                      <w:szCs w:val="21"/>
                      <w:highlight w:val="none"/>
                      <w:lang w:val="en-US" w:eastAsia="zh-CN"/>
                    </w:rPr>
                    <w:t>35</w:t>
                  </w:r>
                  <w:r>
                    <w:rPr>
                      <w:rFonts w:hint="default" w:ascii="Times New Roman" w:hAnsi="Times New Roman" w:eastAsia="宋体" w:cs="Times New Roman"/>
                      <w:color w:val="auto"/>
                      <w:kern w:val="0"/>
                      <w:sz w:val="21"/>
                      <w:szCs w:val="21"/>
                      <w:highlight w:val="none"/>
                      <w:lang w:val="en-GB" w:eastAsia="zh-TW"/>
                    </w:rPr>
                    <w:t>0</w:t>
                  </w:r>
                </w:p>
              </w:tc>
              <w:tc>
                <w:tcPr>
                  <w:tcW w:w="449" w:type="pct"/>
                  <w:noWrap w:val="0"/>
                  <w:vAlign w:val="center"/>
                </w:tcPr>
                <w:p w14:paraId="36B809FB">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GB" w:eastAsia="zh-TW"/>
                    </w:rPr>
                    <w:t>400</w:t>
                  </w:r>
                </w:p>
              </w:tc>
              <w:tc>
                <w:tcPr>
                  <w:tcW w:w="412" w:type="pct"/>
                  <w:noWrap w:val="0"/>
                  <w:vAlign w:val="center"/>
                </w:tcPr>
                <w:p w14:paraId="6E273375">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436" w:type="pct"/>
                  <w:noWrap w:val="0"/>
                  <w:vAlign w:val="center"/>
                </w:tcPr>
                <w:p w14:paraId="096C855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70</w:t>
                  </w:r>
                </w:p>
              </w:tc>
              <w:tc>
                <w:tcPr>
                  <w:tcW w:w="427" w:type="pct"/>
                  <w:noWrap w:val="0"/>
                  <w:vAlign w:val="center"/>
                </w:tcPr>
                <w:p w14:paraId="4B13B5E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w:t>
                  </w:r>
                </w:p>
              </w:tc>
              <w:tc>
                <w:tcPr>
                  <w:tcW w:w="436" w:type="pct"/>
                  <w:noWrap w:val="0"/>
                  <w:vAlign w:val="center"/>
                </w:tcPr>
                <w:p w14:paraId="0BD79B6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rPr>
                  </w:pPr>
                  <w:r>
                    <w:rPr>
                      <w:rFonts w:hint="default" w:ascii="Times New Roman" w:hAnsi="Times New Roman" w:eastAsia="宋体" w:cs="Times New Roman"/>
                      <w:color w:val="auto"/>
                      <w:kern w:val="0"/>
                      <w:sz w:val="21"/>
                      <w:szCs w:val="21"/>
                      <w:highlight w:val="none"/>
                      <w:lang w:val="en-GB" w:eastAsia="zh-TW"/>
                    </w:rPr>
                    <w:t>100</w:t>
                  </w:r>
                </w:p>
              </w:tc>
              <w:tc>
                <w:tcPr>
                  <w:tcW w:w="433" w:type="pct"/>
                  <w:noWrap w:val="0"/>
                  <w:vAlign w:val="center"/>
                </w:tcPr>
                <w:p w14:paraId="6138A46A">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r>
            <w:tr w14:paraId="1B80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shd w:val="clear" w:color="auto" w:fill="auto"/>
                  <w:noWrap w:val="0"/>
                  <w:vAlign w:val="center"/>
                </w:tcPr>
                <w:p w14:paraId="6B8F14D4">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aps w:val="0"/>
                      <w:smallCaps w:val="0"/>
                      <w:color w:val="auto"/>
                      <w:sz w:val="21"/>
                      <w:szCs w:val="21"/>
                      <w:highlight w:val="none"/>
                      <w:lang w:val="en-US" w:eastAsia="zh-CN"/>
                    </w:rPr>
                    <w:t>污水处理厂进水纳管标准</w:t>
                  </w:r>
                </w:p>
              </w:tc>
              <w:tc>
                <w:tcPr>
                  <w:tcW w:w="397" w:type="pct"/>
                  <w:shd w:val="clear" w:color="auto" w:fill="auto"/>
                  <w:noWrap w:val="0"/>
                  <w:vAlign w:val="center"/>
                </w:tcPr>
                <w:p w14:paraId="33CAAD9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7~8</w:t>
                  </w:r>
                </w:p>
              </w:tc>
              <w:tc>
                <w:tcPr>
                  <w:tcW w:w="506" w:type="pct"/>
                  <w:shd w:val="clear" w:color="auto" w:fill="auto"/>
                  <w:noWrap w:val="0"/>
                  <w:vAlign w:val="center"/>
                </w:tcPr>
                <w:p w14:paraId="319E28A2">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380</w:t>
                  </w:r>
                </w:p>
              </w:tc>
              <w:tc>
                <w:tcPr>
                  <w:tcW w:w="468" w:type="pct"/>
                  <w:shd w:val="clear" w:color="auto" w:fill="auto"/>
                  <w:noWrap w:val="0"/>
                  <w:vAlign w:val="center"/>
                </w:tcPr>
                <w:p w14:paraId="269A14F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210</w:t>
                  </w:r>
                </w:p>
              </w:tc>
              <w:tc>
                <w:tcPr>
                  <w:tcW w:w="449" w:type="pct"/>
                  <w:shd w:val="clear" w:color="auto" w:fill="auto"/>
                  <w:noWrap w:val="0"/>
                  <w:vAlign w:val="center"/>
                </w:tcPr>
                <w:p w14:paraId="3A4722EE">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200</w:t>
                  </w:r>
                </w:p>
              </w:tc>
              <w:tc>
                <w:tcPr>
                  <w:tcW w:w="412" w:type="pct"/>
                  <w:shd w:val="clear" w:color="auto" w:fill="auto"/>
                  <w:noWrap w:val="0"/>
                  <w:vAlign w:val="center"/>
                </w:tcPr>
                <w:p w14:paraId="181D823B">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35</w:t>
                  </w:r>
                </w:p>
              </w:tc>
              <w:tc>
                <w:tcPr>
                  <w:tcW w:w="436" w:type="pct"/>
                  <w:shd w:val="clear" w:color="auto" w:fill="auto"/>
                  <w:noWrap w:val="0"/>
                  <w:vAlign w:val="center"/>
                </w:tcPr>
                <w:p w14:paraId="1971F7EC">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45</w:t>
                  </w:r>
                </w:p>
              </w:tc>
              <w:tc>
                <w:tcPr>
                  <w:tcW w:w="427" w:type="pct"/>
                  <w:shd w:val="clear" w:color="auto" w:fill="auto"/>
                  <w:noWrap w:val="0"/>
                  <w:vAlign w:val="center"/>
                </w:tcPr>
                <w:p w14:paraId="790F706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4</w:t>
                  </w:r>
                </w:p>
              </w:tc>
              <w:tc>
                <w:tcPr>
                  <w:tcW w:w="436" w:type="pct"/>
                  <w:shd w:val="clear" w:color="auto" w:fill="auto"/>
                  <w:noWrap w:val="0"/>
                  <w:vAlign w:val="center"/>
                </w:tcPr>
                <w:p w14:paraId="234E47D9">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433" w:type="pct"/>
                  <w:shd w:val="clear" w:color="auto" w:fill="auto"/>
                  <w:noWrap w:val="0"/>
                  <w:vAlign w:val="center"/>
                </w:tcPr>
                <w:p w14:paraId="761DE1BA">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C83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pct"/>
                  <w:noWrap w:val="0"/>
                  <w:vAlign w:val="center"/>
                </w:tcPr>
                <w:p w14:paraId="3E8F5FFF">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aps w:val="0"/>
                      <w:smallCaps w:val="0"/>
                      <w:color w:val="auto"/>
                      <w:sz w:val="21"/>
                      <w:szCs w:val="21"/>
                      <w:highlight w:val="none"/>
                      <w:lang w:eastAsia="zh-CN"/>
                    </w:rPr>
                  </w:pPr>
                  <w:r>
                    <w:rPr>
                      <w:rFonts w:hint="default" w:ascii="Times New Roman" w:hAnsi="Times New Roman" w:eastAsia="宋体" w:cs="Times New Roman"/>
                      <w:color w:val="auto"/>
                      <w:highlight w:val="none"/>
                      <w:lang w:val="en-US" w:eastAsia="zh-CN"/>
                    </w:rPr>
                    <w:t>本项目废水排放标准</w:t>
                  </w:r>
                </w:p>
              </w:tc>
              <w:tc>
                <w:tcPr>
                  <w:tcW w:w="397" w:type="pct"/>
                  <w:noWrap w:val="0"/>
                  <w:vAlign w:val="center"/>
                </w:tcPr>
                <w:p w14:paraId="63BFE3D5">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7~8</w:t>
                  </w:r>
                </w:p>
              </w:tc>
              <w:tc>
                <w:tcPr>
                  <w:tcW w:w="506" w:type="pct"/>
                  <w:noWrap w:val="0"/>
                  <w:vAlign w:val="center"/>
                </w:tcPr>
                <w:p w14:paraId="604891A7">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380</w:t>
                  </w:r>
                </w:p>
              </w:tc>
              <w:tc>
                <w:tcPr>
                  <w:tcW w:w="468" w:type="pct"/>
                  <w:noWrap w:val="0"/>
                  <w:vAlign w:val="center"/>
                </w:tcPr>
                <w:p w14:paraId="635AD8EE">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210</w:t>
                  </w:r>
                </w:p>
              </w:tc>
              <w:tc>
                <w:tcPr>
                  <w:tcW w:w="449" w:type="pct"/>
                  <w:noWrap w:val="0"/>
                  <w:vAlign w:val="center"/>
                </w:tcPr>
                <w:p w14:paraId="7B662FD1">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200</w:t>
                  </w:r>
                </w:p>
              </w:tc>
              <w:tc>
                <w:tcPr>
                  <w:tcW w:w="412" w:type="pct"/>
                  <w:shd w:val="clear" w:color="auto" w:fill="auto"/>
                  <w:noWrap w:val="0"/>
                  <w:vAlign w:val="center"/>
                </w:tcPr>
                <w:p w14:paraId="4522EA92">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35</w:t>
                  </w:r>
                </w:p>
              </w:tc>
              <w:tc>
                <w:tcPr>
                  <w:tcW w:w="436" w:type="pct"/>
                  <w:shd w:val="clear" w:color="auto" w:fill="auto"/>
                  <w:noWrap w:val="0"/>
                  <w:vAlign w:val="center"/>
                </w:tcPr>
                <w:p w14:paraId="64FC2A83">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45</w:t>
                  </w:r>
                </w:p>
              </w:tc>
              <w:tc>
                <w:tcPr>
                  <w:tcW w:w="427" w:type="pct"/>
                  <w:shd w:val="clear" w:color="auto" w:fill="auto"/>
                  <w:noWrap w:val="0"/>
                  <w:vAlign w:val="center"/>
                </w:tcPr>
                <w:p w14:paraId="2DCDCFEC">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GB" w:eastAsia="zh-TW" w:bidi="ar-SA"/>
                    </w:rPr>
                  </w:pPr>
                  <w:r>
                    <w:rPr>
                      <w:rFonts w:hint="default" w:ascii="Times New Roman" w:hAnsi="Times New Roman" w:eastAsia="宋体" w:cs="Times New Roman"/>
                      <w:color w:val="auto"/>
                      <w:kern w:val="0"/>
                      <w:sz w:val="21"/>
                      <w:szCs w:val="21"/>
                      <w:highlight w:val="none"/>
                      <w:lang w:val="en-GB" w:eastAsia="zh-TW"/>
                    </w:rPr>
                    <w:t>≤</w:t>
                  </w:r>
                  <w:r>
                    <w:rPr>
                      <w:rFonts w:hint="default" w:ascii="Times New Roman" w:hAnsi="Times New Roman" w:eastAsia="宋体" w:cs="Times New Roman"/>
                      <w:color w:val="auto"/>
                      <w:kern w:val="0"/>
                      <w:sz w:val="21"/>
                      <w:szCs w:val="21"/>
                      <w:highlight w:val="none"/>
                      <w:lang w:val="en-US" w:eastAsia="zh-CN"/>
                    </w:rPr>
                    <w:t>4</w:t>
                  </w:r>
                </w:p>
              </w:tc>
              <w:tc>
                <w:tcPr>
                  <w:tcW w:w="436" w:type="pct"/>
                  <w:noWrap w:val="0"/>
                  <w:vAlign w:val="center"/>
                </w:tcPr>
                <w:p w14:paraId="2B97D56C">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GB" w:eastAsia="zh-TW"/>
                    </w:rPr>
                    <w:t>≤100</w:t>
                  </w:r>
                </w:p>
              </w:tc>
              <w:tc>
                <w:tcPr>
                  <w:tcW w:w="433" w:type="pct"/>
                  <w:noWrap w:val="0"/>
                  <w:vAlign w:val="center"/>
                </w:tcPr>
                <w:p w14:paraId="7DA5CFB8">
                  <w:pPr>
                    <w:keepNext w:val="0"/>
                    <w:keepLines w:val="0"/>
                    <w:pageBreakBefore w:val="0"/>
                    <w:tabs>
                      <w:tab w:val="center" w:pos="4153"/>
                      <w:tab w:val="right" w:pos="8306"/>
                    </w:tabs>
                    <w:kinsoku/>
                    <w:overflowPunct/>
                    <w:topLinePunct/>
                    <w:autoSpaceDE w:val="0"/>
                    <w:bidi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r>
          </w:tbl>
          <w:p w14:paraId="5B441F5A">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sz w:val="24"/>
                <w:szCs w:val="24"/>
                <w:highlight w:val="none"/>
                <w:lang w:eastAsia="zh-CN"/>
              </w:rPr>
              <w:t>噪声排放标准</w:t>
            </w:r>
          </w:p>
          <w:p w14:paraId="45A054BE">
            <w:pPr>
              <w:keepNext w:val="0"/>
              <w:keepLines w:val="0"/>
              <w:pageBreakBefore w:val="0"/>
              <w:kinsoku/>
              <w:overflowPunct/>
              <w:topLinePunct/>
              <w:autoSpaceDE w:val="0"/>
              <w:bidi w:val="0"/>
              <w:spacing w:line="360" w:lineRule="auto"/>
              <w:ind w:firstLine="480" w:firstLineChars="200"/>
              <w:jc w:val="both"/>
              <w:rPr>
                <w:rFonts w:hint="default" w:ascii="Times New Roman" w:hAnsi="Times New Roman" w:eastAsia="宋体" w:cs="Times New Roman"/>
                <w:color w:val="auto"/>
                <w:kern w:val="1"/>
                <w:sz w:val="24"/>
                <w:szCs w:val="24"/>
                <w:highlight w:val="none"/>
                <w:lang w:val="en-US" w:eastAsia="zh-CN" w:bidi="ar-SA"/>
              </w:rPr>
            </w:pPr>
            <w:r>
              <w:rPr>
                <w:rFonts w:hint="default" w:ascii="Times New Roman" w:hAnsi="Times New Roman" w:eastAsia="宋体" w:cs="Times New Roman"/>
                <w:color w:val="auto"/>
                <w:kern w:val="1"/>
                <w:sz w:val="24"/>
                <w:szCs w:val="24"/>
                <w:highlight w:val="none"/>
                <w:lang w:val="en-US" w:eastAsia="zh-CN" w:bidi="ar-SA"/>
              </w:rPr>
              <w:t>项目运营期厂界噪声执行《工业企业厂界环境噪声排放标准》（GB12348-2008）3类标准。</w:t>
            </w:r>
          </w:p>
          <w:p w14:paraId="294AD998">
            <w:pPr>
              <w:keepNext w:val="0"/>
              <w:keepLines w:val="0"/>
              <w:pageBreakBefore w:val="0"/>
              <w:widowControl w:val="0"/>
              <w:kinsoku/>
              <w:wordWrap/>
              <w:overflowPunct/>
              <w:topLinePunct/>
              <w:autoSpaceDE w:val="0"/>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 xml:space="preserve">12  </w:t>
            </w:r>
            <w:r>
              <w:rPr>
                <w:rFonts w:hint="default" w:ascii="Times New Roman" w:hAnsi="Times New Roman" w:eastAsia="宋体" w:cs="Times New Roman"/>
                <w:b/>
                <w:color w:val="auto"/>
                <w:sz w:val="21"/>
                <w:szCs w:val="21"/>
                <w:highlight w:val="none"/>
              </w:rPr>
              <w:t>工业企业厂界环境噪声排放标准</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单位：dB（A）</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665"/>
              <w:gridCol w:w="889"/>
              <w:gridCol w:w="1409"/>
              <w:gridCol w:w="1555"/>
              <w:gridCol w:w="1436"/>
            </w:tblGrid>
            <w:tr w14:paraId="23CDCF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554" w:type="dxa"/>
                  <w:gridSpan w:val="2"/>
                  <w:tcBorders>
                    <w:top w:val="single" w:color="auto" w:sz="8" w:space="0"/>
                    <w:left w:val="single" w:color="auto" w:sz="8" w:space="0"/>
                    <w:bottom w:val="single" w:color="auto" w:sz="8" w:space="0"/>
                    <w:right w:val="single" w:color="auto" w:sz="8" w:space="0"/>
                  </w:tcBorders>
                  <w:noWrap w:val="0"/>
                  <w:vAlign w:val="center"/>
                </w:tcPr>
                <w:p w14:paraId="6E709EAF">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执行标准</w:t>
                  </w:r>
                </w:p>
              </w:tc>
              <w:tc>
                <w:tcPr>
                  <w:tcW w:w="1409" w:type="dxa"/>
                  <w:tcBorders>
                    <w:top w:val="single" w:color="auto" w:sz="8" w:space="0"/>
                    <w:left w:val="single" w:color="auto" w:sz="8" w:space="0"/>
                    <w:bottom w:val="single" w:color="auto" w:sz="6" w:space="0"/>
                    <w:right w:val="single" w:color="auto" w:sz="6" w:space="0"/>
                  </w:tcBorders>
                  <w:noWrap w:val="0"/>
                  <w:vAlign w:val="center"/>
                </w:tcPr>
                <w:p w14:paraId="302BC72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执行范围</w:t>
                  </w:r>
                </w:p>
              </w:tc>
              <w:tc>
                <w:tcPr>
                  <w:tcW w:w="1555" w:type="dxa"/>
                  <w:tcBorders>
                    <w:top w:val="single" w:color="auto" w:sz="8" w:space="0"/>
                    <w:left w:val="single" w:color="auto" w:sz="8" w:space="0"/>
                    <w:bottom w:val="single" w:color="auto" w:sz="6" w:space="0"/>
                    <w:right w:val="single" w:color="auto" w:sz="6" w:space="0"/>
                  </w:tcBorders>
                  <w:noWrap w:val="0"/>
                  <w:vAlign w:val="center"/>
                </w:tcPr>
                <w:p w14:paraId="1DD0B364">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昼间（Leq）</w:t>
                  </w:r>
                </w:p>
              </w:tc>
              <w:tc>
                <w:tcPr>
                  <w:tcW w:w="1436" w:type="dxa"/>
                  <w:tcBorders>
                    <w:top w:val="single" w:color="auto" w:sz="8" w:space="0"/>
                    <w:left w:val="single" w:color="auto" w:sz="6" w:space="0"/>
                    <w:bottom w:val="single" w:color="auto" w:sz="6" w:space="0"/>
                    <w:right w:val="single" w:color="auto" w:sz="8" w:space="0"/>
                  </w:tcBorders>
                  <w:noWrap w:val="0"/>
                  <w:vAlign w:val="center"/>
                </w:tcPr>
                <w:p w14:paraId="112AC30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夜间（Leq）</w:t>
                  </w:r>
                </w:p>
              </w:tc>
            </w:tr>
            <w:tr w14:paraId="2F3115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665" w:type="dxa"/>
                  <w:tcBorders>
                    <w:top w:val="single" w:color="auto" w:sz="8" w:space="0"/>
                    <w:left w:val="single" w:color="auto" w:sz="8" w:space="0"/>
                    <w:right w:val="single" w:color="auto" w:sz="8" w:space="0"/>
                  </w:tcBorders>
                  <w:noWrap w:val="0"/>
                  <w:vAlign w:val="center"/>
                </w:tcPr>
                <w:p w14:paraId="5774E355">
                  <w:pPr>
                    <w:pStyle w:val="48"/>
                    <w:keepNext w:val="0"/>
                    <w:keepLines w:val="0"/>
                    <w:pageBreakBefore w:val="0"/>
                    <w:kinsoku/>
                    <w:overflowPunct/>
                    <w:topLinePunct/>
                    <w:autoSpaceDE w:val="0"/>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《工业企业厂界环境噪声排放标准》（GB12348-2008）</w:t>
                  </w:r>
                </w:p>
              </w:tc>
              <w:tc>
                <w:tcPr>
                  <w:tcW w:w="889" w:type="dxa"/>
                  <w:tcBorders>
                    <w:top w:val="single" w:color="auto" w:sz="8" w:space="0"/>
                    <w:left w:val="single" w:color="auto" w:sz="8" w:space="0"/>
                    <w:bottom w:val="single" w:color="auto" w:sz="8" w:space="0"/>
                    <w:right w:val="single" w:color="auto" w:sz="8" w:space="0"/>
                  </w:tcBorders>
                  <w:noWrap w:val="0"/>
                  <w:vAlign w:val="center"/>
                </w:tcPr>
                <w:p w14:paraId="75CA7A9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w:t>
                  </w:r>
                </w:p>
              </w:tc>
              <w:tc>
                <w:tcPr>
                  <w:tcW w:w="1409" w:type="dxa"/>
                  <w:tcBorders>
                    <w:top w:val="single" w:color="auto" w:sz="6" w:space="0"/>
                    <w:left w:val="single" w:color="auto" w:sz="8" w:space="0"/>
                    <w:bottom w:val="single" w:color="auto" w:sz="6" w:space="0"/>
                    <w:right w:val="single" w:color="auto" w:sz="6" w:space="0"/>
                  </w:tcBorders>
                  <w:noWrap w:val="0"/>
                  <w:vAlign w:val="center"/>
                </w:tcPr>
                <w:p w14:paraId="6E54819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东、南、西、北侧</w:t>
                  </w:r>
                </w:p>
              </w:tc>
              <w:tc>
                <w:tcPr>
                  <w:tcW w:w="1555" w:type="dxa"/>
                  <w:tcBorders>
                    <w:top w:val="single" w:color="auto" w:sz="6" w:space="0"/>
                    <w:left w:val="single" w:color="auto" w:sz="8" w:space="0"/>
                    <w:bottom w:val="single" w:color="auto" w:sz="6" w:space="0"/>
                    <w:right w:val="single" w:color="auto" w:sz="6" w:space="0"/>
                  </w:tcBorders>
                  <w:noWrap w:val="0"/>
                  <w:vAlign w:val="center"/>
                </w:tcPr>
                <w:p w14:paraId="30B1B81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1436" w:type="dxa"/>
                  <w:tcBorders>
                    <w:top w:val="single" w:color="auto" w:sz="6" w:space="0"/>
                    <w:left w:val="single" w:color="auto" w:sz="6" w:space="0"/>
                    <w:bottom w:val="single" w:color="auto" w:sz="6" w:space="0"/>
                    <w:right w:val="single" w:color="auto" w:sz="8" w:space="0"/>
                  </w:tcBorders>
                  <w:noWrap w:val="0"/>
                  <w:vAlign w:val="center"/>
                </w:tcPr>
                <w:p w14:paraId="2DBFADF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14:paraId="773E5FBF">
            <w:pPr>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sz w:val="24"/>
                <w:szCs w:val="24"/>
                <w:highlight w:val="none"/>
                <w:lang w:eastAsia="zh-CN"/>
              </w:rPr>
              <w:t>固体废弃物</w:t>
            </w:r>
          </w:p>
          <w:p w14:paraId="1C4EDDA8">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一般工业固体废物处置</w:t>
            </w:r>
            <w:r>
              <w:rPr>
                <w:rFonts w:hint="default" w:ascii="Times New Roman" w:hAnsi="Times New Roman" w:eastAsia="宋体" w:cs="Times New Roman"/>
                <w:color w:val="auto"/>
                <w:sz w:val="24"/>
                <w:highlight w:val="none"/>
                <w:lang w:eastAsia="zh-CN"/>
              </w:rPr>
              <w:t>参照</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中华人民共和国固体废物污染环境防治法</w:t>
            </w:r>
            <w:r>
              <w:rPr>
                <w:rFonts w:hint="default" w:ascii="Times New Roman" w:hAnsi="Times New Roman" w:eastAsia="宋体" w:cs="Times New Roman"/>
                <w:color w:val="auto"/>
                <w:sz w:val="24"/>
                <w:highlight w:val="none"/>
              </w:rPr>
              <w:t>》（2020</w:t>
            </w:r>
            <w:r>
              <w:rPr>
                <w:rFonts w:hint="default" w:ascii="Times New Roman" w:hAnsi="Times New Roman" w:eastAsia="宋体" w:cs="Times New Roman"/>
                <w:color w:val="auto"/>
                <w:sz w:val="24"/>
                <w:highlight w:val="none"/>
                <w:lang w:eastAsia="zh-CN"/>
              </w:rPr>
              <w:t>年</w:t>
            </w:r>
            <w:r>
              <w:rPr>
                <w:rFonts w:hint="default" w:ascii="Times New Roman" w:hAnsi="Times New Roman" w:eastAsia="宋体" w:cs="Times New Roman"/>
                <w:color w:val="auto"/>
                <w:sz w:val="24"/>
                <w:highlight w:val="none"/>
                <w:lang w:val="en-US" w:eastAsia="zh-CN"/>
              </w:rPr>
              <w:t>9月1日起施行</w:t>
            </w:r>
            <w:r>
              <w:rPr>
                <w:rFonts w:hint="default" w:ascii="Times New Roman" w:hAnsi="Times New Roman" w:eastAsia="宋体" w:cs="Times New Roman"/>
                <w:color w:val="auto"/>
                <w:sz w:val="24"/>
                <w:highlight w:val="none"/>
              </w:rPr>
              <w:t>）；一般工业固体废物贮存执行《一般工业固体废物贮存</w:t>
            </w:r>
            <w:r>
              <w:rPr>
                <w:rFonts w:hint="default" w:ascii="Times New Roman" w:hAnsi="Times New Roman" w:eastAsia="宋体" w:cs="Times New Roman"/>
                <w:color w:val="auto"/>
                <w:sz w:val="24"/>
                <w:highlight w:val="none"/>
                <w:lang w:val="en-US" w:eastAsia="zh-CN"/>
              </w:rPr>
              <w:t>和填埋</w:t>
            </w:r>
            <w:r>
              <w:rPr>
                <w:rFonts w:hint="default" w:ascii="Times New Roman" w:hAnsi="Times New Roman" w:eastAsia="宋体" w:cs="Times New Roman"/>
                <w:color w:val="auto"/>
                <w:sz w:val="24"/>
                <w:highlight w:val="none"/>
              </w:rPr>
              <w:t>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w:t>
            </w:r>
          </w:p>
          <w:p w14:paraId="40C9A66F">
            <w:pPr>
              <w:keepNext w:val="0"/>
              <w:keepLines w:val="0"/>
              <w:pageBreakBefore w:val="0"/>
              <w:kinsoku/>
              <w:overflowPunct/>
              <w:topLinePunct/>
              <w:autoSpaceDE w:val="0"/>
              <w:bidi w:val="0"/>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en-US" w:eastAsia="zh-CN"/>
              </w:rPr>
              <w:t>贮存</w:t>
            </w:r>
            <w:r>
              <w:rPr>
                <w:rFonts w:hint="default" w:ascii="Times New Roman" w:hAnsi="Times New Roman" w:eastAsia="宋体" w:cs="Times New Roman"/>
                <w:color w:val="auto"/>
                <w:sz w:val="24"/>
                <w:highlight w:val="none"/>
              </w:rPr>
              <w:t>执行</w:t>
            </w:r>
            <w:r>
              <w:rPr>
                <w:rFonts w:hint="default" w:ascii="Times New Roman" w:hAnsi="Times New Roman" w:eastAsia="宋体" w:cs="Times New Roman"/>
                <w:color w:val="auto"/>
                <w:sz w:val="24"/>
                <w:highlight w:val="none"/>
                <w:lang w:eastAsia="zh-CN"/>
              </w:rPr>
              <w:t>《危险废物贮存污染控制标准》（GB18597-2023），</w:t>
            </w:r>
            <w:r>
              <w:rPr>
                <w:rFonts w:hint="default" w:ascii="Times New Roman" w:hAnsi="Times New Roman" w:eastAsia="宋体" w:cs="Times New Roman"/>
                <w:color w:val="auto"/>
                <w:sz w:val="24"/>
                <w:highlight w:val="none"/>
                <w:lang w:val="en-US" w:eastAsia="zh-CN"/>
              </w:rPr>
              <w:t>危险废物收集、贮存、运输满足《危险废物收集 贮存 运输技术规范》（HJ2025-2012）</w:t>
            </w:r>
            <w:r>
              <w:rPr>
                <w:rFonts w:hint="default" w:ascii="Times New Roman" w:hAnsi="Times New Roman" w:eastAsia="宋体" w:cs="Times New Roman"/>
                <w:color w:val="auto"/>
                <w:sz w:val="24"/>
                <w:highlight w:val="none"/>
              </w:rPr>
              <w:t>相关规定</w:t>
            </w:r>
            <w:r>
              <w:rPr>
                <w:rFonts w:hint="default" w:ascii="Times New Roman" w:hAnsi="Times New Roman" w:eastAsia="宋体" w:cs="Times New Roman"/>
                <w:color w:val="auto"/>
                <w:sz w:val="24"/>
                <w:highlight w:val="none"/>
                <w:lang w:eastAsia="zh-CN"/>
              </w:rPr>
              <w:t>。</w:t>
            </w:r>
          </w:p>
        </w:tc>
      </w:tr>
      <w:tr w14:paraId="2A913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vAlign w:val="center"/>
          </w:tcPr>
          <w:p w14:paraId="745256F2">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14:paraId="1A30FEA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14:paraId="23D8752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190" w:type="dxa"/>
            <w:vAlign w:val="top"/>
          </w:tcPr>
          <w:p w14:paraId="369CE5A3">
            <w:pPr>
              <w:keepNext w:val="0"/>
              <w:keepLines w:val="0"/>
              <w:pageBreakBefore w:val="0"/>
              <w:widowControl w:val="0"/>
              <w:numPr>
                <w:ilvl w:val="0"/>
                <w:numId w:val="0"/>
              </w:numPr>
              <w:tabs>
                <w:tab w:val="left" w:pos="3800"/>
              </w:tabs>
              <w:kinsoku/>
              <w:wordWrap/>
              <w:overflowPunct/>
              <w:topLinePunct/>
              <w:autoSpaceDE w:val="0"/>
              <w:autoSpaceDN/>
              <w:bidi w:val="0"/>
              <w:adjustRightInd w:val="0"/>
              <w:snapToGrid w:val="0"/>
              <w:spacing w:after="0"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本项目总量控制指标</w:t>
            </w:r>
          </w:p>
          <w:p w14:paraId="79E64029">
            <w:pPr>
              <w:keepNext w:val="0"/>
              <w:keepLines w:val="0"/>
              <w:pageBreakBefore w:val="0"/>
              <w:tabs>
                <w:tab w:val="left" w:pos="3800"/>
              </w:tabs>
              <w:kinsoku/>
              <w:wordWrap/>
              <w:overflowPunct/>
              <w:topLinePunct/>
              <w:autoSpaceDE w:val="0"/>
              <w:autoSpaceDN/>
              <w:bidi w:val="0"/>
              <w:adjustRightInd w:val="0"/>
              <w:snapToGrid w:val="0"/>
              <w:spacing w:after="0" w:line="360" w:lineRule="auto"/>
              <w:ind w:firstLine="453" w:firstLineChars="189"/>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根据本项目的排污特征，结合国家污染物排放总量控制原则，列出本项目建议执行的总量控制指标</w:t>
            </w:r>
            <w:r>
              <w:rPr>
                <w:rFonts w:hint="default" w:ascii="Times New Roman" w:hAnsi="Times New Roman" w:eastAsia="宋体" w:cs="Times New Roman"/>
                <w:color w:val="auto"/>
                <w:sz w:val="24"/>
                <w:szCs w:val="24"/>
                <w:highlight w:val="none"/>
                <w:lang w:eastAsia="zh-CN"/>
              </w:rPr>
              <w:t>：</w:t>
            </w:r>
          </w:p>
          <w:p w14:paraId="59DAE0A0">
            <w:pPr>
              <w:keepNext w:val="0"/>
              <w:keepLines w:val="0"/>
              <w:pageBreakBefore w:val="0"/>
              <w:tabs>
                <w:tab w:val="left" w:pos="3800"/>
              </w:tabs>
              <w:kinsoku/>
              <w:wordWrap/>
              <w:overflowPunct/>
              <w:topLinePunct/>
              <w:autoSpaceDE w:val="0"/>
              <w:autoSpaceDN/>
              <w:bidi w:val="0"/>
              <w:adjustRightInd w:val="0"/>
              <w:snapToGrid w:val="0"/>
              <w:spacing w:after="0" w:line="360" w:lineRule="auto"/>
              <w:ind w:firstLine="455" w:firstLineChars="189"/>
              <w:jc w:val="both"/>
              <w:textAlignment w:val="auto"/>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废气</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项目废气总量控制指标如下表所示：</w:t>
            </w:r>
          </w:p>
          <w:p w14:paraId="62B0E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表3-</w:t>
            </w:r>
            <w:r>
              <w:rPr>
                <w:rFonts w:hint="default" w:ascii="Times New Roman" w:hAnsi="Times New Roman" w:eastAsia="宋体" w:cs="Times New Roman"/>
                <w:b/>
                <w:bCs/>
                <w:strike w:val="0"/>
                <w:dstrike w:val="0"/>
                <w:color w:val="auto"/>
                <w:sz w:val="21"/>
                <w:szCs w:val="21"/>
                <w:highlight w:val="none"/>
                <w:lang w:val="en-US" w:eastAsia="zh-CN"/>
              </w:rPr>
              <w:t xml:space="preserve">13 </w:t>
            </w:r>
            <w:r>
              <w:rPr>
                <w:rFonts w:hint="default" w:ascii="Times New Roman" w:hAnsi="Times New Roman" w:eastAsia="宋体" w:cs="Times New Roman"/>
                <w:b/>
                <w:bCs/>
                <w:strike w:val="0"/>
                <w:dstrike w:val="0"/>
                <w:color w:val="auto"/>
                <w:sz w:val="21"/>
                <w:szCs w:val="21"/>
                <w:highlight w:val="none"/>
              </w:rPr>
              <w:t xml:space="preserve"> </w:t>
            </w:r>
            <w:r>
              <w:rPr>
                <w:rFonts w:hint="default" w:ascii="Times New Roman" w:hAnsi="Times New Roman" w:eastAsia="宋体" w:cs="Times New Roman"/>
                <w:b/>
                <w:bCs/>
                <w:strike w:val="0"/>
                <w:dstrike w:val="0"/>
                <w:color w:val="auto"/>
                <w:sz w:val="21"/>
                <w:szCs w:val="21"/>
                <w:highlight w:val="none"/>
                <w:lang w:val="en-US" w:eastAsia="zh-CN"/>
              </w:rPr>
              <w:t>废气总量控制指标一览表</w:t>
            </w:r>
            <w:r>
              <w:rPr>
                <w:rFonts w:hint="default" w:ascii="Times New Roman" w:hAnsi="Times New Roman" w:eastAsia="宋体" w:cs="Times New Roman"/>
                <w:b/>
                <w:bCs/>
                <w:strike w:val="0"/>
                <w:dstrike w:val="0"/>
                <w:color w:val="auto"/>
                <w:sz w:val="21"/>
                <w:szCs w:val="21"/>
                <w:highlight w:val="none"/>
              </w:rPr>
              <w:t xml:space="preserve"> </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602"/>
              <w:gridCol w:w="2893"/>
              <w:gridCol w:w="2893"/>
            </w:tblGrid>
            <w:tr w14:paraId="49B2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8" w:type="dxa"/>
                  <w:gridSpan w:val="2"/>
                  <w:noWrap w:val="0"/>
                  <w:vAlign w:val="center"/>
                </w:tcPr>
                <w:p w14:paraId="5C4A4209">
                  <w:pPr>
                    <w:tabs>
                      <w:tab w:val="left" w:pos="3094"/>
                    </w:tabs>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污染物</w:t>
                  </w:r>
                </w:p>
              </w:tc>
              <w:tc>
                <w:tcPr>
                  <w:tcW w:w="2893" w:type="dxa"/>
                  <w:noWrap w:val="0"/>
                  <w:vAlign w:val="center"/>
                </w:tcPr>
                <w:p w14:paraId="2B805EC8">
                  <w:pPr>
                    <w:tabs>
                      <w:tab w:val="left" w:pos="3094"/>
                    </w:tabs>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总量控制指标（t/a）</w:t>
                  </w:r>
                </w:p>
              </w:tc>
              <w:tc>
                <w:tcPr>
                  <w:tcW w:w="2893" w:type="dxa"/>
                  <w:noWrap w:val="0"/>
                  <w:vAlign w:val="center"/>
                </w:tcPr>
                <w:p w14:paraId="07CC987D">
                  <w:pPr>
                    <w:tabs>
                      <w:tab w:val="left" w:pos="3094"/>
                    </w:tabs>
                    <w:jc w:val="center"/>
                    <w:rPr>
                      <w:rFonts w:hint="default" w:ascii="Times New Roman" w:hAnsi="Times New Roman" w:eastAsia="宋体" w:cs="Times New Roman"/>
                      <w:b/>
                      <w:bCs/>
                      <w:strike w:val="0"/>
                      <w:dstrike w:val="0"/>
                      <w:color w:val="auto"/>
                      <w:sz w:val="21"/>
                      <w:szCs w:val="21"/>
                      <w:highlight w:val="none"/>
                    </w:rPr>
                  </w:pPr>
                  <w:r>
                    <w:rPr>
                      <w:rFonts w:hint="default" w:ascii="Times New Roman" w:hAnsi="Times New Roman" w:eastAsia="宋体" w:cs="Times New Roman"/>
                      <w:b/>
                      <w:bCs/>
                      <w:strike w:val="0"/>
                      <w:dstrike w:val="0"/>
                      <w:color w:val="auto"/>
                      <w:sz w:val="21"/>
                      <w:szCs w:val="21"/>
                      <w:highlight w:val="none"/>
                    </w:rPr>
                    <w:t>废气量（万m</w:t>
                  </w:r>
                  <w:r>
                    <w:rPr>
                      <w:rFonts w:hint="default" w:ascii="Times New Roman" w:hAnsi="Times New Roman" w:eastAsia="宋体" w:cs="Times New Roman"/>
                      <w:b/>
                      <w:bCs/>
                      <w:strike w:val="0"/>
                      <w:dstrike w:val="0"/>
                      <w:color w:val="auto"/>
                      <w:sz w:val="21"/>
                      <w:szCs w:val="21"/>
                      <w:highlight w:val="none"/>
                      <w:vertAlign w:val="superscript"/>
                    </w:rPr>
                    <w:t>3</w:t>
                  </w:r>
                  <w:r>
                    <w:rPr>
                      <w:rFonts w:hint="default" w:ascii="Times New Roman" w:hAnsi="Times New Roman" w:eastAsia="宋体" w:cs="Times New Roman"/>
                      <w:b/>
                      <w:bCs/>
                      <w:strike w:val="0"/>
                      <w:dstrike w:val="0"/>
                      <w:color w:val="auto"/>
                      <w:sz w:val="21"/>
                      <w:szCs w:val="21"/>
                      <w:highlight w:val="none"/>
                    </w:rPr>
                    <w:t>/a）</w:t>
                  </w:r>
                </w:p>
              </w:tc>
            </w:tr>
            <w:tr w14:paraId="0DA9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restart"/>
                  <w:noWrap w:val="0"/>
                  <w:vAlign w:val="center"/>
                </w:tcPr>
                <w:p w14:paraId="71831B2E">
                  <w:pPr>
                    <w:widowControl/>
                    <w:jc w:val="center"/>
                    <w:textAlignment w:val="center"/>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有组织</w:t>
                  </w:r>
                </w:p>
              </w:tc>
              <w:tc>
                <w:tcPr>
                  <w:tcW w:w="1602" w:type="dxa"/>
                  <w:noWrap w:val="0"/>
                  <w:vAlign w:val="center"/>
                </w:tcPr>
                <w:p w14:paraId="7CEE1E55">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2893" w:type="dxa"/>
                  <w:noWrap w:val="0"/>
                  <w:vAlign w:val="center"/>
                </w:tcPr>
                <w:p w14:paraId="40B0D85A">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eastAsia" w:cs="Times New Roman"/>
                      <w:i w:val="0"/>
                      <w:iCs w:val="0"/>
                      <w:color w:val="auto"/>
                      <w:kern w:val="0"/>
                      <w:sz w:val="21"/>
                      <w:szCs w:val="21"/>
                      <w:u w:val="none"/>
                      <w:lang w:val="en-US" w:eastAsia="zh-CN" w:bidi="ar"/>
                    </w:rPr>
                    <w:t>0.612</w:t>
                  </w:r>
                </w:p>
              </w:tc>
              <w:tc>
                <w:tcPr>
                  <w:tcW w:w="2893" w:type="dxa"/>
                  <w:vMerge w:val="restart"/>
                  <w:noWrap w:val="0"/>
                  <w:vAlign w:val="center"/>
                </w:tcPr>
                <w:p w14:paraId="4FDA3054">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cs="Times New Roman"/>
                      <w:strike w:val="0"/>
                      <w:dstrike w:val="0"/>
                      <w:color w:val="auto"/>
                      <w:spacing w:val="1"/>
                      <w:sz w:val="21"/>
                      <w:szCs w:val="21"/>
                      <w:highlight w:val="none"/>
                      <w:lang w:val="en-US" w:eastAsia="zh-CN"/>
                    </w:rPr>
                    <w:t>16380</w:t>
                  </w:r>
                </w:p>
              </w:tc>
            </w:tr>
            <w:tr w14:paraId="4915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240AF933">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419493BB">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2893" w:type="dxa"/>
                  <w:noWrap w:val="0"/>
                  <w:vAlign w:val="center"/>
                </w:tcPr>
                <w:p w14:paraId="225A5544">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2.5500</w:t>
                  </w:r>
                </w:p>
              </w:tc>
              <w:tc>
                <w:tcPr>
                  <w:tcW w:w="2893" w:type="dxa"/>
                  <w:vMerge w:val="continue"/>
                  <w:noWrap w:val="0"/>
                  <w:vAlign w:val="center"/>
                </w:tcPr>
                <w:p w14:paraId="7BD9EC11">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strike w:val="0"/>
                      <w:dstrike w:val="0"/>
                      <w:color w:val="auto"/>
                      <w:spacing w:val="1"/>
                      <w:sz w:val="21"/>
                      <w:szCs w:val="21"/>
                      <w:highlight w:val="none"/>
                      <w:lang w:val="en-US" w:eastAsia="zh-CN"/>
                    </w:rPr>
                  </w:pPr>
                </w:p>
              </w:tc>
            </w:tr>
            <w:tr w14:paraId="4643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4EF45277">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3F882170">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2893" w:type="dxa"/>
                  <w:noWrap w:val="0"/>
                  <w:vAlign w:val="center"/>
                </w:tcPr>
                <w:p w14:paraId="22EF25F4">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r>
                    <w:rPr>
                      <w:rFonts w:hint="eastAsia" w:cs="Times New Roman"/>
                      <w:i w:val="0"/>
                      <w:iCs w:val="0"/>
                      <w:color w:val="auto"/>
                      <w:kern w:val="0"/>
                      <w:sz w:val="21"/>
                      <w:szCs w:val="21"/>
                      <w:u w:val="none"/>
                      <w:lang w:val="en-US" w:eastAsia="zh-CN" w:bidi="ar"/>
                    </w:rPr>
                    <w:t>2</w:t>
                  </w:r>
                </w:p>
              </w:tc>
              <w:tc>
                <w:tcPr>
                  <w:tcW w:w="2893" w:type="dxa"/>
                  <w:vMerge w:val="continue"/>
                  <w:noWrap w:val="0"/>
                  <w:vAlign w:val="center"/>
                </w:tcPr>
                <w:p w14:paraId="6965E29A">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strike w:val="0"/>
                      <w:dstrike w:val="0"/>
                      <w:color w:val="auto"/>
                      <w:spacing w:val="1"/>
                      <w:sz w:val="21"/>
                      <w:szCs w:val="21"/>
                      <w:highlight w:val="none"/>
                      <w:lang w:val="en-US" w:eastAsia="zh-CN"/>
                    </w:rPr>
                  </w:pPr>
                </w:p>
              </w:tc>
            </w:tr>
            <w:tr w14:paraId="7644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restart"/>
                  <w:noWrap w:val="0"/>
                  <w:vAlign w:val="center"/>
                </w:tcPr>
                <w:p w14:paraId="3836E536">
                  <w:pPr>
                    <w:widowControl/>
                    <w:jc w:val="center"/>
                    <w:textAlignment w:val="center"/>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sz w:val="21"/>
                      <w:szCs w:val="21"/>
                      <w:highlight w:val="none"/>
                    </w:rPr>
                    <w:t>无组织</w:t>
                  </w:r>
                </w:p>
              </w:tc>
              <w:tc>
                <w:tcPr>
                  <w:tcW w:w="1602" w:type="dxa"/>
                  <w:noWrap w:val="0"/>
                  <w:vAlign w:val="center"/>
                </w:tcPr>
                <w:p w14:paraId="20183762">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2893" w:type="dxa"/>
                  <w:noWrap w:val="0"/>
                  <w:vAlign w:val="center"/>
                </w:tcPr>
                <w:p w14:paraId="3EF2DAA1">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eastAsia" w:cs="Times New Roman"/>
                      <w:i w:val="0"/>
                      <w:iCs w:val="0"/>
                      <w:color w:val="auto"/>
                      <w:kern w:val="0"/>
                      <w:sz w:val="21"/>
                      <w:szCs w:val="21"/>
                      <w:u w:val="none"/>
                      <w:lang w:val="en-US" w:eastAsia="zh-CN" w:bidi="ar"/>
                    </w:rPr>
                    <w:t>6</w:t>
                  </w:r>
                </w:p>
              </w:tc>
              <w:tc>
                <w:tcPr>
                  <w:tcW w:w="2893" w:type="dxa"/>
                  <w:vMerge w:val="restart"/>
                  <w:noWrap w:val="0"/>
                  <w:vAlign w:val="center"/>
                </w:tcPr>
                <w:p w14:paraId="7754FCA4">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strike w:val="0"/>
                      <w:dstrike w:val="0"/>
                      <w:color w:val="auto"/>
                      <w:spacing w:val="1"/>
                      <w:sz w:val="21"/>
                      <w:szCs w:val="21"/>
                      <w:highlight w:val="none"/>
                      <w:lang w:val="en-US" w:eastAsia="zh-CN"/>
                    </w:rPr>
                    <w:t>/</w:t>
                  </w:r>
                </w:p>
              </w:tc>
            </w:tr>
            <w:tr w14:paraId="326A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6F9520E5">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65284FD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2893" w:type="dxa"/>
                  <w:noWrap w:val="0"/>
                  <w:vAlign w:val="center"/>
                </w:tcPr>
                <w:p w14:paraId="68C12C14">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0.9000</w:t>
                  </w:r>
                </w:p>
              </w:tc>
              <w:tc>
                <w:tcPr>
                  <w:tcW w:w="2893" w:type="dxa"/>
                  <w:vMerge w:val="continue"/>
                  <w:noWrap w:val="0"/>
                  <w:vAlign w:val="center"/>
                </w:tcPr>
                <w:p w14:paraId="141B2F43">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strike w:val="0"/>
                      <w:dstrike w:val="0"/>
                      <w:color w:val="auto"/>
                      <w:spacing w:val="1"/>
                      <w:sz w:val="21"/>
                      <w:szCs w:val="21"/>
                      <w:highlight w:val="none"/>
                      <w:lang w:val="en-US" w:eastAsia="zh-CN"/>
                    </w:rPr>
                  </w:pPr>
                </w:p>
              </w:tc>
            </w:tr>
            <w:tr w14:paraId="42C8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25BE5771">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17422F2D">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2893" w:type="dxa"/>
                  <w:noWrap w:val="0"/>
                  <w:vAlign w:val="center"/>
                </w:tcPr>
                <w:p w14:paraId="6C90E9BF">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06</w:t>
                  </w:r>
                </w:p>
              </w:tc>
              <w:tc>
                <w:tcPr>
                  <w:tcW w:w="2893" w:type="dxa"/>
                  <w:vMerge w:val="continue"/>
                  <w:noWrap w:val="0"/>
                  <w:vAlign w:val="center"/>
                </w:tcPr>
                <w:p w14:paraId="1C761B92">
                  <w:pPr>
                    <w:widowControl/>
                    <w:jc w:val="center"/>
                    <w:textAlignment w:val="center"/>
                    <w:rPr>
                      <w:rFonts w:hint="default" w:ascii="Times New Roman" w:hAnsi="Times New Roman" w:eastAsia="宋体" w:cs="Times New Roman"/>
                      <w:strike w:val="0"/>
                      <w:dstrike w:val="0"/>
                      <w:color w:val="auto"/>
                      <w:sz w:val="21"/>
                      <w:szCs w:val="21"/>
                      <w:highlight w:val="none"/>
                    </w:rPr>
                  </w:pPr>
                </w:p>
              </w:tc>
            </w:tr>
            <w:tr w14:paraId="4F18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718B2F73">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6F180E9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2893" w:type="dxa"/>
                  <w:noWrap w:val="0"/>
                  <w:vAlign w:val="center"/>
                </w:tcPr>
                <w:p w14:paraId="47427B5F">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w:t>
                  </w:r>
                  <w:r>
                    <w:rPr>
                      <w:rFonts w:hint="eastAsia" w:cs="Times New Roman"/>
                      <w:i w:val="0"/>
                      <w:iCs w:val="0"/>
                      <w:color w:val="auto"/>
                      <w:kern w:val="0"/>
                      <w:sz w:val="21"/>
                      <w:szCs w:val="21"/>
                      <w:u w:val="none"/>
                      <w:lang w:val="en-US" w:eastAsia="zh-CN" w:bidi="ar"/>
                    </w:rPr>
                    <w:t>8</w:t>
                  </w:r>
                </w:p>
              </w:tc>
              <w:tc>
                <w:tcPr>
                  <w:tcW w:w="2893" w:type="dxa"/>
                  <w:vMerge w:val="continue"/>
                  <w:noWrap w:val="0"/>
                  <w:vAlign w:val="center"/>
                </w:tcPr>
                <w:p w14:paraId="3DD305F4">
                  <w:pPr>
                    <w:widowControl/>
                    <w:jc w:val="center"/>
                    <w:textAlignment w:val="center"/>
                    <w:rPr>
                      <w:rFonts w:hint="default" w:ascii="Times New Roman" w:hAnsi="Times New Roman" w:eastAsia="宋体" w:cs="Times New Roman"/>
                      <w:strike w:val="0"/>
                      <w:dstrike w:val="0"/>
                      <w:color w:val="auto"/>
                      <w:sz w:val="21"/>
                      <w:szCs w:val="21"/>
                      <w:highlight w:val="none"/>
                    </w:rPr>
                  </w:pPr>
                </w:p>
              </w:tc>
            </w:tr>
            <w:tr w14:paraId="2866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206B5812">
                  <w:pPr>
                    <w:widowControl/>
                    <w:jc w:val="center"/>
                    <w:textAlignment w:val="center"/>
                    <w:rPr>
                      <w:rFonts w:hint="default" w:ascii="Times New Roman" w:hAnsi="Times New Roman" w:eastAsia="宋体" w:cs="Times New Roman"/>
                      <w:strike w:val="0"/>
                      <w:dstrike w:val="0"/>
                      <w:color w:val="auto"/>
                      <w:sz w:val="21"/>
                      <w:szCs w:val="21"/>
                      <w:highlight w:val="none"/>
                    </w:rPr>
                  </w:pPr>
                </w:p>
              </w:tc>
              <w:tc>
                <w:tcPr>
                  <w:tcW w:w="1602" w:type="dxa"/>
                  <w:noWrap w:val="0"/>
                  <w:vAlign w:val="center"/>
                </w:tcPr>
                <w:p w14:paraId="250BF8AD">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2893" w:type="dxa"/>
                  <w:noWrap w:val="0"/>
                  <w:vAlign w:val="center"/>
                </w:tcPr>
                <w:p w14:paraId="612F2D87">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2893" w:type="dxa"/>
                  <w:vMerge w:val="continue"/>
                  <w:noWrap w:val="0"/>
                  <w:vAlign w:val="center"/>
                </w:tcPr>
                <w:p w14:paraId="39AD64D5">
                  <w:pPr>
                    <w:widowControl/>
                    <w:jc w:val="center"/>
                    <w:textAlignment w:val="center"/>
                    <w:rPr>
                      <w:rFonts w:hint="default" w:ascii="Times New Roman" w:hAnsi="Times New Roman" w:eastAsia="宋体" w:cs="Times New Roman"/>
                      <w:strike w:val="0"/>
                      <w:dstrike w:val="0"/>
                      <w:color w:val="auto"/>
                      <w:sz w:val="21"/>
                      <w:szCs w:val="21"/>
                      <w:highlight w:val="none"/>
                    </w:rPr>
                  </w:pPr>
                </w:p>
              </w:tc>
            </w:tr>
            <w:tr w14:paraId="378B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restart"/>
                  <w:noWrap w:val="0"/>
                  <w:vAlign w:val="center"/>
                </w:tcPr>
                <w:p w14:paraId="29BB8448">
                  <w:pPr>
                    <w:widowControl/>
                    <w:jc w:val="center"/>
                    <w:textAlignment w:val="center"/>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cs="Times New Roman"/>
                      <w:strike w:val="0"/>
                      <w:dstrike w:val="0"/>
                      <w:color w:val="auto"/>
                      <w:sz w:val="21"/>
                      <w:szCs w:val="21"/>
                      <w:highlight w:val="none"/>
                      <w:lang w:val="en-US" w:eastAsia="zh-CN"/>
                    </w:rPr>
                    <w:t>合计</w:t>
                  </w:r>
                </w:p>
              </w:tc>
              <w:tc>
                <w:tcPr>
                  <w:tcW w:w="1602" w:type="dxa"/>
                  <w:shd w:val="clear" w:color="auto" w:fill="auto"/>
                  <w:noWrap w:val="0"/>
                  <w:vAlign w:val="center"/>
                </w:tcPr>
                <w:p w14:paraId="21B959C1">
                  <w:pPr>
                    <w:keepNext w:val="0"/>
                    <w:keepLines w:val="0"/>
                    <w:widowControl/>
                    <w:suppressLineNumbers w:val="0"/>
                    <w:jc w:val="center"/>
                    <w:textAlignment w:val="center"/>
                    <w:rPr>
                      <w:rFonts w:hint="default" w:ascii="Times New Roman" w:hAnsi="Times New Roman" w:eastAsia="宋体" w:cs="Times New Roman"/>
                      <w:strike w:val="0"/>
                      <w:dstrike w:val="0"/>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2893" w:type="dxa"/>
                  <w:noWrap w:val="0"/>
                  <w:vAlign w:val="center"/>
                </w:tcPr>
                <w:p w14:paraId="0A947A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6.6158</w:t>
                  </w:r>
                </w:p>
              </w:tc>
              <w:tc>
                <w:tcPr>
                  <w:tcW w:w="2893" w:type="dxa"/>
                  <w:noWrap w:val="0"/>
                  <w:vAlign w:val="center"/>
                </w:tcPr>
                <w:p w14:paraId="48C0591D">
                  <w:pPr>
                    <w:widowControl/>
                    <w:jc w:val="center"/>
                    <w:textAlignment w:val="center"/>
                    <w:rPr>
                      <w:rFonts w:hint="default" w:ascii="Times New Roman" w:hAnsi="Times New Roman" w:eastAsia="宋体" w:cs="Times New Roman"/>
                      <w:strike w:val="0"/>
                      <w:dstrike w:val="0"/>
                      <w:color w:val="auto"/>
                      <w:sz w:val="21"/>
                      <w:szCs w:val="21"/>
                      <w:highlight w:val="none"/>
                    </w:rPr>
                  </w:pPr>
                </w:p>
              </w:tc>
            </w:tr>
            <w:tr w14:paraId="17D7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79312C7D">
                  <w:pPr>
                    <w:widowControl/>
                    <w:jc w:val="center"/>
                    <w:textAlignment w:val="center"/>
                    <w:rPr>
                      <w:rFonts w:hint="default" w:ascii="Times New Roman" w:hAnsi="Times New Roman" w:cs="Times New Roman"/>
                      <w:strike w:val="0"/>
                      <w:dstrike w:val="0"/>
                      <w:color w:val="auto"/>
                      <w:sz w:val="21"/>
                      <w:szCs w:val="21"/>
                      <w:highlight w:val="none"/>
                      <w:lang w:val="en-US" w:eastAsia="zh-CN"/>
                    </w:rPr>
                  </w:pPr>
                </w:p>
              </w:tc>
              <w:tc>
                <w:tcPr>
                  <w:tcW w:w="1602" w:type="dxa"/>
                  <w:shd w:val="clear" w:color="auto" w:fill="auto"/>
                  <w:noWrap w:val="0"/>
                  <w:vAlign w:val="center"/>
                </w:tcPr>
                <w:p w14:paraId="65DD6C7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2893" w:type="dxa"/>
                  <w:noWrap w:val="0"/>
                  <w:vAlign w:val="center"/>
                </w:tcPr>
                <w:p w14:paraId="368F6E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3.4500</w:t>
                  </w:r>
                </w:p>
              </w:tc>
              <w:tc>
                <w:tcPr>
                  <w:tcW w:w="2893" w:type="dxa"/>
                  <w:noWrap w:val="0"/>
                  <w:vAlign w:val="center"/>
                </w:tcPr>
                <w:p w14:paraId="6B516772">
                  <w:pPr>
                    <w:widowControl/>
                    <w:jc w:val="center"/>
                    <w:textAlignment w:val="center"/>
                    <w:rPr>
                      <w:rFonts w:hint="default" w:ascii="Times New Roman" w:hAnsi="Times New Roman" w:cs="Times New Roman"/>
                      <w:color w:val="auto"/>
                      <w:sz w:val="21"/>
                      <w:szCs w:val="21"/>
                    </w:rPr>
                  </w:pPr>
                </w:p>
              </w:tc>
            </w:tr>
            <w:tr w14:paraId="6B52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noWrap w:val="0"/>
                  <w:vAlign w:val="center"/>
                </w:tcPr>
                <w:p w14:paraId="1CC0DF9C">
                  <w:pPr>
                    <w:widowControl/>
                    <w:jc w:val="center"/>
                    <w:textAlignment w:val="center"/>
                    <w:rPr>
                      <w:rFonts w:hint="default" w:ascii="Times New Roman" w:hAnsi="Times New Roman" w:cs="Times New Roman"/>
                      <w:strike w:val="0"/>
                      <w:dstrike w:val="0"/>
                      <w:color w:val="auto"/>
                      <w:sz w:val="21"/>
                      <w:szCs w:val="21"/>
                      <w:highlight w:val="none"/>
                      <w:lang w:val="en-US" w:eastAsia="zh-CN"/>
                    </w:rPr>
                  </w:pPr>
                </w:p>
              </w:tc>
              <w:tc>
                <w:tcPr>
                  <w:tcW w:w="1602" w:type="dxa"/>
                  <w:shd w:val="clear" w:color="auto" w:fill="auto"/>
                  <w:noWrap w:val="0"/>
                  <w:vAlign w:val="center"/>
                </w:tcPr>
                <w:p w14:paraId="5C557D42">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2893" w:type="dxa"/>
                  <w:noWrap w:val="0"/>
                  <w:vAlign w:val="center"/>
                </w:tcPr>
                <w:p w14:paraId="3BB6CA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38</w:t>
                  </w:r>
                </w:p>
              </w:tc>
              <w:tc>
                <w:tcPr>
                  <w:tcW w:w="2893" w:type="dxa"/>
                  <w:noWrap w:val="0"/>
                  <w:vAlign w:val="center"/>
                </w:tcPr>
                <w:p w14:paraId="07E35632">
                  <w:pPr>
                    <w:widowControl/>
                    <w:jc w:val="center"/>
                    <w:textAlignment w:val="center"/>
                    <w:rPr>
                      <w:rFonts w:hint="default" w:ascii="Times New Roman" w:hAnsi="Times New Roman" w:cs="Times New Roman"/>
                      <w:color w:val="auto"/>
                      <w:sz w:val="21"/>
                      <w:szCs w:val="21"/>
                    </w:rPr>
                  </w:pPr>
                </w:p>
              </w:tc>
            </w:tr>
            <w:tr w14:paraId="5418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tcPr>
                <w:p w14:paraId="5F80EF5F">
                  <w:pPr>
                    <w:widowControl/>
                    <w:jc w:val="center"/>
                    <w:textAlignment w:val="center"/>
                    <w:rPr>
                      <w:rFonts w:hint="default" w:ascii="Times New Roman" w:hAnsi="Times New Roman" w:cs="Times New Roman"/>
                      <w:strike w:val="0"/>
                      <w:dstrike w:val="0"/>
                      <w:color w:val="auto"/>
                      <w:sz w:val="21"/>
                      <w:szCs w:val="21"/>
                      <w:highlight w:val="none"/>
                      <w:lang w:val="en-US" w:eastAsia="zh-CN"/>
                    </w:rPr>
                  </w:pPr>
                </w:p>
              </w:tc>
              <w:tc>
                <w:tcPr>
                  <w:tcW w:w="1602" w:type="dxa"/>
                  <w:shd w:val="clear" w:color="auto" w:fill="auto"/>
                  <w:vAlign w:val="center"/>
                </w:tcPr>
                <w:p w14:paraId="03A8B9DE">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2893" w:type="dxa"/>
                  <w:vAlign w:val="center"/>
                </w:tcPr>
                <w:p w14:paraId="51757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0.0876</w:t>
                  </w:r>
                </w:p>
              </w:tc>
              <w:tc>
                <w:tcPr>
                  <w:tcW w:w="0" w:type="auto"/>
                </w:tcPr>
                <w:p w14:paraId="4C826FD0">
                  <w:pPr>
                    <w:widowControl/>
                    <w:jc w:val="center"/>
                    <w:textAlignment w:val="center"/>
                    <w:rPr>
                      <w:rFonts w:hint="default" w:ascii="Times New Roman" w:hAnsi="Times New Roman" w:cs="Times New Roman"/>
                      <w:color w:val="auto"/>
                      <w:sz w:val="21"/>
                      <w:szCs w:val="21"/>
                    </w:rPr>
                  </w:pPr>
                </w:p>
              </w:tc>
            </w:tr>
            <w:tr w14:paraId="67C9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dxa"/>
                  <w:vMerge w:val="continue"/>
                </w:tcPr>
                <w:p w14:paraId="4328F3F1">
                  <w:pPr>
                    <w:widowControl/>
                    <w:jc w:val="center"/>
                    <w:textAlignment w:val="center"/>
                    <w:rPr>
                      <w:rFonts w:hint="default" w:ascii="Times New Roman" w:hAnsi="Times New Roman" w:cs="Times New Roman"/>
                      <w:strike w:val="0"/>
                      <w:dstrike w:val="0"/>
                      <w:color w:val="auto"/>
                      <w:sz w:val="21"/>
                      <w:szCs w:val="21"/>
                      <w:highlight w:val="none"/>
                      <w:lang w:val="en-US" w:eastAsia="zh-CN"/>
                    </w:rPr>
                  </w:pPr>
                </w:p>
              </w:tc>
              <w:tc>
                <w:tcPr>
                  <w:tcW w:w="1602" w:type="dxa"/>
                  <w:shd w:val="clear" w:color="auto" w:fill="auto"/>
                  <w:vAlign w:val="center"/>
                </w:tcPr>
                <w:p w14:paraId="6C322647">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2893" w:type="dxa"/>
                  <w:vAlign w:val="center"/>
                </w:tcPr>
                <w:p w14:paraId="63B7FD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0" w:type="auto"/>
                </w:tcPr>
                <w:p w14:paraId="00E0FA70">
                  <w:pPr>
                    <w:widowControl/>
                    <w:jc w:val="center"/>
                    <w:textAlignment w:val="center"/>
                    <w:rPr>
                      <w:rFonts w:hint="default" w:ascii="Times New Roman" w:hAnsi="Times New Roman" w:cs="Times New Roman"/>
                      <w:color w:val="auto"/>
                      <w:sz w:val="21"/>
                      <w:szCs w:val="21"/>
                    </w:rPr>
                  </w:pPr>
                </w:p>
              </w:tc>
            </w:tr>
          </w:tbl>
          <w:p w14:paraId="7DEAD08C">
            <w:pPr>
              <w:keepNext w:val="0"/>
              <w:keepLines w:val="0"/>
              <w:pageBreakBefore w:val="0"/>
              <w:kinsoku/>
              <w:wordWrap/>
              <w:overflowPunct/>
              <w:topLinePunct/>
              <w:autoSpaceDE w:val="0"/>
              <w:autoSpaceDN/>
              <w:bidi w:val="0"/>
              <w:adjustRightInd w:val="0"/>
              <w:snapToGrid w:val="0"/>
              <w:spacing w:after="0" w:line="360" w:lineRule="auto"/>
              <w:ind w:firstLine="482" w:firstLineChars="200"/>
              <w:jc w:val="both"/>
              <w:textAlignment w:val="auto"/>
              <w:rPr>
                <w:rFonts w:hint="default" w:ascii="Times New Roman" w:hAnsi="Times New Roman" w:eastAsia="宋体" w:cs="Times New Roman"/>
                <w:color w:val="auto"/>
                <w:spacing w:val="-3"/>
                <w:sz w:val="24"/>
                <w:szCs w:val="24"/>
                <w:highlight w:val="none"/>
                <w:lang w:eastAsia="zh-CN"/>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废水</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项目</w:t>
            </w:r>
            <w:r>
              <w:rPr>
                <w:rFonts w:hint="default" w:ascii="Times New Roman" w:hAnsi="Times New Roman" w:eastAsia="宋体" w:cs="Times New Roman"/>
                <w:color w:val="auto"/>
                <w:spacing w:val="-3"/>
                <w:sz w:val="24"/>
                <w:szCs w:val="24"/>
                <w:highlight w:val="none"/>
              </w:rPr>
              <w:t>食堂废水经隔油池处理后同其他生活污水一起经化粪池预处理</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与去离子水制备浓水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color w:val="auto"/>
                <w:spacing w:val="-3"/>
                <w:sz w:val="24"/>
                <w:szCs w:val="24"/>
                <w:highlight w:val="none"/>
                <w:lang w:val="en-US" w:eastAsia="zh-CN"/>
              </w:rPr>
              <w:t>一起</w:t>
            </w:r>
            <w:r>
              <w:rPr>
                <w:rFonts w:hint="default" w:ascii="Times New Roman" w:hAnsi="Times New Roman" w:eastAsia="宋体" w:cs="Times New Roman"/>
                <w:color w:val="auto"/>
                <w:spacing w:val="-3"/>
                <w:sz w:val="24"/>
                <w:szCs w:val="24"/>
                <w:highlight w:val="none"/>
              </w:rPr>
              <w:t>通过废水</w:t>
            </w:r>
            <w:r>
              <w:rPr>
                <w:rFonts w:hint="default" w:ascii="Times New Roman" w:hAnsi="Times New Roman" w:eastAsia="宋体" w:cs="Times New Roman"/>
                <w:color w:val="auto"/>
                <w:spacing w:val="-3"/>
                <w:sz w:val="24"/>
                <w:szCs w:val="24"/>
                <w:highlight w:val="none"/>
                <w:lang w:val="en-US" w:eastAsia="zh-CN"/>
              </w:rPr>
              <w:t>总</w:t>
            </w:r>
            <w:r>
              <w:rPr>
                <w:rFonts w:hint="default" w:ascii="Times New Roman" w:hAnsi="Times New Roman" w:eastAsia="宋体" w:cs="Times New Roman"/>
                <w:color w:val="auto"/>
                <w:spacing w:val="-3"/>
                <w:sz w:val="24"/>
                <w:szCs w:val="24"/>
                <w:highlight w:val="none"/>
              </w:rPr>
              <w:t>排口进入废水接纳管网排放至云南易门产业园区六街和麦子田片区集中式生活污水处理厂处理</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厂区</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废水、圆磨废水经处理后大部分回用于</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、圆磨工序及</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工序，小部分与其余</w:t>
            </w:r>
            <w:r>
              <w:rPr>
                <w:rFonts w:hint="default" w:ascii="Times New Roman" w:hAnsi="Times New Roman" w:eastAsia="宋体" w:cs="Times New Roman"/>
                <w:color w:val="auto"/>
                <w:spacing w:val="-3"/>
                <w:sz w:val="24"/>
                <w:szCs w:val="24"/>
                <w:highlight w:val="none"/>
                <w:lang w:val="en-US" w:eastAsia="zh-CN"/>
              </w:rPr>
              <w:t>生产</w:t>
            </w:r>
            <w:r>
              <w:rPr>
                <w:rFonts w:hint="default" w:ascii="Times New Roman" w:hAnsi="Times New Roman" w:eastAsia="宋体" w:cs="Times New Roman"/>
                <w:color w:val="auto"/>
                <w:spacing w:val="-3"/>
                <w:sz w:val="24"/>
                <w:szCs w:val="24"/>
                <w:highlight w:val="none"/>
              </w:rPr>
              <w:t>废水一起经厂区生化污水处理站处理，各指标在满足</w:t>
            </w:r>
            <w:r>
              <w:rPr>
                <w:rFonts w:hint="default" w:ascii="Times New Roman" w:hAnsi="Times New Roman" w:eastAsia="宋体" w:cs="Times New Roman"/>
                <w:color w:val="auto"/>
                <w:spacing w:val="4"/>
                <w:sz w:val="24"/>
                <w:szCs w:val="24"/>
                <w:highlight w:val="none"/>
                <w:lang w:eastAsia="zh-CN"/>
              </w:rPr>
              <w:t>《污</w:t>
            </w:r>
            <w:r>
              <w:rPr>
                <w:rFonts w:hint="default" w:ascii="Times New Roman" w:hAnsi="Times New Roman" w:eastAsia="宋体" w:cs="Times New Roman"/>
                <w:color w:val="auto"/>
                <w:spacing w:val="3"/>
                <w:sz w:val="24"/>
                <w:szCs w:val="24"/>
                <w:highlight w:val="none"/>
                <w:lang w:eastAsia="zh-CN"/>
              </w:rPr>
              <w:t>水综合排放标准》（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3"/>
                <w:sz w:val="24"/>
                <w:szCs w:val="24"/>
                <w:highlight w:val="none"/>
                <w:lang w:eastAsia="zh-CN"/>
              </w:rPr>
              <w:t>8978-1996）</w:t>
            </w:r>
            <w:r>
              <w:rPr>
                <w:rFonts w:hint="default" w:ascii="Times New Roman" w:hAnsi="Times New Roman" w:eastAsia="宋体" w:cs="Times New Roman"/>
                <w:color w:val="auto"/>
                <w:spacing w:val="8"/>
                <w:sz w:val="24"/>
                <w:szCs w:val="24"/>
                <w:highlight w:val="none"/>
                <w:lang w:eastAsia="zh-CN"/>
              </w:rPr>
              <w:t>表4中三级标准限值、</w:t>
            </w:r>
            <w:r>
              <w:rPr>
                <w:rFonts w:hint="default" w:ascii="Times New Roman" w:hAnsi="Times New Roman" w:eastAsia="宋体" w:cs="Times New Roman"/>
                <w:color w:val="auto"/>
                <w:spacing w:val="6"/>
                <w:sz w:val="24"/>
                <w:szCs w:val="24"/>
                <w:highlight w:val="none"/>
                <w:lang w:eastAsia="zh-CN"/>
              </w:rPr>
              <w:t>《污水排入城</w:t>
            </w:r>
            <w:r>
              <w:rPr>
                <w:rFonts w:hint="default" w:ascii="Times New Roman" w:hAnsi="Times New Roman" w:eastAsia="宋体" w:cs="Times New Roman"/>
                <w:color w:val="auto"/>
                <w:spacing w:val="9"/>
                <w:sz w:val="24"/>
                <w:szCs w:val="24"/>
                <w:highlight w:val="none"/>
                <w:lang w:eastAsia="zh-CN"/>
              </w:rPr>
              <w:t>镇下水道水质标准》（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9"/>
                <w:sz w:val="24"/>
                <w:szCs w:val="24"/>
                <w:highlight w:val="none"/>
                <w:lang w:eastAsia="zh-CN"/>
              </w:rPr>
              <w:t>/T31962-2015）中A级标准</w:t>
            </w:r>
            <w:r>
              <w:rPr>
                <w:rFonts w:hint="default" w:ascii="Times New Roman" w:hAnsi="Times New Roman" w:eastAsia="宋体" w:cs="Times New Roman"/>
                <w:color w:val="auto"/>
                <w:spacing w:val="-3"/>
                <w:sz w:val="24"/>
                <w:szCs w:val="24"/>
                <w:highlight w:val="none"/>
              </w:rPr>
              <w:t>及</w:t>
            </w:r>
            <w:r>
              <w:rPr>
                <w:rFonts w:hint="default" w:ascii="Times New Roman" w:hAnsi="Times New Roman" w:eastAsia="宋体" w:cs="Times New Roman"/>
                <w:color w:val="auto"/>
                <w:spacing w:val="-3"/>
                <w:sz w:val="24"/>
                <w:szCs w:val="24"/>
                <w:highlight w:val="none"/>
                <w:lang w:val="en-US" w:eastAsia="zh-CN"/>
              </w:rPr>
              <w:t>污水处理厂进水水质要求后</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通过废水</w:t>
            </w:r>
            <w:r>
              <w:rPr>
                <w:rFonts w:hint="default" w:ascii="Times New Roman" w:hAnsi="Times New Roman" w:eastAsia="宋体" w:cs="Times New Roman"/>
                <w:color w:val="auto"/>
                <w:spacing w:val="-3"/>
                <w:sz w:val="24"/>
                <w:szCs w:val="24"/>
                <w:highlight w:val="none"/>
                <w:lang w:val="en-US" w:eastAsia="zh-CN"/>
              </w:rPr>
              <w:t>总</w:t>
            </w:r>
            <w:r>
              <w:rPr>
                <w:rFonts w:hint="default" w:ascii="Times New Roman" w:hAnsi="Times New Roman" w:eastAsia="宋体" w:cs="Times New Roman"/>
                <w:color w:val="auto"/>
                <w:spacing w:val="-3"/>
                <w:sz w:val="24"/>
                <w:szCs w:val="24"/>
                <w:highlight w:val="none"/>
              </w:rPr>
              <w:t>排口进入废水接纳管网排放至云南易门产业园区六街和麦子田片区集中式生活污水处理厂处理</w:t>
            </w:r>
            <w:r>
              <w:rPr>
                <w:rFonts w:hint="default" w:ascii="Times New Roman" w:hAnsi="Times New Roman" w:eastAsia="宋体" w:cs="Times New Roman"/>
                <w:color w:val="auto"/>
                <w:spacing w:val="-3"/>
                <w:sz w:val="24"/>
                <w:szCs w:val="24"/>
                <w:highlight w:val="none"/>
                <w:lang w:eastAsia="zh-CN"/>
              </w:rPr>
              <w:t>。</w:t>
            </w:r>
          </w:p>
          <w:p w14:paraId="6F15FC58">
            <w:pPr>
              <w:keepNext w:val="0"/>
              <w:keepLines w:val="0"/>
              <w:pageBreakBefore w:val="0"/>
              <w:kinsoku/>
              <w:wordWrap/>
              <w:overflowPunct/>
              <w:topLinePunct/>
              <w:autoSpaceDE w:val="0"/>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strike w:val="0"/>
                <w:dstrike w:val="0"/>
                <w:color w:val="auto"/>
                <w:kern w:val="2"/>
                <w:sz w:val="24"/>
                <w:szCs w:val="24"/>
                <w:highlight w:val="none"/>
                <w:lang w:val="en-US" w:eastAsia="zh-CN" w:bidi="ar-SA"/>
              </w:rPr>
            </w:pPr>
            <w:r>
              <w:rPr>
                <w:rFonts w:hint="default" w:ascii="Times New Roman" w:hAnsi="Times New Roman" w:eastAsia="宋体" w:cs="Times New Roman"/>
                <w:b w:val="0"/>
                <w:bCs w:val="0"/>
                <w:strike w:val="0"/>
                <w:dstrike w:val="0"/>
                <w:color w:val="auto"/>
                <w:kern w:val="2"/>
                <w:sz w:val="24"/>
                <w:szCs w:val="24"/>
                <w:highlight w:val="none"/>
                <w:lang w:val="en-US" w:eastAsia="zh-CN" w:bidi="ar-SA"/>
              </w:rPr>
              <w:t>本项目水污染物总量控制指标纳入云南易门产业园区六街和麦子田片区集中式生活污水处理厂总量控制指标，故本项目不设废水总量控制指标。</w:t>
            </w:r>
          </w:p>
          <w:p w14:paraId="30902444">
            <w:pPr>
              <w:keepNext w:val="0"/>
              <w:keepLines w:val="0"/>
              <w:pageBreakBefore w:val="0"/>
              <w:widowControl w:val="0"/>
              <w:numPr>
                <w:ilvl w:val="0"/>
                <w:numId w:val="0"/>
              </w:numPr>
              <w:kinsoku/>
              <w:wordWrap/>
              <w:overflowPunct/>
              <w:topLinePunct/>
              <w:autoSpaceDE w:val="0"/>
              <w:autoSpaceDN/>
              <w:bidi w:val="0"/>
              <w:adjustRightInd w:val="0"/>
              <w:snapToGrid w:val="0"/>
              <w:spacing w:after="0" w:line="360" w:lineRule="auto"/>
              <w:ind w:left="0" w:leftChars="0" w:firstLine="482"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sz w:val="24"/>
                <w:szCs w:val="24"/>
                <w:highlight w:val="none"/>
                <w:lang w:eastAsia="zh-CN"/>
              </w:rPr>
              <w:t>固体</w:t>
            </w:r>
            <w:r>
              <w:rPr>
                <w:rFonts w:hint="default" w:ascii="Times New Roman" w:hAnsi="Times New Roman" w:eastAsia="宋体" w:cs="Times New Roman"/>
                <w:b/>
                <w:color w:val="auto"/>
                <w:sz w:val="24"/>
                <w:szCs w:val="24"/>
                <w:highlight w:val="none"/>
                <w:lang w:eastAsia="zh-CN"/>
              </w:rPr>
              <w:t>废弃</w:t>
            </w:r>
            <w:r>
              <w:rPr>
                <w:rFonts w:hint="default" w:ascii="Times New Roman" w:hAnsi="Times New Roman" w:eastAsia="宋体" w:cs="Times New Roman"/>
                <w:b/>
                <w:color w:val="auto"/>
                <w:sz w:val="24"/>
                <w:szCs w:val="24"/>
                <w:highlight w:val="none"/>
              </w:rPr>
              <w:t>物</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color w:val="auto"/>
                <w:sz w:val="24"/>
                <w:szCs w:val="24"/>
                <w:highlight w:val="none"/>
              </w:rPr>
              <w:t>固废处置率为100%</w:t>
            </w:r>
            <w:r>
              <w:rPr>
                <w:rFonts w:hint="default" w:ascii="Times New Roman" w:hAnsi="Times New Roman" w:eastAsia="宋体" w:cs="Times New Roman"/>
                <w:color w:val="auto"/>
                <w:sz w:val="24"/>
                <w:szCs w:val="24"/>
                <w:highlight w:val="none"/>
                <w:lang w:eastAsia="zh-CN"/>
              </w:rPr>
              <w:t>。</w:t>
            </w:r>
          </w:p>
          <w:p w14:paraId="3E4882BA">
            <w:pPr>
              <w:pStyle w:val="2"/>
              <w:widowControl w:val="0"/>
              <w:numPr>
                <w:numId w:val="0"/>
              </w:numPr>
              <w:jc w:val="both"/>
              <w:rPr>
                <w:rFonts w:hint="default"/>
                <w:color w:val="auto"/>
              </w:rPr>
            </w:pPr>
          </w:p>
          <w:p w14:paraId="070D6B7B">
            <w:pPr>
              <w:pStyle w:val="3"/>
              <w:rPr>
                <w:rFonts w:hint="default"/>
                <w:color w:val="auto"/>
              </w:rPr>
            </w:pPr>
          </w:p>
          <w:p w14:paraId="4D154FE8">
            <w:pPr>
              <w:pStyle w:val="3"/>
              <w:rPr>
                <w:rFonts w:hint="default"/>
                <w:color w:val="auto"/>
              </w:rPr>
            </w:pPr>
          </w:p>
          <w:p w14:paraId="15EF5590">
            <w:pPr>
              <w:pStyle w:val="3"/>
              <w:rPr>
                <w:rFonts w:hint="default"/>
                <w:color w:val="auto"/>
              </w:rPr>
            </w:pPr>
          </w:p>
          <w:p w14:paraId="410EA11F">
            <w:pPr>
              <w:pStyle w:val="3"/>
              <w:rPr>
                <w:rFonts w:hint="default"/>
                <w:color w:val="auto"/>
              </w:rPr>
            </w:pPr>
          </w:p>
          <w:p w14:paraId="25D07579">
            <w:pPr>
              <w:pStyle w:val="3"/>
              <w:rPr>
                <w:rFonts w:hint="default"/>
                <w:color w:val="auto"/>
              </w:rPr>
            </w:pPr>
          </w:p>
          <w:p w14:paraId="2BFCFB06">
            <w:pPr>
              <w:pStyle w:val="3"/>
              <w:rPr>
                <w:rFonts w:hint="default"/>
                <w:color w:val="auto"/>
              </w:rPr>
            </w:pPr>
          </w:p>
          <w:p w14:paraId="19624912">
            <w:pPr>
              <w:pStyle w:val="3"/>
              <w:rPr>
                <w:rFonts w:hint="default"/>
                <w:color w:val="auto"/>
              </w:rPr>
            </w:pPr>
          </w:p>
          <w:p w14:paraId="7AFE519A">
            <w:pPr>
              <w:pStyle w:val="3"/>
              <w:rPr>
                <w:rFonts w:hint="default"/>
                <w:color w:val="auto"/>
              </w:rPr>
            </w:pPr>
          </w:p>
          <w:p w14:paraId="4A5537FB">
            <w:pPr>
              <w:pStyle w:val="3"/>
              <w:rPr>
                <w:rFonts w:hint="default"/>
                <w:color w:val="auto"/>
              </w:rPr>
            </w:pPr>
          </w:p>
          <w:p w14:paraId="796DA7AD">
            <w:pPr>
              <w:pStyle w:val="3"/>
              <w:rPr>
                <w:rFonts w:hint="default"/>
                <w:color w:val="auto"/>
              </w:rPr>
            </w:pPr>
          </w:p>
          <w:p w14:paraId="398397FB">
            <w:pPr>
              <w:pStyle w:val="3"/>
              <w:rPr>
                <w:rFonts w:hint="default"/>
                <w:color w:val="auto"/>
              </w:rPr>
            </w:pPr>
          </w:p>
          <w:p w14:paraId="70FF596E">
            <w:pPr>
              <w:pStyle w:val="3"/>
              <w:rPr>
                <w:rFonts w:hint="default"/>
                <w:color w:val="auto"/>
              </w:rPr>
            </w:pPr>
          </w:p>
          <w:p w14:paraId="4D6A4364">
            <w:pPr>
              <w:pStyle w:val="3"/>
              <w:rPr>
                <w:rFonts w:hint="default"/>
                <w:color w:val="auto"/>
              </w:rPr>
            </w:pPr>
          </w:p>
          <w:p w14:paraId="2CAB92F5">
            <w:pPr>
              <w:pStyle w:val="3"/>
              <w:rPr>
                <w:rFonts w:hint="default"/>
                <w:color w:val="auto"/>
              </w:rPr>
            </w:pPr>
          </w:p>
          <w:p w14:paraId="5F62D8C0">
            <w:pPr>
              <w:pStyle w:val="3"/>
              <w:rPr>
                <w:rFonts w:hint="default"/>
                <w:color w:val="auto"/>
              </w:rPr>
            </w:pPr>
          </w:p>
          <w:p w14:paraId="6917D283">
            <w:pPr>
              <w:pStyle w:val="3"/>
              <w:rPr>
                <w:rFonts w:hint="default"/>
                <w:color w:val="auto"/>
              </w:rPr>
            </w:pPr>
          </w:p>
          <w:p w14:paraId="2F6BD536">
            <w:pPr>
              <w:pStyle w:val="3"/>
              <w:rPr>
                <w:rFonts w:hint="default"/>
                <w:color w:val="auto"/>
              </w:rPr>
            </w:pPr>
          </w:p>
          <w:p w14:paraId="7F5F0970">
            <w:pPr>
              <w:pStyle w:val="3"/>
              <w:rPr>
                <w:rFonts w:hint="default"/>
                <w:color w:val="auto"/>
              </w:rPr>
            </w:pPr>
          </w:p>
          <w:p w14:paraId="782390C8">
            <w:pPr>
              <w:pStyle w:val="3"/>
              <w:rPr>
                <w:rFonts w:hint="default"/>
                <w:color w:val="auto"/>
              </w:rPr>
            </w:pPr>
          </w:p>
          <w:p w14:paraId="5EFC1639">
            <w:pPr>
              <w:pStyle w:val="3"/>
              <w:rPr>
                <w:rFonts w:hint="default"/>
                <w:color w:val="auto"/>
              </w:rPr>
            </w:pPr>
          </w:p>
          <w:p w14:paraId="389FE467">
            <w:pPr>
              <w:pStyle w:val="3"/>
              <w:rPr>
                <w:rFonts w:hint="default"/>
                <w:color w:val="auto"/>
              </w:rPr>
            </w:pPr>
          </w:p>
          <w:p w14:paraId="018542F7">
            <w:pPr>
              <w:pStyle w:val="3"/>
              <w:rPr>
                <w:rFonts w:hint="default"/>
                <w:color w:val="auto"/>
              </w:rPr>
            </w:pPr>
          </w:p>
          <w:p w14:paraId="37BC2EA2">
            <w:pPr>
              <w:pStyle w:val="3"/>
              <w:rPr>
                <w:rFonts w:hint="default"/>
                <w:color w:val="auto"/>
              </w:rPr>
            </w:pPr>
          </w:p>
          <w:p w14:paraId="0C4BD571">
            <w:pPr>
              <w:pStyle w:val="3"/>
              <w:rPr>
                <w:rFonts w:hint="default"/>
                <w:color w:val="auto"/>
              </w:rPr>
            </w:pPr>
          </w:p>
          <w:p w14:paraId="79E30128">
            <w:pPr>
              <w:pStyle w:val="3"/>
              <w:rPr>
                <w:rFonts w:hint="default"/>
                <w:color w:val="auto"/>
              </w:rPr>
            </w:pPr>
          </w:p>
          <w:p w14:paraId="26F47C17">
            <w:pPr>
              <w:pStyle w:val="3"/>
              <w:rPr>
                <w:rFonts w:hint="default"/>
                <w:color w:val="auto"/>
              </w:rPr>
            </w:pPr>
          </w:p>
          <w:p w14:paraId="3BC10D1D">
            <w:pPr>
              <w:pStyle w:val="3"/>
              <w:rPr>
                <w:rFonts w:hint="default"/>
                <w:color w:val="auto"/>
              </w:rPr>
            </w:pPr>
          </w:p>
          <w:p w14:paraId="4BAED5A0">
            <w:pPr>
              <w:pStyle w:val="3"/>
              <w:rPr>
                <w:rFonts w:hint="default"/>
                <w:color w:val="auto"/>
              </w:rPr>
            </w:pPr>
          </w:p>
          <w:p w14:paraId="2D53558E">
            <w:pPr>
              <w:pStyle w:val="3"/>
              <w:rPr>
                <w:rFonts w:hint="default"/>
                <w:color w:val="auto"/>
              </w:rPr>
            </w:pPr>
          </w:p>
          <w:p w14:paraId="698C298A">
            <w:pPr>
              <w:pStyle w:val="3"/>
              <w:rPr>
                <w:rFonts w:hint="default"/>
                <w:color w:val="auto"/>
              </w:rPr>
            </w:pPr>
          </w:p>
          <w:p w14:paraId="009807F0">
            <w:pPr>
              <w:pStyle w:val="3"/>
              <w:rPr>
                <w:rFonts w:hint="default"/>
                <w:color w:val="auto"/>
              </w:rPr>
            </w:pPr>
          </w:p>
          <w:p w14:paraId="3E5A88F5">
            <w:pPr>
              <w:pStyle w:val="3"/>
              <w:rPr>
                <w:rFonts w:hint="default"/>
                <w:color w:val="auto"/>
              </w:rPr>
            </w:pPr>
          </w:p>
          <w:p w14:paraId="6F209B57">
            <w:pPr>
              <w:pStyle w:val="3"/>
              <w:rPr>
                <w:rFonts w:hint="default"/>
                <w:color w:val="auto"/>
              </w:rPr>
            </w:pPr>
          </w:p>
          <w:p w14:paraId="26A9C731">
            <w:pPr>
              <w:rPr>
                <w:rFonts w:hint="default" w:ascii="Times New Roman" w:hAnsi="Times New Roman" w:eastAsia="宋体" w:cs="Times New Roman"/>
                <w:color w:val="auto"/>
              </w:rPr>
            </w:pPr>
          </w:p>
        </w:tc>
      </w:tr>
    </w:tbl>
    <w:p w14:paraId="5A4154AC">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0" w:name="_Toc13326"/>
      <w:r>
        <w:rPr>
          <w:rFonts w:hint="default" w:ascii="Times New Roman" w:hAnsi="Times New Roman" w:eastAsia="宋体" w:cs="Times New Roman"/>
          <w:b/>
          <w:bCs/>
          <w:snapToGrid w:val="0"/>
          <w:color w:val="auto"/>
          <w:sz w:val="30"/>
          <w:szCs w:val="30"/>
          <w:highlight w:val="none"/>
        </w:rPr>
        <w:t>四、主要环境影响和保护措施</w:t>
      </w:r>
      <w:bookmarkEnd w:id="10"/>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32"/>
      </w:tblGrid>
      <w:tr w14:paraId="6401A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Mar>
              <w:left w:w="28" w:type="dxa"/>
              <w:right w:w="28" w:type="dxa"/>
            </w:tcMar>
            <w:vAlign w:val="center"/>
          </w:tcPr>
          <w:p w14:paraId="33E19DF6">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w:t>
            </w:r>
          </w:p>
          <w:p w14:paraId="59B208ED">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期环</w:t>
            </w:r>
          </w:p>
          <w:p w14:paraId="5CC3D214">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境保</w:t>
            </w:r>
          </w:p>
          <w:p w14:paraId="5A5BB55F">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护措</w:t>
            </w:r>
          </w:p>
          <w:p w14:paraId="10B7423F">
            <w:pPr>
              <w:pStyle w:val="26"/>
              <w:keepNext w:val="0"/>
              <w:keepLines w:val="0"/>
              <w:pageBreakBefore w:val="0"/>
              <w:kinsoku/>
              <w:overflowPunct/>
              <w:topLinePunct/>
              <w:autoSpaceDE w:val="0"/>
              <w:bidi w:val="0"/>
              <w:adjustRightInd w:val="0"/>
              <w:snapToGrid w:val="0"/>
              <w:spacing w:before="0" w:beforeAutospacing="0" w:after="0" w:afterAutospacing="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4"/>
                <w:szCs w:val="24"/>
                <w:highlight w:val="none"/>
              </w:rPr>
              <w:t>施</w:t>
            </w:r>
          </w:p>
        </w:tc>
        <w:tc>
          <w:tcPr>
            <w:tcW w:w="8132" w:type="dxa"/>
            <w:vAlign w:val="center"/>
          </w:tcPr>
          <w:p w14:paraId="4D8AFAD0">
            <w:pPr>
              <w:keepNext w:val="0"/>
              <w:keepLines w:val="0"/>
              <w:pageBreakBefore w:val="0"/>
              <w:kinsoku/>
              <w:overflowPunct/>
              <w:topLinePunct/>
              <w:autoSpaceDE w:val="0"/>
              <w:bidi w:val="0"/>
              <w:adjustRightInd w:val="0"/>
              <w:snapToGrid w:val="0"/>
              <w:spacing w:before="120"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施工期主要为</w:t>
            </w:r>
            <w:r>
              <w:rPr>
                <w:rFonts w:hint="default" w:ascii="Times New Roman" w:hAnsi="Times New Roman" w:eastAsia="宋体" w:cs="Times New Roman"/>
                <w:color w:val="auto"/>
                <w:kern w:val="0"/>
                <w:sz w:val="24"/>
                <w:highlight w:val="none"/>
                <w:lang w:val="zh-CN"/>
              </w:rPr>
              <w:t>基础工程、主体工程、</w:t>
            </w:r>
            <w:r>
              <w:rPr>
                <w:rFonts w:hint="default" w:ascii="Times New Roman" w:hAnsi="Times New Roman" w:eastAsia="宋体" w:cs="Times New Roman"/>
                <w:color w:val="auto"/>
                <w:kern w:val="0"/>
                <w:sz w:val="24"/>
                <w:highlight w:val="none"/>
              </w:rPr>
              <w:t>装饰工程的</w:t>
            </w:r>
            <w:r>
              <w:rPr>
                <w:rFonts w:hint="default" w:ascii="Times New Roman" w:hAnsi="Times New Roman" w:eastAsia="宋体" w:cs="Times New Roman"/>
                <w:color w:val="auto"/>
                <w:sz w:val="24"/>
                <w:highlight w:val="none"/>
              </w:rPr>
              <w:t>施工、设备安装及调试等工作，按照建设项目的规模及建设进度，预计项目施工人数最多时为35人，施工期约</w:t>
            </w:r>
            <w:r>
              <w:rPr>
                <w:rFonts w:hint="default" w:ascii="Times New Roman" w:hAnsi="Times New Roman" w:eastAsia="宋体" w:cs="Times New Roman"/>
                <w:color w:val="auto"/>
                <w:kern w:val="0"/>
                <w:sz w:val="24"/>
                <w:highlight w:val="none"/>
                <w:lang w:val="en-US" w:eastAsia="zh-CN"/>
              </w:rPr>
              <w:t>12</w:t>
            </w:r>
            <w:r>
              <w:rPr>
                <w:rFonts w:hint="default" w:ascii="Times New Roman" w:hAnsi="Times New Roman" w:eastAsia="宋体" w:cs="Times New Roman"/>
                <w:color w:val="auto"/>
                <w:kern w:val="0"/>
                <w:sz w:val="24"/>
                <w:highlight w:val="none"/>
                <w:lang w:val="zh-CN"/>
              </w:rPr>
              <w:t>个月</w:t>
            </w:r>
            <w:r>
              <w:rPr>
                <w:rFonts w:hint="default" w:ascii="Times New Roman" w:hAnsi="Times New Roman" w:eastAsia="宋体" w:cs="Times New Roman"/>
                <w:color w:val="auto"/>
                <w:sz w:val="24"/>
                <w:highlight w:val="none"/>
              </w:rPr>
              <w:t>。根据现场调查，本项目厂区已由政府进行场地平整工作，其余均未建设。</w:t>
            </w:r>
          </w:p>
          <w:p w14:paraId="3BFB7FD0">
            <w:pPr>
              <w:keepNext w:val="0"/>
              <w:keepLines w:val="0"/>
              <w:pageBreakBefore w:val="0"/>
              <w:kinsoku/>
              <w:overflowPunct/>
              <w:topLinePunct/>
              <w:autoSpaceDE w:val="0"/>
              <w:bidi w:val="0"/>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1.</w:t>
            </w:r>
            <w:r>
              <w:rPr>
                <w:rFonts w:hint="default" w:ascii="Times New Roman" w:hAnsi="Times New Roman" w:eastAsia="宋体" w:cs="Times New Roman"/>
                <w:b/>
                <w:color w:val="auto"/>
                <w:sz w:val="24"/>
                <w:highlight w:val="none"/>
              </w:rPr>
              <w:t>废气</w:t>
            </w:r>
          </w:p>
          <w:p w14:paraId="34875047">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项目施工期废气主要为施工扬尘、</w:t>
            </w:r>
            <w:r>
              <w:rPr>
                <w:rFonts w:hint="default" w:ascii="Times New Roman" w:hAnsi="Times New Roman" w:eastAsia="宋体" w:cs="Times New Roman"/>
                <w:color w:val="auto"/>
                <w:sz w:val="24"/>
                <w:highlight w:val="none"/>
              </w:rPr>
              <w:t>焊接废气和燃油废气。</w:t>
            </w:r>
          </w:p>
          <w:p w14:paraId="4F6590F1">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本项目施工过程中需采取如下防尘和抑尘措施：</w:t>
            </w:r>
          </w:p>
          <w:p w14:paraId="756329E6">
            <w:pPr>
              <w:keepNext w:val="0"/>
              <w:keepLines w:val="0"/>
              <w:pageBreakBefore w:val="0"/>
              <w:kinsoku/>
              <w:overflowPunct/>
              <w:topLinePunct/>
              <w:autoSpaceDE w:val="0"/>
              <w:bidi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1）施工扬尘</w:t>
            </w:r>
          </w:p>
          <w:p w14:paraId="37B34F6E">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（1）在项目施工出入口处铺垫碎石道路，保持出入口的清洁；材料运输过程中杜绝抛、撒、飞、漏等扬尘污染。</w:t>
            </w:r>
          </w:p>
          <w:p w14:paraId="4CAD4106">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（2）施工场地定期洒水，防止扬尘产生，一般每天不少于2次；若遇到大风或干燥天气要适当增加洒水次数。</w:t>
            </w:r>
          </w:p>
          <w:p w14:paraId="49F0EE26">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将开挖土方集中堆放，及时回填，临时堆放时应采用土工布进行覆盖，减少扬尘影响时间。废弃土石方，建筑材料弃渣及时清运，物料设置专门封闭堆存间、无法封闭堆存的物料应采用土工布进行全封闭的遮盖，减少物料在项目内的堆存时间。</w:t>
            </w:r>
          </w:p>
          <w:p w14:paraId="5DF2021D">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（4）在施工中合理组织施工，缩短施工时间，尽量减少施工污染。</w:t>
            </w:r>
          </w:p>
          <w:p w14:paraId="6A098C42">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（5）在施工场地周围设置不低于2.5m的围墙，避免在风速较大的情况下进行施工作业，减小扬尘对敏感目标的影响。</w:t>
            </w:r>
          </w:p>
          <w:p w14:paraId="4FACD2A6">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（6）在施工机械的选型上考虑相应的环保型产品，主要使用轻质柴油或电作为能源，不得使用劣质燃料。</w:t>
            </w:r>
          </w:p>
          <w:p w14:paraId="06220E7A">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（7）施工道路应保持平整，施工道路养护、维修、清扫专职人员，保持道路清洁、运行状态良好。</w:t>
            </w:r>
          </w:p>
          <w:p w14:paraId="60190255">
            <w:pPr>
              <w:keepNext w:val="0"/>
              <w:keepLines w:val="0"/>
              <w:pageBreakBefore w:val="0"/>
              <w:kinsoku/>
              <w:overflowPunct/>
              <w:topLinePunct/>
              <w:autoSpaceDE w:val="0"/>
              <w:bidi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（8）运输车辆进入施工场地应低速行驶，或限速行驶，以减少产尘量，并定时对车辆进行冲洗。防止带泥土的运输车辆驶出现场和遗撒渣土在路途中。</w:t>
            </w:r>
          </w:p>
          <w:p w14:paraId="0ED09141">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（9）车辆运输建筑垃圾时必须加盖封闭运输，减少</w:t>
            </w:r>
            <w:r>
              <w:rPr>
                <w:rFonts w:hint="default" w:ascii="Times New Roman" w:hAnsi="Times New Roman" w:eastAsia="宋体" w:cs="Times New Roman"/>
                <w:color w:val="auto"/>
                <w:sz w:val="24"/>
                <w:highlight w:val="none"/>
                <w:lang w:eastAsia="zh-CN"/>
              </w:rPr>
              <w:t>抛洒</w:t>
            </w:r>
            <w:r>
              <w:rPr>
                <w:rFonts w:hint="default" w:ascii="Times New Roman" w:hAnsi="Times New Roman" w:eastAsia="宋体" w:cs="Times New Roman"/>
                <w:color w:val="auto"/>
                <w:sz w:val="24"/>
                <w:highlight w:val="none"/>
              </w:rPr>
              <w:t>。</w:t>
            </w:r>
          </w:p>
          <w:p w14:paraId="0F948508">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项目施工期严格采取上述措施，施工扬尘对周边环境影响不大。</w:t>
            </w:r>
          </w:p>
          <w:p w14:paraId="24524792">
            <w:pPr>
              <w:keepNext w:val="0"/>
              <w:keepLines w:val="0"/>
              <w:pageBreakBefore w:val="0"/>
              <w:kinsoku/>
              <w:overflowPunct/>
              <w:topLinePunct/>
              <w:autoSpaceDE w:val="0"/>
              <w:bidi w:val="0"/>
              <w:spacing w:line="360" w:lineRule="auto"/>
              <w:ind w:firstLine="472" w:firstLineChars="196"/>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2）切割、焊接烟尘</w:t>
            </w:r>
          </w:p>
          <w:p w14:paraId="369A8CD6">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主体建筑及配套设施建设的过程中需要进行焊接、切割，产生的切割、焊接废气，为无组织排放，切割主要集中在地面，切割粉尘粒径、密度较大，很快会沉降在地面，所产生的烟尘和粉尘的量均不大，影响范围局限于焊接点和切割点，主要成分为粉尘，由于施工区域空旷，在露天环境下很快得到扩散，不会形成局部高浓度区域，通过自然扩散对周边环境影响较小。</w:t>
            </w:r>
          </w:p>
          <w:p w14:paraId="24033A95">
            <w:pPr>
              <w:keepNext w:val="0"/>
              <w:keepLines w:val="0"/>
              <w:pageBreakBefore w:val="0"/>
              <w:kinsoku/>
              <w:overflowPunct/>
              <w:topLinePunct/>
              <w:autoSpaceDE w:val="0"/>
              <w:bidi w:val="0"/>
              <w:spacing w:line="360" w:lineRule="auto"/>
              <w:ind w:firstLine="472" w:firstLineChars="196"/>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3）燃油废气</w:t>
            </w:r>
          </w:p>
          <w:p w14:paraId="71537938">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间，汽车和各种施工机械消耗油料产生的燃油废气，主要成分为CO、NOx和总碳氢化合物（THC），由于施工点多且比较分散，加之其排放方式为间断排放，因此对于每个施工点而言施工时产生的燃油废气较少，在环境空气中经自然扩散、稀释，对周围环境产生的影响在可接受范围内。</w:t>
            </w:r>
          </w:p>
          <w:p w14:paraId="3A7DEAF1">
            <w:pPr>
              <w:keepNext w:val="0"/>
              <w:keepLines w:val="0"/>
              <w:pageBreakBefore w:val="0"/>
              <w:kinsoku/>
              <w:overflowPunct/>
              <w:topLinePunct/>
              <w:autoSpaceDE w:val="0"/>
              <w:bidi w:val="0"/>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2.</w:t>
            </w:r>
            <w:r>
              <w:rPr>
                <w:rFonts w:hint="default" w:ascii="Times New Roman" w:hAnsi="Times New Roman" w:eastAsia="宋体" w:cs="Times New Roman"/>
                <w:b/>
                <w:color w:val="auto"/>
                <w:sz w:val="24"/>
                <w:highlight w:val="none"/>
              </w:rPr>
              <w:t>废水</w:t>
            </w:r>
          </w:p>
          <w:p w14:paraId="4DF3A4E5">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项目施工人员不在项目区食宿，施工期产生的废水主要为施工废水及雨季地表径流；主要污染因子为SS。施工期废水防治措施如下所示：</w:t>
            </w:r>
          </w:p>
          <w:p w14:paraId="0A347D78">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0"/>
                <w:sz w:val="24"/>
                <w:highlight w:val="none"/>
                <w:lang w:val="en-GB"/>
              </w:rPr>
            </w:pPr>
            <w:r>
              <w:rPr>
                <w:rFonts w:hint="default" w:ascii="Times New Roman" w:hAnsi="Times New Roman" w:eastAsia="宋体" w:cs="Times New Roman"/>
                <w:color w:val="auto"/>
                <w:kern w:val="0"/>
                <w:sz w:val="24"/>
                <w:highlight w:val="none"/>
              </w:rPr>
              <w:t>（1）</w:t>
            </w: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产生的施工废水通过设置容积不小于</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的临时收集沉淀池，对施工废水收集自然沉淀后，全部回用于施工场地洒水降尘，不外排；</w:t>
            </w:r>
            <w:r>
              <w:rPr>
                <w:rFonts w:hint="default" w:ascii="Times New Roman" w:hAnsi="Times New Roman" w:eastAsia="宋体" w:cs="Times New Roman"/>
                <w:color w:val="auto"/>
                <w:sz w:val="24"/>
                <w:highlight w:val="none"/>
              </w:rPr>
              <w:t>施工出入口设置1座车辆清洗池，施工车辆清洗废水经过沉淀处置后循环利用，不外排</w:t>
            </w:r>
            <w:r>
              <w:rPr>
                <w:rFonts w:hint="default" w:ascii="Times New Roman" w:hAnsi="Times New Roman" w:eastAsia="宋体" w:cs="Times New Roman"/>
                <w:color w:val="auto"/>
                <w:kern w:val="0"/>
                <w:sz w:val="24"/>
                <w:highlight w:val="none"/>
              </w:rPr>
              <w:t>。</w:t>
            </w:r>
          </w:p>
          <w:p w14:paraId="4AB6417F">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0"/>
                <w:sz w:val="24"/>
                <w:highlight w:val="none"/>
                <w:lang w:val="en-GB"/>
              </w:rPr>
            </w:pPr>
            <w:r>
              <w:rPr>
                <w:rFonts w:hint="default" w:ascii="Times New Roman" w:hAnsi="Times New Roman" w:eastAsia="宋体" w:cs="Times New Roman"/>
                <w:color w:val="auto"/>
                <w:kern w:val="0"/>
                <w:sz w:val="24"/>
                <w:highlight w:val="none"/>
              </w:rPr>
              <w:t>（2）项目在雨季施工时，施工现场会形成地表径流，造成水土流失，施工时应加强施工现场管理，同时，雨季施工要在施工场地地势最低的南侧顺地势修建临时排水沟，排水沟末端设置临时沉砂池进行三级沉砂，沉砂池容积不小于5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，经沉淀处理后全部回用于施工场地洒水降尘，不外排。</w:t>
            </w:r>
          </w:p>
          <w:p w14:paraId="2E59F077">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0"/>
                <w:sz w:val="24"/>
                <w:highlight w:val="none"/>
                <w:lang w:val="en-GB"/>
              </w:rPr>
            </w:pPr>
            <w:r>
              <w:rPr>
                <w:rFonts w:hint="default" w:ascii="Times New Roman" w:hAnsi="Times New Roman" w:eastAsia="宋体" w:cs="Times New Roman"/>
                <w:color w:val="auto"/>
                <w:kern w:val="0"/>
                <w:sz w:val="24"/>
                <w:highlight w:val="none"/>
              </w:rPr>
              <w:t>（3）合理规划，尽量避开雨季进行施工，在施工前做好相应的水土流失防治工作。</w:t>
            </w:r>
          </w:p>
          <w:p w14:paraId="1F2DE7AE">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（4）禁止施工废水直接排入周边地表水体中。</w:t>
            </w:r>
          </w:p>
          <w:p w14:paraId="20358DE5">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1"/>
                <w:sz w:val="24"/>
                <w:highlight w:val="none"/>
              </w:rPr>
            </w:pPr>
            <w:r>
              <w:rPr>
                <w:rFonts w:hint="default" w:ascii="Times New Roman" w:hAnsi="Times New Roman" w:eastAsia="宋体" w:cs="Times New Roman"/>
                <w:color w:val="auto"/>
                <w:kern w:val="0"/>
                <w:sz w:val="24"/>
                <w:highlight w:val="none"/>
              </w:rPr>
              <w:t>项目施工期严格采取上述措施后，施工废水对周边环境的影响较小。</w:t>
            </w:r>
          </w:p>
          <w:p w14:paraId="4FBBE2B5">
            <w:pPr>
              <w:keepNext w:val="0"/>
              <w:keepLines w:val="0"/>
              <w:pageBreakBefore w:val="0"/>
              <w:kinsoku/>
              <w:overflowPunct/>
              <w:topLinePunct/>
              <w:autoSpaceDE w:val="0"/>
              <w:bidi w:val="0"/>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3.</w:t>
            </w:r>
            <w:r>
              <w:rPr>
                <w:rFonts w:hint="default" w:ascii="Times New Roman" w:hAnsi="Times New Roman" w:eastAsia="宋体" w:cs="Times New Roman"/>
                <w:b/>
                <w:color w:val="auto"/>
                <w:sz w:val="24"/>
                <w:highlight w:val="none"/>
              </w:rPr>
              <w:t>噪声</w:t>
            </w:r>
          </w:p>
          <w:p w14:paraId="73B680C6">
            <w:pPr>
              <w:keepNext w:val="0"/>
              <w:keepLines w:val="0"/>
              <w:pageBreakBefore w:val="0"/>
              <w:kinsoku/>
              <w:overflowPunct/>
              <w:topLinePunct/>
              <w:autoSpaceDE w:val="0"/>
              <w:bidi w:val="0"/>
              <w:spacing w:line="360" w:lineRule="auto"/>
              <w:ind w:firstLine="470" w:firstLineChars="196"/>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施工期噪声源主要来自施工机械和运输车辆，噪声源强为70～100dB（A）。其噪声强度大，声源较多，影响范围较大，为了减缓项目施工噪声对周围环境影响，提出以下防治措施：</w:t>
            </w:r>
          </w:p>
          <w:p w14:paraId="4E276DDD">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（1）科学合理地安排施工步骤，优化施工方式，尽量缩短噪声持续排放的时间；项目在进行材料运输时，应合理安排运输时间，并避免在夜间及交通拥挤时段进行；</w:t>
            </w:r>
          </w:p>
          <w:p w14:paraId="7BDA5EE3">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（2）采用低噪声施工工艺</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并合理布置施工作业面；</w:t>
            </w:r>
          </w:p>
          <w:p w14:paraId="16599A58">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（3）加强对施工人员的管理及培训，严格按操作规范使用各类机械，做到文明施工，避免人为噪声的产生；</w:t>
            </w:r>
          </w:p>
          <w:p w14:paraId="689EACDB">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（4）施工场地的施工车辆出入现场时应限速，</w:t>
            </w:r>
            <w:r>
              <w:rPr>
                <w:rFonts w:hint="default" w:ascii="Times New Roman" w:hAnsi="Times New Roman" w:eastAsia="宋体" w:cs="Times New Roman"/>
                <w:color w:val="auto"/>
                <w:sz w:val="24"/>
                <w:highlight w:val="none"/>
                <w:lang w:val="zh-CN"/>
              </w:rPr>
              <w:t>建材等运输尽量在白天进行，并控制车辆鸣笛；</w:t>
            </w:r>
          </w:p>
          <w:p w14:paraId="3E9B3A56">
            <w:pPr>
              <w:pStyle w:val="27"/>
              <w:keepNext w:val="0"/>
              <w:keepLines w:val="0"/>
              <w:pageBreakBefore w:val="0"/>
              <w:widowControl w:val="0"/>
              <w:kinsoku/>
              <w:overflowPunct/>
              <w:topLinePunct/>
              <w:autoSpaceDE w:val="0"/>
              <w:bidi w:val="0"/>
              <w:spacing w:before="0"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（5）在施工机械设备与基础或连接部位之间采用弹簧减震、橡胶减震、管道减震、阻尼减震技术，可减少动量，降低噪声。</w:t>
            </w:r>
          </w:p>
          <w:p w14:paraId="5EEBA7FE">
            <w:pPr>
              <w:keepNext w:val="0"/>
              <w:keepLines w:val="0"/>
              <w:pageBreakBefore w:val="0"/>
              <w:kinsoku/>
              <w:overflowPunct/>
              <w:topLinePunct/>
              <w:autoSpaceDE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根据现场调查，本项目周边50m范围内无声环境敏感目标分布，项目严格采取上述施工噪声防治措施后，对周边环境的影响较小。</w:t>
            </w:r>
          </w:p>
          <w:p w14:paraId="0D5205BD">
            <w:pPr>
              <w:keepNext w:val="0"/>
              <w:keepLines w:val="0"/>
              <w:pageBreakBefore w:val="0"/>
              <w:kinsoku/>
              <w:overflowPunct/>
              <w:topLinePunct/>
              <w:autoSpaceDE w:val="0"/>
              <w:bidi w:val="0"/>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4.</w:t>
            </w:r>
            <w:r>
              <w:rPr>
                <w:rFonts w:hint="default" w:ascii="Times New Roman" w:hAnsi="Times New Roman" w:eastAsia="宋体" w:cs="Times New Roman"/>
                <w:b/>
                <w:color w:val="auto"/>
                <w:sz w:val="24"/>
                <w:highlight w:val="none"/>
              </w:rPr>
              <w:t>固体废物</w:t>
            </w:r>
          </w:p>
          <w:p w14:paraId="2A2D760B">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本项目施工区不设置施工营地，项目施工期固体废弃物主要为土石方、施工建筑垃圾及生活垃圾，处置措施如下所示：</w:t>
            </w:r>
          </w:p>
          <w:p w14:paraId="5652619D">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（1）项目场地平整由政府单位实施，场地平整期间废弃土石方由实施单位统一处置；</w:t>
            </w:r>
          </w:p>
          <w:p w14:paraId="282A4167">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（2）项目建筑垃圾产生总量约为150t，产生的建筑垃圾分类集中堆存，能回收利用的部分交回收商进行收购处置；不能回收利用的建筑垃圾，</w:t>
            </w:r>
            <w:r>
              <w:rPr>
                <w:rFonts w:hint="default" w:ascii="Times New Roman" w:hAnsi="Times New Roman" w:eastAsia="宋体" w:cs="Times New Roman"/>
                <w:color w:val="auto"/>
                <w:sz w:val="24"/>
                <w:highlight w:val="none"/>
                <w:lang w:val="en-US" w:eastAsia="zh-CN"/>
              </w:rPr>
              <w:t>运输至指定地点堆放</w:t>
            </w:r>
            <w:r>
              <w:rPr>
                <w:rFonts w:hint="default" w:ascii="Times New Roman" w:hAnsi="Times New Roman" w:eastAsia="宋体" w:cs="Times New Roman"/>
                <w:color w:val="auto"/>
                <w:sz w:val="24"/>
                <w:highlight w:val="none"/>
              </w:rPr>
              <w:t>处置，禁止与生活垃圾混合处置，禁止随意丢弃；</w:t>
            </w:r>
          </w:p>
          <w:p w14:paraId="13FD4741">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（3）施工场地内设置垃圾桶，施工人员生活垃圾收集于垃圾桶中，定期委托环卫部门清运处理。</w:t>
            </w:r>
          </w:p>
          <w:p w14:paraId="249CE784">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综上所述，项目施工过程中严格采取环评提出的措施后，固体废物均得到妥善处置，对周围环境影响不大。</w:t>
            </w:r>
          </w:p>
        </w:tc>
      </w:tr>
      <w:tr w14:paraId="1D40A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tcMar>
              <w:left w:w="28" w:type="dxa"/>
              <w:right w:w="28" w:type="dxa"/>
            </w:tcMar>
            <w:vAlign w:val="center"/>
          </w:tcPr>
          <w:p w14:paraId="12CDDA6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6B248BB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3706A94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107083A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2D303BE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0B04C45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措施</w:t>
            </w:r>
          </w:p>
        </w:tc>
        <w:tc>
          <w:tcPr>
            <w:tcW w:w="8132" w:type="dxa"/>
            <w:vAlign w:val="center"/>
          </w:tcPr>
          <w:p w14:paraId="49F48623">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bCs w:val="0"/>
                <w:strike w:val="0"/>
                <w:dstrike w:val="0"/>
                <w:color w:val="auto"/>
                <w:spacing w:val="-10"/>
                <w:sz w:val="24"/>
                <w:szCs w:val="24"/>
                <w:highlight w:val="none"/>
              </w:rPr>
            </w:pPr>
            <w:r>
              <w:rPr>
                <w:rFonts w:hint="default" w:ascii="Times New Roman" w:hAnsi="Times New Roman" w:eastAsia="宋体" w:cs="Times New Roman"/>
                <w:b/>
                <w:bCs w:val="0"/>
                <w:strike w:val="0"/>
                <w:dstrike w:val="0"/>
                <w:color w:val="auto"/>
                <w:spacing w:val="-10"/>
                <w:sz w:val="24"/>
                <w:szCs w:val="24"/>
                <w:highlight w:val="none"/>
              </w:rPr>
              <w:t>一、大气环境影响和保护措施</w:t>
            </w:r>
          </w:p>
          <w:p w14:paraId="1FB348C1">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rPr>
              <w:t>废气包括</w:t>
            </w:r>
            <w:r>
              <w:rPr>
                <w:rFonts w:hint="eastAsia" w:cs="Times New Roman"/>
                <w:color w:val="auto"/>
                <w:sz w:val="24"/>
                <w:highlight w:val="none"/>
                <w:lang w:eastAsia="zh-CN"/>
              </w:rPr>
              <w:t>珠胚生产</w:t>
            </w:r>
            <w:r>
              <w:rPr>
                <w:rFonts w:hint="default" w:ascii="Times New Roman" w:hAnsi="Times New Roman" w:eastAsia="宋体" w:cs="Times New Roman"/>
                <w:color w:val="auto"/>
                <w:sz w:val="24"/>
                <w:szCs w:val="24"/>
                <w:highlight w:val="none"/>
              </w:rPr>
              <w:t>配料</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rPr>
              <w:t>及滚抛</w:t>
            </w:r>
            <w:r>
              <w:rPr>
                <w:rFonts w:hint="default" w:ascii="Times New Roman" w:hAnsi="Times New Roman" w:eastAsia="宋体" w:cs="Times New Roman"/>
                <w:color w:val="auto"/>
                <w:sz w:val="24"/>
                <w:highlight w:val="none"/>
              </w:rPr>
              <w:t>过程</w:t>
            </w:r>
            <w:r>
              <w:rPr>
                <w:rFonts w:hint="default" w:ascii="Times New Roman" w:hAnsi="Times New Roman" w:eastAsia="宋体" w:cs="Times New Roman"/>
                <w:color w:val="auto"/>
                <w:sz w:val="24"/>
                <w:highlight w:val="none"/>
                <w:lang w:val="en-US" w:eastAsia="zh-CN"/>
              </w:rPr>
              <w:t>产生的粉尘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吸塑片产生的投料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破碎产生的粉尘及</w:t>
            </w:r>
            <w:r>
              <w:rPr>
                <w:rFonts w:hint="default" w:ascii="Times New Roman" w:hAnsi="Times New Roman" w:eastAsia="宋体" w:cs="Times New Roman"/>
                <w:color w:val="auto"/>
                <w:sz w:val="24"/>
                <w:highlight w:val="none"/>
              </w:rPr>
              <w:t>生产</w:t>
            </w:r>
            <w:r>
              <w:rPr>
                <w:rFonts w:hint="default" w:ascii="Times New Roman" w:hAnsi="Times New Roman" w:eastAsia="宋体" w:cs="Times New Roman"/>
                <w:color w:val="auto"/>
                <w:sz w:val="24"/>
                <w:highlight w:val="none"/>
                <w:lang w:val="en-US" w:eastAsia="zh-CN"/>
              </w:rPr>
              <w:t>产生的有机</w:t>
            </w: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异味</w:t>
            </w:r>
            <w:r>
              <w:rPr>
                <w:rFonts w:hint="default" w:ascii="Times New Roman" w:hAnsi="Times New Roman" w:eastAsia="宋体" w:cs="Times New Roman"/>
                <w:color w:val="auto"/>
                <w:sz w:val="24"/>
                <w:highlight w:val="none"/>
              </w:rPr>
              <w:t>；抛轮修复</w:t>
            </w:r>
            <w:r>
              <w:rPr>
                <w:rFonts w:hint="default" w:ascii="Times New Roman" w:hAnsi="Times New Roman" w:eastAsia="宋体" w:cs="Times New Roman"/>
                <w:color w:val="auto"/>
                <w:sz w:val="24"/>
                <w:szCs w:val="24"/>
                <w:highlight w:val="none"/>
              </w:rPr>
              <w:t>配料</w:t>
            </w:r>
            <w:r>
              <w:rPr>
                <w:rFonts w:hint="default" w:ascii="Times New Roman" w:hAnsi="Times New Roman" w:eastAsia="宋体" w:cs="Times New Roman"/>
                <w:color w:val="auto"/>
                <w:sz w:val="24"/>
                <w:szCs w:val="24"/>
                <w:highlight w:val="none"/>
                <w:lang w:val="en-US" w:eastAsia="zh-CN"/>
              </w:rPr>
              <w:t>及外圆</w:t>
            </w:r>
            <w:r>
              <w:rPr>
                <w:rFonts w:hint="default" w:ascii="Times New Roman" w:hAnsi="Times New Roman" w:eastAsia="宋体" w:cs="Times New Roman"/>
                <w:color w:val="auto"/>
                <w:sz w:val="24"/>
                <w:highlight w:val="none"/>
                <w:lang w:val="en-US" w:eastAsia="zh-CN"/>
              </w:rPr>
              <w:t>产生的粉尘</w:t>
            </w:r>
            <w:r>
              <w:rPr>
                <w:rFonts w:hint="default" w:ascii="Times New Roman" w:hAnsi="Times New Roman" w:eastAsia="宋体" w:cs="Times New Roman"/>
                <w:color w:val="auto"/>
                <w:sz w:val="24"/>
                <w:highlight w:val="none"/>
              </w:rPr>
              <w:t>；污水处理站恶臭及食堂油烟等。根据《污染源强核算技术指南 准则》（HJ884-2018），项目有组织废气污染物产排污核算主要采用物料衡算法、系数法进行核算。</w:t>
            </w:r>
          </w:p>
          <w:p w14:paraId="7C35EB7F">
            <w:pPr>
              <w:keepNext w:val="0"/>
              <w:keepLines w:val="0"/>
              <w:pageBreakBefore w:val="0"/>
              <w:widowControl/>
              <w:numPr>
                <w:ilvl w:val="0"/>
                <w:numId w:val="0"/>
              </w:numPr>
              <w:kinsoku/>
              <w:wordWrap/>
              <w:overflowPunct/>
              <w:topLinePunct/>
              <w:autoSpaceDE w:val="0"/>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2"/>
                <w:sz w:val="21"/>
                <w:szCs w:val="24"/>
                <w:highlight w:val="none"/>
                <w:lang w:val="en-US" w:eastAsia="zh-CN" w:bidi="ar-SA"/>
              </w:rPr>
              <w:t>1.</w:t>
            </w:r>
            <w:r>
              <w:rPr>
                <w:rFonts w:hint="default" w:ascii="Times New Roman" w:hAnsi="Times New Roman" w:eastAsia="宋体" w:cs="Times New Roman"/>
                <w:b/>
                <w:bCs/>
                <w:color w:val="auto"/>
                <w:sz w:val="24"/>
                <w:szCs w:val="24"/>
                <w:highlight w:val="none"/>
                <w:lang w:val="en-US" w:eastAsia="zh-CN"/>
              </w:rPr>
              <w:t>污染源及影响分析</w:t>
            </w:r>
          </w:p>
          <w:p w14:paraId="1A68B198">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pacing w:val="-4"/>
                <w:sz w:val="24"/>
                <w:szCs w:val="24"/>
                <w:highlight w:val="none"/>
                <w:lang w:eastAsia="zh-CN"/>
              </w:rPr>
              <w:t>珠胚生产</w:t>
            </w:r>
            <w:r>
              <w:rPr>
                <w:rFonts w:hint="default" w:ascii="Times New Roman" w:hAnsi="Times New Roman" w:eastAsia="宋体" w:cs="Times New Roman"/>
                <w:b/>
                <w:bCs/>
                <w:color w:val="auto"/>
                <w:spacing w:val="-4"/>
                <w:sz w:val="24"/>
                <w:szCs w:val="24"/>
                <w:highlight w:val="none"/>
              </w:rPr>
              <w:t>线废气</w:t>
            </w:r>
          </w:p>
          <w:p w14:paraId="0DBB66E2">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根据工艺，</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z w:val="24"/>
                <w:szCs w:val="24"/>
                <w:highlight w:val="none"/>
              </w:rPr>
              <w:t>车间产生</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主要</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配料</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rPr>
              <w:t>及滚抛过程产生的粉尘。根</w:t>
            </w:r>
            <w:r>
              <w:rPr>
                <w:rFonts w:hint="default" w:ascii="Times New Roman" w:hAnsi="Times New Roman" w:eastAsia="宋体" w:cs="Times New Roman"/>
                <w:color w:val="auto"/>
                <w:spacing w:val="3"/>
                <w:sz w:val="24"/>
                <w:szCs w:val="24"/>
                <w:highlight w:val="none"/>
              </w:rPr>
              <w:t>据平面布置，项目</w:t>
            </w:r>
            <w:r>
              <w:rPr>
                <w:rFonts w:hint="eastAsia" w:cs="Times New Roman"/>
                <w:color w:val="auto"/>
                <w:spacing w:val="3"/>
                <w:sz w:val="24"/>
                <w:szCs w:val="24"/>
                <w:highlight w:val="none"/>
                <w:lang w:eastAsia="zh-CN"/>
              </w:rPr>
              <w:t>珠胚生产</w:t>
            </w:r>
            <w:r>
              <w:rPr>
                <w:rFonts w:hint="default" w:ascii="Times New Roman" w:hAnsi="Times New Roman" w:eastAsia="宋体" w:cs="Times New Roman"/>
                <w:color w:val="auto"/>
                <w:spacing w:val="3"/>
                <w:sz w:val="24"/>
                <w:szCs w:val="24"/>
                <w:highlight w:val="none"/>
              </w:rPr>
              <w:t>车间布置在</w:t>
            </w:r>
            <w:r>
              <w:rPr>
                <w:rFonts w:hint="default" w:ascii="Times New Roman" w:hAnsi="Times New Roman" w:eastAsia="宋体" w:cs="Times New Roman"/>
                <w:color w:val="auto"/>
                <w:spacing w:val="3"/>
                <w:sz w:val="24"/>
                <w:szCs w:val="24"/>
                <w:highlight w:val="none"/>
                <w:lang w:val="en-US" w:eastAsia="zh-CN"/>
              </w:rPr>
              <w:t>1#厂房</w:t>
            </w:r>
            <w:r>
              <w:rPr>
                <w:rFonts w:hint="default" w:ascii="Times New Roman" w:hAnsi="Times New Roman" w:eastAsia="宋体" w:cs="Times New Roman"/>
                <w:color w:val="auto"/>
                <w:spacing w:val="3"/>
                <w:sz w:val="24"/>
                <w:szCs w:val="24"/>
                <w:highlight w:val="none"/>
              </w:rPr>
              <w:t>，生产</w:t>
            </w:r>
            <w:r>
              <w:rPr>
                <w:rFonts w:hint="eastAsia" w:cs="Times New Roman"/>
                <w:color w:val="auto"/>
                <w:spacing w:val="3"/>
                <w:sz w:val="24"/>
                <w:szCs w:val="24"/>
                <w:highlight w:val="none"/>
                <w:lang w:eastAsia="zh-CN"/>
              </w:rPr>
              <w:t>珠胚</w:t>
            </w:r>
            <w:r>
              <w:rPr>
                <w:rFonts w:hint="default" w:ascii="Times New Roman" w:hAnsi="Times New Roman" w:eastAsia="宋体" w:cs="Times New Roman"/>
                <w:color w:val="auto"/>
                <w:spacing w:val="3"/>
                <w:sz w:val="24"/>
                <w:szCs w:val="24"/>
                <w:highlight w:val="none"/>
              </w:rPr>
              <w:t>（中间产品）</w:t>
            </w:r>
            <w:r>
              <w:rPr>
                <w:rFonts w:hint="default" w:ascii="Times New Roman" w:hAnsi="Times New Roman" w:eastAsia="宋体" w:cs="Times New Roman"/>
                <w:color w:val="auto"/>
                <w:spacing w:val="3"/>
                <w:sz w:val="24"/>
                <w:szCs w:val="24"/>
                <w:highlight w:val="none"/>
                <w:lang w:val="en-US" w:eastAsia="zh-CN"/>
              </w:rPr>
              <w:t>13</w:t>
            </w:r>
            <w:r>
              <w:rPr>
                <w:rFonts w:hint="default" w:ascii="Times New Roman" w:hAnsi="Times New Roman" w:eastAsia="宋体" w:cs="Times New Roman"/>
                <w:color w:val="auto"/>
                <w:spacing w:val="3"/>
                <w:sz w:val="24"/>
                <w:szCs w:val="24"/>
                <w:highlight w:val="none"/>
              </w:rPr>
              <w:t>000吨；</w:t>
            </w:r>
            <w:r>
              <w:rPr>
                <w:rFonts w:hint="default" w:ascii="Times New Roman" w:hAnsi="Times New Roman" w:eastAsia="宋体" w:cs="Times New Roman"/>
                <w:color w:val="auto"/>
                <w:spacing w:val="3"/>
                <w:sz w:val="24"/>
                <w:szCs w:val="24"/>
                <w:highlight w:val="none"/>
                <w:lang w:val="en-US" w:eastAsia="zh-CN"/>
              </w:rPr>
              <w:t>1#厂房</w:t>
            </w:r>
            <w:r>
              <w:rPr>
                <w:rFonts w:hint="default" w:ascii="Times New Roman" w:hAnsi="Times New Roman" w:eastAsia="宋体" w:cs="Times New Roman"/>
                <w:color w:val="auto"/>
                <w:spacing w:val="-1"/>
                <w:sz w:val="24"/>
                <w:szCs w:val="24"/>
                <w:highlight w:val="none"/>
                <w:lang w:val="en-US" w:eastAsia="zh-CN"/>
              </w:rPr>
              <w:t>内设置有</w:t>
            </w:r>
            <w:r>
              <w:rPr>
                <w:rFonts w:hint="default" w:ascii="Times New Roman" w:hAnsi="Times New Roman" w:eastAsia="宋体" w:cs="Times New Roman"/>
                <w:color w:val="auto"/>
                <w:spacing w:val="-1"/>
                <w:sz w:val="24"/>
                <w:szCs w:val="24"/>
                <w:highlight w:val="none"/>
              </w:rPr>
              <w:t>原料仓，用于储存</w:t>
            </w:r>
            <w:r>
              <w:rPr>
                <w:rFonts w:hint="eastAsia" w:cs="Times New Roman"/>
                <w:color w:val="auto"/>
                <w:spacing w:val="-1"/>
                <w:sz w:val="24"/>
                <w:szCs w:val="24"/>
                <w:highlight w:val="none"/>
                <w:lang w:eastAsia="zh-CN"/>
              </w:rPr>
              <w:t>珠胚</w:t>
            </w:r>
            <w:r>
              <w:rPr>
                <w:rFonts w:hint="default" w:ascii="Times New Roman" w:hAnsi="Times New Roman" w:eastAsia="宋体" w:cs="Times New Roman"/>
                <w:color w:val="auto"/>
                <w:spacing w:val="-1"/>
                <w:sz w:val="24"/>
                <w:szCs w:val="24"/>
                <w:highlight w:val="none"/>
              </w:rPr>
              <w:t>原料等。</w:t>
            </w:r>
          </w:p>
          <w:p w14:paraId="672466AE">
            <w:pPr>
              <w:keepNext w:val="0"/>
              <w:keepLines w:val="0"/>
              <w:pageBreakBefore w:val="0"/>
              <w:widowControl w:val="0"/>
              <w:kinsoku/>
              <w:wordWrap/>
              <w:overflowPunct/>
              <w:topLinePunct/>
              <w:autoSpaceDE w:val="0"/>
              <w:autoSpaceDN/>
              <w:bidi w:val="0"/>
              <w:adjustRightInd/>
              <w:snapToGrid/>
              <w:spacing w:line="360" w:lineRule="auto"/>
              <w:ind w:left="0" w:right="0" w:firstLine="474"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2"/>
                <w:sz w:val="24"/>
                <w:szCs w:val="24"/>
                <w:highlight w:val="none"/>
              </w:rPr>
              <w:t>①配料</w:t>
            </w:r>
            <w:r>
              <w:rPr>
                <w:rFonts w:hint="eastAsia" w:cs="Times New Roman"/>
                <w:b/>
                <w:bCs/>
                <w:color w:val="auto"/>
                <w:spacing w:val="-2"/>
                <w:sz w:val="24"/>
                <w:szCs w:val="24"/>
                <w:highlight w:val="none"/>
                <w:lang w:val="en-US" w:eastAsia="zh-CN"/>
              </w:rPr>
              <w:t>粉尘</w:t>
            </w:r>
            <w:r>
              <w:rPr>
                <w:rFonts w:hint="default" w:ascii="Times New Roman" w:hAnsi="Times New Roman" w:eastAsia="宋体" w:cs="Times New Roman"/>
                <w:b/>
                <w:bCs/>
                <w:color w:val="auto"/>
                <w:spacing w:val="-2"/>
                <w:sz w:val="24"/>
                <w:szCs w:val="24"/>
                <w:highlight w:val="none"/>
              </w:rPr>
              <w:t>（G1）</w:t>
            </w:r>
          </w:p>
          <w:p w14:paraId="764687B9">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配料过程中会产生粉尘，根据《逸散性工业粉尘控制技术》（中国环境科学出</w:t>
            </w:r>
            <w:r>
              <w:rPr>
                <w:rFonts w:hint="default" w:ascii="Times New Roman" w:hAnsi="Times New Roman" w:eastAsia="宋体" w:cs="Times New Roman"/>
                <w:color w:val="auto"/>
                <w:spacing w:val="1"/>
                <w:sz w:val="24"/>
                <w:szCs w:val="24"/>
                <w:highlight w:val="none"/>
              </w:rPr>
              <w:t>版社</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spacing w:val="1"/>
                <w:sz w:val="24"/>
                <w:szCs w:val="24"/>
                <w:highlight w:val="none"/>
              </w:rPr>
              <w:t>配料逸散尘源排放因子为0.015</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pacing w:val="1"/>
                <w:sz w:val="24"/>
                <w:szCs w:val="24"/>
                <w:highlight w:val="none"/>
              </w:rPr>
              <w:t>/t（原料）计算，项目</w:t>
            </w:r>
            <w:r>
              <w:rPr>
                <w:rFonts w:hint="eastAsia" w:cs="Times New Roman"/>
                <w:color w:val="auto"/>
                <w:spacing w:val="1"/>
                <w:sz w:val="24"/>
                <w:szCs w:val="24"/>
                <w:highlight w:val="none"/>
                <w:lang w:eastAsia="zh-CN"/>
              </w:rPr>
              <w:t>珠胚</w:t>
            </w:r>
            <w:r>
              <w:rPr>
                <w:rFonts w:hint="default" w:ascii="Times New Roman" w:hAnsi="Times New Roman" w:eastAsia="宋体" w:cs="Times New Roman"/>
                <w:color w:val="auto"/>
                <w:sz w:val="24"/>
                <w:szCs w:val="24"/>
                <w:highlight w:val="none"/>
              </w:rPr>
              <w:t>车间配料原料</w:t>
            </w:r>
            <w:r>
              <w:rPr>
                <w:rFonts w:hint="default" w:ascii="Times New Roman" w:hAnsi="Times New Roman" w:eastAsia="宋体" w:cs="Times New Roman"/>
                <w:color w:val="auto"/>
                <w:spacing w:val="-3"/>
                <w:sz w:val="24"/>
                <w:szCs w:val="24"/>
                <w:highlight w:val="none"/>
              </w:rPr>
              <w:t>为</w:t>
            </w:r>
            <w:r>
              <w:rPr>
                <w:rFonts w:hint="default" w:ascii="Times New Roman" w:hAnsi="Times New Roman" w:eastAsia="宋体" w:cs="Times New Roman"/>
                <w:color w:val="auto"/>
                <w:spacing w:val="-3"/>
                <w:sz w:val="24"/>
                <w:szCs w:val="24"/>
                <w:highlight w:val="none"/>
                <w:lang w:val="en-US" w:eastAsia="zh-CN"/>
              </w:rPr>
              <w:t>16720</w:t>
            </w:r>
            <w:r>
              <w:rPr>
                <w:rFonts w:hint="default" w:ascii="Times New Roman" w:hAnsi="Times New Roman" w:eastAsia="宋体" w:cs="Times New Roman"/>
                <w:color w:val="auto"/>
                <w:spacing w:val="-3"/>
                <w:sz w:val="24"/>
                <w:szCs w:val="24"/>
                <w:highlight w:val="none"/>
              </w:rPr>
              <w:t>t/a</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含石英砂、边角料、残次品及收尘灰等</w:t>
            </w:r>
            <w:r>
              <w:rPr>
                <w:rFonts w:hint="eastAsia"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，配料粉尘产生量为0.</w:t>
            </w:r>
            <w:r>
              <w:rPr>
                <w:rFonts w:hint="default" w:ascii="Times New Roman" w:hAnsi="Times New Roman" w:eastAsia="宋体" w:cs="Times New Roman"/>
                <w:color w:val="auto"/>
                <w:spacing w:val="-3"/>
                <w:sz w:val="24"/>
                <w:szCs w:val="24"/>
                <w:highlight w:val="none"/>
                <w:lang w:val="en-US" w:eastAsia="zh-CN"/>
              </w:rPr>
              <w:t>25</w:t>
            </w:r>
            <w:r>
              <w:rPr>
                <w:rFonts w:hint="default" w:ascii="Times New Roman" w:hAnsi="Times New Roman" w:eastAsia="宋体" w:cs="Times New Roman"/>
                <w:color w:val="auto"/>
                <w:spacing w:val="-3"/>
                <w:sz w:val="24"/>
                <w:szCs w:val="24"/>
                <w:highlight w:val="none"/>
              </w:rPr>
              <w:t>t/a，0.</w:t>
            </w:r>
            <w:r>
              <w:rPr>
                <w:rFonts w:hint="default" w:ascii="Times New Roman" w:hAnsi="Times New Roman" w:eastAsia="宋体" w:cs="Times New Roman"/>
                <w:color w:val="auto"/>
                <w:spacing w:val="-3"/>
                <w:sz w:val="24"/>
                <w:szCs w:val="24"/>
                <w:highlight w:val="none"/>
                <w:lang w:val="en-US" w:eastAsia="zh-CN"/>
              </w:rPr>
              <w:t>03</w:t>
            </w:r>
            <w:r>
              <w:rPr>
                <w:rFonts w:hint="default" w:ascii="Times New Roman" w:hAnsi="Times New Roman" w:eastAsia="宋体" w:cs="Times New Roman"/>
                <w:color w:val="auto"/>
                <w:spacing w:val="-3"/>
                <w:sz w:val="24"/>
                <w:szCs w:val="24"/>
                <w:highlight w:val="none"/>
              </w:rPr>
              <w:t>kg/h。</w:t>
            </w:r>
          </w:p>
          <w:p w14:paraId="6BF3FF13">
            <w:pPr>
              <w:keepNext w:val="0"/>
              <w:keepLines w:val="0"/>
              <w:pageBreakBefore w:val="0"/>
              <w:widowControl w:val="0"/>
              <w:kinsoku/>
              <w:wordWrap/>
              <w:overflowPunct/>
              <w:topLinePunct/>
              <w:autoSpaceDE w:val="0"/>
              <w:autoSpaceDN/>
              <w:bidi w:val="0"/>
              <w:adjustRightInd/>
              <w:snapToGrid/>
              <w:spacing w:line="360" w:lineRule="auto"/>
              <w:ind w:left="0" w:right="0" w:firstLine="474" w:firstLineChars="200"/>
              <w:textAlignment w:val="auto"/>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②电炉</w:t>
            </w:r>
            <w:r>
              <w:rPr>
                <w:rFonts w:hint="eastAsia" w:cs="Times New Roman"/>
                <w:b/>
                <w:bCs/>
                <w:color w:val="auto"/>
                <w:spacing w:val="-2"/>
                <w:sz w:val="24"/>
                <w:szCs w:val="24"/>
                <w:highlight w:val="none"/>
                <w:lang w:val="en-US" w:eastAsia="zh-CN"/>
              </w:rPr>
              <w:t>烟尘</w:t>
            </w:r>
            <w:r>
              <w:rPr>
                <w:rFonts w:hint="default" w:ascii="Times New Roman" w:hAnsi="Times New Roman" w:eastAsia="宋体" w:cs="Times New Roman"/>
                <w:b/>
                <w:bCs/>
                <w:color w:val="auto"/>
                <w:spacing w:val="-2"/>
                <w:sz w:val="24"/>
                <w:szCs w:val="24"/>
                <w:highlight w:val="none"/>
              </w:rPr>
              <w:t>（G2）</w:t>
            </w:r>
          </w:p>
          <w:p w14:paraId="3757F802">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项目共配置有</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台电熔炉，均</w:t>
            </w:r>
            <w:r>
              <w:rPr>
                <w:rFonts w:hint="default" w:ascii="Times New Roman" w:hAnsi="Times New Roman" w:eastAsia="宋体" w:cs="Times New Roman"/>
                <w:color w:val="auto"/>
                <w:spacing w:val="3"/>
                <w:sz w:val="24"/>
                <w:szCs w:val="24"/>
                <w:highlight w:val="none"/>
              </w:rPr>
              <w:t>布置在</w:t>
            </w:r>
            <w:r>
              <w:rPr>
                <w:rFonts w:hint="default" w:ascii="Times New Roman" w:hAnsi="Times New Roman" w:eastAsia="宋体" w:cs="Times New Roman"/>
                <w:color w:val="auto"/>
                <w:spacing w:val="3"/>
                <w:sz w:val="24"/>
                <w:szCs w:val="24"/>
                <w:highlight w:val="none"/>
                <w:lang w:val="en-US" w:eastAsia="zh-CN"/>
              </w:rPr>
              <w:t>1#厂房</w:t>
            </w:r>
            <w:r>
              <w:rPr>
                <w:rFonts w:hint="default" w:ascii="Times New Roman" w:hAnsi="Times New Roman" w:eastAsia="宋体" w:cs="Times New Roman"/>
                <w:color w:val="auto"/>
                <w:sz w:val="24"/>
                <w:szCs w:val="24"/>
                <w:highlight w:val="none"/>
              </w:rPr>
              <w:t>，均用电加热</w:t>
            </w:r>
            <w:r>
              <w:rPr>
                <w:rFonts w:hint="default" w:ascii="Times New Roman" w:hAnsi="Times New Roman" w:eastAsia="宋体" w:cs="Times New Roman"/>
                <w:color w:val="auto"/>
                <w:spacing w:val="-1"/>
                <w:sz w:val="24"/>
                <w:szCs w:val="24"/>
                <w:highlight w:val="none"/>
              </w:rPr>
              <w:t>。</w:t>
            </w:r>
          </w:p>
          <w:p w14:paraId="12DB638E">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根据《排放源统计调查产排污核算方法和系数手册》“3059 其他玻璃制品制造</w:t>
            </w:r>
            <w:r>
              <w:rPr>
                <w:rFonts w:hint="default" w:ascii="Times New Roman" w:hAnsi="Times New Roman" w:eastAsia="宋体" w:cs="Times New Roman"/>
                <w:color w:val="auto"/>
                <w:spacing w:val="1"/>
                <w:sz w:val="24"/>
                <w:szCs w:val="24"/>
                <w:highlight w:val="none"/>
              </w:rPr>
              <w:t>行业系数手册”中系数表</w:t>
            </w:r>
            <w:r>
              <w:rPr>
                <w:rFonts w:hint="eastAsia" w:cs="Times New Roman"/>
                <w:color w:val="auto"/>
                <w:spacing w:val="1"/>
                <w:sz w:val="24"/>
                <w:szCs w:val="24"/>
                <w:highlight w:val="none"/>
                <w:lang w:val="en-US" w:eastAsia="zh-CN"/>
              </w:rPr>
              <w:t>-玻璃电窑</w:t>
            </w:r>
            <w:r>
              <w:rPr>
                <w:rFonts w:hint="default" w:ascii="Times New Roman" w:hAnsi="Times New Roman" w:eastAsia="宋体" w:cs="Times New Roman"/>
                <w:color w:val="auto"/>
                <w:spacing w:val="1"/>
                <w:sz w:val="24"/>
                <w:szCs w:val="24"/>
                <w:highlight w:val="none"/>
              </w:rPr>
              <w:t>，颗粒物的产生量为2.13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pacing w:val="1"/>
                <w:sz w:val="24"/>
                <w:szCs w:val="24"/>
                <w:highlight w:val="none"/>
              </w:rPr>
              <w:t>/t产品；根据建</w:t>
            </w:r>
            <w:r>
              <w:rPr>
                <w:rFonts w:hint="default" w:ascii="Times New Roman" w:hAnsi="Times New Roman" w:eastAsia="宋体" w:cs="Times New Roman"/>
                <w:color w:val="auto"/>
                <w:sz w:val="24"/>
                <w:szCs w:val="24"/>
                <w:highlight w:val="none"/>
              </w:rPr>
              <w:t>设单位资料，</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pacing w:val="-1"/>
                <w:sz w:val="24"/>
                <w:szCs w:val="24"/>
                <w:highlight w:val="none"/>
              </w:rPr>
              <w:t>车间生产</w:t>
            </w:r>
            <w:r>
              <w:rPr>
                <w:rFonts w:hint="eastAsia" w:cs="Times New Roman"/>
                <w:color w:val="auto"/>
                <w:spacing w:val="-1"/>
                <w:sz w:val="24"/>
                <w:szCs w:val="24"/>
                <w:highlight w:val="none"/>
                <w:lang w:eastAsia="zh-CN"/>
              </w:rPr>
              <w:t>珠胚</w:t>
            </w:r>
            <w:r>
              <w:rPr>
                <w:rFonts w:hint="default" w:ascii="Times New Roman" w:hAnsi="Times New Roman" w:eastAsia="宋体" w:cs="Times New Roman"/>
                <w:color w:val="auto"/>
                <w:spacing w:val="-1"/>
                <w:sz w:val="24"/>
                <w:szCs w:val="24"/>
                <w:highlight w:val="none"/>
                <w:lang w:val="en-US" w:eastAsia="zh-CN"/>
              </w:rPr>
              <w:t>13</w:t>
            </w:r>
            <w:r>
              <w:rPr>
                <w:rFonts w:hint="default" w:ascii="Times New Roman" w:hAnsi="Times New Roman" w:eastAsia="宋体" w:cs="Times New Roman"/>
                <w:color w:val="auto"/>
                <w:spacing w:val="-1"/>
                <w:sz w:val="24"/>
                <w:szCs w:val="24"/>
                <w:highlight w:val="none"/>
              </w:rPr>
              <w:t>000吨，则电炉产生的颗粒物量为</w:t>
            </w:r>
            <w:r>
              <w:rPr>
                <w:rFonts w:hint="default" w:ascii="Times New Roman" w:hAnsi="Times New Roman" w:eastAsia="宋体" w:cs="Times New Roman"/>
                <w:color w:val="auto"/>
                <w:spacing w:val="-1"/>
                <w:sz w:val="24"/>
                <w:szCs w:val="24"/>
                <w:highlight w:val="none"/>
                <w:lang w:val="en-US" w:eastAsia="zh-CN"/>
              </w:rPr>
              <w:t>27.69</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pacing w:val="-1"/>
                <w:sz w:val="24"/>
                <w:szCs w:val="24"/>
                <w:highlight w:val="none"/>
                <w:lang w:val="en-US" w:eastAsia="zh-CN"/>
              </w:rPr>
              <w:t>3.50</w:t>
            </w:r>
            <w:r>
              <w:rPr>
                <w:rFonts w:hint="default" w:ascii="Times New Roman" w:hAnsi="Times New Roman" w:eastAsia="宋体" w:cs="Times New Roman"/>
                <w:color w:val="auto"/>
                <w:spacing w:val="-1"/>
                <w:sz w:val="24"/>
                <w:szCs w:val="24"/>
                <w:highlight w:val="none"/>
              </w:rPr>
              <w:t>kg/h。</w:t>
            </w:r>
          </w:p>
          <w:p w14:paraId="37CA13BB">
            <w:pPr>
              <w:keepNext w:val="0"/>
              <w:keepLines w:val="0"/>
              <w:pageBreakBefore w:val="0"/>
              <w:widowControl w:val="0"/>
              <w:kinsoku/>
              <w:wordWrap/>
              <w:overflowPunct/>
              <w:topLinePunct/>
              <w:autoSpaceDE w:val="0"/>
              <w:autoSpaceDN/>
              <w:bidi w:val="0"/>
              <w:adjustRightInd/>
              <w:snapToGrid/>
              <w:spacing w:line="360" w:lineRule="auto"/>
              <w:ind w:left="0" w:right="0" w:firstLine="474" w:firstLineChars="200"/>
              <w:textAlignment w:val="auto"/>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rPr>
              <w:t>③滚抛粉尘（G3）</w:t>
            </w:r>
          </w:p>
          <w:p w14:paraId="19663E9F">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w:t>
            </w:r>
            <w:r>
              <w:rPr>
                <w:rFonts w:hint="default" w:ascii="Times New Roman" w:hAnsi="Times New Roman" w:eastAsia="宋体" w:cs="Times New Roman"/>
                <w:color w:val="auto"/>
                <w:spacing w:val="-4"/>
                <w:sz w:val="24"/>
                <w:szCs w:val="24"/>
                <w:highlight w:val="none"/>
                <w:lang w:val="en-US" w:eastAsia="zh-CN"/>
              </w:rPr>
              <w:t>生产</w:t>
            </w:r>
            <w:r>
              <w:rPr>
                <w:rFonts w:hint="default" w:ascii="Times New Roman" w:hAnsi="Times New Roman" w:eastAsia="宋体" w:cs="Times New Roman"/>
                <w:color w:val="auto"/>
                <w:spacing w:val="-4"/>
                <w:sz w:val="24"/>
                <w:szCs w:val="24"/>
                <w:highlight w:val="none"/>
              </w:rPr>
              <w:t>工艺，半成品</w:t>
            </w:r>
            <w:r>
              <w:rPr>
                <w:rFonts w:hint="eastAsia" w:cs="Times New Roman"/>
                <w:color w:val="auto"/>
                <w:spacing w:val="-4"/>
                <w:sz w:val="24"/>
                <w:szCs w:val="24"/>
                <w:highlight w:val="none"/>
                <w:lang w:eastAsia="zh-CN"/>
              </w:rPr>
              <w:t>珠胚</w:t>
            </w:r>
            <w:r>
              <w:rPr>
                <w:rFonts w:hint="default" w:ascii="Times New Roman" w:hAnsi="Times New Roman" w:eastAsia="宋体" w:cs="Times New Roman"/>
                <w:color w:val="auto"/>
                <w:spacing w:val="-4"/>
                <w:sz w:val="24"/>
                <w:szCs w:val="24"/>
                <w:highlight w:val="none"/>
              </w:rPr>
              <w:t>进入滚抛机继续碾磨，滚抛过程中产生少量粉尘，</w:t>
            </w:r>
            <w:r>
              <w:rPr>
                <w:rFonts w:hint="default" w:ascii="Times New Roman" w:hAnsi="Times New Roman" w:eastAsia="宋体" w:cs="Times New Roman"/>
                <w:color w:val="auto"/>
                <w:spacing w:val="1"/>
                <w:sz w:val="24"/>
                <w:szCs w:val="24"/>
                <w:highlight w:val="none"/>
              </w:rPr>
              <w:t>进入滚抛工序</w:t>
            </w:r>
            <w:r>
              <w:rPr>
                <w:rFonts w:hint="eastAsia" w:cs="Times New Roman"/>
                <w:color w:val="auto"/>
                <w:spacing w:val="1"/>
                <w:sz w:val="24"/>
                <w:szCs w:val="24"/>
                <w:highlight w:val="none"/>
                <w:lang w:eastAsia="zh-CN"/>
              </w:rPr>
              <w:t>珠胚</w:t>
            </w:r>
            <w:r>
              <w:rPr>
                <w:rFonts w:hint="default" w:ascii="Times New Roman" w:hAnsi="Times New Roman" w:eastAsia="宋体" w:cs="Times New Roman"/>
                <w:color w:val="auto"/>
                <w:spacing w:val="1"/>
                <w:sz w:val="24"/>
                <w:szCs w:val="24"/>
                <w:highlight w:val="none"/>
                <w:lang w:val="en-US" w:eastAsia="zh-CN"/>
              </w:rPr>
              <w:t>130</w:t>
            </w:r>
            <w:r>
              <w:rPr>
                <w:rFonts w:hint="default" w:ascii="Times New Roman" w:hAnsi="Times New Roman" w:eastAsia="宋体" w:cs="Times New Roman"/>
                <w:color w:val="auto"/>
                <w:spacing w:val="1"/>
                <w:sz w:val="24"/>
                <w:szCs w:val="24"/>
                <w:highlight w:val="none"/>
              </w:rPr>
              <w:t>00吨</w:t>
            </w:r>
            <w:r>
              <w:rPr>
                <w:rFonts w:hint="eastAsia" w:cs="Times New Roman"/>
                <w:color w:val="auto"/>
                <w:spacing w:val="1"/>
                <w:sz w:val="24"/>
                <w:szCs w:val="24"/>
                <w:highlight w:val="none"/>
                <w:lang w:eastAsia="zh-CN"/>
              </w:rPr>
              <w:t>。</w:t>
            </w:r>
          </w:p>
          <w:p w14:paraId="1D07DCEB">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olor w:val="auto"/>
                <w:sz w:val="24"/>
                <w:szCs w:val="24"/>
                <w:highlight w:val="none"/>
              </w:rPr>
              <w:t>根据《排放源统计调查产排污核算方法和系数手册》“3059 其他玻璃制品制造</w:t>
            </w:r>
            <w:r>
              <w:rPr>
                <w:rFonts w:hint="default" w:ascii="Times New Roman" w:hAnsi="Times New Roman" w:eastAsia="宋体" w:cs="Times New Roman"/>
                <w:color w:val="auto"/>
                <w:spacing w:val="1"/>
                <w:sz w:val="24"/>
                <w:szCs w:val="24"/>
                <w:highlight w:val="none"/>
              </w:rPr>
              <w:t>行业系数手册”中系数表</w:t>
            </w:r>
            <w:r>
              <w:rPr>
                <w:rFonts w:hint="eastAsia" w:cs="Times New Roman"/>
                <w:color w:val="auto"/>
                <w:spacing w:val="1"/>
                <w:sz w:val="24"/>
                <w:szCs w:val="24"/>
                <w:highlight w:val="none"/>
                <w:lang w:val="en-US" w:eastAsia="zh-CN"/>
              </w:rPr>
              <w:t>无相关系数，故参照“</w:t>
            </w:r>
            <w:r>
              <w:rPr>
                <w:rFonts w:hint="default" w:ascii="Times New Roman" w:hAnsi="Times New Roman" w:eastAsia="宋体" w:cs="Times New Roman"/>
                <w:color w:val="auto"/>
                <w:sz w:val="24"/>
                <w:szCs w:val="24"/>
                <w:highlight w:val="none"/>
              </w:rPr>
              <w:t>30</w:t>
            </w:r>
            <w:r>
              <w:rPr>
                <w:rFonts w:hint="eastAsia"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9 其他</w:t>
            </w:r>
            <w:r>
              <w:rPr>
                <w:rFonts w:hint="eastAsia" w:eastAsia="宋体" w:cs="Times New Roman"/>
                <w:color w:val="auto"/>
                <w:sz w:val="24"/>
                <w:szCs w:val="24"/>
                <w:highlight w:val="none"/>
                <w:lang w:val="en-US" w:eastAsia="zh-CN"/>
              </w:rPr>
              <w:t>非金属矿物</w:t>
            </w:r>
            <w:r>
              <w:rPr>
                <w:rFonts w:hint="default" w:ascii="Times New Roman" w:hAnsi="Times New Roman" w:eastAsia="宋体" w:cs="Times New Roman"/>
                <w:color w:val="auto"/>
                <w:sz w:val="24"/>
                <w:szCs w:val="24"/>
                <w:highlight w:val="none"/>
              </w:rPr>
              <w:t>制品制造</w:t>
            </w:r>
            <w:r>
              <w:rPr>
                <w:rFonts w:hint="default" w:ascii="Times New Roman" w:hAnsi="Times New Roman" w:eastAsia="宋体" w:cs="Times New Roman"/>
                <w:color w:val="auto"/>
                <w:spacing w:val="1"/>
                <w:sz w:val="24"/>
                <w:szCs w:val="24"/>
                <w:highlight w:val="none"/>
              </w:rPr>
              <w:t>行业系数手册</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rPr>
              <w:t>中系数表</w:t>
            </w:r>
            <w:r>
              <w:rPr>
                <w:rFonts w:hint="eastAsia" w:eastAsia="宋体" w:cs="Times New Roman"/>
                <w:color w:val="auto"/>
                <w:spacing w:val="1"/>
                <w:sz w:val="24"/>
                <w:szCs w:val="24"/>
                <w:highlight w:val="none"/>
                <w:lang w:val="en-US" w:eastAsia="zh-CN"/>
              </w:rPr>
              <w:t>-粉磨（按最不利考虑）</w:t>
            </w:r>
            <w:r>
              <w:rPr>
                <w:rFonts w:hint="default" w:ascii="Times New Roman" w:hAnsi="Times New Roman" w:eastAsia="宋体" w:cs="Times New Roman"/>
                <w:color w:val="auto"/>
                <w:spacing w:val="1"/>
                <w:sz w:val="24"/>
                <w:szCs w:val="24"/>
                <w:highlight w:val="none"/>
              </w:rPr>
              <w:t>，颗粒物的产生量为</w:t>
            </w:r>
            <w:r>
              <w:rPr>
                <w:rFonts w:hint="eastAsia" w:cs="Times New Roman"/>
                <w:color w:val="auto"/>
                <w:spacing w:val="1"/>
                <w:sz w:val="24"/>
                <w:szCs w:val="24"/>
                <w:highlight w:val="none"/>
                <w:lang w:val="en-US" w:eastAsia="zh-CN"/>
              </w:rPr>
              <w:t>1.19</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pacing w:val="1"/>
                <w:sz w:val="24"/>
                <w:szCs w:val="24"/>
                <w:highlight w:val="none"/>
              </w:rPr>
              <w:t>/t产品；经计</w:t>
            </w:r>
            <w:r>
              <w:rPr>
                <w:rFonts w:hint="default" w:ascii="Times New Roman" w:hAnsi="Times New Roman" w:eastAsia="宋体" w:cs="Times New Roman"/>
                <w:color w:val="auto"/>
                <w:spacing w:val="-1"/>
                <w:sz w:val="24"/>
                <w:szCs w:val="24"/>
                <w:highlight w:val="none"/>
              </w:rPr>
              <w:t>算，滚抛产生的颗粒物量为</w:t>
            </w:r>
            <w:r>
              <w:rPr>
                <w:rFonts w:hint="eastAsia" w:cs="Times New Roman"/>
                <w:color w:val="auto"/>
                <w:spacing w:val="-1"/>
                <w:sz w:val="24"/>
                <w:szCs w:val="24"/>
                <w:highlight w:val="none"/>
                <w:lang w:val="en-US" w:eastAsia="zh-CN"/>
              </w:rPr>
              <w:t>15.47</w:t>
            </w:r>
            <w:r>
              <w:rPr>
                <w:rFonts w:hint="default" w:ascii="Times New Roman" w:hAnsi="Times New Roman" w:eastAsia="宋体" w:cs="Times New Roman"/>
                <w:color w:val="auto"/>
                <w:spacing w:val="-1"/>
                <w:sz w:val="24"/>
                <w:szCs w:val="24"/>
                <w:highlight w:val="none"/>
              </w:rPr>
              <w:t>t/a，</w:t>
            </w:r>
            <w:r>
              <w:rPr>
                <w:rFonts w:hint="eastAsia" w:cs="Times New Roman"/>
                <w:color w:val="auto"/>
                <w:spacing w:val="-1"/>
                <w:sz w:val="24"/>
                <w:szCs w:val="24"/>
                <w:highlight w:val="none"/>
                <w:lang w:val="en-US" w:eastAsia="zh-CN"/>
              </w:rPr>
              <w:t>1.95</w:t>
            </w:r>
            <w:r>
              <w:rPr>
                <w:rFonts w:hint="default" w:ascii="Times New Roman" w:hAnsi="Times New Roman" w:eastAsia="宋体" w:cs="Times New Roman"/>
                <w:color w:val="auto"/>
                <w:spacing w:val="-1"/>
                <w:sz w:val="24"/>
                <w:szCs w:val="24"/>
                <w:highlight w:val="none"/>
              </w:rPr>
              <w:t>kg/h。</w:t>
            </w:r>
          </w:p>
          <w:p w14:paraId="185BB8C9">
            <w:pPr>
              <w:pStyle w:val="18"/>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综上，</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z w:val="24"/>
                <w:szCs w:val="24"/>
                <w:highlight w:val="none"/>
              </w:rPr>
              <w:t>车间生产过程中产生配料粉尘、电炉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rPr>
              <w:t>和滚抛粉尘，</w:t>
            </w:r>
            <w:r>
              <w:rPr>
                <w:rFonts w:hint="default" w:ascii="Times New Roman" w:hAnsi="Times New Roman" w:eastAsia="宋体" w:cs="Times New Roman"/>
                <w:color w:val="auto"/>
                <w:sz w:val="24"/>
                <w:szCs w:val="24"/>
                <w:highlight w:val="none"/>
                <w:lang w:val="en-US" w:eastAsia="zh-CN"/>
              </w:rPr>
              <w:t>总产生量为</w:t>
            </w:r>
            <w:r>
              <w:rPr>
                <w:rFonts w:hint="eastAsia" w:cs="Times New Roman"/>
                <w:color w:val="auto"/>
                <w:spacing w:val="-1"/>
                <w:sz w:val="24"/>
                <w:szCs w:val="24"/>
                <w:highlight w:val="none"/>
                <w:lang w:val="en-US" w:eastAsia="zh-CN"/>
              </w:rPr>
              <w:t>43.41</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pacing w:val="-32"/>
                <w:sz w:val="24"/>
                <w:szCs w:val="24"/>
                <w:highlight w:val="none"/>
                <w:lang w:eastAsia="zh-CN"/>
              </w:rPr>
              <w:t>、</w:t>
            </w:r>
            <w:r>
              <w:rPr>
                <w:rFonts w:hint="eastAsia" w:cs="Times New Roman"/>
                <w:color w:val="auto"/>
                <w:spacing w:val="-1"/>
                <w:sz w:val="24"/>
                <w:szCs w:val="24"/>
                <w:highlight w:val="none"/>
                <w:lang w:val="en-US" w:eastAsia="zh-CN"/>
              </w:rPr>
              <w:t>5.48</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根据建设单位提</w:t>
            </w:r>
            <w:r>
              <w:rPr>
                <w:rFonts w:hint="default" w:ascii="Times New Roman" w:hAnsi="Times New Roman" w:cs="Times New Roman"/>
                <w:color w:val="auto"/>
                <w:sz w:val="24"/>
                <w:szCs w:val="24"/>
                <w:highlight w:val="none"/>
                <w:lang w:val="en-US" w:eastAsia="zh-CN"/>
              </w:rPr>
              <w:t>供设计资料</w:t>
            </w:r>
            <w:r>
              <w:rPr>
                <w:rFonts w:hint="default" w:ascii="Times New Roman" w:hAnsi="Times New Roman" w:eastAsia="宋体" w:cs="Times New Roman"/>
                <w:color w:val="auto"/>
                <w:sz w:val="24"/>
                <w:szCs w:val="24"/>
                <w:highlight w:val="none"/>
                <w:lang w:val="en-US" w:eastAsia="zh-CN"/>
              </w:rPr>
              <w:t>，6台拌料机、6台滚抛机上方均设置</w:t>
            </w:r>
            <w:r>
              <w:rPr>
                <w:rFonts w:hint="default" w:ascii="Times New Roman" w:hAnsi="Times New Roman" w:eastAsia="宋体" w:cs="Times New Roman"/>
                <w:color w:val="auto"/>
                <w:spacing w:val="1"/>
                <w:sz w:val="24"/>
                <w:szCs w:val="24"/>
                <w:highlight w:val="none"/>
              </w:rPr>
              <w:t>密闭</w:t>
            </w:r>
            <w:r>
              <w:rPr>
                <w:rFonts w:hint="default" w:ascii="Times New Roman" w:hAnsi="Times New Roman" w:eastAsia="宋体" w:cs="Times New Roman"/>
                <w:color w:val="auto"/>
                <w:sz w:val="24"/>
                <w:szCs w:val="24"/>
                <w:highlight w:val="none"/>
                <w:lang w:val="en-US" w:eastAsia="zh-CN"/>
              </w:rPr>
              <w:t>集气罩（</w:t>
            </w:r>
            <w:r>
              <w:rPr>
                <w:rFonts w:hint="eastAsia" w:ascii="Times New Roman" w:hAnsi="Times New Roman" w:eastAsia="宋体" w:cs="Times New Roman"/>
                <w:color w:val="auto"/>
                <w:sz w:val="24"/>
                <w:szCs w:val="24"/>
                <w:lang w:eastAsia="zh-CN"/>
              </w:rPr>
              <w:t>台面前端、两侧设可调式吸风口，形成环形负压区，</w:t>
            </w:r>
            <w:r>
              <w:rPr>
                <w:rFonts w:hint="default" w:ascii="Times New Roman" w:hAnsi="Times New Roman" w:eastAsia="宋体" w:cs="Times New Roman"/>
                <w:color w:val="auto"/>
                <w:sz w:val="24"/>
                <w:szCs w:val="24"/>
                <w:highlight w:val="none"/>
                <w:lang w:val="en-US" w:eastAsia="zh-CN"/>
              </w:rPr>
              <w:t>风量</w:t>
            </w:r>
            <w:r>
              <w:rPr>
                <w:rFonts w:hint="eastAsia" w:ascii="Times New Roman" w:hAnsi="Times New Roman" w:eastAsia="宋体" w:cs="Times New Roman"/>
                <w:color w:val="auto"/>
                <w:sz w:val="24"/>
                <w:szCs w:val="24"/>
                <w:highlight w:val="none"/>
                <w:lang w:val="en-US" w:eastAsia="zh-CN"/>
              </w:rPr>
              <w:t>不小于</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000m³/h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1"/>
                <w:sz w:val="24"/>
                <w:szCs w:val="24"/>
                <w:highlight w:val="none"/>
              </w:rPr>
              <w:t>收集效率按</w:t>
            </w:r>
            <w:r>
              <w:rPr>
                <w:rFonts w:hint="default" w:ascii="Times New Roman" w:hAnsi="Times New Roman" w:eastAsia="宋体" w:cs="Times New Roman"/>
                <w:color w:val="auto"/>
                <w:spacing w:val="-2"/>
                <w:sz w:val="24"/>
                <w:szCs w:val="24"/>
                <w:highlight w:val="none"/>
                <w:lang w:val="en-US" w:eastAsia="zh-CN"/>
              </w:rPr>
              <w:t>85</w:t>
            </w:r>
            <w:r>
              <w:rPr>
                <w:rFonts w:hint="default" w:ascii="Times New Roman" w:hAnsi="Times New Roman" w:eastAsia="宋体" w:cs="Times New Roman"/>
                <w:color w:val="auto"/>
                <w:spacing w:val="1"/>
                <w:sz w:val="24"/>
                <w:szCs w:val="24"/>
                <w:highlight w:val="none"/>
              </w:rPr>
              <w:t>%计</w:t>
            </w:r>
            <w:r>
              <w:rPr>
                <w:rFonts w:hint="eastAsia" w:ascii="Times New Roman" w:hAnsi="Times New Roman" w:eastAsia="宋体" w:cs="Times New Roman"/>
                <w:color w:val="auto"/>
                <w:spacing w:val="1"/>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6台</w:t>
            </w:r>
            <w:r>
              <w:rPr>
                <w:rFonts w:hint="default" w:ascii="Times New Roman" w:hAnsi="Times New Roman" w:eastAsia="宋体" w:cs="Times New Roman"/>
                <w:color w:val="auto"/>
                <w:spacing w:val="-1"/>
                <w:sz w:val="24"/>
                <w:szCs w:val="24"/>
                <w:highlight w:val="none"/>
              </w:rPr>
              <w:t>电炉</w:t>
            </w:r>
            <w:r>
              <w:rPr>
                <w:rFonts w:hint="eastAsia" w:ascii="Times New Roman" w:hAnsi="Times New Roman" w:eastAsia="宋体" w:cs="Times New Roman"/>
                <w:color w:val="auto"/>
                <w:spacing w:val="-1"/>
                <w:sz w:val="24"/>
                <w:szCs w:val="24"/>
                <w:highlight w:val="none"/>
                <w:lang w:val="en-US" w:eastAsia="zh-CN"/>
              </w:rPr>
              <w:t>均</w:t>
            </w:r>
            <w:r>
              <w:rPr>
                <w:rFonts w:hint="default" w:ascii="Times New Roman" w:hAnsi="Times New Roman" w:eastAsia="宋体" w:cs="Times New Roman"/>
                <w:color w:val="auto"/>
                <w:spacing w:val="-1"/>
                <w:sz w:val="24"/>
                <w:szCs w:val="24"/>
                <w:highlight w:val="none"/>
              </w:rPr>
              <w:t>自带一</w:t>
            </w:r>
            <w:r>
              <w:rPr>
                <w:rFonts w:hint="default" w:ascii="Times New Roman" w:hAnsi="Times New Roman" w:eastAsia="宋体" w:cs="Times New Roman"/>
                <w:color w:val="auto"/>
                <w:sz w:val="24"/>
                <w:szCs w:val="24"/>
                <w:highlight w:val="none"/>
              </w:rPr>
              <w:t>套密闭</w:t>
            </w:r>
            <w:r>
              <w:rPr>
                <w:rFonts w:hint="default" w:ascii="Times New Roman" w:hAnsi="Times New Roman" w:eastAsia="宋体" w:cs="Times New Roman"/>
                <w:color w:val="auto"/>
                <w:sz w:val="24"/>
                <w:szCs w:val="24"/>
                <w:highlight w:val="none"/>
                <w:lang w:val="en-US" w:eastAsia="zh-CN"/>
              </w:rPr>
              <w:t>管道</w:t>
            </w:r>
            <w:r>
              <w:rPr>
                <w:rFonts w:hint="default" w:ascii="Times New Roman" w:hAnsi="Times New Roman" w:eastAsia="宋体" w:cs="Times New Roman"/>
                <w:color w:val="auto"/>
                <w:sz w:val="24"/>
                <w:szCs w:val="24"/>
                <w:highlight w:val="none"/>
              </w:rPr>
              <w:t>，收集效率按</w:t>
            </w:r>
            <w:r>
              <w:rPr>
                <w:rFonts w:hint="default" w:ascii="Times New Roman" w:hAnsi="Times New Roman" w:eastAsia="宋体" w:cs="Times New Roman"/>
                <w:color w:val="auto"/>
                <w:spacing w:val="-2"/>
                <w:sz w:val="24"/>
                <w:szCs w:val="24"/>
                <w:highlight w:val="none"/>
                <w:lang w:val="en-US" w:eastAsia="zh-CN"/>
              </w:rPr>
              <w:t>100</w:t>
            </w:r>
            <w:r>
              <w:rPr>
                <w:rFonts w:hint="default" w:ascii="Times New Roman" w:hAnsi="Times New Roman" w:eastAsia="宋体" w:cs="Times New Roman"/>
                <w:color w:val="auto"/>
                <w:sz w:val="24"/>
                <w:szCs w:val="24"/>
                <w:highlight w:val="none"/>
              </w:rPr>
              <w:t>%计</w:t>
            </w:r>
            <w:r>
              <w:rPr>
                <w:rFonts w:hint="eastAsia"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合计</w:t>
            </w:r>
            <w:r>
              <w:rPr>
                <w:rFonts w:hint="eastAsia" w:cs="Times New Roman"/>
                <w:color w:val="auto"/>
                <w:sz w:val="24"/>
                <w:szCs w:val="24"/>
                <w:highlight w:val="none"/>
                <w:lang w:val="en-US" w:eastAsia="zh-CN"/>
              </w:rPr>
              <w:t>总</w:t>
            </w:r>
            <w:r>
              <w:rPr>
                <w:rFonts w:hint="default" w:ascii="Times New Roman" w:hAnsi="Times New Roman" w:eastAsia="宋体" w:cs="Times New Roman"/>
                <w:color w:val="auto"/>
                <w:spacing w:val="-2"/>
                <w:sz w:val="24"/>
                <w:szCs w:val="24"/>
                <w:highlight w:val="none"/>
                <w:lang w:val="en-US" w:eastAsia="zh-CN"/>
              </w:rPr>
              <w:t>风量不小于1</w:t>
            </w:r>
            <w:r>
              <w:rPr>
                <w:rFonts w:hint="eastAsia"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rPr>
              <w:t>000m</w:t>
            </w:r>
            <w:r>
              <w:rPr>
                <w:rFonts w:hint="eastAsia"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/h</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z w:val="24"/>
                <w:szCs w:val="24"/>
                <w:lang w:eastAsia="zh-CN"/>
              </w:rPr>
              <w:t>按上述收集效率核算</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则收集量为</w:t>
            </w:r>
            <w:r>
              <w:rPr>
                <w:rFonts w:hint="eastAsia" w:cs="Times New Roman"/>
                <w:color w:val="auto"/>
                <w:spacing w:val="1"/>
                <w:sz w:val="24"/>
                <w:szCs w:val="24"/>
                <w:highlight w:val="none"/>
                <w:lang w:val="en-US" w:eastAsia="zh-CN"/>
              </w:rPr>
              <w:t>41.05</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color w:val="auto"/>
                <w:spacing w:val="1"/>
                <w:sz w:val="24"/>
                <w:szCs w:val="24"/>
                <w:highlight w:val="none"/>
                <w:lang w:val="en-US" w:eastAsia="zh-CN"/>
              </w:rPr>
              <w:t>，收集后</w:t>
            </w:r>
            <w:r>
              <w:rPr>
                <w:rFonts w:hint="default" w:ascii="Times New Roman" w:hAnsi="Times New Roman" w:eastAsia="宋体" w:cs="Times New Roman"/>
                <w:color w:val="auto"/>
                <w:spacing w:val="-2"/>
                <w:sz w:val="24"/>
                <w:szCs w:val="24"/>
                <w:highlight w:val="none"/>
                <w:lang w:val="en-US" w:eastAsia="zh-CN"/>
              </w:rPr>
              <w:t>集中</w:t>
            </w:r>
            <w:r>
              <w:rPr>
                <w:rFonts w:hint="default" w:ascii="Times New Roman" w:hAnsi="Times New Roman" w:eastAsia="宋体" w:cs="Times New Roman"/>
                <w:color w:val="auto"/>
                <w:spacing w:val="-2"/>
                <w:sz w:val="24"/>
                <w:szCs w:val="24"/>
                <w:highlight w:val="none"/>
              </w:rPr>
              <w:t>进入布袋除尘器</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处置后经排气筒</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strike w:val="0"/>
                <w:dstrike w:val="0"/>
                <w:color w:val="auto"/>
                <w:sz w:val="24"/>
                <w:szCs w:val="24"/>
                <w:highlight w:val="none"/>
              </w:rPr>
              <w:t>DA00</w:t>
            </w:r>
            <w:r>
              <w:rPr>
                <w:rFonts w:hint="default" w:ascii="Times New Roman" w:hAnsi="Times New Roman" w:eastAsia="宋体" w:cs="Times New Roman"/>
                <w:strike w:val="0"/>
                <w:dstrike w:val="0"/>
                <w:color w:val="auto"/>
                <w:sz w:val="24"/>
                <w:szCs w:val="24"/>
                <w:highlight w:val="none"/>
                <w:lang w:val="en-US" w:eastAsia="zh-CN"/>
              </w:rPr>
              <w:t>1</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排放</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lang w:eastAsia="zh-CN"/>
              </w:rPr>
              <w:t>布袋除尘对颗粒物的</w:t>
            </w:r>
            <w:r>
              <w:rPr>
                <w:rFonts w:hint="default" w:ascii="Times New Roman" w:hAnsi="Times New Roman" w:eastAsia="宋体" w:cs="Times New Roman"/>
                <w:color w:val="auto"/>
                <w:sz w:val="24"/>
                <w:szCs w:val="24"/>
                <w:highlight w:val="none"/>
              </w:rPr>
              <w:t>去除效率</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则有组织粉尘排放量为</w:t>
            </w:r>
            <w:r>
              <w:rPr>
                <w:rFonts w:hint="default" w:ascii="Times New Roman" w:hAnsi="Times New Roman" w:eastAsia="宋体" w:cs="Times New Roman"/>
                <w:color w:val="auto"/>
                <w:spacing w:val="-1"/>
                <w:sz w:val="24"/>
                <w:szCs w:val="24"/>
                <w:highlight w:val="none"/>
                <w:lang w:val="en-US" w:eastAsia="zh-CN"/>
              </w:rPr>
              <w:t>0.</w:t>
            </w:r>
            <w:r>
              <w:rPr>
                <w:rFonts w:hint="eastAsia" w:cs="Times New Roman"/>
                <w:color w:val="auto"/>
                <w:spacing w:val="-1"/>
                <w:sz w:val="24"/>
                <w:szCs w:val="24"/>
                <w:highlight w:val="none"/>
                <w:lang w:val="en-US" w:eastAsia="zh-CN"/>
              </w:rPr>
              <w:t>4</w:t>
            </w:r>
            <w:r>
              <w:rPr>
                <w:rFonts w:hint="default" w:ascii="Times New Roman" w:hAnsi="Times New Roman" w:eastAsia="宋体" w:cs="Times New Roman"/>
                <w:color w:val="auto"/>
                <w:spacing w:val="-1"/>
                <w:sz w:val="24"/>
                <w:szCs w:val="24"/>
                <w:highlight w:val="none"/>
                <w:lang w:val="en-US" w:eastAsia="zh-CN"/>
              </w:rPr>
              <w:t>1</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z w:val="24"/>
                <w:szCs w:val="24"/>
                <w:highlight w:val="none"/>
              </w:rPr>
              <w:t>排放速率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pacing w:val="-1"/>
                <w:sz w:val="24"/>
                <w:szCs w:val="24"/>
                <w:highlight w:val="none"/>
                <w:lang w:val="en-US" w:eastAsia="zh-CN"/>
              </w:rPr>
              <w:t>0.0</w:t>
            </w:r>
            <w:r>
              <w:rPr>
                <w:rFonts w:hint="eastAsia" w:cs="Times New Roman"/>
                <w:color w:val="auto"/>
                <w:spacing w:val="-1"/>
                <w:sz w:val="24"/>
                <w:szCs w:val="24"/>
                <w:highlight w:val="none"/>
                <w:lang w:val="en-US" w:eastAsia="zh-CN"/>
              </w:rPr>
              <w:t>5</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pacing w:val="-1"/>
                <w:sz w:val="24"/>
                <w:szCs w:val="24"/>
                <w:highlight w:val="none"/>
                <w:lang w:val="en-US" w:eastAsia="zh-CN"/>
              </w:rPr>
              <w:t>4.32</w:t>
            </w:r>
            <w:r>
              <w:rPr>
                <w:rFonts w:hint="default" w:ascii="Times New Roman" w:hAnsi="Times New Roman" w:eastAsia="宋体" w:cs="Times New Roman"/>
                <w:b w:val="0"/>
                <w:bCs w:val="0"/>
                <w:strike w:val="0"/>
                <w:dstrike w:val="0"/>
                <w:color w:val="auto"/>
                <w:sz w:val="24"/>
                <w:szCs w:val="24"/>
                <w:highlight w:val="none"/>
              </w:rPr>
              <w:t>mg</w:t>
            </w:r>
            <w:r>
              <w:rPr>
                <w:rFonts w:hint="default" w:ascii="Times New Roman" w:hAnsi="Times New Roman" w:eastAsia="宋体" w:cs="Times New Roman"/>
                <w:b w:val="0"/>
                <w:bCs w:val="0"/>
                <w:strike w:val="0"/>
                <w:dstrike w:val="0"/>
                <w:color w:val="auto"/>
                <w:spacing w:val="2"/>
                <w:sz w:val="24"/>
                <w:szCs w:val="24"/>
                <w:highlight w:val="none"/>
              </w:rPr>
              <w:t>/m</w:t>
            </w:r>
            <w:r>
              <w:rPr>
                <w:rFonts w:hint="default" w:ascii="Times New Roman" w:hAnsi="Times New Roman" w:eastAsia="宋体" w:cs="Times New Roman"/>
                <w:b w:val="0"/>
                <w:bCs w:val="0"/>
                <w:strike w:val="0"/>
                <w:dstrike w:val="0"/>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而</w:t>
            </w:r>
            <w:r>
              <w:rPr>
                <w:rFonts w:hint="default" w:ascii="Times New Roman" w:hAnsi="Times New Roman" w:eastAsia="宋体" w:cs="Times New Roman"/>
                <w:strike w:val="0"/>
                <w:dstrike w:val="0"/>
                <w:color w:val="auto"/>
                <w:spacing w:val="1"/>
                <w:sz w:val="24"/>
                <w:szCs w:val="24"/>
                <w:highlight w:val="none"/>
              </w:rPr>
              <w:t>未能收集的粉尘量为</w:t>
            </w:r>
            <w:r>
              <w:rPr>
                <w:rFonts w:hint="eastAsia" w:cs="Times New Roman"/>
                <w:strike w:val="0"/>
                <w:dstrike w:val="0"/>
                <w:color w:val="auto"/>
                <w:spacing w:val="1"/>
                <w:sz w:val="24"/>
                <w:szCs w:val="24"/>
                <w:highlight w:val="none"/>
                <w:lang w:val="en-US" w:eastAsia="zh-CN"/>
              </w:rPr>
              <w:t>2.36</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strike w:val="0"/>
                <w:dstrike w:val="0"/>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pacing w:val="-6"/>
                <w:sz w:val="24"/>
                <w:szCs w:val="24"/>
                <w:highlight w:val="none"/>
              </w:rPr>
              <w:t>车间内无组织排放，通过加强车间机械通风处理</w:t>
            </w:r>
            <w:r>
              <w:rPr>
                <w:rFonts w:hint="default" w:ascii="Times New Roman" w:hAnsi="Times New Roman" w:eastAsia="宋体" w:cs="Times New Roman"/>
                <w:color w:val="auto"/>
                <w:spacing w:val="-2"/>
                <w:sz w:val="24"/>
                <w:szCs w:val="24"/>
                <w:highlight w:val="none"/>
              </w:rPr>
              <w:t>。</w:t>
            </w:r>
            <w:r>
              <w:rPr>
                <w:rFonts w:hint="eastAsia" w:cs="Times New Roman"/>
                <w:color w:val="auto"/>
                <w:sz w:val="24"/>
                <w:szCs w:val="24"/>
                <w:highlight w:val="none"/>
                <w:lang w:val="en-US" w:eastAsia="zh-CN"/>
              </w:rPr>
              <w:t>具体排放情况见下表。</w:t>
            </w:r>
          </w:p>
          <w:p w14:paraId="4FE4523B">
            <w:pPr>
              <w:keepNext w:val="0"/>
              <w:keepLines w:val="0"/>
              <w:pageBreakBefore w:val="0"/>
              <w:widowControl/>
              <w:suppressLineNumbers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trike w:val="0"/>
                <w:dstrike w:val="0"/>
                <w:color w:val="auto"/>
                <w:spacing w:val="5"/>
                <w:sz w:val="21"/>
                <w:szCs w:val="21"/>
                <w:highlight w:val="none"/>
                <w:lang w:val="en-US" w:eastAsia="zh-CN"/>
              </w:rPr>
            </w:pPr>
            <w:r>
              <w:rPr>
                <w:rFonts w:hint="default" w:ascii="Times New Roman" w:hAnsi="Times New Roman" w:eastAsia="宋体" w:cs="Times New Roman"/>
                <w:b/>
                <w:bCs/>
                <w:strike w:val="0"/>
                <w:dstrike w:val="0"/>
                <w:color w:val="auto"/>
                <w:spacing w:val="5"/>
                <w:sz w:val="21"/>
                <w:szCs w:val="21"/>
                <w:highlight w:val="none"/>
              </w:rPr>
              <w:t>表4-</w:t>
            </w:r>
            <w:r>
              <w:rPr>
                <w:rFonts w:hint="default" w:ascii="Times New Roman" w:hAnsi="Times New Roman" w:eastAsia="宋体" w:cs="Times New Roman"/>
                <w:b/>
                <w:bCs/>
                <w:strike w:val="0"/>
                <w:dstrike w:val="0"/>
                <w:color w:val="auto"/>
                <w:spacing w:val="5"/>
                <w:sz w:val="21"/>
                <w:szCs w:val="21"/>
                <w:highlight w:val="none"/>
                <w:lang w:val="en-US" w:eastAsia="zh-CN"/>
              </w:rPr>
              <w:t>1</w:t>
            </w:r>
            <w:r>
              <w:rPr>
                <w:rFonts w:hint="default" w:ascii="Times New Roman" w:hAnsi="Times New Roman" w:eastAsia="宋体" w:cs="Times New Roman"/>
                <w:b/>
                <w:bCs/>
                <w:strike w:val="0"/>
                <w:dstrike w:val="0"/>
                <w:color w:val="auto"/>
                <w:spacing w:val="5"/>
                <w:sz w:val="21"/>
                <w:szCs w:val="21"/>
                <w:highlight w:val="none"/>
              </w:rPr>
              <w:t xml:space="preserve">  </w:t>
            </w:r>
            <w:r>
              <w:rPr>
                <w:rFonts w:hint="eastAsia" w:cs="Times New Roman"/>
                <w:b/>
                <w:bCs/>
                <w:strike w:val="0"/>
                <w:dstrike w:val="0"/>
                <w:color w:val="auto"/>
                <w:spacing w:val="5"/>
                <w:sz w:val="21"/>
                <w:szCs w:val="21"/>
                <w:highlight w:val="none"/>
                <w:lang w:eastAsia="zh-CN"/>
              </w:rPr>
              <w:t>珠胚生产</w:t>
            </w:r>
            <w:r>
              <w:rPr>
                <w:rFonts w:hint="default" w:ascii="Times New Roman" w:hAnsi="Times New Roman" w:eastAsia="宋体" w:cs="Times New Roman"/>
                <w:b/>
                <w:bCs/>
                <w:strike w:val="0"/>
                <w:dstrike w:val="0"/>
                <w:color w:val="auto"/>
                <w:spacing w:val="5"/>
                <w:sz w:val="21"/>
                <w:szCs w:val="21"/>
                <w:highlight w:val="none"/>
              </w:rPr>
              <w:t>线</w:t>
            </w:r>
            <w:r>
              <w:rPr>
                <w:rFonts w:hint="default" w:ascii="Times New Roman" w:hAnsi="Times New Roman" w:eastAsia="宋体" w:cs="Times New Roman"/>
                <w:b/>
                <w:bCs/>
                <w:strike w:val="0"/>
                <w:dstrike w:val="0"/>
                <w:color w:val="auto"/>
                <w:spacing w:val="5"/>
                <w:sz w:val="21"/>
                <w:szCs w:val="21"/>
                <w:highlight w:val="none"/>
                <w:lang w:val="en-US" w:eastAsia="zh-CN"/>
              </w:rPr>
              <w:t>废气</w:t>
            </w:r>
            <w:r>
              <w:rPr>
                <w:rFonts w:hint="default" w:ascii="Times New Roman" w:hAnsi="Times New Roman" w:eastAsia="宋体" w:cs="Times New Roman"/>
                <w:b/>
                <w:bCs/>
                <w:strike w:val="0"/>
                <w:dstrike w:val="0"/>
                <w:color w:val="auto"/>
                <w:spacing w:val="5"/>
                <w:sz w:val="21"/>
                <w:szCs w:val="21"/>
                <w:highlight w:val="none"/>
              </w:rPr>
              <w:t>产生</w:t>
            </w:r>
            <w:r>
              <w:rPr>
                <w:rFonts w:hint="default" w:ascii="Times New Roman" w:hAnsi="Times New Roman" w:eastAsia="宋体" w:cs="Times New Roman"/>
                <w:b/>
                <w:bCs/>
                <w:strike w:val="0"/>
                <w:dstrike w:val="0"/>
                <w:color w:val="auto"/>
                <w:spacing w:val="5"/>
                <w:sz w:val="21"/>
                <w:szCs w:val="21"/>
                <w:highlight w:val="none"/>
                <w:lang w:val="en-US" w:eastAsia="zh-CN"/>
              </w:rPr>
              <w:t>及排放情况表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0"/>
              <w:gridCol w:w="2240"/>
              <w:gridCol w:w="10"/>
              <w:gridCol w:w="2247"/>
              <w:gridCol w:w="1889"/>
            </w:tblGrid>
            <w:tr w14:paraId="74504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70CB9ED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产污排污环节</w:t>
                  </w:r>
                </w:p>
              </w:tc>
              <w:tc>
                <w:tcPr>
                  <w:tcW w:w="4136" w:type="dxa"/>
                  <w:gridSpan w:val="2"/>
                  <w:tcBorders>
                    <w:tl2br w:val="nil"/>
                    <w:tr2bl w:val="nil"/>
                  </w:tcBorders>
                  <w:noWrap w:val="0"/>
                  <w:vAlign w:val="center"/>
                </w:tcPr>
                <w:p w14:paraId="4A1852E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eastAsia" w:cs="Times New Roman"/>
                      <w:i w:val="0"/>
                      <w:iCs w:val="0"/>
                      <w:strike w:val="0"/>
                      <w:dstrike w:val="0"/>
                      <w:color w:val="auto"/>
                      <w:kern w:val="0"/>
                      <w:sz w:val="21"/>
                      <w:szCs w:val="21"/>
                      <w:highlight w:val="none"/>
                      <w:u w:val="none"/>
                      <w:lang w:val="en-US" w:eastAsia="zh-CN" w:bidi="ar"/>
                    </w:rPr>
                    <w:t>珠胚生产</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废气（配料、电炉、滚抛）</w:t>
                  </w:r>
                </w:p>
              </w:tc>
            </w:tr>
            <w:tr w14:paraId="036B5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6C0EA78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污染物种类</w:t>
                  </w:r>
                </w:p>
              </w:tc>
              <w:tc>
                <w:tcPr>
                  <w:tcW w:w="4136" w:type="dxa"/>
                  <w:gridSpan w:val="2"/>
                  <w:tcBorders>
                    <w:tl2br w:val="nil"/>
                    <w:tr2bl w:val="nil"/>
                  </w:tcBorders>
                  <w:noWrap w:val="0"/>
                  <w:vAlign w:val="center"/>
                </w:tcPr>
                <w:p w14:paraId="74539ED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颗粒物</w:t>
                  </w:r>
                </w:p>
              </w:tc>
            </w:tr>
            <w:tr w14:paraId="16A49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0E0DB62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污染物产生量（t/a）</w:t>
                  </w:r>
                </w:p>
              </w:tc>
              <w:tc>
                <w:tcPr>
                  <w:tcW w:w="2247" w:type="dxa"/>
                  <w:tcBorders>
                    <w:tl2br w:val="nil"/>
                    <w:tr2bl w:val="nil"/>
                  </w:tcBorders>
                  <w:noWrap w:val="0"/>
                  <w:vAlign w:val="center"/>
                </w:tcPr>
                <w:p w14:paraId="409049D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eastAsia" w:cs="Times New Roman"/>
                      <w:i w:val="0"/>
                      <w:iCs w:val="0"/>
                      <w:strike w:val="0"/>
                      <w:dstrike w:val="0"/>
                      <w:color w:val="auto"/>
                      <w:kern w:val="0"/>
                      <w:sz w:val="21"/>
                      <w:szCs w:val="21"/>
                      <w:highlight w:val="none"/>
                      <w:u w:val="none"/>
                      <w:lang w:val="en-US" w:eastAsia="zh-CN" w:bidi="ar"/>
                    </w:rPr>
                    <w:t>41.05</w:t>
                  </w:r>
                </w:p>
              </w:tc>
              <w:tc>
                <w:tcPr>
                  <w:tcW w:w="1889" w:type="dxa"/>
                  <w:tcBorders>
                    <w:tl2br w:val="nil"/>
                    <w:tr2bl w:val="nil"/>
                  </w:tcBorders>
                  <w:noWrap w:val="0"/>
                  <w:vAlign w:val="center"/>
                </w:tcPr>
                <w:p w14:paraId="34A061F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eastAsia" w:cs="Times New Roman"/>
                      <w:i w:val="0"/>
                      <w:iCs w:val="0"/>
                      <w:strike w:val="0"/>
                      <w:dstrike w:val="0"/>
                      <w:color w:val="auto"/>
                      <w:kern w:val="0"/>
                      <w:sz w:val="21"/>
                      <w:szCs w:val="21"/>
                      <w:highlight w:val="none"/>
                      <w:u w:val="none"/>
                      <w:lang w:val="en-US" w:eastAsia="zh-CN" w:bidi="ar"/>
                    </w:rPr>
                    <w:t>2.36</w:t>
                  </w:r>
                </w:p>
              </w:tc>
            </w:tr>
            <w:tr w14:paraId="2EE7C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48591B2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2247" w:type="dxa"/>
                  <w:tcBorders>
                    <w:tl2br w:val="nil"/>
                    <w:tr2bl w:val="nil"/>
                  </w:tcBorders>
                  <w:noWrap w:val="0"/>
                  <w:vAlign w:val="center"/>
                </w:tcPr>
                <w:p w14:paraId="65EB9CB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eastAsia" w:cs="Times New Roman"/>
                      <w:i w:val="0"/>
                      <w:iCs w:val="0"/>
                      <w:strike w:val="0"/>
                      <w:dstrike w:val="0"/>
                      <w:color w:val="auto"/>
                      <w:kern w:val="0"/>
                      <w:sz w:val="21"/>
                      <w:szCs w:val="21"/>
                      <w:highlight w:val="none"/>
                      <w:u w:val="none"/>
                      <w:lang w:val="en-US" w:eastAsia="zh-CN" w:bidi="ar"/>
                    </w:rPr>
                    <w:t>431.95</w:t>
                  </w:r>
                </w:p>
              </w:tc>
              <w:tc>
                <w:tcPr>
                  <w:tcW w:w="1889" w:type="dxa"/>
                  <w:tcBorders>
                    <w:tl2br w:val="nil"/>
                    <w:tr2bl w:val="nil"/>
                  </w:tcBorders>
                  <w:noWrap w:val="0"/>
                  <w:vAlign w:val="center"/>
                </w:tcPr>
                <w:p w14:paraId="128E544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57EA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2D2B2B5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排放形式</w:t>
                  </w:r>
                </w:p>
              </w:tc>
              <w:tc>
                <w:tcPr>
                  <w:tcW w:w="2247" w:type="dxa"/>
                  <w:tcBorders>
                    <w:tl2br w:val="nil"/>
                    <w:tr2bl w:val="nil"/>
                  </w:tcBorders>
                  <w:noWrap w:val="0"/>
                  <w:vAlign w:val="center"/>
                </w:tcPr>
                <w:p w14:paraId="3203F2E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有组织</w:t>
                  </w:r>
                </w:p>
              </w:tc>
              <w:tc>
                <w:tcPr>
                  <w:tcW w:w="1889" w:type="dxa"/>
                  <w:tcBorders>
                    <w:tl2br w:val="nil"/>
                    <w:tr2bl w:val="nil"/>
                  </w:tcBorders>
                  <w:noWrap w:val="0"/>
                  <w:vAlign w:val="center"/>
                </w:tcPr>
                <w:p w14:paraId="354DE19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无组织</w:t>
                  </w:r>
                </w:p>
              </w:tc>
            </w:tr>
            <w:tr w14:paraId="1D21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20" w:type="dxa"/>
                  <w:vMerge w:val="restart"/>
                  <w:tcBorders>
                    <w:tl2br w:val="nil"/>
                    <w:tr2bl w:val="nil"/>
                  </w:tcBorders>
                  <w:noWrap w:val="0"/>
                  <w:vAlign w:val="center"/>
                </w:tcPr>
                <w:p w14:paraId="7A183EC3">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治理设施</w:t>
                  </w:r>
                </w:p>
              </w:tc>
              <w:tc>
                <w:tcPr>
                  <w:tcW w:w="2250" w:type="dxa"/>
                  <w:gridSpan w:val="2"/>
                  <w:tcBorders>
                    <w:tl2br w:val="nil"/>
                    <w:tr2bl w:val="nil"/>
                  </w:tcBorders>
                  <w:noWrap w:val="0"/>
                  <w:vAlign w:val="center"/>
                </w:tcPr>
                <w:p w14:paraId="3C83A82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处理能力</w:t>
                  </w:r>
                </w:p>
              </w:tc>
              <w:tc>
                <w:tcPr>
                  <w:tcW w:w="2247" w:type="dxa"/>
                  <w:tcBorders>
                    <w:tl2br w:val="nil"/>
                    <w:tr2bl w:val="nil"/>
                  </w:tcBorders>
                  <w:noWrap w:val="0"/>
                  <w:vAlign w:val="center"/>
                </w:tcPr>
                <w:p w14:paraId="4243A4C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w:t>
                  </w:r>
                  <w:r>
                    <w:rPr>
                      <w:rFonts w:hint="eastAsia" w:cs="Times New Roman"/>
                      <w:i w:val="0"/>
                      <w:iCs w:val="0"/>
                      <w:strike w:val="0"/>
                      <w:dstrike w:val="0"/>
                      <w:color w:val="auto"/>
                      <w:kern w:val="0"/>
                      <w:sz w:val="21"/>
                      <w:szCs w:val="21"/>
                      <w:highlight w:val="none"/>
                      <w:u w:val="none"/>
                      <w:lang w:val="en-US" w:eastAsia="zh-CN" w:bidi="ar"/>
                    </w:rPr>
                    <w:t>2</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000m</w:t>
                  </w:r>
                  <w:r>
                    <w:rPr>
                      <w:rFonts w:hint="default" w:ascii="Times New Roman" w:hAnsi="Times New Roman" w:eastAsia="宋体" w:cs="Times New Roman"/>
                      <w:i w:val="0"/>
                      <w:iCs w:val="0"/>
                      <w:strike w:val="0"/>
                      <w:dstrike w:val="0"/>
                      <w:color w:val="auto"/>
                      <w:kern w:val="0"/>
                      <w:sz w:val="21"/>
                      <w:szCs w:val="21"/>
                      <w:highlight w:val="none"/>
                      <w:u w:val="none"/>
                      <w:vertAlign w:val="superscript"/>
                      <w:lang w:val="en-US" w:eastAsia="zh-CN" w:bidi="ar"/>
                    </w:rPr>
                    <w:t>3</w:t>
                  </w:r>
                  <w:r>
                    <w:rPr>
                      <w:rStyle w:val="64"/>
                      <w:rFonts w:hint="default" w:ascii="Times New Roman" w:hAnsi="Times New Roman" w:eastAsia="宋体" w:cs="Times New Roman"/>
                      <w:strike w:val="0"/>
                      <w:dstrike w:val="0"/>
                      <w:color w:val="auto"/>
                      <w:sz w:val="21"/>
                      <w:szCs w:val="21"/>
                      <w:highlight w:val="none"/>
                      <w:lang w:val="en-US" w:eastAsia="zh-CN" w:bidi="ar"/>
                    </w:rPr>
                    <w:t>/h</w:t>
                  </w:r>
                </w:p>
              </w:tc>
              <w:tc>
                <w:tcPr>
                  <w:tcW w:w="1889" w:type="dxa"/>
                  <w:tcBorders>
                    <w:tl2br w:val="nil"/>
                    <w:tr2bl w:val="nil"/>
                  </w:tcBorders>
                  <w:noWrap w:val="0"/>
                  <w:vAlign w:val="center"/>
                </w:tcPr>
                <w:p w14:paraId="0ADB22E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4E1F4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20" w:type="dxa"/>
                  <w:vMerge w:val="continue"/>
                  <w:tcBorders>
                    <w:tl2br w:val="nil"/>
                    <w:tr2bl w:val="nil"/>
                  </w:tcBorders>
                  <w:noWrap w:val="0"/>
                  <w:vAlign w:val="center"/>
                </w:tcPr>
                <w:p w14:paraId="428D4D17">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2250" w:type="dxa"/>
                  <w:gridSpan w:val="2"/>
                  <w:tcBorders>
                    <w:tl2br w:val="nil"/>
                    <w:tr2bl w:val="nil"/>
                  </w:tcBorders>
                  <w:noWrap w:val="0"/>
                  <w:vAlign w:val="center"/>
                </w:tcPr>
                <w:p w14:paraId="3A1E719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收集效率</w:t>
                  </w:r>
                </w:p>
              </w:tc>
              <w:tc>
                <w:tcPr>
                  <w:tcW w:w="2247" w:type="dxa"/>
                  <w:tcBorders>
                    <w:tl2br w:val="nil"/>
                    <w:tr2bl w:val="nil"/>
                  </w:tcBorders>
                  <w:noWrap w:val="0"/>
                  <w:vAlign w:val="center"/>
                </w:tcPr>
                <w:p w14:paraId="44BDA7C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配料、滚抛85%</w:t>
                  </w:r>
                </w:p>
                <w:p w14:paraId="0D086B0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电炉100%</w:t>
                  </w:r>
                </w:p>
              </w:tc>
              <w:tc>
                <w:tcPr>
                  <w:tcW w:w="1889" w:type="dxa"/>
                  <w:tcBorders>
                    <w:tl2br w:val="nil"/>
                    <w:tr2bl w:val="nil"/>
                  </w:tcBorders>
                  <w:noWrap w:val="0"/>
                  <w:vAlign w:val="center"/>
                </w:tcPr>
                <w:p w14:paraId="4F6203C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80F9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20" w:type="dxa"/>
                  <w:vMerge w:val="continue"/>
                  <w:tcBorders>
                    <w:tl2br w:val="nil"/>
                    <w:tr2bl w:val="nil"/>
                  </w:tcBorders>
                  <w:noWrap w:val="0"/>
                  <w:vAlign w:val="center"/>
                </w:tcPr>
                <w:p w14:paraId="030BB1DC">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2250" w:type="dxa"/>
                  <w:gridSpan w:val="2"/>
                  <w:tcBorders>
                    <w:tl2br w:val="nil"/>
                    <w:tr2bl w:val="nil"/>
                  </w:tcBorders>
                  <w:noWrap w:val="0"/>
                  <w:vAlign w:val="center"/>
                </w:tcPr>
                <w:p w14:paraId="24ABEA6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w:t>
                  </w:r>
                </w:p>
              </w:tc>
              <w:tc>
                <w:tcPr>
                  <w:tcW w:w="2247" w:type="dxa"/>
                  <w:tcBorders>
                    <w:tl2br w:val="nil"/>
                    <w:tr2bl w:val="nil"/>
                  </w:tcBorders>
                  <w:noWrap w:val="0"/>
                  <w:vAlign w:val="center"/>
                </w:tcPr>
                <w:p w14:paraId="120DCB8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Style w:val="65"/>
                      <w:rFonts w:hint="default" w:ascii="Times New Roman" w:hAnsi="Times New Roman" w:eastAsia="宋体" w:cs="Times New Roman"/>
                      <w:strike w:val="0"/>
                      <w:dstrike w:val="0"/>
                      <w:color w:val="auto"/>
                      <w:sz w:val="21"/>
                      <w:szCs w:val="21"/>
                      <w:highlight w:val="none"/>
                      <w:lang w:val="en-US" w:eastAsia="zh-CN" w:bidi="ar"/>
                    </w:rPr>
                    <w:t>布袋除尘器</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1#</w:t>
                  </w:r>
                  <w:r>
                    <w:rPr>
                      <w:rFonts w:hint="default" w:ascii="Times New Roman" w:hAnsi="Times New Roman" w:eastAsia="宋体" w:cs="Times New Roman"/>
                      <w:color w:val="auto"/>
                      <w:spacing w:val="-2"/>
                      <w:sz w:val="21"/>
                      <w:szCs w:val="21"/>
                      <w:highlight w:val="none"/>
                      <w:lang w:eastAsia="zh-CN"/>
                    </w:rPr>
                    <w:t>）</w:t>
                  </w:r>
                </w:p>
              </w:tc>
              <w:tc>
                <w:tcPr>
                  <w:tcW w:w="1889" w:type="dxa"/>
                  <w:tcBorders>
                    <w:tl2br w:val="nil"/>
                    <w:tr2bl w:val="nil"/>
                  </w:tcBorders>
                  <w:noWrap w:val="0"/>
                  <w:vAlign w:val="center"/>
                </w:tcPr>
                <w:p w14:paraId="1A8F662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86C3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20" w:type="dxa"/>
                  <w:vMerge w:val="continue"/>
                  <w:tcBorders>
                    <w:tl2br w:val="nil"/>
                    <w:tr2bl w:val="nil"/>
                  </w:tcBorders>
                  <w:noWrap w:val="0"/>
                  <w:vAlign w:val="center"/>
                </w:tcPr>
                <w:p w14:paraId="619ED997">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2250" w:type="dxa"/>
                  <w:gridSpan w:val="2"/>
                  <w:tcBorders>
                    <w:tl2br w:val="nil"/>
                    <w:tr2bl w:val="nil"/>
                  </w:tcBorders>
                  <w:noWrap w:val="0"/>
                  <w:vAlign w:val="center"/>
                </w:tcPr>
                <w:p w14:paraId="2242C4B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治理工艺去除率</w:t>
                  </w:r>
                </w:p>
              </w:tc>
              <w:tc>
                <w:tcPr>
                  <w:tcW w:w="2247" w:type="dxa"/>
                  <w:tcBorders>
                    <w:tl2br w:val="nil"/>
                    <w:tr2bl w:val="nil"/>
                  </w:tcBorders>
                  <w:noWrap w:val="0"/>
                  <w:vAlign w:val="center"/>
                </w:tcPr>
                <w:p w14:paraId="7B05FB0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99%</w:t>
                  </w:r>
                </w:p>
              </w:tc>
              <w:tc>
                <w:tcPr>
                  <w:tcW w:w="1889" w:type="dxa"/>
                  <w:tcBorders>
                    <w:tl2br w:val="nil"/>
                    <w:tr2bl w:val="nil"/>
                  </w:tcBorders>
                  <w:noWrap w:val="0"/>
                  <w:vAlign w:val="center"/>
                </w:tcPr>
                <w:p w14:paraId="557D25F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0797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20" w:type="dxa"/>
                  <w:vMerge w:val="continue"/>
                  <w:tcBorders>
                    <w:tl2br w:val="nil"/>
                    <w:tr2bl w:val="nil"/>
                  </w:tcBorders>
                  <w:noWrap w:val="0"/>
                  <w:vAlign w:val="center"/>
                </w:tcPr>
                <w:p w14:paraId="1DF680CF">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2250" w:type="dxa"/>
                  <w:gridSpan w:val="2"/>
                  <w:tcBorders>
                    <w:tl2br w:val="nil"/>
                    <w:tr2bl w:val="nil"/>
                  </w:tcBorders>
                  <w:noWrap w:val="0"/>
                  <w:vAlign w:val="center"/>
                </w:tcPr>
                <w:p w14:paraId="048ABFA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是否为可行技术</w:t>
                  </w:r>
                </w:p>
              </w:tc>
              <w:tc>
                <w:tcPr>
                  <w:tcW w:w="2247" w:type="dxa"/>
                  <w:tcBorders>
                    <w:tl2br w:val="nil"/>
                    <w:tr2bl w:val="nil"/>
                  </w:tcBorders>
                  <w:noWrap w:val="0"/>
                  <w:vAlign w:val="center"/>
                </w:tcPr>
                <w:p w14:paraId="0309704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是</w:t>
                  </w:r>
                </w:p>
              </w:tc>
              <w:tc>
                <w:tcPr>
                  <w:tcW w:w="1889" w:type="dxa"/>
                  <w:tcBorders>
                    <w:tl2br w:val="nil"/>
                    <w:tr2bl w:val="nil"/>
                  </w:tcBorders>
                  <w:noWrap w:val="0"/>
                  <w:vAlign w:val="center"/>
                </w:tcPr>
                <w:p w14:paraId="3D76D2F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F202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03FAB47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污染物排放量（t/a）</w:t>
                  </w:r>
                </w:p>
              </w:tc>
              <w:tc>
                <w:tcPr>
                  <w:tcW w:w="2247" w:type="dxa"/>
                  <w:tcBorders>
                    <w:tl2br w:val="nil"/>
                    <w:tr2bl w:val="nil"/>
                  </w:tcBorders>
                  <w:noWrap w:val="0"/>
                  <w:vAlign w:val="center"/>
                </w:tcPr>
                <w:p w14:paraId="02620D8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w:t>
                  </w:r>
                  <w:r>
                    <w:rPr>
                      <w:rFonts w:hint="eastAsia" w:cs="Times New Roman"/>
                      <w:i w:val="0"/>
                      <w:iCs w:val="0"/>
                      <w:strike w:val="0"/>
                      <w:dstrike w:val="0"/>
                      <w:color w:val="auto"/>
                      <w:kern w:val="0"/>
                      <w:sz w:val="21"/>
                      <w:szCs w:val="21"/>
                      <w:highlight w:val="none"/>
                      <w:u w:val="none"/>
                      <w:lang w:val="en-US" w:eastAsia="zh-CN" w:bidi="ar"/>
                    </w:rPr>
                    <w:t>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w:t>
                  </w:r>
                </w:p>
              </w:tc>
              <w:tc>
                <w:tcPr>
                  <w:tcW w:w="1889" w:type="dxa"/>
                  <w:tcBorders>
                    <w:tl2br w:val="nil"/>
                    <w:tr2bl w:val="nil"/>
                  </w:tcBorders>
                  <w:noWrap w:val="0"/>
                  <w:vAlign w:val="center"/>
                </w:tcPr>
                <w:p w14:paraId="5033943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2.36</w:t>
                  </w:r>
                </w:p>
              </w:tc>
            </w:tr>
            <w:tr w14:paraId="0655B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466E71B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污染物排放速率（kg/h）</w:t>
                  </w:r>
                </w:p>
              </w:tc>
              <w:tc>
                <w:tcPr>
                  <w:tcW w:w="2247" w:type="dxa"/>
                  <w:tcBorders>
                    <w:tl2br w:val="nil"/>
                    <w:tr2bl w:val="nil"/>
                  </w:tcBorders>
                  <w:noWrap w:val="0"/>
                  <w:vAlign w:val="center"/>
                </w:tcPr>
                <w:p w14:paraId="2B7BE8A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w:t>
                  </w:r>
                  <w:r>
                    <w:rPr>
                      <w:rFonts w:hint="eastAsia" w:cs="Times New Roman"/>
                      <w:i w:val="0"/>
                      <w:iCs w:val="0"/>
                      <w:strike w:val="0"/>
                      <w:dstrike w:val="0"/>
                      <w:color w:val="auto"/>
                      <w:kern w:val="0"/>
                      <w:sz w:val="21"/>
                      <w:szCs w:val="21"/>
                      <w:highlight w:val="none"/>
                      <w:u w:val="none"/>
                      <w:lang w:val="en-US" w:eastAsia="zh-CN" w:bidi="ar"/>
                    </w:rPr>
                    <w:t>5</w:t>
                  </w:r>
                </w:p>
              </w:tc>
              <w:tc>
                <w:tcPr>
                  <w:tcW w:w="1889" w:type="dxa"/>
                  <w:tcBorders>
                    <w:tl2br w:val="nil"/>
                    <w:tr2bl w:val="nil"/>
                  </w:tcBorders>
                  <w:noWrap w:val="0"/>
                  <w:vAlign w:val="center"/>
                </w:tcPr>
                <w:p w14:paraId="4266F8D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eastAsia" w:cs="Times New Roman"/>
                      <w:i w:val="0"/>
                      <w:iCs w:val="0"/>
                      <w:strike w:val="0"/>
                      <w:dstrike w:val="0"/>
                      <w:color w:val="auto"/>
                      <w:sz w:val="21"/>
                      <w:szCs w:val="21"/>
                      <w:highlight w:val="none"/>
                      <w:u w:val="none"/>
                      <w:lang w:val="en-US" w:eastAsia="zh-CN"/>
                    </w:rPr>
                    <w:t>0.30</w:t>
                  </w:r>
                </w:p>
              </w:tc>
            </w:tr>
            <w:tr w14:paraId="41931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60" w:type="dxa"/>
                  <w:gridSpan w:val="2"/>
                  <w:tcBorders>
                    <w:tl2br w:val="nil"/>
                    <w:tr2bl w:val="nil"/>
                  </w:tcBorders>
                  <w:noWrap w:val="0"/>
                  <w:vAlign w:val="center"/>
                </w:tcPr>
                <w:p w14:paraId="19686EA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2257" w:type="dxa"/>
                  <w:gridSpan w:val="2"/>
                  <w:tcBorders>
                    <w:tl2br w:val="nil"/>
                    <w:tr2bl w:val="nil"/>
                  </w:tcBorders>
                  <w:noWrap w:val="0"/>
                  <w:vAlign w:val="center"/>
                </w:tcPr>
                <w:p w14:paraId="432BF8E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4.32</w:t>
                  </w:r>
                </w:p>
              </w:tc>
              <w:tc>
                <w:tcPr>
                  <w:tcW w:w="1889" w:type="dxa"/>
                  <w:tcBorders>
                    <w:tl2br w:val="nil"/>
                    <w:tr2bl w:val="nil"/>
                  </w:tcBorders>
                  <w:noWrap w:val="0"/>
                  <w:vAlign w:val="center"/>
                </w:tcPr>
                <w:p w14:paraId="28F9D6B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2C26F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906" w:type="dxa"/>
                  <w:gridSpan w:val="5"/>
                  <w:tcBorders>
                    <w:tl2br w:val="nil"/>
                    <w:tr2bl w:val="nil"/>
                  </w:tcBorders>
                  <w:noWrap w:val="0"/>
                  <w:vAlign w:val="center"/>
                </w:tcPr>
                <w:p w14:paraId="3D91493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排放口基本情况</w:t>
                  </w:r>
                </w:p>
              </w:tc>
            </w:tr>
            <w:tr w14:paraId="5E70D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42CA740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排气筒高度</w:t>
                  </w:r>
                </w:p>
              </w:tc>
              <w:tc>
                <w:tcPr>
                  <w:tcW w:w="2247" w:type="dxa"/>
                  <w:tcBorders>
                    <w:tl2br w:val="nil"/>
                    <w:tr2bl w:val="nil"/>
                  </w:tcBorders>
                  <w:noWrap w:val="0"/>
                  <w:vAlign w:val="center"/>
                </w:tcPr>
                <w:p w14:paraId="1E9CD18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15m</w:t>
                  </w:r>
                </w:p>
              </w:tc>
              <w:tc>
                <w:tcPr>
                  <w:tcW w:w="1889" w:type="dxa"/>
                  <w:tcBorders>
                    <w:tl2br w:val="nil"/>
                    <w:tr2bl w:val="nil"/>
                  </w:tcBorders>
                  <w:noWrap w:val="0"/>
                  <w:vAlign w:val="center"/>
                </w:tcPr>
                <w:p w14:paraId="7E5472A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4BE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4A4962E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排气筒内径</w:t>
                  </w:r>
                </w:p>
              </w:tc>
              <w:tc>
                <w:tcPr>
                  <w:tcW w:w="2247" w:type="dxa"/>
                  <w:tcBorders>
                    <w:tl2br w:val="nil"/>
                    <w:tr2bl w:val="nil"/>
                  </w:tcBorders>
                  <w:noWrap w:val="0"/>
                  <w:vAlign w:val="center"/>
                </w:tcPr>
                <w:p w14:paraId="792D7BF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0.5m</w:t>
                  </w:r>
                </w:p>
              </w:tc>
              <w:tc>
                <w:tcPr>
                  <w:tcW w:w="1889" w:type="dxa"/>
                  <w:tcBorders>
                    <w:tl2br w:val="nil"/>
                    <w:tr2bl w:val="nil"/>
                  </w:tcBorders>
                  <w:noWrap w:val="0"/>
                  <w:vAlign w:val="center"/>
                </w:tcPr>
                <w:p w14:paraId="696D843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3959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60A0F66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温度</w:t>
                  </w:r>
                </w:p>
              </w:tc>
              <w:tc>
                <w:tcPr>
                  <w:tcW w:w="2247" w:type="dxa"/>
                  <w:tcBorders>
                    <w:tl2br w:val="nil"/>
                    <w:tr2bl w:val="nil"/>
                  </w:tcBorders>
                  <w:noWrap w:val="0"/>
                  <w:vAlign w:val="center"/>
                </w:tcPr>
                <w:p w14:paraId="56C4D8E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35℃</w:t>
                  </w:r>
                </w:p>
              </w:tc>
              <w:tc>
                <w:tcPr>
                  <w:tcW w:w="1889" w:type="dxa"/>
                  <w:tcBorders>
                    <w:tl2br w:val="nil"/>
                    <w:tr2bl w:val="nil"/>
                  </w:tcBorders>
                  <w:noWrap w:val="0"/>
                  <w:vAlign w:val="center"/>
                </w:tcPr>
                <w:p w14:paraId="0DA217C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D53A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70F0EFC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编号</w:t>
                  </w:r>
                </w:p>
              </w:tc>
              <w:tc>
                <w:tcPr>
                  <w:tcW w:w="2247" w:type="dxa"/>
                  <w:tcBorders>
                    <w:tl2br w:val="nil"/>
                    <w:tr2bl w:val="nil"/>
                  </w:tcBorders>
                  <w:noWrap w:val="0"/>
                  <w:vAlign w:val="center"/>
                </w:tcPr>
                <w:p w14:paraId="51A5D9A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DA001</w:t>
                  </w:r>
                </w:p>
              </w:tc>
              <w:tc>
                <w:tcPr>
                  <w:tcW w:w="1889" w:type="dxa"/>
                  <w:tcBorders>
                    <w:tl2br w:val="nil"/>
                    <w:tr2bl w:val="nil"/>
                  </w:tcBorders>
                  <w:noWrap w:val="0"/>
                  <w:vAlign w:val="center"/>
                </w:tcPr>
                <w:p w14:paraId="05E489C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42A35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0FDD64E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类型</w:t>
                  </w:r>
                </w:p>
              </w:tc>
              <w:tc>
                <w:tcPr>
                  <w:tcW w:w="2247" w:type="dxa"/>
                  <w:tcBorders>
                    <w:tl2br w:val="nil"/>
                    <w:tr2bl w:val="nil"/>
                  </w:tcBorders>
                  <w:noWrap w:val="0"/>
                  <w:vAlign w:val="center"/>
                </w:tcPr>
                <w:p w14:paraId="53B1E0B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一般排放口</w:t>
                  </w:r>
                </w:p>
              </w:tc>
              <w:tc>
                <w:tcPr>
                  <w:tcW w:w="1889" w:type="dxa"/>
                  <w:tcBorders>
                    <w:tl2br w:val="nil"/>
                    <w:tr2bl w:val="nil"/>
                  </w:tcBorders>
                  <w:noWrap w:val="0"/>
                  <w:vAlign w:val="center"/>
                </w:tcPr>
                <w:p w14:paraId="4161D12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5E20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0" w:type="dxa"/>
                  <w:gridSpan w:val="3"/>
                  <w:tcBorders>
                    <w:tl2br w:val="nil"/>
                    <w:tr2bl w:val="nil"/>
                  </w:tcBorders>
                  <w:noWrap w:val="0"/>
                  <w:vAlign w:val="center"/>
                </w:tcPr>
                <w:p w14:paraId="273776D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地理坐标</w:t>
                  </w:r>
                </w:p>
              </w:tc>
              <w:tc>
                <w:tcPr>
                  <w:tcW w:w="2247" w:type="dxa"/>
                  <w:tcBorders>
                    <w:tl2br w:val="nil"/>
                    <w:tr2bl w:val="nil"/>
                  </w:tcBorders>
                  <w:noWrap w:val="0"/>
                  <w:vAlign w:val="center"/>
                </w:tcPr>
                <w:p w14:paraId="1E673A8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102.20998939</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E</w:t>
                  </w:r>
                  <w:r>
                    <w:rPr>
                      <w:rStyle w:val="64"/>
                      <w:rFonts w:hint="default" w:ascii="Times New Roman" w:hAnsi="Times New Roman" w:eastAsia="宋体" w:cs="Times New Roman"/>
                      <w:strike w:val="0"/>
                      <w:dstrike w:val="0"/>
                      <w:color w:val="auto"/>
                      <w:sz w:val="21"/>
                      <w:szCs w:val="21"/>
                      <w:highlight w:val="none"/>
                      <w:lang w:val="en-US" w:eastAsia="zh-CN" w:bidi="ar"/>
                    </w:rPr>
                    <w:t>，</w:t>
                  </w:r>
                  <w:r>
                    <w:rPr>
                      <w:rFonts w:hint="default" w:ascii="Times New Roman" w:hAnsi="Times New Roman" w:eastAsia="宋体" w:cs="Times New Roman"/>
                      <w:b w:val="0"/>
                      <w:bCs w:val="0"/>
                      <w:strike w:val="0"/>
                      <w:dstrike w:val="0"/>
                      <w:color w:val="auto"/>
                      <w:kern w:val="0"/>
                      <w:sz w:val="21"/>
                      <w:szCs w:val="21"/>
                      <w:highlight w:val="none"/>
                      <w:lang w:val="en-US" w:eastAsia="zh-CN"/>
                    </w:rPr>
                    <w:t>24.76250094</w:t>
                  </w:r>
                  <w:r>
                    <w:rPr>
                      <w:rStyle w:val="64"/>
                      <w:rFonts w:hint="default" w:ascii="Times New Roman" w:hAnsi="Times New Roman" w:eastAsia="宋体" w:cs="Times New Roman"/>
                      <w:strike w:val="0"/>
                      <w:dstrike w:val="0"/>
                      <w:color w:val="auto"/>
                      <w:sz w:val="21"/>
                      <w:szCs w:val="21"/>
                      <w:highlight w:val="none"/>
                      <w:lang w:val="en-US" w:eastAsia="zh-CN" w:bidi="ar"/>
                    </w:rPr>
                    <w:t>N</w:t>
                  </w:r>
                </w:p>
              </w:tc>
              <w:tc>
                <w:tcPr>
                  <w:tcW w:w="1889" w:type="dxa"/>
                  <w:tcBorders>
                    <w:tl2br w:val="nil"/>
                    <w:tr2bl w:val="nil"/>
                  </w:tcBorders>
                  <w:noWrap w:val="0"/>
                  <w:vAlign w:val="center"/>
                </w:tcPr>
                <w:p w14:paraId="5F4D38F3">
                  <w:pPr>
                    <w:keepNext w:val="0"/>
                    <w:keepLines w:val="0"/>
                    <w:pageBreakBefore w:val="0"/>
                    <w:widowControl/>
                    <w:suppressLineNumbers w:val="0"/>
                    <w:kinsoku/>
                    <w:overflowPunct/>
                    <w:topLinePunct/>
                    <w:autoSpaceDE w:val="0"/>
                    <w:bidi w:val="0"/>
                    <w:jc w:val="center"/>
                    <w:textAlignment w:val="center"/>
                    <w:rPr>
                      <w:rStyle w:val="64"/>
                      <w:rFonts w:hint="default" w:ascii="Times New Roman" w:hAnsi="Times New Roman" w:eastAsia="宋体" w:cs="Times New Roman"/>
                      <w:strike w:val="0"/>
                      <w:dstrike w:val="0"/>
                      <w:color w:val="auto"/>
                      <w:sz w:val="21"/>
                      <w:szCs w:val="21"/>
                      <w:highlight w:val="none"/>
                      <w:lang w:val="en-US" w:eastAsia="zh-CN" w:bidi="ar"/>
                    </w:rPr>
                  </w:pPr>
                  <w:r>
                    <w:rPr>
                      <w:rStyle w:val="64"/>
                      <w:rFonts w:hint="default" w:ascii="Times New Roman" w:hAnsi="Times New Roman" w:eastAsia="宋体" w:cs="Times New Roman"/>
                      <w:strike w:val="0"/>
                      <w:dstrike w:val="0"/>
                      <w:color w:val="auto"/>
                      <w:sz w:val="21"/>
                      <w:szCs w:val="21"/>
                      <w:highlight w:val="none"/>
                      <w:lang w:val="en-US" w:eastAsia="zh-CN" w:bidi="ar"/>
                    </w:rPr>
                    <w:t>/</w:t>
                  </w:r>
                </w:p>
              </w:tc>
            </w:tr>
          </w:tbl>
          <w:p w14:paraId="20818A4A">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（2）烫钻生产线废气</w:t>
            </w:r>
          </w:p>
          <w:p w14:paraId="3C4C5DC7">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①烘干过程</w:t>
            </w:r>
          </w:p>
          <w:p w14:paraId="568D53D5">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72" w:firstLineChars="200"/>
              <w:jc w:val="both"/>
              <w:textAlignment w:val="auto"/>
              <w:outlineLvl w:val="9"/>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auto"/>
                <w:spacing w:val="-2"/>
                <w:sz w:val="24"/>
                <w:szCs w:val="24"/>
                <w:highlight w:val="none"/>
                <w:lang w:val="en-US" w:eastAsia="zh-CN"/>
              </w:rPr>
              <w:t>烫钻生产过程中</w:t>
            </w:r>
            <w:r>
              <w:rPr>
                <w:rFonts w:hint="eastAsia" w:cs="Times New Roman"/>
                <w:color w:val="auto"/>
                <w:spacing w:val="-2"/>
                <w:sz w:val="24"/>
                <w:szCs w:val="24"/>
                <w:highlight w:val="none"/>
                <w:lang w:val="en-US" w:eastAsia="zh-CN"/>
              </w:rPr>
              <w:t>珠胚</w:t>
            </w:r>
            <w:r>
              <w:rPr>
                <w:rFonts w:hint="default" w:ascii="Times New Roman" w:hAnsi="Times New Roman" w:eastAsia="宋体" w:cs="Times New Roman"/>
                <w:color w:val="auto"/>
                <w:spacing w:val="-2"/>
                <w:sz w:val="24"/>
                <w:szCs w:val="24"/>
                <w:highlight w:val="none"/>
                <w:lang w:val="en-US" w:eastAsia="zh-CN"/>
              </w:rPr>
              <w:t>经磨抛、碱洗及清洗工序后需进行烘干，</w:t>
            </w:r>
            <w:r>
              <w:rPr>
                <w:rFonts w:hint="default" w:ascii="Times New Roman" w:hAnsi="Times New Roman" w:eastAsia="宋体" w:cs="Times New Roman"/>
                <w:color w:val="auto"/>
                <w:spacing w:val="-1"/>
                <w:sz w:val="24"/>
                <w:szCs w:val="24"/>
                <w:highlight w:val="none"/>
                <w:lang w:eastAsia="zh-CN"/>
              </w:rPr>
              <w:t>烘干采用电烘箱进行，</w:t>
            </w:r>
            <w:r>
              <w:rPr>
                <w:rFonts w:hint="default" w:ascii="Times New Roman" w:hAnsi="Times New Roman" w:eastAsia="宋体" w:cs="Times New Roman"/>
                <w:color w:val="auto"/>
                <w:spacing w:val="-1"/>
                <w:sz w:val="24"/>
                <w:szCs w:val="24"/>
                <w:highlight w:val="none"/>
                <w:lang w:val="en-US" w:eastAsia="zh-CN"/>
              </w:rPr>
              <w:t>主要烘干</w:t>
            </w:r>
            <w:r>
              <w:rPr>
                <w:rFonts w:hint="eastAsia" w:cs="Times New Roman"/>
                <w:color w:val="auto"/>
                <w:spacing w:val="-2"/>
                <w:sz w:val="24"/>
                <w:szCs w:val="24"/>
                <w:highlight w:val="none"/>
                <w:lang w:val="en-US" w:eastAsia="zh-CN"/>
              </w:rPr>
              <w:t>珠胚</w:t>
            </w:r>
            <w:r>
              <w:rPr>
                <w:rFonts w:hint="default" w:ascii="Times New Roman" w:hAnsi="Times New Roman" w:eastAsia="宋体" w:cs="Times New Roman"/>
                <w:color w:val="auto"/>
                <w:spacing w:val="-2"/>
                <w:sz w:val="24"/>
                <w:szCs w:val="24"/>
                <w:highlight w:val="none"/>
                <w:lang w:val="en-US" w:eastAsia="zh-CN"/>
              </w:rPr>
              <w:t>表面的</w:t>
            </w:r>
            <w:r>
              <w:rPr>
                <w:rFonts w:hint="default" w:ascii="Times New Roman" w:hAnsi="Times New Roman" w:eastAsia="宋体" w:cs="Times New Roman"/>
                <w:color w:val="auto"/>
                <w:spacing w:val="-1"/>
                <w:sz w:val="24"/>
                <w:szCs w:val="24"/>
                <w:highlight w:val="none"/>
                <w:lang w:val="en-US" w:eastAsia="zh-CN"/>
              </w:rPr>
              <w:t>清洗水分，</w:t>
            </w:r>
            <w:r>
              <w:rPr>
                <w:rFonts w:hint="default" w:ascii="Times New Roman" w:hAnsi="Times New Roman" w:eastAsia="宋体" w:cs="Times New Roman"/>
                <w:color w:val="auto"/>
                <w:spacing w:val="-2"/>
                <w:sz w:val="24"/>
                <w:szCs w:val="24"/>
                <w:highlight w:val="none"/>
                <w:lang w:eastAsia="zh-CN"/>
              </w:rPr>
              <w:t>不产生</w:t>
            </w:r>
            <w:r>
              <w:rPr>
                <w:rFonts w:hint="default" w:ascii="Times New Roman" w:hAnsi="Times New Roman" w:eastAsia="宋体" w:cs="Times New Roman"/>
                <w:color w:val="auto"/>
                <w:spacing w:val="-2"/>
                <w:sz w:val="24"/>
                <w:szCs w:val="24"/>
                <w:highlight w:val="none"/>
                <w:lang w:val="en-US" w:eastAsia="zh-CN"/>
              </w:rPr>
              <w:t>其他</w:t>
            </w:r>
            <w:r>
              <w:rPr>
                <w:rFonts w:hint="default" w:ascii="Times New Roman" w:hAnsi="Times New Roman" w:eastAsia="宋体" w:cs="Times New Roman"/>
                <w:color w:val="auto"/>
                <w:spacing w:val="-2"/>
                <w:sz w:val="24"/>
                <w:szCs w:val="24"/>
                <w:highlight w:val="none"/>
                <w:lang w:eastAsia="zh-CN"/>
              </w:rPr>
              <w:t>废气。</w:t>
            </w:r>
          </w:p>
          <w:p w14:paraId="6B781398">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②吸塑过程</w:t>
            </w:r>
          </w:p>
          <w:p w14:paraId="0196945E">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eastAsia="zh-CN"/>
              </w:rPr>
              <w:t>分筛后的</w:t>
            </w:r>
            <w:r>
              <w:rPr>
                <w:rFonts w:hint="eastAsia" w:cs="Times New Roman"/>
                <w:strike w:val="0"/>
                <w:dstrike w:val="0"/>
                <w:color w:val="auto"/>
                <w:sz w:val="24"/>
                <w:szCs w:val="24"/>
                <w:highlight w:val="none"/>
                <w:lang w:val="en-US" w:eastAsia="zh-CN"/>
              </w:rPr>
              <w:t>珠胚</w:t>
            </w:r>
            <w:r>
              <w:rPr>
                <w:rFonts w:hint="default" w:ascii="Times New Roman" w:hAnsi="Times New Roman" w:eastAsia="宋体" w:cs="Times New Roman"/>
                <w:strike w:val="0"/>
                <w:dstrike w:val="0"/>
                <w:color w:val="auto"/>
                <w:sz w:val="24"/>
                <w:szCs w:val="24"/>
                <w:highlight w:val="none"/>
                <w:lang w:eastAsia="zh-CN"/>
              </w:rPr>
              <w:t>用吸塑机吸附在</w:t>
            </w:r>
            <w:r>
              <w:rPr>
                <w:rFonts w:hint="default" w:ascii="Times New Roman" w:hAnsi="Times New Roman" w:eastAsia="宋体" w:cs="Times New Roman"/>
                <w:strike w:val="0"/>
                <w:dstrike w:val="0"/>
                <w:color w:val="auto"/>
                <w:sz w:val="24"/>
                <w:szCs w:val="24"/>
                <w:highlight w:val="none"/>
                <w:lang w:val="en-US" w:eastAsia="zh-CN"/>
              </w:rPr>
              <w:t>吸塑片（</w:t>
            </w:r>
            <w:r>
              <w:rPr>
                <w:rFonts w:hint="default" w:ascii="Times New Roman" w:hAnsi="Times New Roman" w:eastAsia="宋体" w:cs="Times New Roman"/>
                <w:strike w:val="0"/>
                <w:dstrike w:val="0"/>
                <w:color w:val="auto"/>
                <w:sz w:val="24"/>
                <w:szCs w:val="24"/>
                <w:highlight w:val="none"/>
                <w:lang w:eastAsia="zh-CN"/>
              </w:rPr>
              <w:t>PVC热收缩膜</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eastAsia="zh-CN"/>
              </w:rPr>
              <w:t>上，</w:t>
            </w:r>
            <w:r>
              <w:rPr>
                <w:rFonts w:hint="default" w:ascii="Times New Roman" w:hAnsi="Times New Roman" w:eastAsia="宋体" w:cs="Times New Roman"/>
                <w:strike w:val="0"/>
                <w:dstrike w:val="0"/>
                <w:color w:val="auto"/>
                <w:sz w:val="24"/>
                <w:szCs w:val="24"/>
                <w:highlight w:val="none"/>
                <w:lang w:val="en-US" w:eastAsia="zh-CN"/>
              </w:rPr>
              <w:t>需</w:t>
            </w:r>
            <w:r>
              <w:rPr>
                <w:rFonts w:hint="default" w:ascii="Times New Roman" w:hAnsi="Times New Roman" w:eastAsia="宋体" w:cs="Times New Roman"/>
                <w:strike w:val="0"/>
                <w:dstrike w:val="0"/>
                <w:color w:val="auto"/>
                <w:sz w:val="24"/>
                <w:szCs w:val="24"/>
                <w:highlight w:val="none"/>
                <w:lang w:eastAsia="zh-CN"/>
              </w:rPr>
              <w:t>用电加热；</w:t>
            </w:r>
            <w:r>
              <w:rPr>
                <w:rFonts w:hint="default" w:ascii="Times New Roman" w:hAnsi="Times New Roman" w:eastAsia="宋体" w:cs="Times New Roman"/>
                <w:strike w:val="0"/>
                <w:dstrike w:val="0"/>
                <w:color w:val="auto"/>
                <w:sz w:val="24"/>
                <w:szCs w:val="24"/>
                <w:highlight w:val="none"/>
                <w:lang w:val="en-US" w:eastAsia="zh-CN"/>
              </w:rPr>
              <w:t>由于吸塑片（</w:t>
            </w:r>
            <w:r>
              <w:rPr>
                <w:rFonts w:hint="default" w:ascii="Times New Roman" w:hAnsi="Times New Roman" w:eastAsia="宋体" w:cs="Times New Roman"/>
                <w:strike w:val="0"/>
                <w:dstrike w:val="0"/>
                <w:color w:val="auto"/>
                <w:sz w:val="24"/>
                <w:szCs w:val="24"/>
                <w:highlight w:val="none"/>
                <w:lang w:eastAsia="zh-CN"/>
              </w:rPr>
              <w:t>PVC热收缩膜</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eastAsia="zh-CN"/>
              </w:rPr>
              <w:t>约在250℃~300℃开始降解，在350℃以上才明显产生挥发性产物，项目温度控制在120℃左右，故吸塑过程不产生挥发性有机废气，</w:t>
            </w:r>
            <w:r>
              <w:rPr>
                <w:rFonts w:hint="default" w:ascii="Times New Roman" w:hAnsi="Times New Roman" w:eastAsia="宋体" w:cs="Times New Roman"/>
                <w:strike w:val="0"/>
                <w:dstrike w:val="0"/>
                <w:color w:val="auto"/>
                <w:sz w:val="24"/>
                <w:szCs w:val="24"/>
                <w:highlight w:val="none"/>
                <w:lang w:val="en-US" w:eastAsia="zh-CN"/>
              </w:rPr>
              <w:t>但会产生少量异味，</w:t>
            </w:r>
            <w:r>
              <w:rPr>
                <w:rFonts w:hint="default" w:ascii="Times New Roman" w:hAnsi="Times New Roman" w:eastAsia="宋体" w:cs="Times New Roman"/>
                <w:color w:val="auto"/>
                <w:sz w:val="24"/>
                <w:szCs w:val="24"/>
                <w:highlight w:val="none"/>
                <w:lang w:val="en-US" w:eastAsia="zh-CN"/>
              </w:rPr>
              <w:t>通过在车间内安装换气扇，加强车间通风换气，对外环境的影响较小。</w:t>
            </w:r>
          </w:p>
          <w:p w14:paraId="7A591BAD">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（3）吸塑片生产线废气</w:t>
            </w:r>
          </w:p>
          <w:p w14:paraId="3E878FB8">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①吸塑片投料</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破碎</w:t>
            </w:r>
            <w:r>
              <w:rPr>
                <w:rFonts w:hint="default" w:ascii="Times New Roman" w:hAnsi="Times New Roman" w:eastAsia="宋体" w:cs="Times New Roman"/>
                <w:b/>
                <w:bCs/>
                <w:color w:val="auto"/>
                <w:sz w:val="24"/>
                <w:szCs w:val="24"/>
                <w:highlight w:val="none"/>
              </w:rPr>
              <w:t>粉尘（G</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、G</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w:t>
            </w:r>
          </w:p>
          <w:p w14:paraId="53452142">
            <w:pPr>
              <w:pageBreakBefore w:val="0"/>
              <w:widowControl w:val="0"/>
              <w:wordWrap/>
              <w:topLinePunct w:val="0"/>
              <w:bidi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A.投料粉尘</w:t>
            </w:r>
          </w:p>
          <w:p w14:paraId="19AB003C">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项目吸塑片生产时投料工序会产生粉尘。根据《排放源统计调查产排污核算方法和系数手册-292 塑料制品行业系数手册》中塑料板、管、型材系数表，颗粒物产污系数为6.0kg/t-产品，项目年产吸塑片</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rPr>
              <w:t>吨，即产生的颗粒物为</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p>
          <w:p w14:paraId="65B214FE">
            <w:pPr>
              <w:pageBreakBefore w:val="0"/>
              <w:widowControl w:val="0"/>
              <w:wordWrap/>
              <w:topLinePunct w:val="0"/>
              <w:bidi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B.破碎粉尘</w:t>
            </w:r>
          </w:p>
          <w:p w14:paraId="12C4E252">
            <w:pPr>
              <w:pageBreakBefore w:val="0"/>
              <w:widowControl w:val="0"/>
              <w:wordWrap/>
              <w:topLinePunct w:val="0"/>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根据项目产品性质，项目</w:t>
            </w:r>
            <w:r>
              <w:rPr>
                <w:rFonts w:hint="default" w:ascii="Times New Roman" w:hAnsi="Times New Roman" w:eastAsia="宋体" w:cs="Times New Roman"/>
                <w:color w:val="auto"/>
                <w:sz w:val="24"/>
                <w:szCs w:val="24"/>
                <w:highlight w:val="none"/>
              </w:rPr>
              <w:t>吸塑片生产</w:t>
            </w:r>
            <w:r>
              <w:rPr>
                <w:rFonts w:hint="default" w:ascii="Times New Roman" w:hAnsi="Times New Roman" w:eastAsia="宋体" w:cs="Times New Roman"/>
                <w:color w:val="auto"/>
                <w:sz w:val="24"/>
                <w:szCs w:val="24"/>
                <w:highlight w:val="none"/>
                <w:lang w:val="en-US" w:eastAsia="zh-CN"/>
              </w:rPr>
              <w:t>过程中产生的不合格产品及边角料需经破碎后方可回生产工序。项目在生产车间内设置一台破碎机对不合格产品及边角料进行破碎，</w:t>
            </w:r>
            <w:r>
              <w:rPr>
                <w:rFonts w:hint="default" w:ascii="Times New Roman" w:hAnsi="Times New Roman" w:eastAsia="宋体" w:cs="Times New Roman"/>
                <w:color w:val="auto"/>
                <w:sz w:val="24"/>
                <w:highlight w:val="none"/>
                <w:lang w:val="en-US" w:eastAsia="zh-CN"/>
              </w:rPr>
              <w:t>根据建设单位提供资料，</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生产过程中产品不合格率约为5%，</w:t>
            </w:r>
            <w:r>
              <w:rPr>
                <w:rFonts w:hint="default" w:ascii="Times New Roman" w:hAnsi="Times New Roman" w:eastAsia="宋体" w:cs="Times New Roman"/>
                <w:color w:val="auto"/>
                <w:sz w:val="24"/>
                <w:szCs w:val="24"/>
                <w:highlight w:val="none"/>
              </w:rPr>
              <w:t>项目年产吸塑片</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rPr>
              <w:t>吨，</w:t>
            </w:r>
            <w:r>
              <w:rPr>
                <w:rFonts w:hint="default" w:ascii="Times New Roman" w:hAnsi="Times New Roman" w:eastAsia="宋体" w:cs="Times New Roman"/>
                <w:color w:val="auto"/>
                <w:sz w:val="24"/>
                <w:highlight w:val="none"/>
                <w:lang w:val="en-US" w:eastAsia="zh-CN"/>
              </w:rPr>
              <w:t>则不合格品及边角料产生量为200t/a。</w:t>
            </w:r>
          </w:p>
          <w:p w14:paraId="77599620">
            <w:pPr>
              <w:pageBreakBefore w:val="0"/>
              <w:widowControl w:val="0"/>
              <w:wordWrap/>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本项目不合格产品及边角料产生量按照粉尘量参照</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生态环境部公告2021年第24号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4220非金属废料和碎屑加工处理行业系数手册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中的废PE/PP再生塑料破碎系数计算，即破碎粉尘产生量为375g/t-原料，</w:t>
            </w:r>
            <w:r>
              <w:rPr>
                <w:rFonts w:hint="default" w:ascii="Times New Roman" w:hAnsi="Times New Roman" w:eastAsia="宋体" w:cs="Times New Roman"/>
                <w:color w:val="auto"/>
                <w:sz w:val="24"/>
                <w:highlight w:val="none"/>
                <w:lang w:val="en-US" w:eastAsia="zh-CN"/>
              </w:rPr>
              <w:t>则破碎粉尘产生量为0.075t/a。</w:t>
            </w:r>
          </w:p>
          <w:p w14:paraId="1C5FCDD4">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业主提供资料，</w:t>
            </w:r>
            <w:r>
              <w:rPr>
                <w:rFonts w:hint="default" w:ascii="Times New Roman" w:hAnsi="Times New Roman" w:eastAsia="宋体" w:cs="Times New Roman"/>
                <w:color w:val="auto"/>
                <w:sz w:val="24"/>
                <w:szCs w:val="24"/>
                <w:highlight w:val="none"/>
              </w:rPr>
              <w:t>在投料机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破碎机</w:t>
            </w:r>
            <w:r>
              <w:rPr>
                <w:rFonts w:hint="default" w:ascii="Times New Roman" w:hAnsi="Times New Roman" w:eastAsia="宋体" w:cs="Times New Roman"/>
                <w:color w:val="auto"/>
                <w:sz w:val="24"/>
                <w:szCs w:val="24"/>
                <w:highlight w:val="none"/>
              </w:rPr>
              <w:t>上方</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设置1个集气罩</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eastAsia="zh-CN"/>
              </w:rPr>
              <w:t>台面前端、两侧设可调式吸风口，形成环形负压区，</w:t>
            </w:r>
            <w:r>
              <w:rPr>
                <w:rFonts w:hint="default" w:ascii="Times New Roman" w:hAnsi="Times New Roman" w:eastAsia="宋体" w:cs="Times New Roman"/>
                <w:color w:val="auto"/>
                <w:sz w:val="24"/>
                <w:szCs w:val="24"/>
                <w:highlight w:val="none"/>
                <w:lang w:val="en-US" w:eastAsia="zh-CN"/>
              </w:rPr>
              <w:t>风量</w:t>
            </w:r>
            <w:r>
              <w:rPr>
                <w:rFonts w:hint="eastAsia" w:ascii="Times New Roman" w:hAnsi="Times New Roman" w:eastAsia="宋体" w:cs="Times New Roman"/>
                <w:color w:val="auto"/>
                <w:sz w:val="24"/>
                <w:szCs w:val="24"/>
                <w:highlight w:val="none"/>
                <w:lang w:val="en-US" w:eastAsia="zh-CN"/>
              </w:rPr>
              <w:t>不小于</w:t>
            </w:r>
            <w:r>
              <w:rPr>
                <w:rFonts w:hint="default" w:ascii="Times New Roman" w:hAnsi="Times New Roman" w:eastAsia="宋体" w:cs="Times New Roman"/>
                <w:color w:val="auto"/>
                <w:sz w:val="24"/>
                <w:szCs w:val="24"/>
                <w:lang w:eastAsia="zh-CN"/>
              </w:rPr>
              <w:t>2000m³/h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收集率</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该生产线</w:t>
            </w:r>
            <w:r>
              <w:rPr>
                <w:rFonts w:hint="default" w:ascii="Times New Roman" w:hAnsi="Times New Roman" w:eastAsia="宋体" w:cs="Times New Roman"/>
                <w:color w:val="auto"/>
                <w:sz w:val="24"/>
                <w:szCs w:val="24"/>
                <w:highlight w:val="none"/>
              </w:rPr>
              <w:t>共设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个集气罩，合计总风量为</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/h。配料粉尘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破碎粉尘</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pacing w:val="-1"/>
                <w:sz w:val="24"/>
                <w:szCs w:val="24"/>
                <w:highlight w:val="none"/>
              </w:rPr>
              <w:t>集气罩收</w:t>
            </w:r>
            <w:r>
              <w:rPr>
                <w:rFonts w:hint="default" w:ascii="Times New Roman" w:hAnsi="Times New Roman" w:eastAsia="宋体" w:cs="Times New Roman"/>
                <w:color w:val="auto"/>
                <w:spacing w:val="-2"/>
                <w:sz w:val="24"/>
                <w:szCs w:val="24"/>
                <w:highlight w:val="none"/>
              </w:rPr>
              <w:t>集后通过</w:t>
            </w:r>
            <w:r>
              <w:rPr>
                <w:rFonts w:hint="default" w:ascii="Times New Roman" w:hAnsi="Times New Roman" w:eastAsia="宋体" w:cs="Times New Roman"/>
                <w:color w:val="auto"/>
                <w:spacing w:val="-2"/>
                <w:sz w:val="24"/>
                <w:szCs w:val="24"/>
                <w:highlight w:val="none"/>
                <w:lang w:val="en-US" w:eastAsia="zh-CN"/>
              </w:rPr>
              <w:t>管道集中</w:t>
            </w:r>
            <w:r>
              <w:rPr>
                <w:rFonts w:hint="default" w:ascii="Times New Roman" w:hAnsi="Times New Roman" w:eastAsia="宋体" w:cs="Times New Roman"/>
                <w:color w:val="auto"/>
                <w:spacing w:val="-2"/>
                <w:sz w:val="24"/>
                <w:szCs w:val="24"/>
                <w:highlight w:val="none"/>
              </w:rPr>
              <w:t>进入布袋除尘器</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处置后经排气筒</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strike w:val="0"/>
                <w:dstrike w:val="0"/>
                <w:color w:val="auto"/>
                <w:sz w:val="24"/>
                <w:szCs w:val="24"/>
                <w:highlight w:val="none"/>
              </w:rPr>
              <w:t>DA00</w:t>
            </w:r>
            <w:r>
              <w:rPr>
                <w:rFonts w:hint="default" w:ascii="Times New Roman" w:hAnsi="Times New Roman" w:eastAsia="宋体" w:cs="Times New Roman"/>
                <w:strike w:val="0"/>
                <w:dstrike w:val="0"/>
                <w:color w:val="auto"/>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排放</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z w:val="24"/>
                <w:szCs w:val="24"/>
                <w:lang w:eastAsia="zh-CN"/>
              </w:rPr>
              <w:t>按上述收集效率核算</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则收集量为20.46</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布袋除尘对颗粒物的</w:t>
            </w:r>
            <w:r>
              <w:rPr>
                <w:rFonts w:hint="default" w:ascii="Times New Roman" w:hAnsi="Times New Roman" w:eastAsia="宋体" w:cs="Times New Roman"/>
                <w:color w:val="auto"/>
                <w:sz w:val="24"/>
                <w:szCs w:val="24"/>
                <w:highlight w:val="none"/>
              </w:rPr>
              <w:t>去除效率</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则有组织粉尘排放量为</w:t>
            </w:r>
            <w:r>
              <w:rPr>
                <w:rFonts w:hint="default" w:ascii="Times New Roman" w:hAnsi="Times New Roman" w:eastAsia="宋体" w:cs="Times New Roman"/>
                <w:color w:val="auto"/>
                <w:spacing w:val="-1"/>
                <w:sz w:val="24"/>
                <w:szCs w:val="24"/>
                <w:highlight w:val="none"/>
                <w:lang w:val="en-US" w:eastAsia="zh-CN"/>
              </w:rPr>
              <w:t>0.2</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z w:val="24"/>
                <w:szCs w:val="24"/>
                <w:highlight w:val="none"/>
              </w:rPr>
              <w:t>排放速率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pacing w:val="-1"/>
                <w:sz w:val="24"/>
                <w:szCs w:val="24"/>
                <w:highlight w:val="none"/>
                <w:lang w:val="en-US" w:eastAsia="zh-CN"/>
              </w:rPr>
              <w:t>0.03</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6.46</w:t>
            </w:r>
            <w:r>
              <w:rPr>
                <w:rFonts w:hint="default" w:ascii="Times New Roman" w:hAnsi="Times New Roman" w:eastAsia="宋体" w:cs="Times New Roman"/>
                <w:b w:val="0"/>
                <w:bCs w:val="0"/>
                <w:strike w:val="0"/>
                <w:dstrike w:val="0"/>
                <w:color w:val="auto"/>
                <w:sz w:val="24"/>
                <w:szCs w:val="24"/>
                <w:highlight w:val="none"/>
              </w:rPr>
              <w:t>mg</w:t>
            </w:r>
            <w:r>
              <w:rPr>
                <w:rFonts w:hint="default" w:ascii="Times New Roman" w:hAnsi="Times New Roman" w:eastAsia="宋体" w:cs="Times New Roman"/>
                <w:b w:val="0"/>
                <w:bCs w:val="0"/>
                <w:strike w:val="0"/>
                <w:dstrike w:val="0"/>
                <w:color w:val="auto"/>
                <w:spacing w:val="2"/>
                <w:sz w:val="24"/>
                <w:szCs w:val="24"/>
                <w:highlight w:val="none"/>
              </w:rPr>
              <w:t>/m</w:t>
            </w:r>
            <w:r>
              <w:rPr>
                <w:rFonts w:hint="default" w:ascii="Times New Roman" w:hAnsi="Times New Roman" w:eastAsia="宋体" w:cs="Times New Roman"/>
                <w:b w:val="0"/>
                <w:bCs w:val="0"/>
                <w:strike w:val="0"/>
                <w:dstrike w:val="0"/>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而</w:t>
            </w:r>
            <w:r>
              <w:rPr>
                <w:rFonts w:hint="default" w:ascii="Times New Roman" w:hAnsi="Times New Roman" w:eastAsia="宋体" w:cs="Times New Roman"/>
                <w:strike w:val="0"/>
                <w:dstrike w:val="0"/>
                <w:color w:val="auto"/>
                <w:spacing w:val="1"/>
                <w:sz w:val="24"/>
                <w:szCs w:val="24"/>
                <w:highlight w:val="none"/>
              </w:rPr>
              <w:t>未能收集的粉尘产生量为</w:t>
            </w:r>
            <w:r>
              <w:rPr>
                <w:rFonts w:hint="default" w:ascii="Times New Roman" w:hAnsi="Times New Roman" w:eastAsia="宋体" w:cs="Times New Roman"/>
                <w:strike w:val="0"/>
                <w:dstrike w:val="0"/>
                <w:color w:val="auto"/>
                <w:spacing w:val="1"/>
                <w:sz w:val="24"/>
                <w:szCs w:val="24"/>
                <w:highlight w:val="none"/>
                <w:lang w:val="en-US" w:eastAsia="zh-CN"/>
              </w:rPr>
              <w:t>3.61</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strike w:val="0"/>
                <w:dstrike w:val="0"/>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pacing w:val="-6"/>
                <w:sz w:val="24"/>
                <w:szCs w:val="24"/>
                <w:highlight w:val="none"/>
              </w:rPr>
              <w:t>车间内无组织排放，通过加强车间机械通风处理</w:t>
            </w:r>
            <w:r>
              <w:rPr>
                <w:rFonts w:hint="default" w:ascii="Times New Roman" w:hAnsi="Times New Roman" w:eastAsia="宋体" w:cs="Times New Roman"/>
                <w:color w:val="auto"/>
                <w:spacing w:val="-2"/>
                <w:sz w:val="24"/>
                <w:szCs w:val="24"/>
                <w:highlight w:val="none"/>
              </w:rPr>
              <w:t>。</w:t>
            </w:r>
          </w:p>
          <w:p w14:paraId="677958D6">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rPr>
              <w:t>吸塑片生产</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加热、挤出塑化、压延</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有机</w:t>
            </w:r>
            <w:r>
              <w:rPr>
                <w:rFonts w:hint="default" w:ascii="Times New Roman" w:hAnsi="Times New Roman" w:eastAsia="宋体" w:cs="Times New Roman"/>
                <w:b/>
                <w:bCs/>
                <w:color w:val="auto"/>
                <w:sz w:val="24"/>
                <w:szCs w:val="24"/>
                <w:highlight w:val="none"/>
              </w:rPr>
              <w:t>废气（G</w:t>
            </w: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、G</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、G</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w:t>
            </w:r>
          </w:p>
          <w:p w14:paraId="766C1B36">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本项目吸塑片生产的原料在加热、挤出塑化、压延过程中加热温度</w:t>
            </w:r>
            <w:r>
              <w:rPr>
                <w:rFonts w:hint="default" w:ascii="Times New Roman" w:hAnsi="Times New Roman" w:eastAsia="宋体" w:cs="Times New Roman"/>
                <w:color w:val="auto"/>
                <w:sz w:val="24"/>
                <w:szCs w:val="24"/>
                <w:highlight w:val="none"/>
                <w:lang w:val="en-US" w:eastAsia="zh-CN"/>
              </w:rPr>
              <w:t>控制在</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185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根据主要原料的理化性质，加热温度低于原材料的</w:t>
            </w:r>
            <w:r>
              <w:rPr>
                <w:rFonts w:hint="default" w:ascii="Times New Roman" w:hAnsi="Times New Roman" w:eastAsia="宋体" w:cs="Times New Roman"/>
                <w:color w:val="auto"/>
                <w:sz w:val="24"/>
                <w:szCs w:val="24"/>
                <w:highlight w:val="none"/>
                <w:lang w:val="en-US" w:eastAsia="zh-CN"/>
              </w:rPr>
              <w:t>分解</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PVC</w:t>
            </w:r>
            <w:r>
              <w:rPr>
                <w:rFonts w:hint="default" w:ascii="Times New Roman" w:hAnsi="Times New Roman" w:eastAsia="宋体" w:cs="Times New Roman"/>
                <w:color w:val="auto"/>
                <w:sz w:val="24"/>
                <w:szCs w:val="24"/>
                <w:highlight w:val="none"/>
                <w:lang w:val="en-US" w:eastAsia="zh-CN"/>
              </w:rPr>
              <w:t>分解温度</w:t>
            </w:r>
            <w:r>
              <w:rPr>
                <w:rFonts w:hint="default" w:ascii="Times New Roman" w:hAnsi="Times New Roman" w:eastAsia="宋体" w:cs="Times New Roman"/>
                <w:color w:val="auto"/>
                <w:sz w:val="24"/>
                <w:szCs w:val="24"/>
                <w:vertAlign w:val="baseline"/>
                <w:lang w:val="en-US" w:eastAsia="zh-CN"/>
              </w:rPr>
              <w:t>＞200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，但</w:t>
            </w:r>
            <w:r>
              <w:rPr>
                <w:rFonts w:hint="default" w:ascii="Times New Roman" w:hAnsi="Times New Roman" w:eastAsia="宋体" w:cs="Times New Roman"/>
                <w:color w:val="auto"/>
                <w:sz w:val="24"/>
                <w:szCs w:val="24"/>
                <w:highlight w:val="none"/>
                <w:lang w:val="en-US" w:eastAsia="zh-CN"/>
              </w:rPr>
              <w:t>会</w:t>
            </w:r>
            <w:r>
              <w:rPr>
                <w:rFonts w:hint="default" w:ascii="Times New Roman" w:hAnsi="Times New Roman" w:eastAsia="宋体" w:cs="Times New Roman"/>
                <w:color w:val="auto"/>
                <w:sz w:val="24"/>
                <w:szCs w:val="24"/>
                <w:highlight w:val="none"/>
              </w:rPr>
              <w:t>产生</w:t>
            </w:r>
            <w:r>
              <w:rPr>
                <w:rFonts w:hint="default" w:ascii="Times New Roman" w:hAnsi="Times New Roman" w:eastAsia="宋体" w:cs="Times New Roman"/>
                <w:color w:val="auto"/>
                <w:sz w:val="24"/>
                <w:szCs w:val="24"/>
                <w:highlight w:val="none"/>
                <w:lang w:val="en-US" w:eastAsia="zh-CN"/>
              </w:rPr>
              <w:t>少量</w:t>
            </w:r>
            <w:r>
              <w:rPr>
                <w:rFonts w:hint="default" w:ascii="Times New Roman" w:hAnsi="Times New Roman" w:eastAsia="宋体" w:cs="Times New Roman"/>
                <w:color w:val="auto"/>
                <w:sz w:val="24"/>
                <w:szCs w:val="24"/>
                <w:highlight w:val="none"/>
                <w:lang w:eastAsia="zh-CN"/>
              </w:rPr>
              <w:t>HCl</w:t>
            </w:r>
            <w:r>
              <w:rPr>
                <w:rFonts w:hint="default" w:ascii="Times New Roman" w:hAnsi="Times New Roman" w:eastAsia="宋体" w:cs="Times New Roman"/>
                <w:color w:val="auto"/>
                <w:sz w:val="24"/>
                <w:szCs w:val="24"/>
                <w:highlight w:val="none"/>
              </w:rPr>
              <w:t>，同时因聚氯乙烯及其辅料的熔融而挥发出一定量的有机气体，挥发出来的物质为小分子有机物，按非甲烷总烃计。</w:t>
            </w:r>
          </w:p>
          <w:p w14:paraId="03747463">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根据《排放源统计调查产排污核算方法和系数手册-292塑料制品行业系数手册》中塑料板、管、型材系数表，非甲烷总烃产污系数为1.5kg/t-产品，本项目年产吸塑片</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00吨，即产生的非甲烷总烃为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p>
          <w:p w14:paraId="664EAE8F">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业主提供资料，</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挤出机、水平辊筒压延</w:t>
            </w:r>
            <w:r>
              <w:rPr>
                <w:rFonts w:hint="default" w:ascii="Times New Roman" w:hAnsi="Times New Roman" w:eastAsia="宋体" w:cs="Times New Roman"/>
                <w:color w:val="auto"/>
                <w:sz w:val="24"/>
                <w:szCs w:val="24"/>
                <w:highlight w:val="none"/>
              </w:rPr>
              <w:t>上方</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设置1个集气罩</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eastAsia="zh-CN"/>
              </w:rPr>
              <w:t>台面前端、两侧设可调式吸风口，形成环形负压区，</w:t>
            </w:r>
            <w:r>
              <w:rPr>
                <w:rFonts w:hint="default" w:ascii="Times New Roman" w:hAnsi="Times New Roman" w:eastAsia="宋体" w:cs="Times New Roman"/>
                <w:color w:val="auto"/>
                <w:sz w:val="24"/>
                <w:szCs w:val="24"/>
                <w:highlight w:val="none"/>
                <w:lang w:val="en-US" w:eastAsia="zh-CN"/>
              </w:rPr>
              <w:t>风量</w:t>
            </w:r>
            <w:r>
              <w:rPr>
                <w:rFonts w:hint="eastAsia" w:ascii="Times New Roman" w:hAnsi="Times New Roman" w:eastAsia="宋体" w:cs="Times New Roman"/>
                <w:color w:val="auto"/>
                <w:sz w:val="24"/>
                <w:szCs w:val="24"/>
                <w:highlight w:val="none"/>
                <w:lang w:val="en-US" w:eastAsia="zh-CN"/>
              </w:rPr>
              <w:t>不小于</w:t>
            </w:r>
            <w:r>
              <w:rPr>
                <w:rFonts w:hint="default" w:ascii="Times New Roman" w:hAnsi="Times New Roman" w:eastAsia="宋体" w:cs="Times New Roman"/>
                <w:color w:val="auto"/>
                <w:sz w:val="24"/>
                <w:szCs w:val="24"/>
                <w:lang w:eastAsia="zh-CN"/>
              </w:rPr>
              <w:t>2000m³/h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收集率</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该生产线</w:t>
            </w:r>
            <w:r>
              <w:rPr>
                <w:rFonts w:hint="default" w:ascii="Times New Roman" w:hAnsi="Times New Roman" w:eastAsia="宋体" w:cs="Times New Roman"/>
                <w:color w:val="auto"/>
                <w:sz w:val="24"/>
                <w:szCs w:val="24"/>
                <w:highlight w:val="none"/>
              </w:rPr>
              <w:t>单台</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rPr>
              <w:t>集气罩风量</w:t>
            </w:r>
            <w:r>
              <w:rPr>
                <w:rFonts w:hint="default"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共设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个集气罩，合计总风量为</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7B4F7BB6">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氯化氢产污系数参考《气相色谱-质谱法分析聚氯乙烯加热分解产物》，对热解气体进行分析，表明在90~150°C温度区间内分解出的氯化氢浓度范围为0.95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9.48mg/m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，按最不利情况进行氯化氢的源强计算，取氯化氢产生浓度为9.48mg/m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，再根据实验样品重量得出氯化氢的产污系数为94.8mg/t-PVC，则氯化氢产生量0.000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8t/a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pacing w:val="1"/>
                <w:sz w:val="24"/>
                <w:szCs w:val="24"/>
                <w:highlight w:val="none"/>
                <w:lang w:val="en-US" w:eastAsia="zh-CN"/>
              </w:rPr>
              <w:t>则收集量为</w:t>
            </w:r>
            <w:r>
              <w:rPr>
                <w:rFonts w:hint="default" w:ascii="Times New Roman" w:hAnsi="Times New Roman" w:eastAsia="宋体" w:cs="Times New Roman"/>
                <w:color w:val="auto"/>
                <w:sz w:val="24"/>
                <w:szCs w:val="24"/>
                <w:highlight w:val="none"/>
              </w:rPr>
              <w:t>0.000</w:t>
            </w:r>
            <w:r>
              <w:rPr>
                <w:rFonts w:hint="default"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rPr>
              <w:t>活性炭处理设施</w:t>
            </w:r>
            <w:r>
              <w:rPr>
                <w:rFonts w:hint="default" w:ascii="Times New Roman" w:hAnsi="Times New Roman" w:eastAsia="宋体" w:cs="Times New Roman"/>
                <w:color w:val="auto"/>
                <w:sz w:val="24"/>
                <w:szCs w:val="24"/>
                <w:highlight w:val="none"/>
                <w:lang w:val="en-US" w:eastAsia="zh-CN"/>
              </w:rPr>
              <w:t>对</w:t>
            </w:r>
            <w:r>
              <w:rPr>
                <w:rFonts w:hint="default" w:ascii="Times New Roman" w:hAnsi="Times New Roman" w:eastAsia="宋体" w:cs="Times New Roman"/>
                <w:color w:val="auto"/>
                <w:sz w:val="24"/>
                <w:szCs w:val="24"/>
                <w:highlight w:val="none"/>
              </w:rPr>
              <w:t>氯化氢</w:t>
            </w:r>
            <w:r>
              <w:rPr>
                <w:rFonts w:hint="default" w:ascii="Times New Roman" w:hAnsi="Times New Roman" w:eastAsia="宋体"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处理效率，</w:t>
            </w:r>
            <w:r>
              <w:rPr>
                <w:rFonts w:hint="default" w:ascii="Times New Roman" w:hAnsi="Times New Roman" w:eastAsia="宋体" w:cs="Times New Roman"/>
                <w:color w:val="auto"/>
                <w:sz w:val="24"/>
                <w:szCs w:val="24"/>
                <w:highlight w:val="none"/>
                <w:lang w:val="en-US" w:eastAsia="zh-CN"/>
              </w:rPr>
              <w:t>则有组织</w:t>
            </w:r>
            <w:r>
              <w:rPr>
                <w:rFonts w:hint="default" w:ascii="Times New Roman" w:hAnsi="Times New Roman" w:eastAsia="宋体" w:cs="Times New Roman"/>
                <w:color w:val="auto"/>
                <w:sz w:val="24"/>
                <w:szCs w:val="24"/>
                <w:highlight w:val="none"/>
              </w:rPr>
              <w:t>氯化氢</w:t>
            </w:r>
            <w:r>
              <w:rPr>
                <w:rFonts w:hint="default" w:ascii="Times New Roman" w:hAnsi="Times New Roman" w:eastAsia="宋体" w:cs="Times New Roman"/>
                <w:color w:val="auto"/>
                <w:sz w:val="24"/>
                <w:szCs w:val="24"/>
                <w:highlight w:val="none"/>
                <w:lang w:val="en-US" w:eastAsia="zh-CN"/>
              </w:rPr>
              <w:t>排放量为</w:t>
            </w:r>
            <w:r>
              <w:rPr>
                <w:rFonts w:hint="default" w:ascii="Times New Roman" w:hAnsi="Times New Roman" w:eastAsia="宋体" w:cs="Times New Roman"/>
                <w:color w:val="auto"/>
                <w:sz w:val="24"/>
                <w:szCs w:val="24"/>
                <w:highlight w:val="none"/>
              </w:rPr>
              <w:t>0.000</w:t>
            </w:r>
            <w:r>
              <w:rPr>
                <w:rFonts w:hint="default"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z w:val="24"/>
                <w:szCs w:val="24"/>
                <w:highlight w:val="none"/>
              </w:rPr>
              <w:t>排放速率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pacing w:val="-1"/>
                <w:sz w:val="24"/>
                <w:szCs w:val="24"/>
                <w:highlight w:val="none"/>
                <w:lang w:val="en-US" w:eastAsia="zh-CN"/>
              </w:rPr>
              <w:t>0.0004</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为0.001</w:t>
            </w:r>
            <w:r>
              <w:rPr>
                <w:rFonts w:hint="default" w:ascii="Times New Roman" w:hAnsi="Times New Roman" w:eastAsia="宋体" w:cs="Times New Roman"/>
                <w:b w:val="0"/>
                <w:bCs w:val="0"/>
                <w:strike w:val="0"/>
                <w:dstrike w:val="0"/>
                <w:color w:val="auto"/>
                <w:sz w:val="24"/>
                <w:szCs w:val="24"/>
                <w:highlight w:val="none"/>
              </w:rPr>
              <w:t>mg</w:t>
            </w:r>
            <w:r>
              <w:rPr>
                <w:rFonts w:hint="default" w:ascii="Times New Roman" w:hAnsi="Times New Roman" w:eastAsia="宋体" w:cs="Times New Roman"/>
                <w:b w:val="0"/>
                <w:bCs w:val="0"/>
                <w:strike w:val="0"/>
                <w:dstrike w:val="0"/>
                <w:color w:val="auto"/>
                <w:spacing w:val="2"/>
                <w:sz w:val="24"/>
                <w:szCs w:val="24"/>
                <w:highlight w:val="none"/>
              </w:rPr>
              <w:t>/m</w:t>
            </w:r>
            <w:r>
              <w:rPr>
                <w:rFonts w:hint="default" w:ascii="Times New Roman" w:hAnsi="Times New Roman" w:eastAsia="宋体" w:cs="Times New Roman"/>
                <w:b w:val="0"/>
                <w:bCs w:val="0"/>
                <w:strike w:val="0"/>
                <w:dstrike w:val="0"/>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则未收集无组织氯化氢排放量为0.</w:t>
            </w:r>
            <w:r>
              <w:rPr>
                <w:rFonts w:hint="default" w:ascii="Times New Roman" w:hAnsi="Times New Roman" w:eastAsia="宋体" w:cs="Times New Roman"/>
                <w:color w:val="auto"/>
                <w:sz w:val="24"/>
                <w:szCs w:val="24"/>
                <w:highlight w:val="none"/>
                <w:lang w:val="en-US" w:eastAsia="zh-CN"/>
              </w:rPr>
              <w:t>00006</w:t>
            </w:r>
            <w:r>
              <w:rPr>
                <w:rFonts w:hint="default" w:ascii="Times New Roman" w:hAnsi="Times New Roman" w:eastAsia="宋体" w:cs="Times New Roman"/>
                <w:color w:val="auto"/>
                <w:sz w:val="24"/>
                <w:szCs w:val="24"/>
                <w:highlight w:val="none"/>
              </w:rPr>
              <w:t>t/a，排放速率为0.</w:t>
            </w:r>
            <w:r>
              <w:rPr>
                <w:rFonts w:hint="default" w:ascii="Times New Roman" w:hAnsi="Times New Roman" w:eastAsia="宋体" w:cs="Times New Roman"/>
                <w:color w:val="auto"/>
                <w:sz w:val="24"/>
                <w:szCs w:val="24"/>
                <w:highlight w:val="none"/>
                <w:lang w:val="en-US" w:eastAsia="zh-CN"/>
              </w:rPr>
              <w:t>0001</w:t>
            </w:r>
            <w:r>
              <w:rPr>
                <w:rFonts w:hint="default" w:ascii="Times New Roman" w:hAnsi="Times New Roman" w:eastAsia="宋体" w:cs="Times New Roman"/>
                <w:color w:val="auto"/>
                <w:sz w:val="24"/>
                <w:szCs w:val="24"/>
                <w:highlight w:val="none"/>
              </w:rPr>
              <w:t>kg/h。</w:t>
            </w:r>
          </w:p>
          <w:p w14:paraId="4B11551F">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吸塑片产生的非甲烷总烃经集气罩收集后由三级活性炭吸附装置处理，经15m排气筒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DA003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lang w:eastAsia="zh-CN"/>
              </w:rPr>
              <w:t>按上述收集效率核算</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则收集量为5.10</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rPr>
              <w:t>活性炭处理设施处理效率</w:t>
            </w:r>
            <w:r>
              <w:rPr>
                <w:rFonts w:hint="default" w:ascii="Times New Roman" w:hAnsi="Times New Roman" w:eastAsia="宋体" w:cs="Times New Roman"/>
                <w:color w:val="auto"/>
                <w:sz w:val="24"/>
                <w:szCs w:val="24"/>
                <w:highlight w:val="none"/>
                <w:lang w:val="en-US" w:eastAsia="zh-CN"/>
              </w:rPr>
              <w:t>取</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则有组织</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val="en-US" w:eastAsia="zh-CN"/>
              </w:rPr>
              <w:t>排放量为</w:t>
            </w:r>
            <w:r>
              <w:rPr>
                <w:rFonts w:hint="default" w:ascii="Times New Roman" w:hAnsi="Times New Roman" w:eastAsia="宋体" w:cs="Times New Roman"/>
                <w:color w:val="auto"/>
                <w:spacing w:val="-1"/>
                <w:sz w:val="24"/>
                <w:szCs w:val="24"/>
                <w:highlight w:val="none"/>
                <w:lang w:val="en-US" w:eastAsia="zh-CN"/>
              </w:rPr>
              <w:t>2.</w:t>
            </w:r>
            <w:r>
              <w:rPr>
                <w:rFonts w:hint="eastAsia" w:cs="Times New Roman"/>
                <w:color w:val="auto"/>
                <w:spacing w:val="-1"/>
                <w:sz w:val="24"/>
                <w:szCs w:val="24"/>
                <w:highlight w:val="none"/>
                <w:lang w:val="en-US" w:eastAsia="zh-CN"/>
              </w:rPr>
              <w:t>55</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z w:val="24"/>
                <w:szCs w:val="24"/>
                <w:highlight w:val="none"/>
              </w:rPr>
              <w:t>排放速率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pacing w:val="-1"/>
                <w:sz w:val="24"/>
                <w:szCs w:val="24"/>
                <w:highlight w:val="none"/>
                <w:lang w:val="en-US" w:eastAsia="zh-CN"/>
              </w:rPr>
              <w:t>0.</w:t>
            </w:r>
            <w:r>
              <w:rPr>
                <w:rFonts w:hint="eastAsia" w:cs="Times New Roman"/>
                <w:color w:val="auto"/>
                <w:spacing w:val="-1"/>
                <w:sz w:val="24"/>
                <w:szCs w:val="24"/>
                <w:highlight w:val="none"/>
                <w:lang w:val="en-US" w:eastAsia="zh-CN"/>
              </w:rPr>
              <w:t>32</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80.49</w:t>
            </w:r>
            <w:r>
              <w:rPr>
                <w:rFonts w:hint="default" w:ascii="Times New Roman" w:hAnsi="Times New Roman" w:eastAsia="宋体" w:cs="Times New Roman"/>
                <w:b w:val="0"/>
                <w:bCs w:val="0"/>
                <w:strike w:val="0"/>
                <w:dstrike w:val="0"/>
                <w:color w:val="auto"/>
                <w:sz w:val="24"/>
                <w:szCs w:val="24"/>
                <w:highlight w:val="none"/>
              </w:rPr>
              <w:t>mg</w:t>
            </w:r>
            <w:r>
              <w:rPr>
                <w:rFonts w:hint="default" w:ascii="Times New Roman" w:hAnsi="Times New Roman" w:eastAsia="宋体" w:cs="Times New Roman"/>
                <w:b w:val="0"/>
                <w:bCs w:val="0"/>
                <w:strike w:val="0"/>
                <w:dstrike w:val="0"/>
                <w:color w:val="auto"/>
                <w:spacing w:val="2"/>
                <w:sz w:val="24"/>
                <w:szCs w:val="24"/>
                <w:highlight w:val="none"/>
              </w:rPr>
              <w:t>/m</w:t>
            </w:r>
            <w:r>
              <w:rPr>
                <w:rFonts w:hint="default" w:ascii="Times New Roman" w:hAnsi="Times New Roman" w:eastAsia="宋体" w:cs="Times New Roman"/>
                <w:b w:val="0"/>
                <w:bCs w:val="0"/>
                <w:strike w:val="0"/>
                <w:dstrike w:val="0"/>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则未收集无组织非甲烷总烃排放量为0.</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t/a，排放速率为0.</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kg/h。</w:t>
            </w:r>
          </w:p>
          <w:p w14:paraId="29F83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③异味</w:t>
            </w:r>
          </w:p>
          <w:p w14:paraId="6C3A96BD">
            <w:pPr>
              <w:keepNext w:val="0"/>
              <w:keepLines w:val="0"/>
              <w:pageBreakBefore w:val="0"/>
              <w:widowControl w:val="0"/>
              <w:tabs>
                <w:tab w:val="right" w:leader="middleDot" w:pos="945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本项目吸塑片生产属塑料制品制造，</w:t>
            </w:r>
            <w:r>
              <w:rPr>
                <w:rFonts w:hint="default" w:ascii="Times New Roman" w:hAnsi="Times New Roman" w:eastAsia="宋体" w:cs="Times New Roman"/>
                <w:b w:val="0"/>
                <w:bCs w:val="0"/>
                <w:color w:val="auto"/>
                <w:sz w:val="24"/>
                <w:szCs w:val="24"/>
                <w:highlight w:val="none"/>
                <w:lang w:val="en-US" w:eastAsia="zh-CN"/>
              </w:rPr>
              <w:t>在物料熔融状态下</w:t>
            </w:r>
            <w:r>
              <w:rPr>
                <w:rFonts w:hint="default" w:ascii="Times New Roman" w:hAnsi="Times New Roman" w:eastAsia="宋体" w:cs="Times New Roman"/>
                <w:b w:val="0"/>
                <w:bCs w:val="0"/>
                <w:color w:val="auto"/>
                <w:sz w:val="24"/>
                <w:szCs w:val="24"/>
                <w:highlight w:val="none"/>
              </w:rPr>
              <w:t>产生的有机废气中伴生异味气体</w:t>
            </w:r>
            <w:r>
              <w:rPr>
                <w:rFonts w:hint="default" w:ascii="Times New Roman" w:hAnsi="Times New Roman" w:eastAsia="宋体" w:cs="Times New Roman"/>
                <w:color w:val="auto"/>
                <w:sz w:val="24"/>
                <w:szCs w:val="24"/>
                <w:highlight w:val="none"/>
                <w:lang w:val="en-US" w:eastAsia="zh-CN"/>
              </w:rPr>
              <w:t>，以臭气浓度表征，产生量较小</w:t>
            </w:r>
            <w:r>
              <w:rPr>
                <w:rFonts w:hint="default" w:ascii="Times New Roman" w:hAnsi="Times New Roman" w:eastAsia="宋体" w:cs="Times New Roman"/>
                <w:b w:val="0"/>
                <w:bCs w:val="0"/>
                <w:color w:val="auto"/>
                <w:sz w:val="24"/>
                <w:szCs w:val="24"/>
                <w:highlight w:val="none"/>
              </w:rPr>
              <w:t>，塑料异味随</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上方设置的集气罩收集后通过负压风管进入</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bidi="zh-CN"/>
              </w:rPr>
              <w:t>三级</w:t>
            </w:r>
            <w:r>
              <w:rPr>
                <w:rFonts w:hint="default" w:ascii="Times New Roman" w:hAnsi="Times New Roman" w:eastAsia="宋体" w:cs="Times New Roman"/>
                <w:b w:val="0"/>
                <w:bCs w:val="0"/>
                <w:color w:val="auto"/>
                <w:sz w:val="24"/>
                <w:szCs w:val="24"/>
                <w:highlight w:val="none"/>
                <w:lang w:val="zh-CN" w:bidi="zh-CN"/>
              </w:rPr>
              <w:t>活性炭吸附装置</w:t>
            </w:r>
            <w:r>
              <w:rPr>
                <w:rFonts w:hint="default" w:ascii="Times New Roman" w:hAnsi="Times New Roman" w:eastAsia="宋体" w:cs="Times New Roman"/>
                <w:b w:val="0"/>
                <w:bCs w:val="0"/>
                <w:color w:val="auto"/>
                <w:sz w:val="24"/>
                <w:szCs w:val="24"/>
                <w:highlight w:val="none"/>
                <w:lang w:val="zh-CN" w:eastAsia="zh-CN" w:bidi="zh-CN"/>
              </w:rPr>
              <w:t>”</w:t>
            </w:r>
            <w:r>
              <w:rPr>
                <w:rFonts w:hint="default" w:ascii="Times New Roman" w:hAnsi="Times New Roman" w:eastAsia="宋体" w:cs="Times New Roman"/>
                <w:b w:val="0"/>
                <w:bCs w:val="0"/>
                <w:color w:val="auto"/>
                <w:sz w:val="24"/>
                <w:szCs w:val="24"/>
                <w:highlight w:val="none"/>
              </w:rPr>
              <w:t>处理后由</w:t>
            </w:r>
            <w:r>
              <w:rPr>
                <w:rFonts w:hint="default" w:ascii="Times New Roman" w:hAnsi="Times New Roman" w:eastAsia="宋体" w:cs="Times New Roman"/>
                <w:b w:val="0"/>
                <w:bCs w:val="0"/>
                <w:color w:val="auto"/>
                <w:sz w:val="24"/>
                <w:szCs w:val="24"/>
                <w:highlight w:val="none"/>
                <w:lang w:val="en-US" w:eastAsia="zh-CN"/>
              </w:rPr>
              <w:t>车间</w:t>
            </w:r>
            <w:r>
              <w:rPr>
                <w:rFonts w:hint="default" w:ascii="Times New Roman" w:hAnsi="Times New Roman" w:eastAsia="宋体" w:cs="Times New Roman"/>
                <w:b w:val="0"/>
                <w:bCs w:val="0"/>
                <w:color w:val="auto"/>
                <w:sz w:val="24"/>
                <w:szCs w:val="24"/>
                <w:highlight w:val="none"/>
              </w:rPr>
              <w:t>排气筒</w:t>
            </w:r>
            <w:r>
              <w:rPr>
                <w:rFonts w:hint="eastAsia" w:cs="Times New Roman"/>
                <w:b w:val="0"/>
                <w:bCs w:val="0"/>
                <w:color w:val="auto"/>
                <w:sz w:val="24"/>
                <w:szCs w:val="24"/>
                <w:highlight w:val="none"/>
                <w:lang w:val="en-US" w:eastAsia="zh-CN"/>
              </w:rPr>
              <w:t>达标</w:t>
            </w:r>
            <w:r>
              <w:rPr>
                <w:rFonts w:hint="default" w:ascii="Times New Roman" w:hAnsi="Times New Roman" w:eastAsia="宋体" w:cs="Times New Roman"/>
                <w:b w:val="0"/>
                <w:bCs w:val="0"/>
                <w:color w:val="auto"/>
                <w:sz w:val="24"/>
                <w:szCs w:val="24"/>
                <w:highlight w:val="none"/>
              </w:rPr>
              <w:t>排放，</w:t>
            </w:r>
            <w:r>
              <w:rPr>
                <w:rFonts w:hint="eastAsia" w:ascii="Times New Roman" w:hAnsi="Times New Roman" w:eastAsia="宋体" w:cs="Times New Roman"/>
                <w:color w:val="auto"/>
                <w:sz w:val="24"/>
                <w:szCs w:val="24"/>
                <w:highlight w:val="none"/>
                <w:lang w:val="en-US" w:eastAsia="zh-CN"/>
              </w:rPr>
              <w:t>故臭气浓度排放能达到《恶臭污染物排放标准》（GB14554-93）中标准限值，即臭气浓度≤2000（无量纲）；其余</w:t>
            </w:r>
            <w:r>
              <w:rPr>
                <w:rFonts w:hint="default" w:ascii="Times New Roman" w:hAnsi="Times New Roman" w:eastAsia="宋体" w:cs="Times New Roman"/>
                <w:b w:val="0"/>
                <w:bCs w:val="0"/>
                <w:color w:val="auto"/>
                <w:sz w:val="24"/>
                <w:szCs w:val="24"/>
                <w:highlight w:val="none"/>
              </w:rPr>
              <w:t>少量</w:t>
            </w:r>
            <w:r>
              <w:rPr>
                <w:rFonts w:hint="default" w:ascii="Times New Roman" w:hAnsi="Times New Roman" w:eastAsia="宋体" w:cs="Times New Roman"/>
                <w:b w:val="0"/>
                <w:bCs w:val="0"/>
                <w:color w:val="auto"/>
                <w:spacing w:val="4"/>
                <w:sz w:val="24"/>
                <w:szCs w:val="24"/>
                <w:highlight w:val="none"/>
              </w:rPr>
              <w:t>呈无组织形式排放在生产车间内</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z w:val="24"/>
                <w:szCs w:val="24"/>
                <w:highlight w:val="none"/>
                <w:lang w:val="en-US" w:eastAsia="zh-CN"/>
              </w:rPr>
              <w:t>建设单位通过在车间内安装换气扇，加强车间通风换气；并加强内部管理，做好设备定期的保养与维护，经采取措施后对外环境的影响较小。</w:t>
            </w:r>
            <w:r>
              <w:rPr>
                <w:rFonts w:hint="eastAsia" w:cs="Times New Roman"/>
                <w:color w:val="auto"/>
                <w:sz w:val="24"/>
                <w:szCs w:val="24"/>
                <w:highlight w:val="none"/>
                <w:lang w:val="en-US" w:eastAsia="zh-CN"/>
              </w:rPr>
              <w:t>具体排放情况见下表。</w:t>
            </w:r>
          </w:p>
          <w:p w14:paraId="3A4E8651">
            <w:pPr>
              <w:keepNext w:val="0"/>
              <w:keepLines w:val="0"/>
              <w:pageBreakBefore w:val="0"/>
              <w:widowControl/>
              <w:suppressLineNumbers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trike w:val="0"/>
                <w:dstrike w:val="0"/>
                <w:color w:val="auto"/>
                <w:spacing w:val="5"/>
                <w:sz w:val="21"/>
                <w:szCs w:val="21"/>
                <w:highlight w:val="none"/>
                <w:lang w:val="en-US" w:eastAsia="zh-CN"/>
              </w:rPr>
            </w:pPr>
            <w:r>
              <w:rPr>
                <w:rFonts w:hint="default" w:ascii="Times New Roman" w:hAnsi="Times New Roman" w:eastAsia="宋体" w:cs="Times New Roman"/>
                <w:b/>
                <w:bCs/>
                <w:strike w:val="0"/>
                <w:dstrike w:val="0"/>
                <w:color w:val="auto"/>
                <w:spacing w:val="5"/>
                <w:sz w:val="21"/>
                <w:szCs w:val="21"/>
                <w:highlight w:val="none"/>
              </w:rPr>
              <w:t>表4-</w:t>
            </w:r>
            <w:r>
              <w:rPr>
                <w:rFonts w:hint="default" w:ascii="Times New Roman" w:hAnsi="Times New Roman" w:eastAsia="宋体" w:cs="Times New Roman"/>
                <w:b/>
                <w:bCs/>
                <w:strike w:val="0"/>
                <w:dstrike w:val="0"/>
                <w:color w:val="auto"/>
                <w:spacing w:val="5"/>
                <w:sz w:val="21"/>
                <w:szCs w:val="21"/>
                <w:highlight w:val="none"/>
                <w:lang w:val="en-US" w:eastAsia="zh-CN"/>
              </w:rPr>
              <w:t>2</w:t>
            </w:r>
            <w:r>
              <w:rPr>
                <w:rFonts w:hint="default" w:ascii="Times New Roman" w:hAnsi="Times New Roman" w:eastAsia="宋体" w:cs="Times New Roman"/>
                <w:b/>
                <w:bCs/>
                <w:strike w:val="0"/>
                <w:dstrike w:val="0"/>
                <w:color w:val="auto"/>
                <w:spacing w:val="5"/>
                <w:sz w:val="21"/>
                <w:szCs w:val="21"/>
                <w:highlight w:val="none"/>
              </w:rPr>
              <w:t xml:space="preserve">  </w:t>
            </w:r>
            <w:r>
              <w:rPr>
                <w:rFonts w:hint="default" w:ascii="Times New Roman" w:hAnsi="Times New Roman" w:eastAsia="宋体" w:cs="Times New Roman"/>
                <w:b/>
                <w:bCs/>
                <w:color w:val="auto"/>
                <w:spacing w:val="-4"/>
                <w:sz w:val="21"/>
                <w:szCs w:val="21"/>
                <w:highlight w:val="none"/>
                <w:lang w:val="en-US" w:eastAsia="zh-CN"/>
              </w:rPr>
              <w:t>吸塑片</w:t>
            </w:r>
            <w:r>
              <w:rPr>
                <w:rFonts w:hint="default" w:ascii="Times New Roman" w:hAnsi="Times New Roman" w:eastAsia="宋体" w:cs="Times New Roman"/>
                <w:b/>
                <w:bCs/>
                <w:color w:val="auto"/>
                <w:spacing w:val="-4"/>
                <w:sz w:val="21"/>
                <w:szCs w:val="21"/>
                <w:highlight w:val="none"/>
              </w:rPr>
              <w:t>生产线</w:t>
            </w:r>
            <w:r>
              <w:rPr>
                <w:rFonts w:hint="default" w:ascii="Times New Roman" w:hAnsi="Times New Roman" w:eastAsia="宋体" w:cs="Times New Roman"/>
                <w:b/>
                <w:bCs/>
                <w:color w:val="auto"/>
                <w:spacing w:val="-4"/>
                <w:sz w:val="21"/>
                <w:szCs w:val="21"/>
                <w:highlight w:val="none"/>
                <w:lang w:val="en-US" w:eastAsia="zh-CN"/>
              </w:rPr>
              <w:t>废气</w:t>
            </w:r>
            <w:r>
              <w:rPr>
                <w:rFonts w:hint="default" w:ascii="Times New Roman" w:hAnsi="Times New Roman" w:eastAsia="宋体" w:cs="Times New Roman"/>
                <w:b/>
                <w:bCs/>
                <w:strike w:val="0"/>
                <w:dstrike w:val="0"/>
                <w:color w:val="auto"/>
                <w:spacing w:val="5"/>
                <w:sz w:val="21"/>
                <w:szCs w:val="21"/>
                <w:highlight w:val="none"/>
              </w:rPr>
              <w:t>产生</w:t>
            </w:r>
            <w:r>
              <w:rPr>
                <w:rFonts w:hint="default" w:ascii="Times New Roman" w:hAnsi="Times New Roman" w:eastAsia="宋体" w:cs="Times New Roman"/>
                <w:b/>
                <w:bCs/>
                <w:strike w:val="0"/>
                <w:dstrike w:val="0"/>
                <w:color w:val="auto"/>
                <w:spacing w:val="5"/>
                <w:sz w:val="21"/>
                <w:szCs w:val="21"/>
                <w:highlight w:val="none"/>
                <w:lang w:val="en-US" w:eastAsia="zh-CN"/>
              </w:rPr>
              <w:t>及排放情况表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1836"/>
              <w:gridCol w:w="1139"/>
              <w:gridCol w:w="735"/>
              <w:gridCol w:w="1320"/>
              <w:gridCol w:w="645"/>
              <w:gridCol w:w="1035"/>
              <w:gridCol w:w="722"/>
            </w:tblGrid>
            <w:tr w14:paraId="4A58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3EAE83F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产污排污环节</w:t>
                  </w:r>
                </w:p>
              </w:tc>
              <w:tc>
                <w:tcPr>
                  <w:tcW w:w="1874" w:type="dxa"/>
                  <w:gridSpan w:val="2"/>
                  <w:tcBorders>
                    <w:tl2br w:val="nil"/>
                    <w:tr2bl w:val="nil"/>
                  </w:tcBorders>
                  <w:noWrap w:val="0"/>
                  <w:vAlign w:val="center"/>
                </w:tcPr>
                <w:p w14:paraId="237A34B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吸塑片投料、破碎粉尘</w:t>
                  </w:r>
                </w:p>
              </w:tc>
              <w:tc>
                <w:tcPr>
                  <w:tcW w:w="3722" w:type="dxa"/>
                  <w:gridSpan w:val="4"/>
                  <w:tcBorders>
                    <w:tl2br w:val="nil"/>
                    <w:tr2bl w:val="nil"/>
                  </w:tcBorders>
                  <w:noWrap w:val="0"/>
                  <w:vAlign w:val="center"/>
                </w:tcPr>
                <w:p w14:paraId="4EB153C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吸塑片加热、挤出塑化、压延生产废气</w:t>
                  </w:r>
                </w:p>
              </w:tc>
            </w:tr>
            <w:tr w14:paraId="5BFE1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7A192F9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污染物种类</w:t>
                  </w:r>
                </w:p>
              </w:tc>
              <w:tc>
                <w:tcPr>
                  <w:tcW w:w="1874" w:type="dxa"/>
                  <w:gridSpan w:val="2"/>
                  <w:tcBorders>
                    <w:tl2br w:val="nil"/>
                    <w:tr2bl w:val="nil"/>
                  </w:tcBorders>
                  <w:noWrap w:val="0"/>
                  <w:vAlign w:val="center"/>
                </w:tcPr>
                <w:p w14:paraId="5E7647A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颗粒物</w:t>
                  </w:r>
                </w:p>
              </w:tc>
              <w:tc>
                <w:tcPr>
                  <w:tcW w:w="1965" w:type="dxa"/>
                  <w:gridSpan w:val="2"/>
                  <w:tcBorders>
                    <w:tl2br w:val="nil"/>
                    <w:tr2bl w:val="nil"/>
                  </w:tcBorders>
                  <w:noWrap w:val="0"/>
                  <w:vAlign w:val="center"/>
                </w:tcPr>
                <w:p w14:paraId="38E8901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非甲烷总烃</w:t>
                  </w:r>
                </w:p>
              </w:tc>
              <w:tc>
                <w:tcPr>
                  <w:tcW w:w="1757" w:type="dxa"/>
                  <w:gridSpan w:val="2"/>
                  <w:tcBorders>
                    <w:tl2br w:val="nil"/>
                    <w:tr2bl w:val="nil"/>
                  </w:tcBorders>
                  <w:noWrap w:val="0"/>
                  <w:vAlign w:val="center"/>
                </w:tcPr>
                <w:p w14:paraId="200F8CA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color w:val="auto"/>
                      <w:kern w:val="1"/>
                      <w:sz w:val="21"/>
                      <w:szCs w:val="21"/>
                      <w:highlight w:val="none"/>
                    </w:rPr>
                    <w:t>氯化氢</w:t>
                  </w:r>
                </w:p>
              </w:tc>
            </w:tr>
            <w:tr w14:paraId="66B9E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72DD7A7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污染物产生量（t/a）</w:t>
                  </w:r>
                </w:p>
              </w:tc>
              <w:tc>
                <w:tcPr>
                  <w:tcW w:w="1139" w:type="dxa"/>
                  <w:tcBorders>
                    <w:tl2br w:val="nil"/>
                    <w:tr2bl w:val="nil"/>
                  </w:tcBorders>
                  <w:noWrap w:val="0"/>
                  <w:vAlign w:val="center"/>
                </w:tcPr>
                <w:p w14:paraId="2192A52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20.46</w:t>
                  </w:r>
                </w:p>
              </w:tc>
              <w:tc>
                <w:tcPr>
                  <w:tcW w:w="735" w:type="dxa"/>
                  <w:tcBorders>
                    <w:tl2br w:val="nil"/>
                    <w:tr2bl w:val="nil"/>
                  </w:tcBorders>
                  <w:noWrap w:val="0"/>
                  <w:vAlign w:val="center"/>
                </w:tcPr>
                <w:p w14:paraId="30814AA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3.61</w:t>
                  </w:r>
                </w:p>
              </w:tc>
              <w:tc>
                <w:tcPr>
                  <w:tcW w:w="1320" w:type="dxa"/>
                  <w:tcBorders>
                    <w:tl2br w:val="nil"/>
                    <w:tr2bl w:val="nil"/>
                  </w:tcBorders>
                  <w:noWrap w:val="0"/>
                  <w:vAlign w:val="center"/>
                </w:tcPr>
                <w:p w14:paraId="37449DF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5.10</w:t>
                  </w:r>
                </w:p>
              </w:tc>
              <w:tc>
                <w:tcPr>
                  <w:tcW w:w="645" w:type="dxa"/>
                  <w:tcBorders>
                    <w:tl2br w:val="nil"/>
                    <w:tr2bl w:val="nil"/>
                  </w:tcBorders>
                  <w:noWrap w:val="0"/>
                  <w:vAlign w:val="center"/>
                </w:tcPr>
                <w:p w14:paraId="21ECE90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0.90</w:t>
                  </w:r>
                </w:p>
              </w:tc>
              <w:tc>
                <w:tcPr>
                  <w:tcW w:w="1035" w:type="dxa"/>
                  <w:tcBorders>
                    <w:tl2br w:val="nil"/>
                    <w:tr2bl w:val="nil"/>
                  </w:tcBorders>
                  <w:noWrap w:val="0"/>
                  <w:vAlign w:val="center"/>
                </w:tcPr>
                <w:p w14:paraId="72D3027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0.00032</w:t>
                  </w:r>
                </w:p>
              </w:tc>
              <w:tc>
                <w:tcPr>
                  <w:tcW w:w="722" w:type="dxa"/>
                  <w:tcBorders>
                    <w:tl2br w:val="nil"/>
                    <w:tr2bl w:val="nil"/>
                  </w:tcBorders>
                  <w:noWrap w:val="0"/>
                  <w:vAlign w:val="center"/>
                </w:tcPr>
                <w:p w14:paraId="293A68D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0.00006</w:t>
                  </w:r>
                </w:p>
              </w:tc>
            </w:tr>
            <w:tr w14:paraId="62506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64ABA17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1139" w:type="dxa"/>
                  <w:tcBorders>
                    <w:tl2br w:val="nil"/>
                    <w:tr2bl w:val="nil"/>
                  </w:tcBorders>
                  <w:noWrap w:val="0"/>
                  <w:vAlign w:val="center"/>
                </w:tcPr>
                <w:p w14:paraId="3520725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eastAsia" w:cs="Times New Roman"/>
                      <w:i w:val="0"/>
                      <w:iCs w:val="0"/>
                      <w:strike w:val="0"/>
                      <w:dstrike w:val="0"/>
                      <w:color w:val="auto"/>
                      <w:kern w:val="0"/>
                      <w:sz w:val="21"/>
                      <w:szCs w:val="21"/>
                      <w:highlight w:val="none"/>
                      <w:u w:val="none"/>
                      <w:lang w:val="en-US" w:eastAsia="zh-CN" w:bidi="ar"/>
                    </w:rPr>
                    <w:t>645.95</w:t>
                  </w:r>
                </w:p>
              </w:tc>
              <w:tc>
                <w:tcPr>
                  <w:tcW w:w="735" w:type="dxa"/>
                  <w:tcBorders>
                    <w:tl2br w:val="nil"/>
                    <w:tr2bl w:val="nil"/>
                  </w:tcBorders>
                  <w:noWrap w:val="0"/>
                  <w:vAlign w:val="center"/>
                </w:tcPr>
                <w:p w14:paraId="735B38C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noWrap w:val="0"/>
                  <w:vAlign w:val="center"/>
                </w:tcPr>
                <w:p w14:paraId="3259A5D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w:t>
                  </w:r>
                  <w:r>
                    <w:rPr>
                      <w:rFonts w:hint="eastAsia" w:cs="Times New Roman"/>
                      <w:i w:val="0"/>
                      <w:iCs w:val="0"/>
                      <w:strike w:val="0"/>
                      <w:dstrike w:val="0"/>
                      <w:color w:val="auto"/>
                      <w:kern w:val="0"/>
                      <w:sz w:val="21"/>
                      <w:szCs w:val="21"/>
                      <w:highlight w:val="none"/>
                      <w:u w:val="none"/>
                      <w:lang w:val="en-US" w:eastAsia="zh-CN" w:bidi="ar"/>
                    </w:rPr>
                    <w:t>60.98</w:t>
                  </w:r>
                </w:p>
              </w:tc>
              <w:tc>
                <w:tcPr>
                  <w:tcW w:w="645" w:type="dxa"/>
                  <w:tcBorders>
                    <w:tl2br w:val="nil"/>
                    <w:tr2bl w:val="nil"/>
                  </w:tcBorders>
                  <w:noWrap w:val="0"/>
                  <w:vAlign w:val="center"/>
                </w:tcPr>
                <w:p w14:paraId="45E4E5B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noWrap w:val="0"/>
                  <w:vAlign w:val="center"/>
                </w:tcPr>
                <w:p w14:paraId="35BA4D4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0.001</w:t>
                  </w:r>
                </w:p>
              </w:tc>
              <w:tc>
                <w:tcPr>
                  <w:tcW w:w="722" w:type="dxa"/>
                  <w:tcBorders>
                    <w:tl2br w:val="nil"/>
                    <w:tr2bl w:val="nil"/>
                  </w:tcBorders>
                  <w:noWrap w:val="0"/>
                  <w:vAlign w:val="center"/>
                </w:tcPr>
                <w:p w14:paraId="526BE60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5C23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26E4FA6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排放形式</w:t>
                  </w:r>
                </w:p>
              </w:tc>
              <w:tc>
                <w:tcPr>
                  <w:tcW w:w="1139" w:type="dxa"/>
                  <w:tcBorders>
                    <w:tl2br w:val="nil"/>
                    <w:tr2bl w:val="nil"/>
                  </w:tcBorders>
                  <w:noWrap w:val="0"/>
                  <w:vAlign w:val="center"/>
                </w:tcPr>
                <w:p w14:paraId="5787458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有组织</w:t>
                  </w:r>
                </w:p>
              </w:tc>
              <w:tc>
                <w:tcPr>
                  <w:tcW w:w="735" w:type="dxa"/>
                  <w:tcBorders>
                    <w:tl2br w:val="nil"/>
                    <w:tr2bl w:val="nil"/>
                  </w:tcBorders>
                  <w:noWrap w:val="0"/>
                  <w:vAlign w:val="center"/>
                </w:tcPr>
                <w:p w14:paraId="27E55A1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无组织</w:t>
                  </w:r>
                </w:p>
              </w:tc>
              <w:tc>
                <w:tcPr>
                  <w:tcW w:w="1320" w:type="dxa"/>
                  <w:tcBorders>
                    <w:tl2br w:val="nil"/>
                    <w:tr2bl w:val="nil"/>
                  </w:tcBorders>
                  <w:noWrap w:val="0"/>
                  <w:vAlign w:val="center"/>
                </w:tcPr>
                <w:p w14:paraId="4AF0763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有组织</w:t>
                  </w:r>
                </w:p>
              </w:tc>
              <w:tc>
                <w:tcPr>
                  <w:tcW w:w="645" w:type="dxa"/>
                  <w:tcBorders>
                    <w:tl2br w:val="nil"/>
                    <w:tr2bl w:val="nil"/>
                  </w:tcBorders>
                  <w:noWrap w:val="0"/>
                  <w:vAlign w:val="center"/>
                </w:tcPr>
                <w:p w14:paraId="0B01F79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无组织</w:t>
                  </w:r>
                </w:p>
              </w:tc>
              <w:tc>
                <w:tcPr>
                  <w:tcW w:w="1035" w:type="dxa"/>
                  <w:tcBorders>
                    <w:tl2br w:val="nil"/>
                    <w:tr2bl w:val="nil"/>
                  </w:tcBorders>
                  <w:noWrap w:val="0"/>
                  <w:vAlign w:val="center"/>
                </w:tcPr>
                <w:p w14:paraId="6D45537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有组织</w:t>
                  </w:r>
                </w:p>
              </w:tc>
              <w:tc>
                <w:tcPr>
                  <w:tcW w:w="722" w:type="dxa"/>
                  <w:tcBorders>
                    <w:tl2br w:val="nil"/>
                    <w:tr2bl w:val="nil"/>
                  </w:tcBorders>
                  <w:noWrap w:val="0"/>
                  <w:vAlign w:val="center"/>
                </w:tcPr>
                <w:p w14:paraId="7780AD4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无组织</w:t>
                  </w:r>
                </w:p>
              </w:tc>
            </w:tr>
            <w:tr w14:paraId="38FB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dxa"/>
                  <w:vMerge w:val="restart"/>
                  <w:tcBorders>
                    <w:tl2br w:val="nil"/>
                    <w:tr2bl w:val="nil"/>
                  </w:tcBorders>
                  <w:noWrap w:val="0"/>
                  <w:vAlign w:val="center"/>
                </w:tcPr>
                <w:p w14:paraId="74500E0E">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治理设施</w:t>
                  </w:r>
                </w:p>
              </w:tc>
              <w:tc>
                <w:tcPr>
                  <w:tcW w:w="1836" w:type="dxa"/>
                  <w:tcBorders>
                    <w:tl2br w:val="nil"/>
                    <w:tr2bl w:val="nil"/>
                  </w:tcBorders>
                  <w:noWrap w:val="0"/>
                  <w:vAlign w:val="center"/>
                </w:tcPr>
                <w:p w14:paraId="69110EC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处理能力</w:t>
                  </w:r>
                </w:p>
              </w:tc>
              <w:tc>
                <w:tcPr>
                  <w:tcW w:w="1139" w:type="dxa"/>
                  <w:tcBorders>
                    <w:tl2br w:val="nil"/>
                    <w:tr2bl w:val="nil"/>
                  </w:tcBorders>
                  <w:noWrap w:val="0"/>
                  <w:vAlign w:val="center"/>
                </w:tcPr>
                <w:p w14:paraId="33C3233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eastAsia" w:cs="Times New Roman"/>
                      <w:i w:val="0"/>
                      <w:iCs w:val="0"/>
                      <w:strike w:val="0"/>
                      <w:dstrike w:val="0"/>
                      <w:color w:val="auto"/>
                      <w:kern w:val="0"/>
                      <w:sz w:val="21"/>
                      <w:szCs w:val="21"/>
                      <w:highlight w:val="none"/>
                      <w:u w:val="none"/>
                      <w:lang w:val="en-US" w:eastAsia="zh-CN" w:bidi="ar"/>
                    </w:rPr>
                    <w:t>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000m</w:t>
                  </w:r>
                  <w:r>
                    <w:rPr>
                      <w:rFonts w:hint="default" w:ascii="Times New Roman" w:hAnsi="Times New Roman" w:eastAsia="宋体" w:cs="Times New Roman"/>
                      <w:i w:val="0"/>
                      <w:iCs w:val="0"/>
                      <w:strike w:val="0"/>
                      <w:dstrike w:val="0"/>
                      <w:color w:val="auto"/>
                      <w:kern w:val="0"/>
                      <w:sz w:val="21"/>
                      <w:szCs w:val="21"/>
                      <w:highlight w:val="none"/>
                      <w:u w:val="none"/>
                      <w:vertAlign w:val="superscript"/>
                      <w:lang w:val="en-US" w:eastAsia="zh-CN" w:bidi="ar"/>
                    </w:rPr>
                    <w:t>3</w:t>
                  </w:r>
                  <w:r>
                    <w:rPr>
                      <w:rStyle w:val="64"/>
                      <w:rFonts w:hint="default" w:ascii="Times New Roman" w:hAnsi="Times New Roman" w:eastAsia="宋体" w:cs="Times New Roman"/>
                      <w:strike w:val="0"/>
                      <w:dstrike w:val="0"/>
                      <w:color w:val="auto"/>
                      <w:sz w:val="21"/>
                      <w:szCs w:val="21"/>
                      <w:highlight w:val="none"/>
                      <w:lang w:val="en-US" w:eastAsia="zh-CN" w:bidi="ar"/>
                    </w:rPr>
                    <w:t>/h</w:t>
                  </w:r>
                </w:p>
              </w:tc>
              <w:tc>
                <w:tcPr>
                  <w:tcW w:w="735" w:type="dxa"/>
                  <w:tcBorders>
                    <w:tl2br w:val="nil"/>
                    <w:tr2bl w:val="nil"/>
                  </w:tcBorders>
                  <w:noWrap w:val="0"/>
                  <w:vAlign w:val="center"/>
                </w:tcPr>
                <w:p w14:paraId="3937D61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76E188F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000m</w:t>
                  </w:r>
                  <w:r>
                    <w:rPr>
                      <w:rFonts w:hint="default" w:ascii="Times New Roman" w:hAnsi="Times New Roman" w:eastAsia="宋体" w:cs="Times New Roman"/>
                      <w:i w:val="0"/>
                      <w:iCs w:val="0"/>
                      <w:strike w:val="0"/>
                      <w:dstrike w:val="0"/>
                      <w:color w:val="auto"/>
                      <w:kern w:val="0"/>
                      <w:sz w:val="21"/>
                      <w:szCs w:val="21"/>
                      <w:highlight w:val="none"/>
                      <w:u w:val="none"/>
                      <w:vertAlign w:val="superscript"/>
                      <w:lang w:val="en-US" w:eastAsia="zh-CN" w:bidi="ar"/>
                    </w:rPr>
                    <w:t>3</w:t>
                  </w:r>
                  <w:r>
                    <w:rPr>
                      <w:rStyle w:val="64"/>
                      <w:rFonts w:hint="default" w:ascii="Times New Roman" w:hAnsi="Times New Roman" w:eastAsia="宋体" w:cs="Times New Roman"/>
                      <w:strike w:val="0"/>
                      <w:dstrike w:val="0"/>
                      <w:color w:val="auto"/>
                      <w:sz w:val="21"/>
                      <w:szCs w:val="21"/>
                      <w:highlight w:val="none"/>
                      <w:lang w:val="en-US" w:eastAsia="zh-CN" w:bidi="ar"/>
                    </w:rPr>
                    <w:t>/h</w:t>
                  </w:r>
                </w:p>
              </w:tc>
              <w:tc>
                <w:tcPr>
                  <w:tcW w:w="645" w:type="dxa"/>
                  <w:tcBorders>
                    <w:tl2br w:val="nil"/>
                    <w:tr2bl w:val="nil"/>
                  </w:tcBorders>
                  <w:noWrap w:val="0"/>
                  <w:vAlign w:val="center"/>
                </w:tcPr>
                <w:p w14:paraId="4E5AA99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507355A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000m</w:t>
                  </w:r>
                  <w:r>
                    <w:rPr>
                      <w:rFonts w:hint="default" w:ascii="Times New Roman" w:hAnsi="Times New Roman" w:eastAsia="宋体" w:cs="Times New Roman"/>
                      <w:i w:val="0"/>
                      <w:iCs w:val="0"/>
                      <w:strike w:val="0"/>
                      <w:dstrike w:val="0"/>
                      <w:color w:val="auto"/>
                      <w:kern w:val="0"/>
                      <w:sz w:val="21"/>
                      <w:szCs w:val="21"/>
                      <w:highlight w:val="none"/>
                      <w:u w:val="none"/>
                      <w:vertAlign w:val="superscript"/>
                      <w:lang w:val="en-US" w:eastAsia="zh-CN" w:bidi="ar"/>
                    </w:rPr>
                    <w:t>3</w:t>
                  </w:r>
                  <w:r>
                    <w:rPr>
                      <w:rStyle w:val="64"/>
                      <w:rFonts w:hint="default" w:ascii="Times New Roman" w:hAnsi="Times New Roman" w:eastAsia="宋体" w:cs="Times New Roman"/>
                      <w:strike w:val="0"/>
                      <w:dstrike w:val="0"/>
                      <w:color w:val="auto"/>
                      <w:sz w:val="21"/>
                      <w:szCs w:val="21"/>
                      <w:highlight w:val="none"/>
                      <w:lang w:val="en-US" w:eastAsia="zh-CN" w:bidi="ar"/>
                    </w:rPr>
                    <w:t>/h</w:t>
                  </w:r>
                </w:p>
              </w:tc>
              <w:tc>
                <w:tcPr>
                  <w:tcW w:w="722" w:type="dxa"/>
                  <w:tcBorders>
                    <w:tl2br w:val="nil"/>
                    <w:tr2bl w:val="nil"/>
                  </w:tcBorders>
                  <w:noWrap w:val="0"/>
                  <w:vAlign w:val="center"/>
                </w:tcPr>
                <w:p w14:paraId="645D040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446DC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dxa"/>
                  <w:vMerge w:val="continue"/>
                  <w:tcBorders>
                    <w:tl2br w:val="nil"/>
                    <w:tr2bl w:val="nil"/>
                  </w:tcBorders>
                  <w:noWrap w:val="0"/>
                  <w:vAlign w:val="center"/>
                </w:tcPr>
                <w:p w14:paraId="045F6DCC">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836" w:type="dxa"/>
                  <w:tcBorders>
                    <w:tl2br w:val="nil"/>
                    <w:tr2bl w:val="nil"/>
                  </w:tcBorders>
                  <w:noWrap w:val="0"/>
                  <w:vAlign w:val="center"/>
                </w:tcPr>
                <w:p w14:paraId="5F3B270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收集效率</w:t>
                  </w:r>
                </w:p>
              </w:tc>
              <w:tc>
                <w:tcPr>
                  <w:tcW w:w="1139" w:type="dxa"/>
                  <w:tcBorders>
                    <w:tl2br w:val="nil"/>
                    <w:tr2bl w:val="nil"/>
                  </w:tcBorders>
                  <w:noWrap w:val="0"/>
                  <w:vAlign w:val="center"/>
                </w:tcPr>
                <w:p w14:paraId="6389E1F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85%</w:t>
                  </w:r>
                </w:p>
              </w:tc>
              <w:tc>
                <w:tcPr>
                  <w:tcW w:w="735" w:type="dxa"/>
                  <w:tcBorders>
                    <w:tl2br w:val="nil"/>
                    <w:tr2bl w:val="nil"/>
                  </w:tcBorders>
                  <w:noWrap w:val="0"/>
                  <w:vAlign w:val="center"/>
                </w:tcPr>
                <w:p w14:paraId="2DC3376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783E0EA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85%</w:t>
                  </w:r>
                </w:p>
              </w:tc>
              <w:tc>
                <w:tcPr>
                  <w:tcW w:w="645" w:type="dxa"/>
                  <w:tcBorders>
                    <w:tl2br w:val="nil"/>
                    <w:tr2bl w:val="nil"/>
                  </w:tcBorders>
                  <w:noWrap w:val="0"/>
                  <w:vAlign w:val="center"/>
                </w:tcPr>
                <w:p w14:paraId="1C87DF7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3A1F3F7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85%</w:t>
                  </w:r>
                </w:p>
              </w:tc>
              <w:tc>
                <w:tcPr>
                  <w:tcW w:w="722" w:type="dxa"/>
                  <w:tcBorders>
                    <w:tl2br w:val="nil"/>
                    <w:tr2bl w:val="nil"/>
                  </w:tcBorders>
                  <w:noWrap w:val="0"/>
                  <w:vAlign w:val="center"/>
                </w:tcPr>
                <w:p w14:paraId="4687DEE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E276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dxa"/>
                  <w:vMerge w:val="continue"/>
                  <w:tcBorders>
                    <w:tl2br w:val="nil"/>
                    <w:tr2bl w:val="nil"/>
                  </w:tcBorders>
                  <w:noWrap w:val="0"/>
                  <w:vAlign w:val="center"/>
                </w:tcPr>
                <w:p w14:paraId="50199D2D">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836" w:type="dxa"/>
                  <w:tcBorders>
                    <w:tl2br w:val="nil"/>
                    <w:tr2bl w:val="nil"/>
                  </w:tcBorders>
                  <w:noWrap w:val="0"/>
                  <w:vAlign w:val="center"/>
                </w:tcPr>
                <w:p w14:paraId="5B485B8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w:t>
                  </w:r>
                </w:p>
              </w:tc>
              <w:tc>
                <w:tcPr>
                  <w:tcW w:w="1139" w:type="dxa"/>
                  <w:tcBorders>
                    <w:tl2br w:val="nil"/>
                    <w:tr2bl w:val="nil"/>
                  </w:tcBorders>
                  <w:noWrap w:val="0"/>
                  <w:vAlign w:val="center"/>
                </w:tcPr>
                <w:p w14:paraId="4EABE38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Style w:val="65"/>
                      <w:rFonts w:hint="default" w:ascii="Times New Roman" w:hAnsi="Times New Roman" w:eastAsia="宋体" w:cs="Times New Roman"/>
                      <w:strike w:val="0"/>
                      <w:dstrike w:val="0"/>
                      <w:color w:val="auto"/>
                      <w:sz w:val="21"/>
                      <w:szCs w:val="21"/>
                      <w:highlight w:val="none"/>
                      <w:lang w:val="en-US" w:eastAsia="zh-CN" w:bidi="ar"/>
                    </w:rPr>
                    <w:t>布袋除尘器</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1#</w:t>
                  </w:r>
                  <w:r>
                    <w:rPr>
                      <w:rFonts w:hint="default" w:ascii="Times New Roman" w:hAnsi="Times New Roman" w:eastAsia="宋体" w:cs="Times New Roman"/>
                      <w:color w:val="auto"/>
                      <w:spacing w:val="-2"/>
                      <w:sz w:val="21"/>
                      <w:szCs w:val="21"/>
                      <w:highlight w:val="none"/>
                      <w:lang w:eastAsia="zh-CN"/>
                    </w:rPr>
                    <w:t>）</w:t>
                  </w:r>
                </w:p>
              </w:tc>
              <w:tc>
                <w:tcPr>
                  <w:tcW w:w="735" w:type="dxa"/>
                  <w:tcBorders>
                    <w:tl2br w:val="nil"/>
                    <w:tr2bl w:val="nil"/>
                  </w:tcBorders>
                  <w:noWrap w:val="0"/>
                  <w:vAlign w:val="center"/>
                </w:tcPr>
                <w:p w14:paraId="6A2A89A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noWrap w:val="0"/>
                  <w:vAlign w:val="center"/>
                </w:tcPr>
                <w:p w14:paraId="385D396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三级活性炭吸附装置</w:t>
                  </w:r>
                </w:p>
              </w:tc>
              <w:tc>
                <w:tcPr>
                  <w:tcW w:w="645" w:type="dxa"/>
                  <w:tcBorders>
                    <w:tl2br w:val="nil"/>
                    <w:tr2bl w:val="nil"/>
                  </w:tcBorders>
                  <w:noWrap w:val="0"/>
                  <w:vAlign w:val="center"/>
                </w:tcPr>
                <w:p w14:paraId="6B575C0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noWrap w:val="0"/>
                  <w:vAlign w:val="center"/>
                </w:tcPr>
                <w:p w14:paraId="157D0A7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22" w:type="dxa"/>
                  <w:tcBorders>
                    <w:tl2br w:val="nil"/>
                    <w:tr2bl w:val="nil"/>
                  </w:tcBorders>
                  <w:noWrap w:val="0"/>
                  <w:vAlign w:val="center"/>
                </w:tcPr>
                <w:p w14:paraId="07954B5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05D29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dxa"/>
                  <w:vMerge w:val="continue"/>
                  <w:tcBorders>
                    <w:tl2br w:val="nil"/>
                    <w:tr2bl w:val="nil"/>
                  </w:tcBorders>
                  <w:noWrap w:val="0"/>
                  <w:vAlign w:val="center"/>
                </w:tcPr>
                <w:p w14:paraId="4E43EAEF">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836" w:type="dxa"/>
                  <w:tcBorders>
                    <w:tl2br w:val="nil"/>
                    <w:tr2bl w:val="nil"/>
                  </w:tcBorders>
                  <w:noWrap w:val="0"/>
                  <w:vAlign w:val="center"/>
                </w:tcPr>
                <w:p w14:paraId="4456F6A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治理工艺去除率</w:t>
                  </w:r>
                </w:p>
              </w:tc>
              <w:tc>
                <w:tcPr>
                  <w:tcW w:w="1139" w:type="dxa"/>
                  <w:tcBorders>
                    <w:tl2br w:val="nil"/>
                    <w:tr2bl w:val="nil"/>
                  </w:tcBorders>
                  <w:noWrap w:val="0"/>
                  <w:vAlign w:val="center"/>
                </w:tcPr>
                <w:p w14:paraId="2E8639B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99%</w:t>
                  </w:r>
                </w:p>
              </w:tc>
              <w:tc>
                <w:tcPr>
                  <w:tcW w:w="735" w:type="dxa"/>
                  <w:tcBorders>
                    <w:tl2br w:val="nil"/>
                    <w:tr2bl w:val="nil"/>
                  </w:tcBorders>
                  <w:noWrap w:val="0"/>
                  <w:vAlign w:val="center"/>
                </w:tcPr>
                <w:p w14:paraId="17353D7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noWrap w:val="0"/>
                  <w:vAlign w:val="center"/>
                </w:tcPr>
                <w:p w14:paraId="250FF5C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eastAsia" w:cs="Times New Roman"/>
                      <w:i w:val="0"/>
                      <w:iCs w:val="0"/>
                      <w:strike w:val="0"/>
                      <w:dstrike w:val="0"/>
                      <w:color w:val="auto"/>
                      <w:kern w:val="0"/>
                      <w:sz w:val="21"/>
                      <w:szCs w:val="21"/>
                      <w:highlight w:val="none"/>
                      <w:u w:val="none"/>
                      <w:lang w:val="en-US" w:eastAsia="zh-CN" w:bidi="ar"/>
                    </w:rPr>
                    <w:t>50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645" w:type="dxa"/>
                  <w:tcBorders>
                    <w:tl2br w:val="nil"/>
                    <w:tr2bl w:val="nil"/>
                  </w:tcBorders>
                  <w:noWrap w:val="0"/>
                  <w:vAlign w:val="center"/>
                </w:tcPr>
                <w:p w14:paraId="0DF0E1E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noWrap w:val="0"/>
                  <w:vAlign w:val="center"/>
                </w:tcPr>
                <w:p w14:paraId="2C2F082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22" w:type="dxa"/>
                  <w:tcBorders>
                    <w:tl2br w:val="nil"/>
                    <w:tr2bl w:val="nil"/>
                  </w:tcBorders>
                  <w:noWrap w:val="0"/>
                  <w:vAlign w:val="center"/>
                </w:tcPr>
                <w:p w14:paraId="521E27E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64F1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4" w:type="dxa"/>
                  <w:vMerge w:val="continue"/>
                  <w:tcBorders>
                    <w:tl2br w:val="nil"/>
                    <w:tr2bl w:val="nil"/>
                  </w:tcBorders>
                  <w:noWrap w:val="0"/>
                  <w:vAlign w:val="center"/>
                </w:tcPr>
                <w:p w14:paraId="099F39C3">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836" w:type="dxa"/>
                  <w:tcBorders>
                    <w:tl2br w:val="nil"/>
                    <w:tr2bl w:val="nil"/>
                  </w:tcBorders>
                  <w:noWrap w:val="0"/>
                  <w:vAlign w:val="center"/>
                </w:tcPr>
                <w:p w14:paraId="38B39AB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是否为可行技术</w:t>
                  </w:r>
                </w:p>
              </w:tc>
              <w:tc>
                <w:tcPr>
                  <w:tcW w:w="1139" w:type="dxa"/>
                  <w:tcBorders>
                    <w:tl2br w:val="nil"/>
                    <w:tr2bl w:val="nil"/>
                  </w:tcBorders>
                  <w:noWrap w:val="0"/>
                  <w:vAlign w:val="center"/>
                </w:tcPr>
                <w:p w14:paraId="6CCB5F0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是</w:t>
                  </w:r>
                </w:p>
              </w:tc>
              <w:tc>
                <w:tcPr>
                  <w:tcW w:w="735" w:type="dxa"/>
                  <w:tcBorders>
                    <w:tl2br w:val="nil"/>
                    <w:tr2bl w:val="nil"/>
                  </w:tcBorders>
                  <w:noWrap w:val="0"/>
                  <w:vAlign w:val="center"/>
                </w:tcPr>
                <w:p w14:paraId="33EE88A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noWrap w:val="0"/>
                  <w:vAlign w:val="center"/>
                </w:tcPr>
                <w:p w14:paraId="488A5D3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是</w:t>
                  </w:r>
                </w:p>
              </w:tc>
              <w:tc>
                <w:tcPr>
                  <w:tcW w:w="645" w:type="dxa"/>
                  <w:tcBorders>
                    <w:tl2br w:val="nil"/>
                    <w:tr2bl w:val="nil"/>
                  </w:tcBorders>
                  <w:noWrap w:val="0"/>
                  <w:vAlign w:val="center"/>
                </w:tcPr>
                <w:p w14:paraId="7F79B4B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noWrap w:val="0"/>
                  <w:vAlign w:val="center"/>
                </w:tcPr>
                <w:p w14:paraId="13E5CDE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722" w:type="dxa"/>
                  <w:tcBorders>
                    <w:tl2br w:val="nil"/>
                    <w:tr2bl w:val="nil"/>
                  </w:tcBorders>
                  <w:noWrap w:val="0"/>
                  <w:vAlign w:val="center"/>
                </w:tcPr>
                <w:p w14:paraId="1C82A81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694D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729E14B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污染物排放量（t/a）</w:t>
                  </w:r>
                </w:p>
              </w:tc>
              <w:tc>
                <w:tcPr>
                  <w:tcW w:w="1139" w:type="dxa"/>
                  <w:tcBorders>
                    <w:tl2br w:val="nil"/>
                    <w:tr2bl w:val="nil"/>
                  </w:tcBorders>
                  <w:noWrap w:val="0"/>
                  <w:vAlign w:val="center"/>
                </w:tcPr>
                <w:p w14:paraId="502F0A4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0.20</w:t>
                  </w:r>
                </w:p>
              </w:tc>
              <w:tc>
                <w:tcPr>
                  <w:tcW w:w="735" w:type="dxa"/>
                  <w:tcBorders>
                    <w:tl2br w:val="nil"/>
                    <w:tr2bl w:val="nil"/>
                  </w:tcBorders>
                  <w:noWrap w:val="0"/>
                  <w:vAlign w:val="center"/>
                </w:tcPr>
                <w:p w14:paraId="7E8676E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3.61</w:t>
                  </w:r>
                </w:p>
              </w:tc>
              <w:tc>
                <w:tcPr>
                  <w:tcW w:w="1320" w:type="dxa"/>
                  <w:tcBorders>
                    <w:tl2br w:val="nil"/>
                    <w:tr2bl w:val="nil"/>
                  </w:tcBorders>
                  <w:noWrap w:val="0"/>
                  <w:vAlign w:val="center"/>
                </w:tcPr>
                <w:p w14:paraId="529BC51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2.</w:t>
                  </w:r>
                  <w:r>
                    <w:rPr>
                      <w:rFonts w:hint="eastAsia" w:cs="Times New Roman"/>
                      <w:i w:val="0"/>
                      <w:iCs w:val="0"/>
                      <w:strike w:val="0"/>
                      <w:dstrike w:val="0"/>
                      <w:color w:val="auto"/>
                      <w:kern w:val="0"/>
                      <w:sz w:val="21"/>
                      <w:szCs w:val="21"/>
                      <w:highlight w:val="none"/>
                      <w:u w:val="none"/>
                      <w:lang w:val="en-US" w:eastAsia="zh-CN" w:bidi="ar"/>
                    </w:rPr>
                    <w:t>55</w:t>
                  </w:r>
                </w:p>
              </w:tc>
              <w:tc>
                <w:tcPr>
                  <w:tcW w:w="645" w:type="dxa"/>
                  <w:tcBorders>
                    <w:tl2br w:val="nil"/>
                    <w:tr2bl w:val="nil"/>
                  </w:tcBorders>
                  <w:noWrap w:val="0"/>
                  <w:vAlign w:val="center"/>
                </w:tcPr>
                <w:p w14:paraId="55095AB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0.90</w:t>
                  </w:r>
                </w:p>
              </w:tc>
              <w:tc>
                <w:tcPr>
                  <w:tcW w:w="1035" w:type="dxa"/>
                  <w:tcBorders>
                    <w:tl2br w:val="nil"/>
                    <w:tr2bl w:val="nil"/>
                  </w:tcBorders>
                  <w:noWrap w:val="0"/>
                  <w:vAlign w:val="center"/>
                </w:tcPr>
                <w:p w14:paraId="40D90FD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0.00032</w:t>
                  </w:r>
                </w:p>
              </w:tc>
              <w:tc>
                <w:tcPr>
                  <w:tcW w:w="722" w:type="dxa"/>
                  <w:tcBorders>
                    <w:tl2br w:val="nil"/>
                    <w:tr2bl w:val="nil"/>
                  </w:tcBorders>
                  <w:noWrap w:val="0"/>
                  <w:vAlign w:val="center"/>
                </w:tcPr>
                <w:p w14:paraId="4D80489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0.00006</w:t>
                  </w:r>
                </w:p>
              </w:tc>
            </w:tr>
            <w:tr w14:paraId="08508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19E13E1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污染物排放速率（kg/h）</w:t>
                  </w:r>
                </w:p>
              </w:tc>
              <w:tc>
                <w:tcPr>
                  <w:tcW w:w="1139" w:type="dxa"/>
                  <w:tcBorders>
                    <w:tl2br w:val="nil"/>
                    <w:tr2bl w:val="nil"/>
                  </w:tcBorders>
                  <w:noWrap w:val="0"/>
                  <w:vAlign w:val="center"/>
                </w:tcPr>
                <w:p w14:paraId="0090A6E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0.03</w:t>
                  </w:r>
                </w:p>
              </w:tc>
              <w:tc>
                <w:tcPr>
                  <w:tcW w:w="735" w:type="dxa"/>
                  <w:tcBorders>
                    <w:tl2br w:val="nil"/>
                    <w:tr2bl w:val="nil"/>
                  </w:tcBorders>
                  <w:noWrap w:val="0"/>
                  <w:vAlign w:val="center"/>
                </w:tcPr>
                <w:p w14:paraId="73BB9D2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0.46</w:t>
                  </w:r>
                </w:p>
              </w:tc>
              <w:tc>
                <w:tcPr>
                  <w:tcW w:w="1320" w:type="dxa"/>
                  <w:tcBorders>
                    <w:tl2br w:val="nil"/>
                    <w:tr2bl w:val="nil"/>
                  </w:tcBorders>
                  <w:noWrap w:val="0"/>
                  <w:vAlign w:val="center"/>
                </w:tcPr>
                <w:p w14:paraId="52361D3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w:t>
                  </w:r>
                  <w:r>
                    <w:rPr>
                      <w:rFonts w:hint="eastAsia" w:cs="Times New Roman"/>
                      <w:i w:val="0"/>
                      <w:iCs w:val="0"/>
                      <w:strike w:val="0"/>
                      <w:dstrike w:val="0"/>
                      <w:color w:val="auto"/>
                      <w:sz w:val="21"/>
                      <w:szCs w:val="21"/>
                      <w:highlight w:val="none"/>
                      <w:u w:val="none"/>
                      <w:lang w:val="en-US" w:eastAsia="zh-CN"/>
                    </w:rPr>
                    <w:t>32</w:t>
                  </w:r>
                </w:p>
              </w:tc>
              <w:tc>
                <w:tcPr>
                  <w:tcW w:w="645" w:type="dxa"/>
                  <w:tcBorders>
                    <w:tl2br w:val="nil"/>
                    <w:tr2bl w:val="nil"/>
                  </w:tcBorders>
                  <w:noWrap w:val="0"/>
                  <w:vAlign w:val="center"/>
                </w:tcPr>
                <w:p w14:paraId="0828BC0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0.11</w:t>
                  </w:r>
                </w:p>
              </w:tc>
              <w:tc>
                <w:tcPr>
                  <w:tcW w:w="1035" w:type="dxa"/>
                  <w:tcBorders>
                    <w:tl2br w:val="nil"/>
                    <w:tr2bl w:val="nil"/>
                  </w:tcBorders>
                  <w:noWrap w:val="0"/>
                  <w:vAlign w:val="center"/>
                </w:tcPr>
                <w:p w14:paraId="6424CE3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0.0004</w:t>
                  </w:r>
                </w:p>
              </w:tc>
              <w:tc>
                <w:tcPr>
                  <w:tcW w:w="722" w:type="dxa"/>
                  <w:tcBorders>
                    <w:tl2br w:val="nil"/>
                    <w:tr2bl w:val="nil"/>
                  </w:tcBorders>
                  <w:noWrap w:val="0"/>
                  <w:vAlign w:val="center"/>
                </w:tcPr>
                <w:p w14:paraId="512EB1E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0.0001</w:t>
                  </w:r>
                </w:p>
              </w:tc>
            </w:tr>
            <w:tr w14:paraId="40825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587B4DA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1139" w:type="dxa"/>
                  <w:tcBorders>
                    <w:tl2br w:val="nil"/>
                    <w:tr2bl w:val="nil"/>
                  </w:tcBorders>
                  <w:noWrap w:val="0"/>
                  <w:vAlign w:val="center"/>
                </w:tcPr>
                <w:p w14:paraId="529B129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6.46</w:t>
                  </w:r>
                </w:p>
              </w:tc>
              <w:tc>
                <w:tcPr>
                  <w:tcW w:w="735" w:type="dxa"/>
                  <w:tcBorders>
                    <w:tl2br w:val="nil"/>
                    <w:tr2bl w:val="nil"/>
                  </w:tcBorders>
                  <w:noWrap w:val="0"/>
                  <w:vAlign w:val="center"/>
                </w:tcPr>
                <w:p w14:paraId="68BEE7C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noWrap w:val="0"/>
                  <w:vAlign w:val="center"/>
                </w:tcPr>
                <w:p w14:paraId="276991A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eastAsia" w:cs="Times New Roman"/>
                      <w:i w:val="0"/>
                      <w:iCs w:val="0"/>
                      <w:strike w:val="0"/>
                      <w:dstrike w:val="0"/>
                      <w:color w:val="auto"/>
                      <w:kern w:val="0"/>
                      <w:sz w:val="21"/>
                      <w:szCs w:val="21"/>
                      <w:highlight w:val="none"/>
                      <w:u w:val="none"/>
                      <w:lang w:val="en-US" w:eastAsia="zh-CN" w:bidi="ar"/>
                    </w:rPr>
                    <w:t>80.49</w:t>
                  </w:r>
                </w:p>
              </w:tc>
              <w:tc>
                <w:tcPr>
                  <w:tcW w:w="645" w:type="dxa"/>
                  <w:tcBorders>
                    <w:tl2br w:val="nil"/>
                    <w:tr2bl w:val="nil"/>
                  </w:tcBorders>
                  <w:noWrap w:val="0"/>
                  <w:vAlign w:val="center"/>
                </w:tcPr>
                <w:p w14:paraId="61A0838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noWrap w:val="0"/>
                  <w:vAlign w:val="center"/>
                </w:tcPr>
                <w:p w14:paraId="47A5C8A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w:t>
                  </w:r>
                  <w:r>
                    <w:rPr>
                      <w:rFonts w:hint="eastAsia" w:cs="Times New Roman"/>
                      <w:i w:val="0"/>
                      <w:iCs w:val="0"/>
                      <w:strike w:val="0"/>
                      <w:dstrike w:val="0"/>
                      <w:color w:val="auto"/>
                      <w:kern w:val="0"/>
                      <w:sz w:val="21"/>
                      <w:szCs w:val="21"/>
                      <w:highlight w:val="none"/>
                      <w:u w:val="none"/>
                      <w:lang w:val="en-US" w:eastAsia="zh-CN" w:bidi="ar"/>
                    </w:rPr>
                    <w:t>10</w:t>
                  </w:r>
                </w:p>
              </w:tc>
              <w:tc>
                <w:tcPr>
                  <w:tcW w:w="722" w:type="dxa"/>
                  <w:tcBorders>
                    <w:tl2br w:val="nil"/>
                    <w:tr2bl w:val="nil"/>
                  </w:tcBorders>
                  <w:noWrap w:val="0"/>
                  <w:vAlign w:val="center"/>
                </w:tcPr>
                <w:p w14:paraId="608BF85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492C3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906" w:type="dxa"/>
                  <w:gridSpan w:val="8"/>
                  <w:tcBorders>
                    <w:tl2br w:val="nil"/>
                    <w:tr2bl w:val="nil"/>
                  </w:tcBorders>
                  <w:noWrap w:val="0"/>
                  <w:vAlign w:val="center"/>
                </w:tcPr>
                <w:p w14:paraId="6EE405C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排放口基本情况</w:t>
                  </w:r>
                </w:p>
              </w:tc>
            </w:tr>
            <w:tr w14:paraId="5FB6E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2C4F196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排气筒高度</w:t>
                  </w:r>
                </w:p>
              </w:tc>
              <w:tc>
                <w:tcPr>
                  <w:tcW w:w="1139" w:type="dxa"/>
                  <w:tcBorders>
                    <w:tl2br w:val="nil"/>
                    <w:tr2bl w:val="nil"/>
                  </w:tcBorders>
                  <w:noWrap w:val="0"/>
                  <w:vAlign w:val="center"/>
                </w:tcPr>
                <w:p w14:paraId="3B20651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15m</w:t>
                  </w:r>
                </w:p>
              </w:tc>
              <w:tc>
                <w:tcPr>
                  <w:tcW w:w="735" w:type="dxa"/>
                  <w:tcBorders>
                    <w:tl2br w:val="nil"/>
                    <w:tr2bl w:val="nil"/>
                  </w:tcBorders>
                  <w:noWrap w:val="0"/>
                  <w:vAlign w:val="center"/>
                </w:tcPr>
                <w:p w14:paraId="4D2EEEC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72F9D59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15m</w:t>
                  </w:r>
                </w:p>
              </w:tc>
              <w:tc>
                <w:tcPr>
                  <w:tcW w:w="645" w:type="dxa"/>
                  <w:tcBorders>
                    <w:tl2br w:val="nil"/>
                    <w:tr2bl w:val="nil"/>
                  </w:tcBorders>
                  <w:shd w:val="clear" w:color="auto" w:fill="auto"/>
                  <w:noWrap w:val="0"/>
                  <w:vAlign w:val="center"/>
                </w:tcPr>
                <w:p w14:paraId="685D6DA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2E7C69D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15m</w:t>
                  </w:r>
                </w:p>
              </w:tc>
              <w:tc>
                <w:tcPr>
                  <w:tcW w:w="722" w:type="dxa"/>
                  <w:tcBorders>
                    <w:tl2br w:val="nil"/>
                    <w:tr2bl w:val="nil"/>
                  </w:tcBorders>
                  <w:shd w:val="clear" w:color="auto" w:fill="auto"/>
                  <w:noWrap w:val="0"/>
                  <w:vAlign w:val="center"/>
                </w:tcPr>
                <w:p w14:paraId="6B1EA86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6EB8E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43C78E4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排气筒内径</w:t>
                  </w:r>
                </w:p>
              </w:tc>
              <w:tc>
                <w:tcPr>
                  <w:tcW w:w="1139" w:type="dxa"/>
                  <w:tcBorders>
                    <w:tl2br w:val="nil"/>
                    <w:tr2bl w:val="nil"/>
                  </w:tcBorders>
                  <w:noWrap w:val="0"/>
                  <w:vAlign w:val="center"/>
                </w:tcPr>
                <w:p w14:paraId="26A30A9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0.35m</w:t>
                  </w:r>
                </w:p>
              </w:tc>
              <w:tc>
                <w:tcPr>
                  <w:tcW w:w="735" w:type="dxa"/>
                  <w:tcBorders>
                    <w:tl2br w:val="nil"/>
                    <w:tr2bl w:val="nil"/>
                  </w:tcBorders>
                  <w:noWrap w:val="0"/>
                  <w:vAlign w:val="center"/>
                </w:tcPr>
                <w:p w14:paraId="3A4E2DD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10C87F4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0.35m</w:t>
                  </w:r>
                </w:p>
              </w:tc>
              <w:tc>
                <w:tcPr>
                  <w:tcW w:w="645" w:type="dxa"/>
                  <w:tcBorders>
                    <w:tl2br w:val="nil"/>
                    <w:tr2bl w:val="nil"/>
                  </w:tcBorders>
                  <w:shd w:val="clear" w:color="auto" w:fill="auto"/>
                  <w:noWrap w:val="0"/>
                  <w:vAlign w:val="center"/>
                </w:tcPr>
                <w:p w14:paraId="3D91A9B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034E60F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eastAsia" w:cs="Times New Roman"/>
                      <w:i w:val="0"/>
                      <w:iCs w:val="0"/>
                      <w:strike w:val="0"/>
                      <w:dstrike w:val="0"/>
                      <w:color w:val="auto"/>
                      <w:kern w:val="0"/>
                      <w:sz w:val="21"/>
                      <w:szCs w:val="21"/>
                      <w:highlight w:val="none"/>
                      <w:u w:val="none"/>
                      <w:lang w:val="en-US" w:eastAsia="zh-CN" w:bidi="ar"/>
                    </w:rPr>
                    <w:t>0.35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m</w:t>
                  </w:r>
                </w:p>
              </w:tc>
              <w:tc>
                <w:tcPr>
                  <w:tcW w:w="722" w:type="dxa"/>
                  <w:tcBorders>
                    <w:tl2br w:val="nil"/>
                    <w:tr2bl w:val="nil"/>
                  </w:tcBorders>
                  <w:shd w:val="clear" w:color="auto" w:fill="auto"/>
                  <w:noWrap w:val="0"/>
                  <w:vAlign w:val="center"/>
                </w:tcPr>
                <w:p w14:paraId="788A4CC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46447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3B3FB59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温度</w:t>
                  </w:r>
                </w:p>
              </w:tc>
              <w:tc>
                <w:tcPr>
                  <w:tcW w:w="1139" w:type="dxa"/>
                  <w:tcBorders>
                    <w:tl2br w:val="nil"/>
                    <w:tr2bl w:val="nil"/>
                  </w:tcBorders>
                  <w:noWrap w:val="0"/>
                  <w:vAlign w:val="center"/>
                </w:tcPr>
                <w:p w14:paraId="7C8BE60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25℃</w:t>
                  </w:r>
                </w:p>
              </w:tc>
              <w:tc>
                <w:tcPr>
                  <w:tcW w:w="735" w:type="dxa"/>
                  <w:tcBorders>
                    <w:tl2br w:val="nil"/>
                    <w:tr2bl w:val="nil"/>
                  </w:tcBorders>
                  <w:noWrap w:val="0"/>
                  <w:vAlign w:val="center"/>
                </w:tcPr>
                <w:p w14:paraId="21808C9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6C849CE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val="0"/>
                      <w:bCs w:val="0"/>
                      <w:strike w:val="0"/>
                      <w:dstrike w:val="0"/>
                      <w:color w:val="auto"/>
                      <w:kern w:val="0"/>
                      <w:sz w:val="21"/>
                      <w:szCs w:val="21"/>
                      <w:highlight w:val="none"/>
                      <w:lang w:val="en-US" w:eastAsia="zh-CN"/>
                    </w:rPr>
                    <w:t>35℃</w:t>
                  </w:r>
                </w:p>
              </w:tc>
              <w:tc>
                <w:tcPr>
                  <w:tcW w:w="645" w:type="dxa"/>
                  <w:tcBorders>
                    <w:tl2br w:val="nil"/>
                    <w:tr2bl w:val="nil"/>
                  </w:tcBorders>
                  <w:shd w:val="clear" w:color="auto" w:fill="auto"/>
                  <w:noWrap w:val="0"/>
                  <w:vAlign w:val="center"/>
                </w:tcPr>
                <w:p w14:paraId="2C6DBE8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43B5075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val="0"/>
                      <w:bCs w:val="0"/>
                      <w:strike w:val="0"/>
                      <w:dstrike w:val="0"/>
                      <w:color w:val="auto"/>
                      <w:kern w:val="0"/>
                      <w:sz w:val="21"/>
                      <w:szCs w:val="21"/>
                      <w:highlight w:val="none"/>
                      <w:lang w:val="en-US" w:eastAsia="zh-CN"/>
                    </w:rPr>
                    <w:t>35℃</w:t>
                  </w:r>
                </w:p>
              </w:tc>
              <w:tc>
                <w:tcPr>
                  <w:tcW w:w="722" w:type="dxa"/>
                  <w:tcBorders>
                    <w:tl2br w:val="nil"/>
                    <w:tr2bl w:val="nil"/>
                  </w:tcBorders>
                  <w:shd w:val="clear" w:color="auto" w:fill="auto"/>
                  <w:noWrap w:val="0"/>
                  <w:vAlign w:val="center"/>
                </w:tcPr>
                <w:p w14:paraId="37F73A1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2E1D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45CA371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编号</w:t>
                  </w:r>
                </w:p>
              </w:tc>
              <w:tc>
                <w:tcPr>
                  <w:tcW w:w="1139" w:type="dxa"/>
                  <w:tcBorders>
                    <w:tl2br w:val="nil"/>
                    <w:tr2bl w:val="nil"/>
                  </w:tcBorders>
                  <w:noWrap w:val="0"/>
                  <w:vAlign w:val="center"/>
                </w:tcPr>
                <w:p w14:paraId="3703E3A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DA002</w:t>
                  </w:r>
                </w:p>
              </w:tc>
              <w:tc>
                <w:tcPr>
                  <w:tcW w:w="735" w:type="dxa"/>
                  <w:tcBorders>
                    <w:tl2br w:val="nil"/>
                    <w:tr2bl w:val="nil"/>
                  </w:tcBorders>
                  <w:noWrap w:val="0"/>
                  <w:vAlign w:val="center"/>
                </w:tcPr>
                <w:p w14:paraId="49207B8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02B063A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DA003</w:t>
                  </w:r>
                </w:p>
              </w:tc>
              <w:tc>
                <w:tcPr>
                  <w:tcW w:w="645" w:type="dxa"/>
                  <w:tcBorders>
                    <w:tl2br w:val="nil"/>
                    <w:tr2bl w:val="nil"/>
                  </w:tcBorders>
                  <w:shd w:val="clear" w:color="auto" w:fill="auto"/>
                  <w:noWrap w:val="0"/>
                  <w:vAlign w:val="center"/>
                </w:tcPr>
                <w:p w14:paraId="270E2AF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30F64F7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DA003</w:t>
                  </w:r>
                </w:p>
              </w:tc>
              <w:tc>
                <w:tcPr>
                  <w:tcW w:w="722" w:type="dxa"/>
                  <w:tcBorders>
                    <w:tl2br w:val="nil"/>
                    <w:tr2bl w:val="nil"/>
                  </w:tcBorders>
                  <w:shd w:val="clear" w:color="auto" w:fill="auto"/>
                  <w:noWrap w:val="0"/>
                  <w:vAlign w:val="center"/>
                </w:tcPr>
                <w:p w14:paraId="0A070B4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564BA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2A5DC1E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类型</w:t>
                  </w:r>
                </w:p>
              </w:tc>
              <w:tc>
                <w:tcPr>
                  <w:tcW w:w="1139" w:type="dxa"/>
                  <w:tcBorders>
                    <w:tl2br w:val="nil"/>
                    <w:tr2bl w:val="nil"/>
                  </w:tcBorders>
                  <w:noWrap w:val="0"/>
                  <w:vAlign w:val="center"/>
                </w:tcPr>
                <w:p w14:paraId="47C3A40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一般排放口</w:t>
                  </w:r>
                </w:p>
              </w:tc>
              <w:tc>
                <w:tcPr>
                  <w:tcW w:w="735" w:type="dxa"/>
                  <w:tcBorders>
                    <w:tl2br w:val="nil"/>
                    <w:tr2bl w:val="nil"/>
                  </w:tcBorders>
                  <w:noWrap w:val="0"/>
                  <w:vAlign w:val="center"/>
                </w:tcPr>
                <w:p w14:paraId="20E4AAB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320" w:type="dxa"/>
                  <w:tcBorders>
                    <w:tl2br w:val="nil"/>
                    <w:tr2bl w:val="nil"/>
                  </w:tcBorders>
                  <w:shd w:val="clear" w:color="auto" w:fill="auto"/>
                  <w:noWrap w:val="0"/>
                  <w:vAlign w:val="center"/>
                </w:tcPr>
                <w:p w14:paraId="7A4CAEA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一般排放口</w:t>
                  </w:r>
                </w:p>
              </w:tc>
              <w:tc>
                <w:tcPr>
                  <w:tcW w:w="645" w:type="dxa"/>
                  <w:tcBorders>
                    <w:tl2br w:val="nil"/>
                    <w:tr2bl w:val="nil"/>
                  </w:tcBorders>
                  <w:shd w:val="clear" w:color="auto" w:fill="auto"/>
                  <w:noWrap w:val="0"/>
                  <w:vAlign w:val="center"/>
                </w:tcPr>
                <w:p w14:paraId="74CC020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c>
                <w:tcPr>
                  <w:tcW w:w="1035" w:type="dxa"/>
                  <w:tcBorders>
                    <w:tl2br w:val="nil"/>
                    <w:tr2bl w:val="nil"/>
                  </w:tcBorders>
                  <w:shd w:val="clear" w:color="auto" w:fill="auto"/>
                  <w:noWrap w:val="0"/>
                  <w:vAlign w:val="center"/>
                </w:tcPr>
                <w:p w14:paraId="530F5FC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一般排放口</w:t>
                  </w:r>
                </w:p>
              </w:tc>
              <w:tc>
                <w:tcPr>
                  <w:tcW w:w="722" w:type="dxa"/>
                  <w:tcBorders>
                    <w:tl2br w:val="nil"/>
                    <w:tr2bl w:val="nil"/>
                  </w:tcBorders>
                  <w:shd w:val="clear" w:color="auto" w:fill="auto"/>
                  <w:noWrap w:val="0"/>
                  <w:vAlign w:val="center"/>
                </w:tcPr>
                <w:p w14:paraId="1C4BE93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5725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10" w:type="dxa"/>
                  <w:gridSpan w:val="2"/>
                  <w:tcBorders>
                    <w:tl2br w:val="nil"/>
                    <w:tr2bl w:val="nil"/>
                  </w:tcBorders>
                  <w:noWrap w:val="0"/>
                  <w:vAlign w:val="center"/>
                </w:tcPr>
                <w:p w14:paraId="4204EF0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地理坐标</w:t>
                  </w:r>
                </w:p>
              </w:tc>
              <w:tc>
                <w:tcPr>
                  <w:tcW w:w="1139" w:type="dxa"/>
                  <w:tcBorders>
                    <w:tl2br w:val="nil"/>
                    <w:tr2bl w:val="nil"/>
                  </w:tcBorders>
                  <w:noWrap w:val="0"/>
                  <w:vAlign w:val="center"/>
                </w:tcPr>
                <w:p w14:paraId="03E28A6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102.21110593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E</w:t>
                  </w:r>
                  <w:r>
                    <w:rPr>
                      <w:rStyle w:val="64"/>
                      <w:rFonts w:hint="default" w:ascii="Times New Roman" w:hAnsi="Times New Roman" w:eastAsia="宋体" w:cs="Times New Roman"/>
                      <w:strike w:val="0"/>
                      <w:dstrike w:val="0"/>
                      <w:color w:val="auto"/>
                      <w:sz w:val="21"/>
                      <w:szCs w:val="21"/>
                      <w:highlight w:val="none"/>
                      <w:lang w:val="en-US" w:eastAsia="zh-CN" w:bidi="ar"/>
                    </w:rPr>
                    <w:t>，</w:t>
                  </w:r>
                  <w:r>
                    <w:rPr>
                      <w:rFonts w:hint="default" w:ascii="Times New Roman" w:hAnsi="Times New Roman" w:eastAsia="宋体" w:cs="Times New Roman"/>
                      <w:b w:val="0"/>
                      <w:bCs w:val="0"/>
                      <w:strike w:val="0"/>
                      <w:dstrike w:val="0"/>
                      <w:color w:val="auto"/>
                      <w:kern w:val="0"/>
                      <w:sz w:val="21"/>
                      <w:szCs w:val="21"/>
                      <w:highlight w:val="none"/>
                      <w:lang w:val="en-US" w:eastAsia="zh-CN"/>
                    </w:rPr>
                    <w:t>24.76235204</w:t>
                  </w:r>
                  <w:r>
                    <w:rPr>
                      <w:rStyle w:val="64"/>
                      <w:rFonts w:hint="default" w:ascii="Times New Roman" w:hAnsi="Times New Roman" w:eastAsia="宋体" w:cs="Times New Roman"/>
                      <w:strike w:val="0"/>
                      <w:dstrike w:val="0"/>
                      <w:color w:val="auto"/>
                      <w:sz w:val="21"/>
                      <w:szCs w:val="21"/>
                      <w:highlight w:val="none"/>
                      <w:lang w:val="en-US" w:eastAsia="zh-CN" w:bidi="ar"/>
                    </w:rPr>
                    <w:t>N</w:t>
                  </w:r>
                </w:p>
              </w:tc>
              <w:tc>
                <w:tcPr>
                  <w:tcW w:w="735" w:type="dxa"/>
                  <w:tcBorders>
                    <w:tl2br w:val="nil"/>
                    <w:tr2bl w:val="nil"/>
                  </w:tcBorders>
                  <w:noWrap w:val="0"/>
                  <w:vAlign w:val="center"/>
                </w:tcPr>
                <w:p w14:paraId="01BFE216">
                  <w:pPr>
                    <w:keepNext w:val="0"/>
                    <w:keepLines w:val="0"/>
                    <w:pageBreakBefore w:val="0"/>
                    <w:widowControl/>
                    <w:suppressLineNumbers w:val="0"/>
                    <w:kinsoku/>
                    <w:overflowPunct/>
                    <w:topLinePunct/>
                    <w:autoSpaceDE w:val="0"/>
                    <w:bidi w:val="0"/>
                    <w:jc w:val="center"/>
                    <w:textAlignment w:val="center"/>
                    <w:rPr>
                      <w:rStyle w:val="64"/>
                      <w:rFonts w:hint="default" w:ascii="Times New Roman" w:hAnsi="Times New Roman" w:eastAsia="宋体" w:cs="Times New Roman"/>
                      <w:strike w:val="0"/>
                      <w:dstrike w:val="0"/>
                      <w:color w:val="auto"/>
                      <w:sz w:val="21"/>
                      <w:szCs w:val="21"/>
                      <w:highlight w:val="none"/>
                      <w:lang w:val="en-US" w:eastAsia="zh-CN" w:bidi="ar"/>
                    </w:rPr>
                  </w:pPr>
                  <w:r>
                    <w:rPr>
                      <w:rStyle w:val="64"/>
                      <w:rFonts w:hint="default" w:ascii="Times New Roman" w:hAnsi="Times New Roman" w:eastAsia="宋体" w:cs="Times New Roman"/>
                      <w:strike w:val="0"/>
                      <w:dstrike w:val="0"/>
                      <w:color w:val="auto"/>
                      <w:sz w:val="21"/>
                      <w:szCs w:val="21"/>
                      <w:highlight w:val="none"/>
                      <w:lang w:val="en-US" w:eastAsia="zh-CN" w:bidi="ar"/>
                    </w:rPr>
                    <w:t>/</w:t>
                  </w:r>
                </w:p>
              </w:tc>
              <w:tc>
                <w:tcPr>
                  <w:tcW w:w="1320" w:type="dxa"/>
                  <w:tcBorders>
                    <w:tl2br w:val="nil"/>
                    <w:tr2bl w:val="nil"/>
                  </w:tcBorders>
                  <w:noWrap w:val="0"/>
                  <w:vAlign w:val="center"/>
                </w:tcPr>
                <w:p w14:paraId="3AF854CE">
                  <w:pPr>
                    <w:keepNext w:val="0"/>
                    <w:keepLines w:val="0"/>
                    <w:pageBreakBefore w:val="0"/>
                    <w:widowControl/>
                    <w:suppressLineNumbers w:val="0"/>
                    <w:kinsoku/>
                    <w:overflowPunct/>
                    <w:topLinePunct/>
                    <w:autoSpaceDE w:val="0"/>
                    <w:bidi w:val="0"/>
                    <w:jc w:val="center"/>
                    <w:textAlignment w:val="center"/>
                    <w:rPr>
                      <w:rStyle w:val="64"/>
                      <w:rFonts w:hint="default" w:ascii="Times New Roman" w:hAnsi="Times New Roman" w:eastAsia="宋体" w:cs="Times New Roman"/>
                      <w:strike w:val="0"/>
                      <w:dstrike w:val="0"/>
                      <w:color w:val="auto"/>
                      <w:sz w:val="21"/>
                      <w:szCs w:val="21"/>
                      <w:highlight w:val="none"/>
                      <w:lang w:val="en-US" w:eastAsia="zh-CN" w:bidi="ar"/>
                    </w:rPr>
                  </w:pPr>
                  <w:r>
                    <w:rPr>
                      <w:rFonts w:hint="default" w:ascii="Times New Roman" w:hAnsi="Times New Roman" w:eastAsia="宋体" w:cs="Times New Roman"/>
                      <w:b w:val="0"/>
                      <w:bCs w:val="0"/>
                      <w:strike w:val="0"/>
                      <w:dstrike w:val="0"/>
                      <w:color w:val="auto"/>
                      <w:kern w:val="0"/>
                      <w:sz w:val="21"/>
                      <w:szCs w:val="21"/>
                      <w:highlight w:val="none"/>
                      <w:lang w:val="en-US" w:eastAsia="zh-CN"/>
                    </w:rPr>
                    <w:t>102.21111664E，24.76239952N</w:t>
                  </w:r>
                </w:p>
              </w:tc>
              <w:tc>
                <w:tcPr>
                  <w:tcW w:w="645" w:type="dxa"/>
                  <w:tcBorders>
                    <w:tl2br w:val="nil"/>
                    <w:tr2bl w:val="nil"/>
                  </w:tcBorders>
                  <w:shd w:val="clear" w:color="auto" w:fill="auto"/>
                  <w:noWrap w:val="0"/>
                  <w:vAlign w:val="center"/>
                </w:tcPr>
                <w:p w14:paraId="578E43D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strike w:val="0"/>
                      <w:dstrike w:val="0"/>
                      <w:color w:val="auto"/>
                      <w:kern w:val="2"/>
                      <w:sz w:val="21"/>
                      <w:szCs w:val="21"/>
                      <w:highlight w:val="none"/>
                      <w:u w:val="none"/>
                      <w:lang w:val="en-US" w:eastAsia="zh-CN" w:bidi="ar"/>
                    </w:rPr>
                  </w:pPr>
                  <w:r>
                    <w:rPr>
                      <w:rStyle w:val="64"/>
                      <w:rFonts w:hint="default" w:ascii="Times New Roman" w:hAnsi="Times New Roman" w:eastAsia="宋体" w:cs="Times New Roman"/>
                      <w:strike w:val="0"/>
                      <w:dstrike w:val="0"/>
                      <w:color w:val="auto"/>
                      <w:sz w:val="21"/>
                      <w:szCs w:val="21"/>
                      <w:highlight w:val="none"/>
                      <w:lang w:val="en-US" w:eastAsia="zh-CN" w:bidi="ar"/>
                    </w:rPr>
                    <w:t>/</w:t>
                  </w:r>
                </w:p>
              </w:tc>
              <w:tc>
                <w:tcPr>
                  <w:tcW w:w="1035" w:type="dxa"/>
                  <w:tcBorders>
                    <w:tl2br w:val="nil"/>
                    <w:tr2bl w:val="nil"/>
                  </w:tcBorders>
                  <w:noWrap w:val="0"/>
                  <w:vAlign w:val="center"/>
                </w:tcPr>
                <w:p w14:paraId="0A802199">
                  <w:pPr>
                    <w:keepNext w:val="0"/>
                    <w:keepLines w:val="0"/>
                    <w:pageBreakBefore w:val="0"/>
                    <w:widowControl/>
                    <w:suppressLineNumbers w:val="0"/>
                    <w:kinsoku/>
                    <w:overflowPunct/>
                    <w:topLinePunct/>
                    <w:autoSpaceDE w:val="0"/>
                    <w:bidi w:val="0"/>
                    <w:jc w:val="center"/>
                    <w:textAlignment w:val="center"/>
                    <w:rPr>
                      <w:rStyle w:val="64"/>
                      <w:rFonts w:hint="default" w:ascii="Times New Roman" w:hAnsi="Times New Roman" w:eastAsia="宋体" w:cs="Times New Roman"/>
                      <w:strike w:val="0"/>
                      <w:dstrike w:val="0"/>
                      <w:color w:val="auto"/>
                      <w:sz w:val="21"/>
                      <w:szCs w:val="21"/>
                      <w:highlight w:val="none"/>
                      <w:lang w:val="en-US" w:eastAsia="zh-CN" w:bidi="ar"/>
                    </w:rPr>
                  </w:pPr>
                  <w:r>
                    <w:rPr>
                      <w:rFonts w:hint="default" w:ascii="Times New Roman" w:hAnsi="Times New Roman" w:eastAsia="宋体" w:cs="Times New Roman"/>
                      <w:b w:val="0"/>
                      <w:bCs w:val="0"/>
                      <w:strike w:val="0"/>
                      <w:dstrike w:val="0"/>
                      <w:color w:val="auto"/>
                      <w:kern w:val="0"/>
                      <w:sz w:val="21"/>
                      <w:szCs w:val="21"/>
                      <w:highlight w:val="none"/>
                      <w:lang w:val="en-US" w:eastAsia="zh-CN"/>
                    </w:rPr>
                    <w:t>102.21111664E，24.76239952N</w:t>
                  </w:r>
                </w:p>
              </w:tc>
              <w:tc>
                <w:tcPr>
                  <w:tcW w:w="722" w:type="dxa"/>
                  <w:tcBorders>
                    <w:tl2br w:val="nil"/>
                    <w:tr2bl w:val="nil"/>
                  </w:tcBorders>
                  <w:shd w:val="clear" w:color="auto" w:fill="auto"/>
                  <w:noWrap w:val="0"/>
                  <w:vAlign w:val="center"/>
                </w:tcPr>
                <w:p w14:paraId="4675BA7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strike w:val="0"/>
                      <w:dstrike w:val="0"/>
                      <w:color w:val="auto"/>
                      <w:kern w:val="2"/>
                      <w:sz w:val="21"/>
                      <w:szCs w:val="21"/>
                      <w:highlight w:val="none"/>
                      <w:u w:val="none"/>
                      <w:lang w:val="en-US" w:eastAsia="zh-CN" w:bidi="ar"/>
                    </w:rPr>
                  </w:pPr>
                  <w:r>
                    <w:rPr>
                      <w:rStyle w:val="64"/>
                      <w:rFonts w:hint="default" w:ascii="Times New Roman" w:hAnsi="Times New Roman" w:eastAsia="宋体" w:cs="Times New Roman"/>
                      <w:strike w:val="0"/>
                      <w:dstrike w:val="0"/>
                      <w:color w:val="auto"/>
                      <w:sz w:val="21"/>
                      <w:szCs w:val="21"/>
                      <w:highlight w:val="none"/>
                      <w:lang w:val="en-US" w:eastAsia="zh-CN" w:bidi="ar"/>
                    </w:rPr>
                    <w:t>/</w:t>
                  </w:r>
                </w:p>
              </w:tc>
            </w:tr>
          </w:tbl>
          <w:p w14:paraId="6203E1A8">
            <w:pPr>
              <w:keepNext w:val="0"/>
              <w:keepLines w:val="0"/>
              <w:pageBreakBefore w:val="0"/>
              <w:widowControl w:val="0"/>
              <w:kinsoku/>
              <w:wordWrap/>
              <w:overflowPunct/>
              <w:topLinePunct/>
              <w:autoSpaceDE w:val="0"/>
              <w:autoSpaceDN/>
              <w:bidi w:val="0"/>
              <w:adjustRightInd/>
              <w:snapToGrid/>
              <w:spacing w:line="360" w:lineRule="auto"/>
              <w:ind w:lef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pacing w:val="-5"/>
                <w:sz w:val="24"/>
                <w:szCs w:val="24"/>
                <w:highlight w:val="none"/>
              </w:rPr>
              <w:t>抛轮生产废气</w:t>
            </w:r>
          </w:p>
          <w:p w14:paraId="10A6D263">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①投料粉尘（G</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w:t>
            </w:r>
          </w:p>
          <w:p w14:paraId="31CB050D">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投料过程中会产生粉尘，根据《逸散性工业粉尘控制技术》（中国环境科学出版社），投料逸散尘源排放因子为0.015kg/t（原料）计算，项目抛轮生产配料原料为</w:t>
            </w:r>
            <w:r>
              <w:rPr>
                <w:rFonts w:hint="default" w:ascii="Times New Roman" w:hAnsi="Times New Roman" w:eastAsia="宋体" w:cs="Times New Roman"/>
                <w:color w:val="auto"/>
                <w:sz w:val="24"/>
                <w:szCs w:val="24"/>
                <w:highlight w:val="none"/>
                <w:lang w:val="en-US" w:eastAsia="zh-CN"/>
              </w:rPr>
              <w:t>16.2</w:t>
            </w:r>
            <w:r>
              <w:rPr>
                <w:rFonts w:hint="default" w:ascii="Times New Roman" w:hAnsi="Times New Roman" w:eastAsia="宋体" w:cs="Times New Roman"/>
                <w:color w:val="auto"/>
                <w:sz w:val="24"/>
                <w:szCs w:val="24"/>
                <w:highlight w:val="none"/>
              </w:rPr>
              <w:t>t/a，投料粉尘产生量为0.0</w:t>
            </w:r>
            <w:r>
              <w:rPr>
                <w:rFonts w:hint="default" w:ascii="Times New Roman" w:hAnsi="Times New Roman" w:eastAsia="宋体"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0.00</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kg/h。</w:t>
            </w:r>
          </w:p>
          <w:p w14:paraId="459D7878">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②车圆粉尘（G</w:t>
            </w:r>
            <w:r>
              <w:rPr>
                <w:rFonts w:hint="default"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w:t>
            </w:r>
          </w:p>
          <w:p w14:paraId="53696EE6">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模具成型后需将</w:t>
            </w:r>
            <w:r>
              <w:rPr>
                <w:rFonts w:hint="default" w:ascii="Times New Roman" w:hAnsi="Times New Roman" w:eastAsia="宋体" w:cs="Times New Roman"/>
                <w:color w:val="auto"/>
                <w:spacing w:val="-5"/>
                <w:sz w:val="24"/>
                <w:szCs w:val="24"/>
                <w:highlight w:val="none"/>
              </w:rPr>
              <w:t>抛轮表面车成平面，使抛轮表面光滑，车园过程产生少量粉尘，</w:t>
            </w:r>
            <w:r>
              <w:rPr>
                <w:rFonts w:hint="default" w:ascii="Times New Roman" w:hAnsi="Times New Roman" w:eastAsia="宋体" w:cs="Times New Roman"/>
                <w:color w:val="auto"/>
                <w:spacing w:val="-8"/>
                <w:sz w:val="24"/>
                <w:szCs w:val="24"/>
                <w:highlight w:val="none"/>
              </w:rPr>
              <w:t>参考《排放源统计调查产排污核算方法和系数手册》中机械行业06预处理核算环节：</w:t>
            </w:r>
            <w:r>
              <w:rPr>
                <w:rFonts w:hint="default" w:ascii="Times New Roman" w:hAnsi="Times New Roman" w:eastAsia="宋体" w:cs="Times New Roman"/>
                <w:color w:val="auto"/>
                <w:spacing w:val="-2"/>
                <w:sz w:val="24"/>
                <w:szCs w:val="24"/>
                <w:highlight w:val="none"/>
              </w:rPr>
              <w:t>打磨工艺颗粒物产污系数按2.19kg/（t</w:t>
            </w:r>
            <w:r>
              <w:rPr>
                <w:rFonts w:hint="default"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rPr>
              <w:t>原料）计算，</w:t>
            </w:r>
            <w:r>
              <w:rPr>
                <w:rFonts w:hint="default" w:ascii="Times New Roman" w:hAnsi="Times New Roman" w:eastAsia="宋体" w:cs="Times New Roman"/>
                <w:color w:val="auto"/>
                <w:spacing w:val="-3"/>
                <w:sz w:val="24"/>
                <w:szCs w:val="24"/>
                <w:highlight w:val="none"/>
              </w:rPr>
              <w:t>本项目抛轮量约</w:t>
            </w:r>
            <w:r>
              <w:rPr>
                <w:rFonts w:hint="default" w:ascii="Times New Roman" w:hAnsi="Times New Roman" w:eastAsia="宋体" w:cs="Times New Roman"/>
                <w:color w:val="auto"/>
                <w:spacing w:val="-3"/>
                <w:sz w:val="24"/>
                <w:szCs w:val="24"/>
                <w:highlight w:val="none"/>
                <w:lang w:val="en-US" w:eastAsia="zh-CN"/>
              </w:rPr>
              <w:t>90</w:t>
            </w:r>
            <w:r>
              <w:rPr>
                <w:rFonts w:hint="default" w:ascii="Times New Roman" w:hAnsi="Times New Roman" w:eastAsia="宋体" w:cs="Times New Roman"/>
                <w:color w:val="auto"/>
                <w:spacing w:val="-3"/>
                <w:sz w:val="24"/>
                <w:szCs w:val="24"/>
                <w:highlight w:val="none"/>
              </w:rPr>
              <w:t>t/a，则打</w:t>
            </w:r>
            <w:r>
              <w:rPr>
                <w:rFonts w:hint="default" w:ascii="Times New Roman" w:hAnsi="Times New Roman" w:eastAsia="宋体" w:cs="Times New Roman"/>
                <w:color w:val="auto"/>
                <w:spacing w:val="-4"/>
                <w:sz w:val="24"/>
                <w:szCs w:val="24"/>
                <w:highlight w:val="none"/>
              </w:rPr>
              <w:t>磨粉尘产生量为</w:t>
            </w:r>
            <w:r>
              <w:rPr>
                <w:rFonts w:hint="default" w:ascii="Times New Roman" w:hAnsi="Times New Roman" w:eastAsia="宋体" w:cs="Times New Roman"/>
                <w:color w:val="auto"/>
                <w:spacing w:val="-4"/>
                <w:sz w:val="24"/>
                <w:szCs w:val="24"/>
                <w:highlight w:val="none"/>
                <w:lang w:val="en-US" w:eastAsia="zh-CN"/>
              </w:rPr>
              <w:t>0.197</w:t>
            </w:r>
            <w:r>
              <w:rPr>
                <w:rFonts w:hint="default" w:ascii="Times New Roman" w:hAnsi="Times New Roman" w:eastAsia="宋体" w:cs="Times New Roman"/>
                <w:color w:val="auto"/>
                <w:spacing w:val="-4"/>
                <w:sz w:val="24"/>
                <w:szCs w:val="24"/>
                <w:highlight w:val="none"/>
              </w:rPr>
              <w:t>t/a，产生速率</w:t>
            </w:r>
            <w:r>
              <w:rPr>
                <w:rFonts w:hint="default" w:ascii="Times New Roman" w:hAnsi="Times New Roman" w:eastAsia="宋体" w:cs="Times New Roman"/>
                <w:color w:val="auto"/>
                <w:spacing w:val="-4"/>
                <w:sz w:val="24"/>
                <w:szCs w:val="24"/>
                <w:highlight w:val="none"/>
                <w:lang w:val="en-US" w:eastAsia="zh-CN"/>
              </w:rPr>
              <w:t>0.07</w:t>
            </w:r>
            <w:r>
              <w:rPr>
                <w:rFonts w:hint="default" w:ascii="Times New Roman" w:hAnsi="Times New Roman" w:eastAsia="宋体" w:cs="Times New Roman"/>
                <w:color w:val="auto"/>
                <w:spacing w:val="-4"/>
                <w:sz w:val="24"/>
                <w:szCs w:val="24"/>
                <w:highlight w:val="none"/>
              </w:rPr>
              <w:t>kg/h。</w:t>
            </w:r>
          </w:p>
          <w:p w14:paraId="69652137">
            <w:pPr>
              <w:keepNext w:val="0"/>
              <w:keepLines w:val="0"/>
              <w:pageBreakBefore w:val="0"/>
              <w:widowControl w:val="0"/>
              <w:kinsoku/>
              <w:wordWrap/>
              <w:overflowPunct/>
              <w:topLinePunct/>
              <w:autoSpaceDE w:val="0"/>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业主提供资料，</w:t>
            </w:r>
            <w:r>
              <w:rPr>
                <w:rFonts w:hint="default" w:ascii="Times New Roman" w:hAnsi="Times New Roman" w:eastAsia="宋体" w:cs="Times New Roman"/>
                <w:color w:val="auto"/>
                <w:sz w:val="24"/>
                <w:szCs w:val="24"/>
                <w:highlight w:val="none"/>
              </w:rPr>
              <w:t>在投料机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车外圆</w:t>
            </w:r>
            <w:r>
              <w:rPr>
                <w:rFonts w:hint="default" w:ascii="Times New Roman" w:hAnsi="Times New Roman" w:eastAsia="宋体" w:cs="Times New Roman"/>
                <w:color w:val="auto"/>
                <w:sz w:val="24"/>
                <w:szCs w:val="24"/>
                <w:highlight w:val="none"/>
              </w:rPr>
              <w:t>上方</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设置1个集气罩</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eastAsia="zh-CN"/>
              </w:rPr>
              <w:t>台面前端、两侧设可调式吸风口，形成环形负压区，</w:t>
            </w:r>
            <w:r>
              <w:rPr>
                <w:rFonts w:hint="default" w:ascii="Times New Roman" w:hAnsi="Times New Roman" w:eastAsia="宋体" w:cs="Times New Roman"/>
                <w:color w:val="auto"/>
                <w:sz w:val="24"/>
                <w:szCs w:val="24"/>
                <w:highlight w:val="none"/>
                <w:lang w:val="en-US" w:eastAsia="zh-CN"/>
              </w:rPr>
              <w:t>风量</w:t>
            </w:r>
            <w:r>
              <w:rPr>
                <w:rFonts w:hint="eastAsia" w:ascii="Times New Roman" w:hAnsi="Times New Roman" w:eastAsia="宋体" w:cs="Times New Roman"/>
                <w:color w:val="auto"/>
                <w:sz w:val="24"/>
                <w:szCs w:val="24"/>
                <w:highlight w:val="none"/>
                <w:lang w:val="en-US" w:eastAsia="zh-CN"/>
              </w:rPr>
              <w:t>不小于</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000m³/h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，收集率</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共设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个集气罩，合计总风量为</w:t>
            </w:r>
            <w:r>
              <w:rPr>
                <w:rFonts w:hint="default" w:ascii="Times New Roman" w:hAnsi="Times New Roman" w:eastAsia="宋体" w:cs="Times New Roman"/>
                <w:color w:val="auto"/>
                <w:sz w:val="24"/>
                <w:szCs w:val="24"/>
                <w:highlight w:val="none"/>
                <w:lang w:val="en-US" w:eastAsia="zh-CN"/>
              </w:rPr>
              <w:t>2000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7CD7CE4B">
            <w:pPr>
              <w:keepNext w:val="0"/>
              <w:keepLines w:val="0"/>
              <w:pageBreakBefore w:val="0"/>
              <w:widowControl w:val="0"/>
              <w:kinsoku/>
              <w:wordWrap/>
              <w:overflowPunct/>
              <w:topLinePunct/>
              <w:autoSpaceDE w:val="0"/>
              <w:autoSpaceDN/>
              <w:bidi w:val="0"/>
              <w:adjustRightInd/>
              <w:snapToGrid/>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抛轮投料粉尘、车圆粉尘经集气罩收集后由</w:t>
            </w:r>
            <w:r>
              <w:rPr>
                <w:rFonts w:hint="default" w:ascii="Times New Roman" w:hAnsi="Times New Roman" w:eastAsia="宋体" w:cs="Times New Roman"/>
                <w:color w:val="auto"/>
                <w:spacing w:val="1"/>
                <w:sz w:val="24"/>
                <w:szCs w:val="24"/>
                <w:highlight w:val="none"/>
              </w:rPr>
              <w:t>布袋除尘器处理后通过15m高排气</w:t>
            </w:r>
            <w:r>
              <w:rPr>
                <w:rFonts w:hint="default" w:ascii="Times New Roman" w:hAnsi="Times New Roman" w:eastAsia="宋体" w:cs="Times New Roman"/>
                <w:color w:val="auto"/>
                <w:sz w:val="24"/>
                <w:szCs w:val="24"/>
                <w:highlight w:val="none"/>
              </w:rPr>
              <w:t>筒排放；集气罩集气效率取</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lang w:val="en-US" w:eastAsia="zh-CN"/>
              </w:rPr>
              <w:t>则收集量为0.186</w:t>
            </w:r>
            <w:r>
              <w:rPr>
                <w:rFonts w:hint="default" w:ascii="Times New Roman" w:hAnsi="Times New Roman" w:eastAsia="宋体" w:cs="Times New Roman"/>
                <w:strike w:val="0"/>
                <w:dstrike w:val="0"/>
                <w:color w:val="auto"/>
                <w:spacing w:val="1"/>
                <w:sz w:val="24"/>
                <w:szCs w:val="24"/>
                <w:highlight w:val="none"/>
              </w:rPr>
              <w:t>t/a</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rPr>
              <w:t>布袋除尘装置去除效率取99%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则有组织粉尘排放量为</w:t>
            </w:r>
            <w:r>
              <w:rPr>
                <w:rFonts w:hint="default" w:ascii="Times New Roman" w:hAnsi="Times New Roman" w:eastAsia="宋体" w:cs="Times New Roman"/>
                <w:color w:val="auto"/>
                <w:spacing w:val="-1"/>
                <w:sz w:val="24"/>
                <w:szCs w:val="24"/>
                <w:highlight w:val="none"/>
                <w:lang w:val="en-US" w:eastAsia="zh-CN"/>
              </w:rPr>
              <w:t>0.002</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z w:val="24"/>
                <w:szCs w:val="24"/>
                <w:highlight w:val="none"/>
              </w:rPr>
              <w:t>排放速率</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pacing w:val="-1"/>
                <w:sz w:val="24"/>
                <w:szCs w:val="24"/>
                <w:highlight w:val="none"/>
                <w:lang w:val="en-US" w:eastAsia="zh-CN"/>
              </w:rPr>
              <w:t>0.001</w:t>
            </w:r>
            <w:r>
              <w:rPr>
                <w:rFonts w:hint="default" w:ascii="Times New Roman" w:hAnsi="Times New Roman" w:eastAsia="宋体" w:cs="Times New Roman"/>
                <w:color w:val="auto"/>
                <w:spacing w:val="-1"/>
                <w:sz w:val="24"/>
                <w:szCs w:val="24"/>
                <w:highlight w:val="none"/>
              </w:rPr>
              <w:t>kg/h</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为0.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b w:val="0"/>
                <w:bCs w:val="0"/>
                <w:strike w:val="0"/>
                <w:dstrike w:val="0"/>
                <w:color w:val="auto"/>
                <w:sz w:val="24"/>
                <w:szCs w:val="24"/>
                <w:highlight w:val="none"/>
              </w:rPr>
              <w:t>mg</w:t>
            </w:r>
            <w:r>
              <w:rPr>
                <w:rFonts w:hint="default" w:ascii="Times New Roman" w:hAnsi="Times New Roman" w:eastAsia="宋体" w:cs="Times New Roman"/>
                <w:b w:val="0"/>
                <w:bCs w:val="0"/>
                <w:strike w:val="0"/>
                <w:dstrike w:val="0"/>
                <w:color w:val="auto"/>
                <w:spacing w:val="2"/>
                <w:sz w:val="24"/>
                <w:szCs w:val="24"/>
                <w:highlight w:val="none"/>
              </w:rPr>
              <w:t>/m</w:t>
            </w:r>
            <w:r>
              <w:rPr>
                <w:rFonts w:hint="default" w:ascii="Times New Roman" w:hAnsi="Times New Roman" w:eastAsia="宋体" w:cs="Times New Roman"/>
                <w:b w:val="0"/>
                <w:bCs w:val="0"/>
                <w:strike w:val="0"/>
                <w:dstrike w:val="0"/>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rPr>
              <w:t>未收集颗粒物</w:t>
            </w:r>
            <w:r>
              <w:rPr>
                <w:rFonts w:hint="default" w:ascii="Times New Roman" w:hAnsi="Times New Roman" w:eastAsia="宋体" w:cs="Times New Roman"/>
                <w:color w:val="auto"/>
                <w:spacing w:val="-6"/>
                <w:sz w:val="24"/>
                <w:szCs w:val="24"/>
                <w:highlight w:val="none"/>
                <w:lang w:val="en-US" w:eastAsia="zh-CN"/>
              </w:rPr>
              <w:t>产生量为</w:t>
            </w:r>
            <w:r>
              <w:rPr>
                <w:rFonts w:hint="default" w:ascii="Times New Roman" w:hAnsi="Times New Roman" w:eastAsia="宋体" w:cs="Times New Roman"/>
                <w:color w:val="auto"/>
                <w:spacing w:val="-1"/>
                <w:sz w:val="24"/>
                <w:szCs w:val="24"/>
                <w:highlight w:val="none"/>
              </w:rPr>
              <w:t>0.</w:t>
            </w:r>
            <w:r>
              <w:rPr>
                <w:rFonts w:hint="default" w:ascii="Times New Roman" w:hAnsi="Times New Roman" w:eastAsia="宋体" w:cs="Times New Roman"/>
                <w:color w:val="auto"/>
                <w:spacing w:val="-1"/>
                <w:sz w:val="24"/>
                <w:szCs w:val="24"/>
                <w:highlight w:val="none"/>
                <w:lang w:val="en-US" w:eastAsia="zh-CN"/>
              </w:rPr>
              <w:t>03</w:t>
            </w:r>
            <w:r>
              <w:rPr>
                <w:rFonts w:hint="default" w:ascii="Times New Roman" w:hAnsi="Times New Roman" w:eastAsia="宋体" w:cs="Times New Roman"/>
                <w:color w:val="auto"/>
                <w:spacing w:val="-1"/>
                <w:sz w:val="24"/>
                <w:szCs w:val="24"/>
                <w:highlight w:val="none"/>
              </w:rPr>
              <w:t>t/a</w:t>
            </w:r>
            <w:r>
              <w:rPr>
                <w:rFonts w:hint="default" w:ascii="Times New Roman" w:hAnsi="Times New Roman" w:eastAsia="宋体" w:cs="Times New Roman"/>
                <w:color w:val="auto"/>
                <w:spacing w:val="-6"/>
                <w:sz w:val="24"/>
                <w:szCs w:val="24"/>
                <w:highlight w:val="none"/>
                <w:lang w:val="en-US" w:eastAsia="zh-CN"/>
              </w:rPr>
              <w:t>，</w:t>
            </w:r>
            <w:r>
              <w:rPr>
                <w:rFonts w:hint="default" w:ascii="Times New Roman" w:hAnsi="Times New Roman" w:eastAsia="宋体" w:cs="Times New Roman"/>
                <w:color w:val="auto"/>
                <w:sz w:val="24"/>
                <w:szCs w:val="24"/>
                <w:highlight w:val="none"/>
              </w:rPr>
              <w:t>于</w:t>
            </w:r>
            <w:r>
              <w:rPr>
                <w:rFonts w:hint="default" w:ascii="Times New Roman" w:hAnsi="Times New Roman" w:eastAsia="宋体" w:cs="Times New Roman"/>
                <w:color w:val="auto"/>
                <w:spacing w:val="-6"/>
                <w:sz w:val="24"/>
                <w:szCs w:val="24"/>
                <w:highlight w:val="none"/>
              </w:rPr>
              <w:t>车间内无组织排放，通过加强车间机械通风处理。</w:t>
            </w:r>
            <w:r>
              <w:rPr>
                <w:rFonts w:hint="eastAsia" w:cs="Times New Roman"/>
                <w:color w:val="auto"/>
                <w:sz w:val="24"/>
                <w:szCs w:val="24"/>
                <w:highlight w:val="none"/>
                <w:lang w:val="en-US" w:eastAsia="zh-CN"/>
              </w:rPr>
              <w:t>具体排放情况见下表。</w:t>
            </w:r>
          </w:p>
          <w:p w14:paraId="6765FCE8">
            <w:pPr>
              <w:keepNext w:val="0"/>
              <w:keepLines w:val="0"/>
              <w:pageBreakBefore w:val="0"/>
              <w:widowControl/>
              <w:suppressLineNumbers w:val="0"/>
              <w:kinsoku/>
              <w:wordWrap/>
              <w:overflowPunct/>
              <w:topLinePunct/>
              <w:autoSpaceDE w:val="0"/>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strike w:val="0"/>
                <w:dstrike w:val="0"/>
                <w:color w:val="auto"/>
                <w:spacing w:val="5"/>
                <w:sz w:val="21"/>
                <w:szCs w:val="21"/>
                <w:highlight w:val="none"/>
                <w:lang w:val="en-US" w:eastAsia="zh-CN"/>
              </w:rPr>
            </w:pPr>
            <w:r>
              <w:rPr>
                <w:rFonts w:hint="default" w:ascii="Times New Roman" w:hAnsi="Times New Roman" w:eastAsia="宋体" w:cs="Times New Roman"/>
                <w:b/>
                <w:bCs/>
                <w:strike w:val="0"/>
                <w:dstrike w:val="0"/>
                <w:color w:val="auto"/>
                <w:spacing w:val="5"/>
                <w:sz w:val="21"/>
                <w:szCs w:val="21"/>
                <w:highlight w:val="none"/>
              </w:rPr>
              <w:t>表4-</w:t>
            </w:r>
            <w:r>
              <w:rPr>
                <w:rFonts w:hint="default" w:ascii="Times New Roman" w:hAnsi="Times New Roman" w:eastAsia="宋体" w:cs="Times New Roman"/>
                <w:b/>
                <w:bCs/>
                <w:strike w:val="0"/>
                <w:dstrike w:val="0"/>
                <w:color w:val="auto"/>
                <w:spacing w:val="5"/>
                <w:sz w:val="21"/>
                <w:szCs w:val="21"/>
                <w:highlight w:val="none"/>
                <w:lang w:val="en-US" w:eastAsia="zh-CN"/>
              </w:rPr>
              <w:t>3</w:t>
            </w:r>
            <w:r>
              <w:rPr>
                <w:rFonts w:hint="default" w:ascii="Times New Roman" w:hAnsi="Times New Roman" w:eastAsia="宋体" w:cs="Times New Roman"/>
                <w:b/>
                <w:bCs/>
                <w:strike w:val="0"/>
                <w:dstrike w:val="0"/>
                <w:color w:val="auto"/>
                <w:spacing w:val="5"/>
                <w:sz w:val="21"/>
                <w:szCs w:val="21"/>
                <w:highlight w:val="none"/>
              </w:rPr>
              <w:t xml:space="preserve"> </w:t>
            </w:r>
            <w:r>
              <w:rPr>
                <w:rFonts w:hint="default" w:ascii="Times New Roman" w:hAnsi="Times New Roman" w:eastAsia="宋体" w:cs="Times New Roman"/>
                <w:b/>
                <w:bCs/>
                <w:strike w:val="0"/>
                <w:dstrike w:val="0"/>
                <w:color w:val="auto"/>
                <w:spacing w:val="5"/>
                <w:sz w:val="21"/>
                <w:szCs w:val="21"/>
                <w:highlight w:val="none"/>
                <w:lang w:val="en-US" w:eastAsia="zh-CN"/>
              </w:rPr>
              <w:t xml:space="preserve"> 抛轮</w:t>
            </w:r>
            <w:r>
              <w:rPr>
                <w:rFonts w:hint="default" w:ascii="Times New Roman" w:hAnsi="Times New Roman" w:eastAsia="宋体" w:cs="Times New Roman"/>
                <w:b/>
                <w:bCs/>
                <w:color w:val="auto"/>
                <w:spacing w:val="-4"/>
                <w:sz w:val="21"/>
                <w:szCs w:val="21"/>
                <w:highlight w:val="none"/>
              </w:rPr>
              <w:t>生产线</w:t>
            </w:r>
            <w:r>
              <w:rPr>
                <w:rFonts w:hint="default" w:ascii="Times New Roman" w:hAnsi="Times New Roman" w:eastAsia="宋体" w:cs="Times New Roman"/>
                <w:b/>
                <w:bCs/>
                <w:color w:val="auto"/>
                <w:spacing w:val="-4"/>
                <w:sz w:val="21"/>
                <w:szCs w:val="21"/>
                <w:highlight w:val="none"/>
                <w:lang w:val="en-US" w:eastAsia="zh-CN"/>
              </w:rPr>
              <w:t>废气</w:t>
            </w:r>
            <w:r>
              <w:rPr>
                <w:rFonts w:hint="default" w:ascii="Times New Roman" w:hAnsi="Times New Roman" w:eastAsia="宋体" w:cs="Times New Roman"/>
                <w:b/>
                <w:bCs/>
                <w:strike w:val="0"/>
                <w:dstrike w:val="0"/>
                <w:color w:val="auto"/>
                <w:spacing w:val="5"/>
                <w:sz w:val="21"/>
                <w:szCs w:val="21"/>
                <w:highlight w:val="none"/>
              </w:rPr>
              <w:t>产生</w:t>
            </w:r>
            <w:r>
              <w:rPr>
                <w:rFonts w:hint="default" w:ascii="Times New Roman" w:hAnsi="Times New Roman" w:eastAsia="宋体" w:cs="Times New Roman"/>
                <w:b/>
                <w:bCs/>
                <w:strike w:val="0"/>
                <w:dstrike w:val="0"/>
                <w:color w:val="auto"/>
                <w:spacing w:val="5"/>
                <w:sz w:val="21"/>
                <w:szCs w:val="21"/>
                <w:highlight w:val="none"/>
                <w:lang w:val="en-US" w:eastAsia="zh-CN"/>
              </w:rPr>
              <w:t>及排放情况表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
              <w:gridCol w:w="1490"/>
              <w:gridCol w:w="1956"/>
              <w:gridCol w:w="2366"/>
              <w:gridCol w:w="2065"/>
            </w:tblGrid>
            <w:tr w14:paraId="1E7A8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Before w:val="1"/>
                <w:wBefore w:w="29" w:type="dxa"/>
                <w:trHeight w:val="340" w:hRule="atLeast"/>
                <w:jc w:val="center"/>
              </w:trPr>
              <w:tc>
                <w:tcPr>
                  <w:tcW w:w="3446" w:type="dxa"/>
                  <w:gridSpan w:val="2"/>
                  <w:tcBorders>
                    <w:tl2br w:val="nil"/>
                    <w:tr2bl w:val="nil"/>
                  </w:tcBorders>
                  <w:noWrap w:val="0"/>
                  <w:vAlign w:val="center"/>
                </w:tcPr>
                <w:p w14:paraId="51F2AD1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产污排污环节</w:t>
                  </w:r>
                </w:p>
              </w:tc>
              <w:tc>
                <w:tcPr>
                  <w:tcW w:w="4431" w:type="dxa"/>
                  <w:gridSpan w:val="2"/>
                  <w:tcBorders>
                    <w:tl2br w:val="nil"/>
                    <w:tr2bl w:val="nil"/>
                  </w:tcBorders>
                  <w:noWrap w:val="0"/>
                  <w:vAlign w:val="center"/>
                </w:tcPr>
                <w:p w14:paraId="326DB12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抛轮生产粉尘（配料、车圆）</w:t>
                  </w:r>
                </w:p>
              </w:tc>
            </w:tr>
            <w:tr w14:paraId="02B29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08F2415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污染物种类</w:t>
                  </w:r>
                </w:p>
              </w:tc>
              <w:tc>
                <w:tcPr>
                  <w:tcW w:w="4431" w:type="dxa"/>
                  <w:gridSpan w:val="2"/>
                  <w:tcBorders>
                    <w:tl2br w:val="nil"/>
                    <w:tr2bl w:val="nil"/>
                  </w:tcBorders>
                  <w:noWrap w:val="0"/>
                  <w:vAlign w:val="center"/>
                </w:tcPr>
                <w:p w14:paraId="4E8E024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颗粒物</w:t>
                  </w:r>
                </w:p>
              </w:tc>
            </w:tr>
            <w:tr w14:paraId="70CDE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29CBD9C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污染物产生量（t/a）</w:t>
                  </w:r>
                </w:p>
              </w:tc>
              <w:tc>
                <w:tcPr>
                  <w:tcW w:w="2366" w:type="dxa"/>
                  <w:tcBorders>
                    <w:tl2br w:val="nil"/>
                    <w:tr2bl w:val="nil"/>
                  </w:tcBorders>
                  <w:noWrap w:val="0"/>
                  <w:vAlign w:val="center"/>
                </w:tcPr>
                <w:p w14:paraId="3834B85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0.168</w:t>
                  </w:r>
                </w:p>
              </w:tc>
              <w:tc>
                <w:tcPr>
                  <w:tcW w:w="2065" w:type="dxa"/>
                  <w:tcBorders>
                    <w:tl2br w:val="nil"/>
                    <w:tr2bl w:val="nil"/>
                  </w:tcBorders>
                  <w:noWrap w:val="0"/>
                  <w:vAlign w:val="center"/>
                </w:tcPr>
                <w:p w14:paraId="4226A81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0.03</w:t>
                  </w:r>
                </w:p>
              </w:tc>
            </w:tr>
            <w:tr w14:paraId="2FF6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3227A5E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污染物产生浓度（mg/m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2366" w:type="dxa"/>
                  <w:tcBorders>
                    <w:tl2br w:val="nil"/>
                    <w:tr2bl w:val="nil"/>
                  </w:tcBorders>
                  <w:noWrap w:val="0"/>
                  <w:vAlign w:val="center"/>
                </w:tcPr>
                <w:p w14:paraId="150A60C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eastAsia" w:cs="Times New Roman"/>
                      <w:i w:val="0"/>
                      <w:iCs w:val="0"/>
                      <w:strike w:val="0"/>
                      <w:dstrike w:val="0"/>
                      <w:color w:val="auto"/>
                      <w:kern w:val="0"/>
                      <w:sz w:val="21"/>
                      <w:szCs w:val="21"/>
                      <w:highlight w:val="none"/>
                      <w:u w:val="none"/>
                      <w:lang w:val="en-US" w:eastAsia="zh-CN" w:bidi="ar"/>
                    </w:rPr>
                    <w:t>6.21</w:t>
                  </w:r>
                </w:p>
              </w:tc>
              <w:tc>
                <w:tcPr>
                  <w:tcW w:w="2065" w:type="dxa"/>
                  <w:tcBorders>
                    <w:tl2br w:val="nil"/>
                    <w:tr2bl w:val="nil"/>
                  </w:tcBorders>
                  <w:noWrap w:val="0"/>
                  <w:vAlign w:val="center"/>
                </w:tcPr>
                <w:p w14:paraId="12F45DC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6021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0BC6B9C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排放形式</w:t>
                  </w:r>
                </w:p>
              </w:tc>
              <w:tc>
                <w:tcPr>
                  <w:tcW w:w="2366" w:type="dxa"/>
                  <w:tcBorders>
                    <w:tl2br w:val="nil"/>
                    <w:tr2bl w:val="nil"/>
                  </w:tcBorders>
                  <w:noWrap w:val="0"/>
                  <w:vAlign w:val="center"/>
                </w:tcPr>
                <w:p w14:paraId="36EF0B2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有组织</w:t>
                  </w:r>
                </w:p>
              </w:tc>
              <w:tc>
                <w:tcPr>
                  <w:tcW w:w="2065" w:type="dxa"/>
                  <w:tcBorders>
                    <w:tl2br w:val="nil"/>
                    <w:tr2bl w:val="nil"/>
                  </w:tcBorders>
                  <w:noWrap w:val="0"/>
                  <w:vAlign w:val="center"/>
                </w:tcPr>
                <w:p w14:paraId="15DC76A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无组织</w:t>
                  </w:r>
                </w:p>
              </w:tc>
            </w:tr>
            <w:tr w14:paraId="32E5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1490" w:type="dxa"/>
                  <w:vMerge w:val="restart"/>
                  <w:tcBorders>
                    <w:tl2br w:val="nil"/>
                    <w:tr2bl w:val="nil"/>
                  </w:tcBorders>
                  <w:noWrap w:val="0"/>
                  <w:vAlign w:val="center"/>
                </w:tcPr>
                <w:p w14:paraId="54D58E11">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治理设施</w:t>
                  </w:r>
                </w:p>
              </w:tc>
              <w:tc>
                <w:tcPr>
                  <w:tcW w:w="1956" w:type="dxa"/>
                  <w:tcBorders>
                    <w:tl2br w:val="nil"/>
                    <w:tr2bl w:val="nil"/>
                  </w:tcBorders>
                  <w:noWrap w:val="0"/>
                  <w:vAlign w:val="center"/>
                </w:tcPr>
                <w:p w14:paraId="48B0213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处理能力</w:t>
                  </w:r>
                </w:p>
              </w:tc>
              <w:tc>
                <w:tcPr>
                  <w:tcW w:w="2366" w:type="dxa"/>
                  <w:tcBorders>
                    <w:tl2br w:val="nil"/>
                    <w:tr2bl w:val="nil"/>
                  </w:tcBorders>
                  <w:noWrap w:val="0"/>
                  <w:vAlign w:val="center"/>
                </w:tcPr>
                <w:p w14:paraId="362439E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3000m</w:t>
                  </w:r>
                  <w:r>
                    <w:rPr>
                      <w:rFonts w:hint="default" w:ascii="Times New Roman" w:hAnsi="Times New Roman" w:eastAsia="宋体" w:cs="Times New Roman"/>
                      <w:i w:val="0"/>
                      <w:iCs w:val="0"/>
                      <w:strike w:val="0"/>
                      <w:dstrike w:val="0"/>
                      <w:color w:val="auto"/>
                      <w:kern w:val="0"/>
                      <w:sz w:val="21"/>
                      <w:szCs w:val="21"/>
                      <w:highlight w:val="none"/>
                      <w:u w:val="none"/>
                      <w:vertAlign w:val="superscript"/>
                      <w:lang w:val="en-US" w:eastAsia="zh-CN" w:bidi="ar"/>
                    </w:rPr>
                    <w:t>3</w:t>
                  </w:r>
                  <w:r>
                    <w:rPr>
                      <w:rStyle w:val="64"/>
                      <w:rFonts w:hint="default" w:ascii="Times New Roman" w:hAnsi="Times New Roman" w:eastAsia="宋体" w:cs="Times New Roman"/>
                      <w:strike w:val="0"/>
                      <w:dstrike w:val="0"/>
                      <w:color w:val="auto"/>
                      <w:sz w:val="21"/>
                      <w:szCs w:val="21"/>
                      <w:highlight w:val="none"/>
                      <w:lang w:val="en-US" w:eastAsia="zh-CN" w:bidi="ar"/>
                    </w:rPr>
                    <w:t>/h</w:t>
                  </w:r>
                </w:p>
              </w:tc>
              <w:tc>
                <w:tcPr>
                  <w:tcW w:w="2065" w:type="dxa"/>
                  <w:tcBorders>
                    <w:tl2br w:val="nil"/>
                    <w:tr2bl w:val="nil"/>
                  </w:tcBorders>
                  <w:noWrap w:val="0"/>
                  <w:vAlign w:val="center"/>
                </w:tcPr>
                <w:p w14:paraId="1EF1AA7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6314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1490" w:type="dxa"/>
                  <w:vMerge w:val="continue"/>
                  <w:tcBorders>
                    <w:tl2br w:val="nil"/>
                    <w:tr2bl w:val="nil"/>
                  </w:tcBorders>
                  <w:noWrap w:val="0"/>
                  <w:vAlign w:val="center"/>
                </w:tcPr>
                <w:p w14:paraId="004EA96D">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956" w:type="dxa"/>
                  <w:tcBorders>
                    <w:tl2br w:val="nil"/>
                    <w:tr2bl w:val="nil"/>
                  </w:tcBorders>
                  <w:noWrap w:val="0"/>
                  <w:vAlign w:val="center"/>
                </w:tcPr>
                <w:p w14:paraId="28AA4CD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收集效率</w:t>
                  </w:r>
                </w:p>
              </w:tc>
              <w:tc>
                <w:tcPr>
                  <w:tcW w:w="2366" w:type="dxa"/>
                  <w:tcBorders>
                    <w:tl2br w:val="nil"/>
                    <w:tr2bl w:val="nil"/>
                  </w:tcBorders>
                  <w:noWrap w:val="0"/>
                  <w:vAlign w:val="center"/>
                </w:tcPr>
                <w:p w14:paraId="607AEA3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85%</w:t>
                  </w:r>
                </w:p>
              </w:tc>
              <w:tc>
                <w:tcPr>
                  <w:tcW w:w="2065" w:type="dxa"/>
                  <w:tcBorders>
                    <w:tl2br w:val="nil"/>
                    <w:tr2bl w:val="nil"/>
                  </w:tcBorders>
                  <w:noWrap w:val="0"/>
                  <w:vAlign w:val="center"/>
                </w:tcPr>
                <w:p w14:paraId="21BD1AA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505E6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1490" w:type="dxa"/>
                  <w:vMerge w:val="continue"/>
                  <w:tcBorders>
                    <w:tl2br w:val="nil"/>
                    <w:tr2bl w:val="nil"/>
                  </w:tcBorders>
                  <w:noWrap w:val="0"/>
                  <w:vAlign w:val="center"/>
                </w:tcPr>
                <w:p w14:paraId="6D89A6D3">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956" w:type="dxa"/>
                  <w:tcBorders>
                    <w:tl2br w:val="nil"/>
                    <w:tr2bl w:val="nil"/>
                  </w:tcBorders>
                  <w:noWrap w:val="0"/>
                  <w:vAlign w:val="center"/>
                </w:tcPr>
                <w:p w14:paraId="041F92D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w:t>
                  </w:r>
                </w:p>
              </w:tc>
              <w:tc>
                <w:tcPr>
                  <w:tcW w:w="2366" w:type="dxa"/>
                  <w:tcBorders>
                    <w:tl2br w:val="nil"/>
                    <w:tr2bl w:val="nil"/>
                  </w:tcBorders>
                  <w:noWrap w:val="0"/>
                  <w:vAlign w:val="center"/>
                </w:tcPr>
                <w:p w14:paraId="792D404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Style w:val="65"/>
                      <w:rFonts w:hint="default" w:ascii="Times New Roman" w:hAnsi="Times New Roman" w:eastAsia="宋体" w:cs="Times New Roman"/>
                      <w:strike w:val="0"/>
                      <w:dstrike w:val="0"/>
                      <w:color w:val="auto"/>
                      <w:sz w:val="21"/>
                      <w:szCs w:val="21"/>
                      <w:highlight w:val="none"/>
                      <w:lang w:val="en-US" w:eastAsia="zh-CN" w:bidi="ar"/>
                    </w:rPr>
                    <w:t>布袋除尘器</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1#</w:t>
                  </w:r>
                  <w:r>
                    <w:rPr>
                      <w:rFonts w:hint="default" w:ascii="Times New Roman" w:hAnsi="Times New Roman" w:eastAsia="宋体" w:cs="Times New Roman"/>
                      <w:color w:val="auto"/>
                      <w:spacing w:val="-2"/>
                      <w:sz w:val="21"/>
                      <w:szCs w:val="21"/>
                      <w:highlight w:val="none"/>
                      <w:lang w:eastAsia="zh-CN"/>
                    </w:rPr>
                    <w:t>）</w:t>
                  </w:r>
                </w:p>
              </w:tc>
              <w:tc>
                <w:tcPr>
                  <w:tcW w:w="2065" w:type="dxa"/>
                  <w:tcBorders>
                    <w:tl2br w:val="nil"/>
                    <w:tr2bl w:val="nil"/>
                  </w:tcBorders>
                  <w:noWrap w:val="0"/>
                  <w:vAlign w:val="center"/>
                </w:tcPr>
                <w:p w14:paraId="0FDEE36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67E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1490" w:type="dxa"/>
                  <w:vMerge w:val="continue"/>
                  <w:tcBorders>
                    <w:tl2br w:val="nil"/>
                    <w:tr2bl w:val="nil"/>
                  </w:tcBorders>
                  <w:noWrap w:val="0"/>
                  <w:vAlign w:val="center"/>
                </w:tcPr>
                <w:p w14:paraId="38A2EBE0">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956" w:type="dxa"/>
                  <w:tcBorders>
                    <w:tl2br w:val="nil"/>
                    <w:tr2bl w:val="nil"/>
                  </w:tcBorders>
                  <w:noWrap w:val="0"/>
                  <w:vAlign w:val="center"/>
                </w:tcPr>
                <w:p w14:paraId="07F86BA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治理工艺去除率</w:t>
                  </w:r>
                </w:p>
              </w:tc>
              <w:tc>
                <w:tcPr>
                  <w:tcW w:w="2366" w:type="dxa"/>
                  <w:tcBorders>
                    <w:tl2br w:val="nil"/>
                    <w:tr2bl w:val="nil"/>
                  </w:tcBorders>
                  <w:noWrap w:val="0"/>
                  <w:vAlign w:val="center"/>
                </w:tcPr>
                <w:p w14:paraId="1D8AF83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99%</w:t>
                  </w:r>
                </w:p>
              </w:tc>
              <w:tc>
                <w:tcPr>
                  <w:tcW w:w="2065" w:type="dxa"/>
                  <w:tcBorders>
                    <w:tl2br w:val="nil"/>
                    <w:tr2bl w:val="nil"/>
                  </w:tcBorders>
                  <w:noWrap w:val="0"/>
                  <w:vAlign w:val="center"/>
                </w:tcPr>
                <w:p w14:paraId="22FD427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58837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1490" w:type="dxa"/>
                  <w:vMerge w:val="continue"/>
                  <w:tcBorders>
                    <w:tl2br w:val="nil"/>
                    <w:tr2bl w:val="nil"/>
                  </w:tcBorders>
                  <w:noWrap w:val="0"/>
                  <w:vAlign w:val="center"/>
                </w:tcPr>
                <w:p w14:paraId="2B1E06E7">
                  <w:pPr>
                    <w:keepNext w:val="0"/>
                    <w:keepLines w:val="0"/>
                    <w:pageBreakBefore w:val="0"/>
                    <w:kinsoku/>
                    <w:overflowPunct/>
                    <w:topLinePunct/>
                    <w:autoSpaceDE w:val="0"/>
                    <w:bidi w:val="0"/>
                    <w:jc w:val="center"/>
                    <w:rPr>
                      <w:rFonts w:hint="default" w:ascii="Times New Roman" w:hAnsi="Times New Roman" w:eastAsia="宋体" w:cs="Times New Roman"/>
                      <w:i w:val="0"/>
                      <w:iCs w:val="0"/>
                      <w:strike w:val="0"/>
                      <w:dstrike w:val="0"/>
                      <w:color w:val="auto"/>
                      <w:sz w:val="21"/>
                      <w:szCs w:val="21"/>
                      <w:highlight w:val="none"/>
                      <w:u w:val="none"/>
                    </w:rPr>
                  </w:pPr>
                </w:p>
              </w:tc>
              <w:tc>
                <w:tcPr>
                  <w:tcW w:w="1956" w:type="dxa"/>
                  <w:tcBorders>
                    <w:tl2br w:val="nil"/>
                    <w:tr2bl w:val="nil"/>
                  </w:tcBorders>
                  <w:noWrap w:val="0"/>
                  <w:vAlign w:val="center"/>
                </w:tcPr>
                <w:p w14:paraId="015399A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是否为可行技术</w:t>
                  </w:r>
                </w:p>
              </w:tc>
              <w:tc>
                <w:tcPr>
                  <w:tcW w:w="2366" w:type="dxa"/>
                  <w:tcBorders>
                    <w:tl2br w:val="nil"/>
                    <w:tr2bl w:val="nil"/>
                  </w:tcBorders>
                  <w:noWrap w:val="0"/>
                  <w:vAlign w:val="center"/>
                </w:tcPr>
                <w:p w14:paraId="01DE564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是</w:t>
                  </w:r>
                </w:p>
              </w:tc>
              <w:tc>
                <w:tcPr>
                  <w:tcW w:w="2065" w:type="dxa"/>
                  <w:tcBorders>
                    <w:tl2br w:val="nil"/>
                    <w:tr2bl w:val="nil"/>
                  </w:tcBorders>
                  <w:noWrap w:val="0"/>
                  <w:vAlign w:val="center"/>
                </w:tcPr>
                <w:p w14:paraId="0EEC348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05CDB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6301E04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污染物排放量（t/a）</w:t>
                  </w:r>
                </w:p>
              </w:tc>
              <w:tc>
                <w:tcPr>
                  <w:tcW w:w="2366" w:type="dxa"/>
                  <w:tcBorders>
                    <w:tl2br w:val="nil"/>
                    <w:tr2bl w:val="nil"/>
                  </w:tcBorders>
                  <w:noWrap w:val="0"/>
                  <w:vAlign w:val="center"/>
                </w:tcPr>
                <w:p w14:paraId="7D0AC82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0.002</w:t>
                  </w:r>
                </w:p>
              </w:tc>
              <w:tc>
                <w:tcPr>
                  <w:tcW w:w="2065" w:type="dxa"/>
                  <w:tcBorders>
                    <w:tl2br w:val="nil"/>
                    <w:tr2bl w:val="nil"/>
                  </w:tcBorders>
                  <w:noWrap w:val="0"/>
                  <w:vAlign w:val="center"/>
                </w:tcPr>
                <w:p w14:paraId="7202DB6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0.03</w:t>
                  </w:r>
                </w:p>
              </w:tc>
            </w:tr>
            <w:tr w14:paraId="1A771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29" w:type="dxa"/>
                <w:trHeight w:val="340" w:hRule="atLeast"/>
                <w:jc w:val="center"/>
              </w:trPr>
              <w:tc>
                <w:tcPr>
                  <w:tcW w:w="3446" w:type="dxa"/>
                  <w:gridSpan w:val="2"/>
                  <w:tcBorders>
                    <w:tl2br w:val="nil"/>
                    <w:tr2bl w:val="nil"/>
                  </w:tcBorders>
                  <w:noWrap w:val="0"/>
                  <w:vAlign w:val="center"/>
                </w:tcPr>
                <w:p w14:paraId="795FD0F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污染物排放速率（kg/h）</w:t>
                  </w:r>
                </w:p>
              </w:tc>
              <w:tc>
                <w:tcPr>
                  <w:tcW w:w="2366" w:type="dxa"/>
                  <w:tcBorders>
                    <w:tl2br w:val="nil"/>
                    <w:tr2bl w:val="nil"/>
                  </w:tcBorders>
                  <w:noWrap w:val="0"/>
                  <w:vAlign w:val="center"/>
                </w:tcPr>
                <w:p w14:paraId="5A553D3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0.001</w:t>
                  </w:r>
                </w:p>
              </w:tc>
              <w:tc>
                <w:tcPr>
                  <w:tcW w:w="2065" w:type="dxa"/>
                  <w:tcBorders>
                    <w:tl2br w:val="nil"/>
                    <w:tr2bl w:val="nil"/>
                  </w:tcBorders>
                  <w:noWrap w:val="0"/>
                  <w:vAlign w:val="center"/>
                </w:tcPr>
                <w:p w14:paraId="7ABE449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lang w:val="en-US" w:eastAsia="zh-CN"/>
                    </w:rPr>
                  </w:pPr>
                  <w:r>
                    <w:rPr>
                      <w:rFonts w:hint="default" w:ascii="Times New Roman" w:hAnsi="Times New Roman" w:eastAsia="宋体" w:cs="Times New Roman"/>
                      <w:i w:val="0"/>
                      <w:iCs w:val="0"/>
                      <w:strike w:val="0"/>
                      <w:dstrike w:val="0"/>
                      <w:color w:val="auto"/>
                      <w:sz w:val="21"/>
                      <w:szCs w:val="21"/>
                      <w:highlight w:val="none"/>
                      <w:u w:val="none"/>
                      <w:lang w:val="en-US" w:eastAsia="zh-CN"/>
                    </w:rPr>
                    <w:t>0.011</w:t>
                  </w:r>
                </w:p>
              </w:tc>
            </w:tr>
            <w:tr w14:paraId="7DDFD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0BCBD58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污染物排放浓度（mg/m</w:t>
                  </w:r>
                  <w:r>
                    <w:rPr>
                      <w:rStyle w:val="63"/>
                      <w:rFonts w:hint="default" w:ascii="Times New Roman" w:hAnsi="Times New Roman" w:eastAsia="宋体" w:cs="Times New Roman"/>
                      <w:strike w:val="0"/>
                      <w:dstrike w:val="0"/>
                      <w:color w:val="auto"/>
                      <w:sz w:val="21"/>
                      <w:szCs w:val="21"/>
                      <w:highlight w:val="none"/>
                      <w:vertAlign w:val="superscript"/>
                      <w:lang w:val="en-US" w:eastAsia="zh-CN" w:bidi="ar"/>
                    </w:rPr>
                    <w:t>3</w:t>
                  </w: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w:t>
                  </w:r>
                </w:p>
              </w:tc>
              <w:tc>
                <w:tcPr>
                  <w:tcW w:w="2366" w:type="dxa"/>
                  <w:tcBorders>
                    <w:tl2br w:val="nil"/>
                    <w:tr2bl w:val="nil"/>
                  </w:tcBorders>
                  <w:noWrap w:val="0"/>
                  <w:vAlign w:val="center"/>
                </w:tcPr>
                <w:p w14:paraId="495B9AF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w:t>
                  </w:r>
                  <w:r>
                    <w:rPr>
                      <w:rFonts w:hint="eastAsia" w:cs="Times New Roman"/>
                      <w:i w:val="0"/>
                      <w:iCs w:val="0"/>
                      <w:strike w:val="0"/>
                      <w:dstrike w:val="0"/>
                      <w:color w:val="auto"/>
                      <w:kern w:val="0"/>
                      <w:sz w:val="21"/>
                      <w:szCs w:val="21"/>
                      <w:highlight w:val="none"/>
                      <w:u w:val="none"/>
                      <w:lang w:val="en-US" w:eastAsia="zh-CN" w:bidi="ar"/>
                    </w:rPr>
                    <w:t>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w:t>
                  </w:r>
                </w:p>
              </w:tc>
              <w:tc>
                <w:tcPr>
                  <w:tcW w:w="2065" w:type="dxa"/>
                  <w:tcBorders>
                    <w:tl2br w:val="nil"/>
                    <w:tr2bl w:val="nil"/>
                  </w:tcBorders>
                  <w:noWrap w:val="0"/>
                  <w:vAlign w:val="center"/>
                </w:tcPr>
                <w:p w14:paraId="6278DD3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10385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906" w:type="dxa"/>
                  <w:gridSpan w:val="5"/>
                  <w:tcBorders>
                    <w:tl2br w:val="nil"/>
                    <w:tr2bl w:val="nil"/>
                  </w:tcBorders>
                  <w:noWrap w:val="0"/>
                  <w:vAlign w:val="center"/>
                </w:tcPr>
                <w:p w14:paraId="7C85694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排放口基本情况</w:t>
                  </w:r>
                </w:p>
              </w:tc>
            </w:tr>
            <w:tr w14:paraId="367E3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3A5C568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排气筒高度</w:t>
                  </w:r>
                </w:p>
              </w:tc>
              <w:tc>
                <w:tcPr>
                  <w:tcW w:w="2366" w:type="dxa"/>
                  <w:tcBorders>
                    <w:tl2br w:val="nil"/>
                    <w:tr2bl w:val="nil"/>
                  </w:tcBorders>
                  <w:noWrap w:val="0"/>
                  <w:vAlign w:val="center"/>
                </w:tcPr>
                <w:p w14:paraId="00909C5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15m</w:t>
                  </w:r>
                </w:p>
              </w:tc>
              <w:tc>
                <w:tcPr>
                  <w:tcW w:w="2065" w:type="dxa"/>
                  <w:tcBorders>
                    <w:tl2br w:val="nil"/>
                    <w:tr2bl w:val="nil"/>
                  </w:tcBorders>
                  <w:noWrap w:val="0"/>
                  <w:vAlign w:val="center"/>
                </w:tcPr>
                <w:p w14:paraId="48F3874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91B8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0CCA501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排气筒内径</w:t>
                  </w:r>
                </w:p>
              </w:tc>
              <w:tc>
                <w:tcPr>
                  <w:tcW w:w="2366" w:type="dxa"/>
                  <w:tcBorders>
                    <w:tl2br w:val="nil"/>
                    <w:tr2bl w:val="nil"/>
                  </w:tcBorders>
                  <w:noWrap w:val="0"/>
                  <w:vAlign w:val="center"/>
                </w:tcPr>
                <w:p w14:paraId="3219497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0.25m</w:t>
                  </w:r>
                </w:p>
              </w:tc>
              <w:tc>
                <w:tcPr>
                  <w:tcW w:w="2065" w:type="dxa"/>
                  <w:tcBorders>
                    <w:tl2br w:val="nil"/>
                    <w:tr2bl w:val="nil"/>
                  </w:tcBorders>
                  <w:noWrap w:val="0"/>
                  <w:vAlign w:val="center"/>
                </w:tcPr>
                <w:p w14:paraId="40881DC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7BC22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431229F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温度</w:t>
                  </w:r>
                </w:p>
              </w:tc>
              <w:tc>
                <w:tcPr>
                  <w:tcW w:w="2366" w:type="dxa"/>
                  <w:tcBorders>
                    <w:tl2br w:val="nil"/>
                    <w:tr2bl w:val="nil"/>
                  </w:tcBorders>
                  <w:noWrap w:val="0"/>
                  <w:vAlign w:val="center"/>
                </w:tcPr>
                <w:p w14:paraId="1731E6F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25℃</w:t>
                  </w:r>
                </w:p>
              </w:tc>
              <w:tc>
                <w:tcPr>
                  <w:tcW w:w="2065" w:type="dxa"/>
                  <w:tcBorders>
                    <w:tl2br w:val="nil"/>
                    <w:tr2bl w:val="nil"/>
                  </w:tcBorders>
                  <w:noWrap w:val="0"/>
                  <w:vAlign w:val="center"/>
                </w:tcPr>
                <w:p w14:paraId="7EE0D06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6BB0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44D1C85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编号</w:t>
                  </w:r>
                </w:p>
              </w:tc>
              <w:tc>
                <w:tcPr>
                  <w:tcW w:w="2366" w:type="dxa"/>
                  <w:tcBorders>
                    <w:tl2br w:val="nil"/>
                    <w:tr2bl w:val="nil"/>
                  </w:tcBorders>
                  <w:noWrap w:val="0"/>
                  <w:vAlign w:val="center"/>
                </w:tcPr>
                <w:p w14:paraId="49C3041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DA004</w:t>
                  </w:r>
                </w:p>
              </w:tc>
              <w:tc>
                <w:tcPr>
                  <w:tcW w:w="2065" w:type="dxa"/>
                  <w:tcBorders>
                    <w:tl2br w:val="nil"/>
                    <w:tr2bl w:val="nil"/>
                  </w:tcBorders>
                  <w:noWrap w:val="0"/>
                  <w:vAlign w:val="center"/>
                </w:tcPr>
                <w:p w14:paraId="3438BE5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3910C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218EBC5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类型</w:t>
                  </w:r>
                </w:p>
              </w:tc>
              <w:tc>
                <w:tcPr>
                  <w:tcW w:w="2366" w:type="dxa"/>
                  <w:tcBorders>
                    <w:tl2br w:val="nil"/>
                    <w:tr2bl w:val="nil"/>
                  </w:tcBorders>
                  <w:noWrap w:val="0"/>
                  <w:vAlign w:val="center"/>
                </w:tcPr>
                <w:p w14:paraId="1BDCBAC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一般排放口</w:t>
                  </w:r>
                </w:p>
              </w:tc>
              <w:tc>
                <w:tcPr>
                  <w:tcW w:w="2065" w:type="dxa"/>
                  <w:tcBorders>
                    <w:tl2br w:val="nil"/>
                    <w:tr2bl w:val="nil"/>
                  </w:tcBorders>
                  <w:noWrap w:val="0"/>
                  <w:vAlign w:val="center"/>
                </w:tcPr>
                <w:p w14:paraId="11F750B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w:t>
                  </w:r>
                </w:p>
              </w:tc>
            </w:tr>
            <w:tr w14:paraId="53B28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75" w:type="dxa"/>
                  <w:gridSpan w:val="3"/>
                  <w:tcBorders>
                    <w:tl2br w:val="nil"/>
                    <w:tr2bl w:val="nil"/>
                  </w:tcBorders>
                  <w:noWrap w:val="0"/>
                  <w:vAlign w:val="center"/>
                </w:tcPr>
                <w:p w14:paraId="6922403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地理坐标</w:t>
                  </w:r>
                </w:p>
              </w:tc>
              <w:tc>
                <w:tcPr>
                  <w:tcW w:w="2366" w:type="dxa"/>
                  <w:tcBorders>
                    <w:tl2br w:val="nil"/>
                    <w:tr2bl w:val="nil"/>
                  </w:tcBorders>
                  <w:noWrap w:val="0"/>
                  <w:vAlign w:val="center"/>
                </w:tcPr>
                <w:p w14:paraId="049519D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sz w:val="21"/>
                      <w:szCs w:val="21"/>
                      <w:highlight w:val="none"/>
                      <w:u w:val="none"/>
                    </w:rPr>
                  </w:pPr>
                  <w:r>
                    <w:rPr>
                      <w:rFonts w:hint="default" w:ascii="Times New Roman" w:hAnsi="Times New Roman" w:eastAsia="宋体" w:cs="Times New Roman"/>
                      <w:b w:val="0"/>
                      <w:bCs w:val="0"/>
                      <w:strike w:val="0"/>
                      <w:dstrike w:val="0"/>
                      <w:color w:val="auto"/>
                      <w:kern w:val="0"/>
                      <w:sz w:val="21"/>
                      <w:szCs w:val="21"/>
                      <w:highlight w:val="none"/>
                      <w:lang w:val="en-US" w:eastAsia="zh-CN"/>
                    </w:rPr>
                    <w:t>102.21010592E，24.76431293N</w:t>
                  </w:r>
                </w:p>
              </w:tc>
              <w:tc>
                <w:tcPr>
                  <w:tcW w:w="2065" w:type="dxa"/>
                  <w:tcBorders>
                    <w:tl2br w:val="nil"/>
                    <w:tr2bl w:val="nil"/>
                  </w:tcBorders>
                  <w:noWrap w:val="0"/>
                  <w:vAlign w:val="center"/>
                </w:tcPr>
                <w:p w14:paraId="2EE8B087">
                  <w:pPr>
                    <w:keepNext w:val="0"/>
                    <w:keepLines w:val="0"/>
                    <w:pageBreakBefore w:val="0"/>
                    <w:widowControl/>
                    <w:suppressLineNumbers w:val="0"/>
                    <w:kinsoku/>
                    <w:overflowPunct/>
                    <w:topLinePunct/>
                    <w:autoSpaceDE w:val="0"/>
                    <w:bidi w:val="0"/>
                    <w:jc w:val="center"/>
                    <w:textAlignment w:val="center"/>
                    <w:rPr>
                      <w:rStyle w:val="64"/>
                      <w:rFonts w:hint="default" w:ascii="Times New Roman" w:hAnsi="Times New Roman" w:eastAsia="宋体" w:cs="Times New Roman"/>
                      <w:strike w:val="0"/>
                      <w:dstrike w:val="0"/>
                      <w:color w:val="auto"/>
                      <w:sz w:val="21"/>
                      <w:szCs w:val="21"/>
                      <w:highlight w:val="none"/>
                      <w:lang w:val="en-US" w:eastAsia="zh-CN" w:bidi="ar"/>
                    </w:rPr>
                  </w:pPr>
                  <w:r>
                    <w:rPr>
                      <w:rStyle w:val="64"/>
                      <w:rFonts w:hint="default" w:ascii="Times New Roman" w:hAnsi="Times New Roman" w:eastAsia="宋体" w:cs="Times New Roman"/>
                      <w:strike w:val="0"/>
                      <w:dstrike w:val="0"/>
                      <w:color w:val="auto"/>
                      <w:sz w:val="21"/>
                      <w:szCs w:val="21"/>
                      <w:highlight w:val="none"/>
                      <w:lang w:val="en-US" w:eastAsia="zh-CN" w:bidi="ar"/>
                    </w:rPr>
                    <w:t>/</w:t>
                  </w:r>
                </w:p>
              </w:tc>
            </w:tr>
          </w:tbl>
          <w:p w14:paraId="7CFB6D81">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66"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w:t>
            </w:r>
            <w:r>
              <w:rPr>
                <w:rFonts w:hint="default" w:ascii="Times New Roman" w:hAnsi="Times New Roman" w:eastAsia="宋体" w:cs="Times New Roman"/>
                <w:b/>
                <w:bCs/>
                <w:color w:val="auto"/>
                <w:spacing w:val="-4"/>
                <w:sz w:val="24"/>
                <w:szCs w:val="24"/>
                <w:highlight w:val="none"/>
                <w:lang w:val="en-US" w:eastAsia="zh-CN"/>
              </w:rPr>
              <w:t>5</w:t>
            </w:r>
            <w:r>
              <w:rPr>
                <w:rFonts w:hint="default" w:ascii="Times New Roman" w:hAnsi="Times New Roman" w:eastAsia="宋体" w:cs="Times New Roman"/>
                <w:b/>
                <w:bCs/>
                <w:color w:val="auto"/>
                <w:spacing w:val="-4"/>
                <w:sz w:val="24"/>
                <w:szCs w:val="24"/>
                <w:highlight w:val="none"/>
              </w:rPr>
              <w:t>）污水处理站恶臭</w:t>
            </w:r>
          </w:p>
          <w:p w14:paraId="2F842783">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设计资料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项目拟将生化</w:t>
            </w:r>
            <w:r>
              <w:rPr>
                <w:rFonts w:hint="default" w:ascii="Times New Roman" w:hAnsi="Times New Roman" w:eastAsia="宋体" w:cs="Times New Roman"/>
                <w:color w:val="auto"/>
                <w:sz w:val="24"/>
                <w:szCs w:val="24"/>
                <w:highlight w:val="none"/>
              </w:rPr>
              <w:t>污水处理站</w:t>
            </w:r>
            <w:r>
              <w:rPr>
                <w:rFonts w:hint="default" w:ascii="Times New Roman" w:hAnsi="Times New Roman" w:eastAsia="宋体" w:cs="Times New Roman"/>
                <w:color w:val="auto"/>
                <w:sz w:val="24"/>
                <w:szCs w:val="24"/>
                <w:highlight w:val="none"/>
                <w:lang w:val="en-US" w:eastAsia="zh-CN"/>
              </w:rPr>
              <w:t>设置于项目北侧污水处理池区域。</w:t>
            </w:r>
            <w:r>
              <w:rPr>
                <w:rFonts w:hint="default" w:ascii="Times New Roman" w:hAnsi="Times New Roman" w:eastAsia="宋体" w:cs="Times New Roman"/>
                <w:color w:val="auto"/>
                <w:sz w:val="24"/>
                <w:szCs w:val="24"/>
                <w:highlight w:val="none"/>
              </w:rPr>
              <w:t>本次评价对生化污</w:t>
            </w:r>
            <w:r>
              <w:rPr>
                <w:rFonts w:hint="default" w:ascii="Times New Roman" w:hAnsi="Times New Roman" w:eastAsia="宋体" w:cs="Times New Roman"/>
                <w:color w:val="auto"/>
                <w:spacing w:val="-1"/>
                <w:sz w:val="24"/>
                <w:szCs w:val="24"/>
                <w:highlight w:val="none"/>
              </w:rPr>
              <w:t>水处理站拟产生的恶臭进行分析，根据美国EPA对城市污水处理厂恶臭污染物产生</w:t>
            </w:r>
            <w:r>
              <w:rPr>
                <w:rFonts w:hint="default" w:ascii="Times New Roman" w:hAnsi="Times New Roman" w:eastAsia="宋体" w:cs="Times New Roman"/>
                <w:color w:val="auto"/>
                <w:spacing w:val="-4"/>
                <w:sz w:val="24"/>
                <w:szCs w:val="24"/>
                <w:highlight w:val="none"/>
              </w:rPr>
              <w:t>情况的研究，每处理1g的BOD</w:t>
            </w:r>
            <w:r>
              <w:rPr>
                <w:rFonts w:hint="default" w:ascii="Times New Roman" w:hAnsi="Times New Roman" w:eastAsia="宋体" w:cs="Times New Roman"/>
                <w:color w:val="auto"/>
                <w:spacing w:val="-4"/>
                <w:position w:val="-1"/>
                <w:sz w:val="15"/>
                <w:szCs w:val="15"/>
                <w:highlight w:val="none"/>
              </w:rPr>
              <w:t>5</w:t>
            </w:r>
            <w:r>
              <w:rPr>
                <w:rFonts w:hint="default" w:ascii="Times New Roman" w:hAnsi="Times New Roman" w:eastAsia="宋体" w:cs="Times New Roman"/>
                <w:color w:val="auto"/>
                <w:spacing w:val="-4"/>
                <w:sz w:val="24"/>
                <w:szCs w:val="24"/>
                <w:highlight w:val="none"/>
              </w:rPr>
              <w:t>，可产生0.0031g的NH</w:t>
            </w:r>
            <w:r>
              <w:rPr>
                <w:rFonts w:hint="default" w:ascii="Times New Roman" w:hAnsi="Times New Roman" w:eastAsia="宋体" w:cs="Times New Roman"/>
                <w:color w:val="auto"/>
                <w:spacing w:val="-4"/>
                <w:position w:val="-1"/>
                <w:sz w:val="15"/>
                <w:szCs w:val="15"/>
                <w:highlight w:val="none"/>
              </w:rPr>
              <w:t>3</w:t>
            </w:r>
            <w:r>
              <w:rPr>
                <w:rFonts w:hint="default" w:ascii="Times New Roman" w:hAnsi="Times New Roman" w:eastAsia="宋体" w:cs="Times New Roman"/>
                <w:color w:val="auto"/>
                <w:spacing w:val="-4"/>
                <w:sz w:val="24"/>
                <w:szCs w:val="24"/>
                <w:highlight w:val="none"/>
              </w:rPr>
              <w:t>、0.00012g的H</w:t>
            </w:r>
            <w:r>
              <w:rPr>
                <w:rFonts w:hint="default" w:ascii="Times New Roman" w:hAnsi="Times New Roman" w:eastAsia="宋体" w:cs="Times New Roman"/>
                <w:color w:val="auto"/>
                <w:spacing w:val="-4"/>
                <w:position w:val="-1"/>
                <w:sz w:val="15"/>
                <w:szCs w:val="15"/>
                <w:highlight w:val="none"/>
              </w:rPr>
              <w:t>2</w:t>
            </w:r>
            <w:r>
              <w:rPr>
                <w:rFonts w:hint="default" w:ascii="Times New Roman" w:hAnsi="Times New Roman" w:eastAsia="宋体" w:cs="Times New Roman"/>
                <w:color w:val="auto"/>
                <w:spacing w:val="-4"/>
                <w:sz w:val="24"/>
                <w:szCs w:val="24"/>
                <w:highlight w:val="none"/>
              </w:rPr>
              <w:t>S。</w:t>
            </w:r>
            <w:r>
              <w:rPr>
                <w:rFonts w:hint="default" w:ascii="Times New Roman" w:hAnsi="Times New Roman" w:eastAsia="宋体" w:cs="Times New Roman"/>
                <w:color w:val="auto"/>
                <w:spacing w:val="-5"/>
                <w:sz w:val="24"/>
                <w:szCs w:val="24"/>
                <w:highlight w:val="none"/>
              </w:rPr>
              <w:t>本项目</w:t>
            </w:r>
            <w:r>
              <w:rPr>
                <w:rFonts w:hint="default" w:ascii="Times New Roman" w:hAnsi="Times New Roman" w:eastAsia="宋体" w:cs="Times New Roman"/>
                <w:color w:val="auto"/>
                <w:spacing w:val="-5"/>
                <w:sz w:val="24"/>
                <w:szCs w:val="24"/>
                <w:highlight w:val="none"/>
                <w:lang w:val="en-US" w:eastAsia="zh-CN"/>
              </w:rPr>
              <w:t>生化</w:t>
            </w:r>
            <w:r>
              <w:rPr>
                <w:rFonts w:hint="default" w:ascii="Times New Roman" w:hAnsi="Times New Roman" w:eastAsia="宋体" w:cs="Times New Roman"/>
                <w:color w:val="auto"/>
                <w:spacing w:val="-5"/>
                <w:sz w:val="24"/>
                <w:szCs w:val="24"/>
                <w:highlight w:val="none"/>
              </w:rPr>
              <w:t>废水处</w:t>
            </w:r>
            <w:r>
              <w:rPr>
                <w:rFonts w:hint="default" w:ascii="Times New Roman" w:hAnsi="Times New Roman" w:eastAsia="宋体" w:cs="Times New Roman"/>
                <w:color w:val="auto"/>
                <w:spacing w:val="-4"/>
                <w:sz w:val="24"/>
                <w:szCs w:val="24"/>
                <w:highlight w:val="none"/>
              </w:rPr>
              <w:t>理</w:t>
            </w:r>
            <w:r>
              <w:rPr>
                <w:rFonts w:hint="default" w:ascii="Times New Roman" w:hAnsi="Times New Roman" w:eastAsia="宋体" w:cs="Times New Roman"/>
                <w:color w:val="auto"/>
                <w:spacing w:val="-4"/>
                <w:sz w:val="24"/>
                <w:szCs w:val="24"/>
                <w:highlight w:val="none"/>
                <w:lang w:val="en-US" w:eastAsia="zh-CN"/>
              </w:rPr>
              <w:t>站处理量为117654.9</w:t>
            </w:r>
            <w:r>
              <w:rPr>
                <w:rFonts w:hint="default" w:ascii="Times New Roman" w:hAnsi="Times New Roman" w:eastAsia="宋体" w:cs="Times New Roman"/>
                <w:color w:val="auto"/>
                <w:spacing w:val="-4"/>
                <w:sz w:val="24"/>
                <w:szCs w:val="24"/>
                <w:highlight w:val="none"/>
              </w:rPr>
              <w:t>m</w:t>
            </w:r>
            <w:r>
              <w:rPr>
                <w:rFonts w:hint="default" w:ascii="Times New Roman" w:hAnsi="Times New Roman" w:eastAsia="宋体" w:cs="Times New Roman"/>
                <w:color w:val="auto"/>
                <w:spacing w:val="-4"/>
                <w:position w:val="8"/>
                <w:sz w:val="15"/>
                <w:szCs w:val="15"/>
                <w:highlight w:val="none"/>
              </w:rPr>
              <w:t>3</w:t>
            </w:r>
            <w:r>
              <w:rPr>
                <w:rFonts w:hint="default" w:ascii="Times New Roman" w:hAnsi="Times New Roman" w:eastAsia="宋体" w:cs="Times New Roman"/>
                <w:color w:val="auto"/>
                <w:spacing w:val="-4"/>
                <w:sz w:val="24"/>
                <w:szCs w:val="24"/>
                <w:highlight w:val="none"/>
              </w:rPr>
              <w:t>/a，BOD</w:t>
            </w:r>
            <w:r>
              <w:rPr>
                <w:rFonts w:hint="default" w:ascii="Times New Roman" w:hAnsi="Times New Roman" w:eastAsia="宋体" w:cs="Times New Roman"/>
                <w:color w:val="auto"/>
                <w:spacing w:val="-5"/>
                <w:position w:val="-1"/>
                <w:sz w:val="15"/>
                <w:szCs w:val="15"/>
                <w:highlight w:val="none"/>
              </w:rPr>
              <w:t>5</w:t>
            </w:r>
            <w:r>
              <w:rPr>
                <w:rFonts w:hint="default" w:ascii="Times New Roman" w:hAnsi="Times New Roman" w:eastAsia="宋体" w:cs="Times New Roman"/>
                <w:color w:val="auto"/>
                <w:spacing w:val="-5"/>
                <w:sz w:val="24"/>
                <w:szCs w:val="24"/>
                <w:highlight w:val="none"/>
              </w:rPr>
              <w:t>处理量为</w:t>
            </w:r>
            <w:r>
              <w:rPr>
                <w:rFonts w:hint="default" w:ascii="Times New Roman" w:hAnsi="Times New Roman" w:eastAsia="宋体" w:cs="Times New Roman"/>
                <w:color w:val="auto"/>
                <w:spacing w:val="-5"/>
                <w:sz w:val="24"/>
                <w:szCs w:val="24"/>
                <w:highlight w:val="none"/>
                <w:lang w:val="en-US" w:eastAsia="zh-CN"/>
              </w:rPr>
              <w:t>28.25</w:t>
            </w:r>
            <w:r>
              <w:rPr>
                <w:rFonts w:hint="default" w:ascii="Times New Roman" w:hAnsi="Times New Roman" w:eastAsia="宋体" w:cs="Times New Roman"/>
                <w:color w:val="auto"/>
                <w:spacing w:val="-5"/>
                <w:sz w:val="24"/>
                <w:szCs w:val="24"/>
                <w:highlight w:val="none"/>
              </w:rPr>
              <w:t>t/a，则NH</w:t>
            </w:r>
            <w:r>
              <w:rPr>
                <w:rFonts w:hint="default" w:ascii="Times New Roman" w:hAnsi="Times New Roman" w:eastAsia="宋体" w:cs="Times New Roman"/>
                <w:color w:val="auto"/>
                <w:spacing w:val="-5"/>
                <w:position w:val="-1"/>
                <w:sz w:val="15"/>
                <w:szCs w:val="15"/>
                <w:highlight w:val="none"/>
              </w:rPr>
              <w:t>3</w:t>
            </w:r>
            <w:r>
              <w:rPr>
                <w:rFonts w:hint="default" w:ascii="Times New Roman" w:hAnsi="Times New Roman" w:eastAsia="宋体" w:cs="Times New Roman"/>
                <w:color w:val="auto"/>
                <w:spacing w:val="-5"/>
                <w:sz w:val="24"/>
                <w:szCs w:val="24"/>
                <w:highlight w:val="none"/>
              </w:rPr>
              <w:t>产生量为</w:t>
            </w:r>
            <w:r>
              <w:rPr>
                <w:rFonts w:hint="default" w:ascii="Times New Roman" w:hAnsi="Times New Roman" w:eastAsia="宋体" w:cs="Times New Roman"/>
                <w:color w:val="auto"/>
                <w:spacing w:val="-5"/>
                <w:sz w:val="24"/>
                <w:szCs w:val="24"/>
                <w:highlight w:val="none"/>
                <w:lang w:val="en-US" w:eastAsia="zh-CN"/>
              </w:rPr>
              <w:t>0.088</w:t>
            </w:r>
            <w:r>
              <w:rPr>
                <w:rFonts w:hint="default" w:ascii="Times New Roman" w:hAnsi="Times New Roman" w:eastAsia="宋体" w:cs="Times New Roman"/>
                <w:color w:val="auto"/>
                <w:spacing w:val="-5"/>
                <w:sz w:val="24"/>
                <w:szCs w:val="24"/>
                <w:highlight w:val="none"/>
              </w:rPr>
              <w:t>t/</w:t>
            </w:r>
            <w:r>
              <w:rPr>
                <w:rFonts w:hint="default" w:ascii="Times New Roman" w:hAnsi="Times New Roman" w:eastAsia="宋体" w:cs="Times New Roman"/>
                <w:color w:val="auto"/>
                <w:spacing w:val="-1"/>
                <w:sz w:val="24"/>
                <w:szCs w:val="24"/>
                <w:highlight w:val="none"/>
              </w:rPr>
              <w:t>a</w:t>
            </w:r>
            <w:r>
              <w:rPr>
                <w:rFonts w:hint="default" w:ascii="Times New Roman" w:hAnsi="Times New Roman" w:eastAsia="宋体" w:cs="Times New Roman"/>
                <w:color w:val="auto"/>
                <w:sz w:val="24"/>
                <w:szCs w:val="24"/>
                <w:highlight w:val="none"/>
              </w:rPr>
              <w:t>（0.0</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position w:val="-1"/>
                <w:sz w:val="15"/>
                <w:szCs w:val="15"/>
                <w:highlight w:val="none"/>
              </w:rPr>
              <w:t>2</w:t>
            </w:r>
            <w:r>
              <w:rPr>
                <w:rFonts w:hint="default" w:ascii="Times New Roman" w:hAnsi="Times New Roman" w:eastAsia="宋体" w:cs="Times New Roman"/>
                <w:color w:val="auto"/>
                <w:sz w:val="24"/>
                <w:szCs w:val="24"/>
                <w:highlight w:val="none"/>
              </w:rPr>
              <w:t>S产生量为0.0</w:t>
            </w:r>
            <w:r>
              <w:rPr>
                <w:rFonts w:hint="default"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t/a（0.00</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1"/>
                <w:sz w:val="24"/>
                <w:szCs w:val="24"/>
                <w:highlight w:val="none"/>
              </w:rPr>
              <w:t>建议污水处理站</w:t>
            </w:r>
            <w:r>
              <w:rPr>
                <w:rFonts w:hint="default" w:ascii="Times New Roman" w:hAnsi="Times New Roman" w:eastAsia="宋体" w:cs="Times New Roman"/>
                <w:color w:val="auto"/>
                <w:sz w:val="24"/>
                <w:szCs w:val="24"/>
                <w:highlight w:val="none"/>
              </w:rPr>
              <w:t>采取密闭措施，</w:t>
            </w:r>
            <w:r>
              <w:rPr>
                <w:rFonts w:hint="default" w:ascii="Times New Roman" w:hAnsi="Times New Roman" w:eastAsia="宋体" w:cs="Times New Roman"/>
                <w:color w:val="auto"/>
                <w:spacing w:val="-1"/>
                <w:sz w:val="24"/>
                <w:szCs w:val="24"/>
                <w:highlight w:val="none"/>
              </w:rPr>
              <w:t>设置喷雾除臭</w:t>
            </w:r>
            <w:r>
              <w:rPr>
                <w:rFonts w:hint="default" w:ascii="Times New Roman" w:hAnsi="Times New Roman" w:eastAsia="宋体" w:cs="Times New Roman"/>
                <w:color w:val="auto"/>
                <w:spacing w:val="-2"/>
                <w:sz w:val="24"/>
                <w:szCs w:val="24"/>
                <w:highlight w:val="none"/>
              </w:rPr>
              <w:t>系统、喷洒生物除臭剂等除臭措施，加强周边绿化，无组织恶臭气体</w:t>
            </w:r>
            <w:r>
              <w:rPr>
                <w:rFonts w:hint="eastAsia" w:cs="Times New Roman"/>
                <w:color w:val="auto"/>
                <w:spacing w:val="-2"/>
                <w:sz w:val="24"/>
                <w:szCs w:val="24"/>
                <w:highlight w:val="none"/>
                <w:lang w:val="en-US" w:eastAsia="zh-CN"/>
              </w:rPr>
              <w:t>影响</w:t>
            </w:r>
            <w:r>
              <w:rPr>
                <w:rFonts w:hint="default" w:ascii="Times New Roman" w:hAnsi="Times New Roman" w:eastAsia="宋体" w:cs="Times New Roman"/>
                <w:color w:val="auto"/>
                <w:spacing w:val="-2"/>
                <w:sz w:val="24"/>
                <w:szCs w:val="24"/>
                <w:highlight w:val="none"/>
              </w:rPr>
              <w:t>可</w:t>
            </w:r>
            <w:r>
              <w:rPr>
                <w:rFonts w:hint="default" w:ascii="Times New Roman" w:hAnsi="Times New Roman" w:eastAsia="宋体" w:cs="Times New Roman"/>
                <w:color w:val="auto"/>
                <w:spacing w:val="-2"/>
                <w:sz w:val="24"/>
                <w:szCs w:val="24"/>
                <w:highlight w:val="none"/>
                <w:lang w:val="en-US" w:eastAsia="zh-CN"/>
              </w:rPr>
              <w:t>有效</w:t>
            </w:r>
            <w:r>
              <w:rPr>
                <w:rFonts w:hint="eastAsia" w:cs="Times New Roman"/>
                <w:color w:val="auto"/>
                <w:spacing w:val="-2"/>
                <w:sz w:val="24"/>
                <w:szCs w:val="24"/>
                <w:highlight w:val="none"/>
                <w:lang w:val="en-US" w:eastAsia="zh-CN"/>
              </w:rPr>
              <w:t>降低</w:t>
            </w:r>
            <w:r>
              <w:rPr>
                <w:rFonts w:hint="default" w:ascii="Times New Roman" w:hAnsi="Times New Roman" w:eastAsia="宋体" w:cs="Times New Roman"/>
                <w:color w:val="auto"/>
                <w:spacing w:val="-2"/>
                <w:sz w:val="24"/>
                <w:szCs w:val="24"/>
                <w:highlight w:val="none"/>
              </w:rPr>
              <w:t>。</w:t>
            </w:r>
          </w:p>
          <w:p w14:paraId="7BF376DE">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aps w:val="0"/>
                <w:smallCaps w:val="0"/>
                <w:color w:val="auto"/>
                <w:sz w:val="24"/>
                <w:highlight w:val="none"/>
              </w:rPr>
              <w:t>项目</w:t>
            </w:r>
            <w:r>
              <w:rPr>
                <w:rFonts w:hint="default" w:ascii="Times New Roman" w:hAnsi="Times New Roman" w:eastAsia="宋体" w:cs="Times New Roman"/>
                <w:caps w:val="0"/>
                <w:smallCaps w:val="0"/>
                <w:color w:val="auto"/>
                <w:sz w:val="24"/>
                <w:highlight w:val="none"/>
                <w:lang w:val="en-US" w:eastAsia="zh-CN"/>
              </w:rPr>
              <w:t>化粪池</w:t>
            </w:r>
            <w:r>
              <w:rPr>
                <w:rFonts w:hint="default" w:ascii="Times New Roman" w:hAnsi="Times New Roman" w:eastAsia="宋体" w:cs="Times New Roman"/>
                <w:caps w:val="0"/>
                <w:smallCaps w:val="0"/>
                <w:color w:val="auto"/>
                <w:sz w:val="24"/>
                <w:highlight w:val="none"/>
              </w:rPr>
              <w:t>为</w:t>
            </w:r>
            <w:r>
              <w:rPr>
                <w:rFonts w:hint="default" w:ascii="Times New Roman" w:hAnsi="Times New Roman" w:eastAsia="宋体" w:cs="Times New Roman"/>
                <w:caps w:val="0"/>
                <w:smallCaps w:val="0"/>
                <w:color w:val="auto"/>
                <w:sz w:val="24"/>
                <w:highlight w:val="none"/>
                <w:lang w:val="en-US" w:eastAsia="zh-CN"/>
              </w:rPr>
              <w:t>地埋式</w:t>
            </w:r>
            <w:r>
              <w:rPr>
                <w:rFonts w:hint="default" w:ascii="Times New Roman" w:hAnsi="Times New Roman" w:eastAsia="宋体" w:cs="Times New Roman"/>
                <w:caps w:val="0"/>
                <w:smallCaps w:val="0"/>
                <w:color w:val="auto"/>
                <w:sz w:val="24"/>
                <w:highlight w:val="none"/>
              </w:rPr>
              <w:t>，池体均设置盖板，恶臭经厂内绿化吸收，空气稀释后对周边环境影响不大。</w:t>
            </w:r>
          </w:p>
          <w:p w14:paraId="43E8D8C4">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62"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5"/>
                <w:sz w:val="24"/>
                <w:szCs w:val="24"/>
                <w:highlight w:val="none"/>
              </w:rPr>
              <w:t>（</w:t>
            </w:r>
            <w:r>
              <w:rPr>
                <w:rFonts w:hint="default" w:ascii="Times New Roman" w:hAnsi="Times New Roman" w:eastAsia="宋体" w:cs="Times New Roman"/>
                <w:b/>
                <w:bCs/>
                <w:color w:val="auto"/>
                <w:spacing w:val="-5"/>
                <w:sz w:val="24"/>
                <w:szCs w:val="24"/>
                <w:highlight w:val="none"/>
                <w:lang w:val="en-US" w:eastAsia="zh-CN"/>
              </w:rPr>
              <w:t>6</w:t>
            </w:r>
            <w:r>
              <w:rPr>
                <w:rFonts w:hint="default" w:ascii="Times New Roman" w:hAnsi="Times New Roman" w:eastAsia="宋体" w:cs="Times New Roman"/>
                <w:b/>
                <w:bCs/>
                <w:color w:val="auto"/>
                <w:spacing w:val="-5"/>
                <w:sz w:val="24"/>
                <w:szCs w:val="24"/>
                <w:highlight w:val="none"/>
              </w:rPr>
              <w:t>）食堂油烟</w:t>
            </w:r>
          </w:p>
          <w:p w14:paraId="7B460E00">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68" w:firstLineChars="200"/>
              <w:jc w:val="both"/>
              <w:textAlignment w:val="auto"/>
              <w:outlineLvl w:val="9"/>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rPr>
              <w:t>项目设有食堂，位于</w:t>
            </w:r>
            <w:r>
              <w:rPr>
                <w:rFonts w:hint="default" w:ascii="Times New Roman" w:hAnsi="Times New Roman" w:eastAsia="宋体" w:cs="Times New Roman"/>
                <w:color w:val="auto"/>
                <w:spacing w:val="-3"/>
                <w:sz w:val="24"/>
                <w:szCs w:val="24"/>
                <w:highlight w:val="none"/>
                <w:lang w:val="en-US" w:eastAsia="zh-CN"/>
              </w:rPr>
              <w:t>宿舍楼</w:t>
            </w:r>
            <w:r>
              <w:rPr>
                <w:rFonts w:hint="default" w:ascii="Times New Roman" w:hAnsi="Times New Roman" w:eastAsia="宋体" w:cs="Times New Roman"/>
                <w:color w:val="auto"/>
                <w:spacing w:val="-3"/>
                <w:sz w:val="24"/>
                <w:szCs w:val="24"/>
                <w:highlight w:val="none"/>
              </w:rPr>
              <w:t>，为员工提供三餐服务，食堂烹饪工作时间约为</w:t>
            </w:r>
            <w:r>
              <w:rPr>
                <w:rFonts w:hint="default" w:ascii="Times New Roman" w:hAnsi="Times New Roman" w:eastAsia="宋体" w:cs="Times New Roman"/>
                <w:color w:val="auto"/>
                <w:spacing w:val="-3"/>
                <w:sz w:val="24"/>
                <w:szCs w:val="24"/>
                <w:highlight w:val="none"/>
                <w:lang w:val="en-US" w:eastAsia="zh-CN"/>
              </w:rPr>
              <w:t>6</w:t>
            </w:r>
            <w:r>
              <w:rPr>
                <w:rFonts w:hint="default" w:ascii="Times New Roman" w:hAnsi="Times New Roman" w:eastAsia="宋体" w:cs="Times New Roman"/>
                <w:color w:val="auto"/>
                <w:spacing w:val="-3"/>
                <w:sz w:val="24"/>
                <w:szCs w:val="24"/>
                <w:highlight w:val="none"/>
              </w:rPr>
              <w:t>h/d，食堂设灶</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rPr>
              <w:t>个，每个灶头配置1套集气罩及抽风机，食堂就餐人数约</w:t>
            </w:r>
            <w:r>
              <w:rPr>
                <w:rFonts w:hint="default" w:ascii="Times New Roman" w:hAnsi="Times New Roman" w:eastAsia="宋体" w:cs="Times New Roman"/>
                <w:color w:val="auto"/>
                <w:spacing w:val="-3"/>
                <w:sz w:val="24"/>
                <w:szCs w:val="24"/>
                <w:highlight w:val="none"/>
                <w:lang w:val="en-US" w:eastAsia="zh-CN"/>
              </w:rPr>
              <w:t>20</w:t>
            </w:r>
            <w:r>
              <w:rPr>
                <w:rFonts w:hint="default" w:ascii="Times New Roman" w:hAnsi="Times New Roman" w:eastAsia="宋体" w:cs="Times New Roman"/>
                <w:color w:val="auto"/>
                <w:spacing w:val="-3"/>
                <w:sz w:val="24"/>
                <w:szCs w:val="24"/>
                <w:highlight w:val="none"/>
              </w:rPr>
              <w:t>0人/d</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根据类</w:t>
            </w:r>
            <w:r>
              <w:rPr>
                <w:rFonts w:hint="default" w:ascii="Times New Roman" w:hAnsi="Times New Roman" w:eastAsia="宋体" w:cs="Times New Roman"/>
                <w:color w:val="auto"/>
                <w:spacing w:val="1"/>
                <w:sz w:val="24"/>
                <w:szCs w:val="24"/>
                <w:highlight w:val="none"/>
              </w:rPr>
              <w:t>比调查和有关资料显示，食用油用量按</w:t>
            </w:r>
            <w:r>
              <w:rPr>
                <w:rFonts w:hint="default" w:ascii="Times New Roman" w:hAnsi="Times New Roman" w:eastAsia="宋体" w:cs="Times New Roman"/>
                <w:color w:val="auto"/>
                <w:spacing w:val="1"/>
                <w:sz w:val="24"/>
                <w:szCs w:val="24"/>
                <w:highlight w:val="none"/>
                <w:lang w:val="en-US" w:eastAsia="zh-CN"/>
              </w:rPr>
              <w:t>30</w:t>
            </w:r>
            <w:r>
              <w:rPr>
                <w:rFonts w:hint="default" w:ascii="Times New Roman" w:hAnsi="Times New Roman" w:eastAsia="宋体" w:cs="Times New Roman"/>
                <w:color w:val="auto"/>
                <w:spacing w:val="1"/>
                <w:sz w:val="24"/>
                <w:szCs w:val="24"/>
                <w:highlight w:val="none"/>
              </w:rPr>
              <w:t>g/（人·d）计</w:t>
            </w:r>
            <w:r>
              <w:rPr>
                <w:rFonts w:hint="default" w:ascii="Times New Roman" w:hAnsi="Times New Roman" w:eastAsia="宋体" w:cs="Times New Roman"/>
                <w:color w:val="auto"/>
                <w:sz w:val="24"/>
                <w:szCs w:val="24"/>
                <w:highlight w:val="none"/>
              </w:rPr>
              <w:t>，根据不同的烹饪方法，食</w:t>
            </w:r>
            <w:r>
              <w:rPr>
                <w:rFonts w:hint="default" w:ascii="Times New Roman" w:hAnsi="Times New Roman" w:eastAsia="宋体" w:cs="Times New Roman"/>
                <w:color w:val="auto"/>
                <w:spacing w:val="-1"/>
                <w:sz w:val="24"/>
                <w:szCs w:val="24"/>
                <w:highlight w:val="none"/>
              </w:rPr>
              <w:t>用油的挥发量不同，平均约占耗油量的2%-4%，以</w:t>
            </w:r>
            <w:r>
              <w:rPr>
                <w:rFonts w:hint="default" w:ascii="Times New Roman" w:hAnsi="Times New Roman" w:eastAsia="宋体" w:cs="Times New Roman"/>
                <w:color w:val="auto"/>
                <w:spacing w:val="-1"/>
                <w:sz w:val="24"/>
                <w:szCs w:val="24"/>
                <w:highlight w:val="none"/>
                <w:lang w:val="en-US" w:eastAsia="zh-CN"/>
              </w:rPr>
              <w:t>3</w:t>
            </w:r>
            <w:r>
              <w:rPr>
                <w:rFonts w:hint="default" w:ascii="Times New Roman" w:hAnsi="Times New Roman" w:eastAsia="宋体" w:cs="Times New Roman"/>
                <w:color w:val="auto"/>
                <w:spacing w:val="-1"/>
                <w:sz w:val="24"/>
                <w:szCs w:val="24"/>
                <w:highlight w:val="none"/>
              </w:rPr>
              <w:t>%计，年运行3</w:t>
            </w:r>
            <w:r>
              <w:rPr>
                <w:rFonts w:hint="default" w:ascii="Times New Roman" w:hAnsi="Times New Roman" w:eastAsia="宋体" w:cs="Times New Roman"/>
                <w:color w:val="auto"/>
                <w:spacing w:val="-1"/>
                <w:sz w:val="24"/>
                <w:szCs w:val="24"/>
                <w:highlight w:val="none"/>
                <w:lang w:val="en-US" w:eastAsia="zh-CN"/>
              </w:rPr>
              <w:t>3</w:t>
            </w:r>
            <w:r>
              <w:rPr>
                <w:rFonts w:hint="default" w:ascii="Times New Roman" w:hAnsi="Times New Roman" w:eastAsia="宋体" w:cs="Times New Roman"/>
                <w:color w:val="auto"/>
                <w:spacing w:val="-1"/>
                <w:sz w:val="24"/>
                <w:szCs w:val="24"/>
                <w:highlight w:val="none"/>
              </w:rPr>
              <w:t>0天，则项目</w:t>
            </w:r>
            <w:r>
              <w:rPr>
                <w:rFonts w:hint="default" w:ascii="Times New Roman" w:hAnsi="Times New Roman" w:eastAsia="宋体" w:cs="Times New Roman"/>
                <w:color w:val="auto"/>
                <w:spacing w:val="-2"/>
                <w:sz w:val="24"/>
                <w:szCs w:val="24"/>
                <w:highlight w:val="none"/>
              </w:rPr>
              <w:t>食堂日用油量为</w:t>
            </w:r>
            <w:r>
              <w:rPr>
                <w:rFonts w:hint="default" w:ascii="Times New Roman" w:hAnsi="Times New Roman" w:eastAsia="宋体" w:cs="Times New Roman"/>
                <w:color w:val="auto"/>
                <w:spacing w:val="-2"/>
                <w:sz w:val="24"/>
                <w:szCs w:val="24"/>
                <w:highlight w:val="none"/>
                <w:lang w:val="en-US" w:eastAsia="zh-CN"/>
              </w:rPr>
              <w:t>6</w:t>
            </w:r>
            <w:r>
              <w:rPr>
                <w:rFonts w:hint="default" w:ascii="Times New Roman" w:hAnsi="Times New Roman" w:eastAsia="宋体" w:cs="Times New Roman"/>
                <w:color w:val="auto"/>
                <w:spacing w:val="-2"/>
                <w:sz w:val="24"/>
                <w:szCs w:val="24"/>
                <w:highlight w:val="none"/>
              </w:rPr>
              <w:t>kg/d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1.98</w:t>
            </w:r>
            <w:r>
              <w:rPr>
                <w:rFonts w:hint="default" w:ascii="Times New Roman" w:hAnsi="Times New Roman" w:eastAsia="宋体" w:cs="Times New Roman"/>
                <w:color w:val="auto"/>
                <w:spacing w:val="-2"/>
                <w:sz w:val="24"/>
                <w:szCs w:val="24"/>
                <w:highlight w:val="none"/>
              </w:rPr>
              <w:t>t/a，油烟产生量为</w:t>
            </w:r>
            <w:r>
              <w:rPr>
                <w:rFonts w:hint="default" w:ascii="Times New Roman" w:hAnsi="Times New Roman" w:eastAsia="宋体" w:cs="Times New Roman"/>
                <w:color w:val="auto"/>
                <w:spacing w:val="-2"/>
                <w:sz w:val="24"/>
                <w:szCs w:val="24"/>
                <w:highlight w:val="none"/>
                <w:lang w:val="en-US" w:eastAsia="zh-CN"/>
              </w:rPr>
              <w:t>0.18</w:t>
            </w:r>
            <w:r>
              <w:rPr>
                <w:rFonts w:hint="default" w:ascii="Times New Roman" w:hAnsi="Times New Roman" w:eastAsia="宋体" w:cs="Times New Roman"/>
                <w:color w:val="auto"/>
                <w:spacing w:val="-3"/>
                <w:sz w:val="24"/>
                <w:szCs w:val="24"/>
                <w:highlight w:val="none"/>
              </w:rPr>
              <w:t>kg/d，</w:t>
            </w:r>
            <w:r>
              <w:rPr>
                <w:rFonts w:hint="default" w:ascii="Times New Roman" w:hAnsi="Times New Roman" w:eastAsia="宋体" w:cs="Times New Roman"/>
                <w:color w:val="auto"/>
                <w:spacing w:val="-3"/>
                <w:sz w:val="24"/>
                <w:szCs w:val="24"/>
                <w:highlight w:val="none"/>
                <w:lang w:val="en-US" w:eastAsia="zh-CN"/>
              </w:rPr>
              <w:t>59.4</w:t>
            </w:r>
            <w:r>
              <w:rPr>
                <w:rFonts w:hint="default" w:ascii="Times New Roman" w:hAnsi="Times New Roman" w:eastAsia="宋体" w:cs="Times New Roman"/>
                <w:color w:val="auto"/>
                <w:sz w:val="24"/>
                <w:szCs w:val="24"/>
                <w:highlight w:val="none"/>
              </w:rPr>
              <w:t>k</w:t>
            </w:r>
            <w:r>
              <w:rPr>
                <w:rFonts w:hint="default" w:ascii="Times New Roman" w:hAnsi="Times New Roman" w:eastAsia="宋体" w:cs="Times New Roman"/>
                <w:color w:val="auto"/>
                <w:spacing w:val="-1"/>
                <w:sz w:val="24"/>
                <w:szCs w:val="24"/>
                <w:highlight w:val="none"/>
              </w:rPr>
              <w:t>g/a</w:t>
            </w:r>
            <w:r>
              <w:rPr>
                <w:rFonts w:hint="default" w:ascii="Times New Roman" w:hAnsi="Times New Roman" w:eastAsia="宋体" w:cs="Times New Roman"/>
                <w:color w:val="auto"/>
                <w:spacing w:val="-3"/>
                <w:sz w:val="24"/>
                <w:szCs w:val="24"/>
                <w:highlight w:val="none"/>
              </w:rPr>
              <w:t>。</w:t>
            </w:r>
          </w:p>
          <w:p w14:paraId="4AE96643">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aps w:val="0"/>
                <w:smallCaps w:val="0"/>
                <w:color w:val="auto"/>
                <w:sz w:val="24"/>
                <w:highlight w:val="none"/>
              </w:rPr>
              <w:t>依据《饮食业油烟排放标准》</w:t>
            </w:r>
            <w:r>
              <w:rPr>
                <w:rFonts w:hint="default" w:ascii="Times New Roman" w:hAnsi="Times New Roman" w:eastAsia="宋体" w:cs="Times New Roman"/>
                <w:caps w:val="0"/>
                <w:smallCaps w:val="0"/>
                <w:color w:val="auto"/>
                <w:sz w:val="24"/>
                <w:highlight w:val="none"/>
                <w:lang w:eastAsia="zh-CN"/>
              </w:rPr>
              <w:t>（</w:t>
            </w:r>
            <w:r>
              <w:rPr>
                <w:rFonts w:hint="default" w:ascii="Times New Roman" w:hAnsi="Times New Roman" w:eastAsia="宋体" w:cs="Times New Roman"/>
                <w:caps w:val="0"/>
                <w:smallCaps w:val="0"/>
                <w:color w:val="auto"/>
                <w:sz w:val="24"/>
                <w:highlight w:val="none"/>
              </w:rPr>
              <w:t>GB18483-2001</w:t>
            </w:r>
            <w:r>
              <w:rPr>
                <w:rFonts w:hint="default" w:ascii="Times New Roman" w:hAnsi="Times New Roman" w:eastAsia="宋体" w:cs="Times New Roman"/>
                <w:caps w:val="0"/>
                <w:smallCaps w:val="0"/>
                <w:color w:val="auto"/>
                <w:sz w:val="24"/>
                <w:highlight w:val="none"/>
                <w:lang w:eastAsia="zh-CN"/>
              </w:rPr>
              <w:t>）</w:t>
            </w:r>
            <w:r>
              <w:rPr>
                <w:rFonts w:hint="default" w:ascii="Times New Roman" w:hAnsi="Times New Roman" w:eastAsia="宋体" w:cs="Times New Roman"/>
                <w:caps w:val="0"/>
                <w:smallCaps w:val="0"/>
                <w:color w:val="auto"/>
                <w:sz w:val="24"/>
                <w:highlight w:val="none"/>
              </w:rPr>
              <w:t>规定本项目食堂属于</w:t>
            </w:r>
            <w:r>
              <w:rPr>
                <w:rFonts w:hint="default" w:ascii="Times New Roman" w:hAnsi="Times New Roman" w:eastAsia="宋体" w:cs="Times New Roman"/>
                <w:caps w:val="0"/>
                <w:smallCaps w:val="0"/>
                <w:color w:val="auto"/>
                <w:sz w:val="24"/>
                <w:highlight w:val="none"/>
                <w:lang w:val="en-US" w:eastAsia="zh-CN"/>
              </w:rPr>
              <w:t>中</w:t>
            </w:r>
            <w:r>
              <w:rPr>
                <w:rFonts w:hint="default" w:ascii="Times New Roman" w:hAnsi="Times New Roman" w:eastAsia="宋体" w:cs="Times New Roman"/>
                <w:caps w:val="0"/>
                <w:smallCaps w:val="0"/>
                <w:color w:val="auto"/>
                <w:sz w:val="24"/>
                <w:highlight w:val="none"/>
              </w:rPr>
              <w:t>型饮食业单位，</w:t>
            </w:r>
            <w:r>
              <w:rPr>
                <w:rFonts w:hint="default" w:ascii="Times New Roman" w:hAnsi="Times New Roman" w:eastAsia="宋体" w:cs="Times New Roman"/>
                <w:color w:val="auto"/>
                <w:spacing w:val="-2"/>
                <w:sz w:val="24"/>
                <w:szCs w:val="24"/>
                <w:highlight w:val="none"/>
              </w:rPr>
              <w:t>项目</w:t>
            </w:r>
            <w:r>
              <w:rPr>
                <w:rFonts w:hint="eastAsia" w:cs="Times New Roman"/>
                <w:color w:val="auto"/>
                <w:spacing w:val="-2"/>
                <w:sz w:val="24"/>
                <w:szCs w:val="24"/>
                <w:highlight w:val="none"/>
                <w:lang w:val="en-US" w:eastAsia="zh-CN"/>
              </w:rPr>
              <w:t>拟</w:t>
            </w:r>
            <w:r>
              <w:rPr>
                <w:rFonts w:hint="default" w:ascii="Times New Roman" w:hAnsi="Times New Roman" w:eastAsia="宋体" w:cs="Times New Roman"/>
                <w:color w:val="auto"/>
                <w:spacing w:val="-2"/>
                <w:sz w:val="24"/>
                <w:szCs w:val="24"/>
                <w:highlight w:val="none"/>
              </w:rPr>
              <w:t>设置1套油烟净化器，食堂油烟收集净</w:t>
            </w:r>
            <w:r>
              <w:rPr>
                <w:rFonts w:hint="default" w:ascii="Times New Roman" w:hAnsi="Times New Roman" w:eastAsia="宋体" w:cs="Times New Roman"/>
                <w:color w:val="auto"/>
                <w:spacing w:val="-3"/>
                <w:sz w:val="24"/>
                <w:szCs w:val="24"/>
                <w:highlight w:val="none"/>
              </w:rPr>
              <w:t>化后通过排风系统经1根排气筒引至楼顶高空排放，食堂油烟净化去除率以</w:t>
            </w:r>
            <w:r>
              <w:rPr>
                <w:rFonts w:hint="default" w:ascii="Times New Roman" w:hAnsi="Times New Roman" w:eastAsia="宋体" w:cs="Times New Roman"/>
                <w:color w:val="auto"/>
                <w:spacing w:val="-3"/>
                <w:sz w:val="24"/>
                <w:szCs w:val="24"/>
                <w:highlight w:val="none"/>
                <w:lang w:val="en-US" w:eastAsia="zh-CN"/>
              </w:rPr>
              <w:t>7</w:t>
            </w:r>
            <w:r>
              <w:rPr>
                <w:rFonts w:hint="default" w:ascii="Times New Roman" w:hAnsi="Times New Roman" w:eastAsia="宋体" w:cs="Times New Roman"/>
                <w:color w:val="auto"/>
                <w:spacing w:val="-3"/>
                <w:sz w:val="24"/>
                <w:szCs w:val="24"/>
                <w:highlight w:val="none"/>
              </w:rPr>
              <w:t>5%计，则</w:t>
            </w:r>
            <w:r>
              <w:rPr>
                <w:rFonts w:hint="default" w:ascii="Times New Roman" w:hAnsi="Times New Roman" w:eastAsia="宋体" w:cs="Times New Roman"/>
                <w:color w:val="auto"/>
                <w:sz w:val="24"/>
                <w:szCs w:val="24"/>
                <w:highlight w:val="none"/>
              </w:rPr>
              <w:t>项目运营期食堂油烟排放总量为0.</w:t>
            </w:r>
            <w:r>
              <w:rPr>
                <w:rFonts w:hint="default" w:ascii="Times New Roman" w:hAnsi="Times New Roman" w:eastAsia="宋体" w:cs="Times New Roman"/>
                <w:color w:val="auto"/>
                <w:sz w:val="24"/>
                <w:szCs w:val="24"/>
                <w:highlight w:val="none"/>
                <w:lang w:val="en-US" w:eastAsia="zh-CN"/>
              </w:rPr>
              <w:t>045</w:t>
            </w:r>
            <w:r>
              <w:rPr>
                <w:rFonts w:hint="default" w:ascii="Times New Roman" w:hAnsi="Times New Roman" w:eastAsia="宋体" w:cs="Times New Roman"/>
                <w:color w:val="auto"/>
                <w:sz w:val="24"/>
                <w:szCs w:val="24"/>
                <w:highlight w:val="none"/>
              </w:rPr>
              <w:t>kg/d（</w:t>
            </w:r>
            <w:r>
              <w:rPr>
                <w:rFonts w:hint="default" w:ascii="Times New Roman" w:hAnsi="Times New Roman" w:eastAsia="宋体" w:cs="Times New Roman"/>
                <w:color w:val="auto"/>
                <w:sz w:val="24"/>
                <w:szCs w:val="24"/>
                <w:highlight w:val="none"/>
                <w:lang w:val="en-US" w:eastAsia="zh-CN"/>
              </w:rPr>
              <w:t>14.85</w:t>
            </w:r>
            <w:r>
              <w:rPr>
                <w:rFonts w:hint="default" w:ascii="Times New Roman" w:hAnsi="Times New Roman" w:eastAsia="宋体" w:cs="Times New Roman"/>
                <w:color w:val="auto"/>
                <w:sz w:val="24"/>
                <w:szCs w:val="24"/>
                <w:highlight w:val="none"/>
              </w:rPr>
              <w:t>k</w:t>
            </w:r>
            <w:r>
              <w:rPr>
                <w:rFonts w:hint="default" w:ascii="Times New Roman" w:hAnsi="Times New Roman" w:eastAsia="宋体" w:cs="Times New Roman"/>
                <w:color w:val="auto"/>
                <w:spacing w:val="-1"/>
                <w:sz w:val="24"/>
                <w:szCs w:val="24"/>
                <w:highlight w:val="none"/>
              </w:rPr>
              <w:t>g/a</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1"/>
                <w:sz w:val="24"/>
                <w:szCs w:val="24"/>
                <w:highlight w:val="none"/>
              </w:rPr>
              <w:t>排放速率为0.0</w:t>
            </w:r>
            <w:r>
              <w:rPr>
                <w:rFonts w:hint="default" w:ascii="Times New Roman" w:hAnsi="Times New Roman" w:eastAsia="宋体" w:cs="Times New Roman"/>
                <w:color w:val="auto"/>
                <w:spacing w:val="-1"/>
                <w:sz w:val="24"/>
                <w:szCs w:val="24"/>
                <w:highlight w:val="none"/>
                <w:lang w:val="en-US" w:eastAsia="zh-CN"/>
              </w:rPr>
              <w:t>075</w:t>
            </w:r>
            <w:r>
              <w:rPr>
                <w:rFonts w:hint="default" w:ascii="Times New Roman" w:hAnsi="Times New Roman" w:eastAsia="宋体" w:cs="Times New Roman"/>
                <w:color w:val="auto"/>
                <w:spacing w:val="-1"/>
                <w:sz w:val="24"/>
                <w:szCs w:val="24"/>
                <w:highlight w:val="none"/>
              </w:rPr>
              <w:t>kg/h，风量</w:t>
            </w:r>
            <w:r>
              <w:rPr>
                <w:rFonts w:hint="default" w:ascii="Times New Roman" w:hAnsi="Times New Roman" w:eastAsia="宋体" w:cs="Times New Roman"/>
                <w:color w:val="auto"/>
                <w:spacing w:val="-3"/>
                <w:sz w:val="24"/>
                <w:szCs w:val="24"/>
                <w:highlight w:val="none"/>
              </w:rPr>
              <w:t>为</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rPr>
              <w:t>000m</w:t>
            </w:r>
            <w:r>
              <w:rPr>
                <w:rFonts w:hint="default" w:ascii="Times New Roman" w:hAnsi="Times New Roman" w:eastAsia="宋体"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/h，排放浓度为1.</w:t>
            </w:r>
            <w:r>
              <w:rPr>
                <w:rFonts w:hint="default" w:ascii="Times New Roman" w:hAnsi="Times New Roman" w:eastAsia="宋体"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rPr>
              <w:t>mg/m</w:t>
            </w:r>
            <w:r>
              <w:rPr>
                <w:rFonts w:hint="default" w:ascii="Times New Roman" w:hAnsi="Times New Roman" w:eastAsia="宋体"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w:t>
            </w:r>
          </w:p>
          <w:p w14:paraId="150F6DDB">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0" w:firstLineChars="200"/>
              <w:jc w:val="both"/>
              <w:textAlignment w:val="auto"/>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bidi="ar"/>
              </w:rPr>
              <w:t>食堂</w:t>
            </w:r>
            <w:r>
              <w:rPr>
                <w:rFonts w:hint="default" w:ascii="Times New Roman" w:hAnsi="Times New Roman" w:eastAsia="宋体" w:cs="Times New Roman"/>
                <w:color w:val="auto"/>
                <w:kern w:val="0"/>
                <w:sz w:val="24"/>
                <w:szCs w:val="24"/>
                <w:highlight w:val="none"/>
                <w:lang w:bidi="ar"/>
              </w:rPr>
              <w:t>油烟产生及排放情况</w:t>
            </w:r>
            <w:r>
              <w:rPr>
                <w:rFonts w:hint="default" w:ascii="Times New Roman" w:hAnsi="Times New Roman" w:eastAsia="宋体" w:cs="Times New Roman"/>
                <w:strike w:val="0"/>
                <w:dstrike w:val="0"/>
                <w:color w:val="auto"/>
                <w:sz w:val="24"/>
                <w:szCs w:val="24"/>
                <w:highlight w:val="none"/>
              </w:rPr>
              <w:t>见下表</w:t>
            </w:r>
            <w:r>
              <w:rPr>
                <w:rFonts w:hint="default" w:ascii="Times New Roman" w:hAnsi="Times New Roman" w:eastAsia="宋体" w:cs="Times New Roman"/>
                <w:color w:val="auto"/>
                <w:kern w:val="0"/>
                <w:sz w:val="24"/>
                <w:szCs w:val="24"/>
                <w:highlight w:val="none"/>
                <w:lang w:bidi="ar"/>
              </w:rPr>
              <w:t>。</w:t>
            </w:r>
          </w:p>
          <w:p w14:paraId="2010DEF5">
            <w:pPr>
              <w:keepNext w:val="0"/>
              <w:keepLines w:val="0"/>
              <w:pageBreakBefore w:val="0"/>
              <w:kinsoku/>
              <w:overflowPunct/>
              <w:topLinePunct/>
              <w:autoSpaceDE w:val="0"/>
              <w:bidi w:val="0"/>
              <w:adjustRightInd w:val="0"/>
              <w:snapToGrid w:val="0"/>
              <w:spacing w:line="276"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 xml:space="preserve">4 </w:t>
            </w:r>
            <w:r>
              <w:rPr>
                <w:rFonts w:hint="default" w:ascii="Times New Roman" w:hAnsi="Times New Roman" w:eastAsia="宋体" w:cs="Times New Roman"/>
                <w:b/>
                <w:bCs/>
                <w:color w:val="auto"/>
                <w:szCs w:val="21"/>
                <w:highlight w:val="none"/>
              </w:rPr>
              <w:t xml:space="preserve"> 项目食用油消耗和油烟废气产排情况表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865"/>
              <w:gridCol w:w="850"/>
              <w:gridCol w:w="837"/>
              <w:gridCol w:w="813"/>
              <w:gridCol w:w="669"/>
              <w:gridCol w:w="848"/>
              <w:gridCol w:w="866"/>
              <w:gridCol w:w="878"/>
            </w:tblGrid>
            <w:tr w14:paraId="56DE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Merge w:val="restart"/>
                  <w:noWrap w:val="0"/>
                  <w:vAlign w:val="center"/>
                </w:tcPr>
                <w:p w14:paraId="4F5975E6">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546" w:type="pct"/>
                  <w:vMerge w:val="restart"/>
                  <w:noWrap w:val="0"/>
                  <w:vAlign w:val="center"/>
                </w:tcPr>
                <w:p w14:paraId="61749EC8">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1580" w:type="pct"/>
                  <w:gridSpan w:val="3"/>
                  <w:noWrap w:val="0"/>
                  <w:vAlign w:val="center"/>
                </w:tcPr>
                <w:p w14:paraId="0B63657D">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产生情况</w:t>
                  </w:r>
                </w:p>
              </w:tc>
              <w:tc>
                <w:tcPr>
                  <w:tcW w:w="423" w:type="pct"/>
                  <w:vMerge w:val="restart"/>
                  <w:noWrap w:val="0"/>
                  <w:vAlign w:val="center"/>
                </w:tcPr>
                <w:p w14:paraId="5632B8AC">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去除效率</w:t>
                  </w:r>
                </w:p>
              </w:tc>
              <w:tc>
                <w:tcPr>
                  <w:tcW w:w="1638" w:type="pct"/>
                  <w:gridSpan w:val="3"/>
                  <w:noWrap w:val="0"/>
                  <w:vAlign w:val="center"/>
                </w:tcPr>
                <w:p w14:paraId="2212DFC5">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排放情况</w:t>
                  </w:r>
                </w:p>
              </w:tc>
            </w:tr>
            <w:tr w14:paraId="6576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vMerge w:val="continue"/>
                  <w:noWrap w:val="0"/>
                  <w:vAlign w:val="center"/>
                </w:tcPr>
                <w:p w14:paraId="09B435FA">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p>
              </w:tc>
              <w:tc>
                <w:tcPr>
                  <w:tcW w:w="546" w:type="pct"/>
                  <w:vMerge w:val="continue"/>
                  <w:noWrap w:val="0"/>
                  <w:vAlign w:val="center"/>
                </w:tcPr>
                <w:p w14:paraId="5A8215E8">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p>
              </w:tc>
              <w:tc>
                <w:tcPr>
                  <w:tcW w:w="537" w:type="pct"/>
                  <w:noWrap w:val="0"/>
                  <w:vAlign w:val="center"/>
                </w:tcPr>
                <w:p w14:paraId="0C3130CC">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产生量kg/a</w:t>
                  </w:r>
                </w:p>
              </w:tc>
              <w:tc>
                <w:tcPr>
                  <w:tcW w:w="529" w:type="pct"/>
                  <w:noWrap w:val="0"/>
                  <w:vAlign w:val="center"/>
                </w:tcPr>
                <w:p w14:paraId="6E1039A5">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514" w:type="pct"/>
                  <w:noWrap w:val="0"/>
                  <w:vAlign w:val="center"/>
                </w:tcPr>
                <w:p w14:paraId="17673193">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浓度mg/m</w:t>
                  </w:r>
                  <w:r>
                    <w:rPr>
                      <w:rFonts w:hint="default" w:ascii="Times New Roman" w:hAnsi="Times New Roman" w:eastAsia="宋体" w:cs="Times New Roman"/>
                      <w:b/>
                      <w:color w:val="auto"/>
                      <w:sz w:val="21"/>
                      <w:szCs w:val="21"/>
                      <w:highlight w:val="none"/>
                      <w:vertAlign w:val="superscript"/>
                    </w:rPr>
                    <w:t>3</w:t>
                  </w:r>
                </w:p>
              </w:tc>
              <w:tc>
                <w:tcPr>
                  <w:tcW w:w="423" w:type="pct"/>
                  <w:vMerge w:val="continue"/>
                  <w:noWrap w:val="0"/>
                  <w:vAlign w:val="center"/>
                </w:tcPr>
                <w:p w14:paraId="5116CF67">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p>
              </w:tc>
              <w:tc>
                <w:tcPr>
                  <w:tcW w:w="536" w:type="pct"/>
                  <w:noWrap w:val="0"/>
                  <w:vAlign w:val="center"/>
                </w:tcPr>
                <w:p w14:paraId="483343EA">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排放量kg/a</w:t>
                  </w:r>
                </w:p>
              </w:tc>
              <w:tc>
                <w:tcPr>
                  <w:tcW w:w="547" w:type="pct"/>
                  <w:noWrap w:val="0"/>
                  <w:vAlign w:val="center"/>
                </w:tcPr>
                <w:p w14:paraId="1C69A546">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555" w:type="pct"/>
                  <w:noWrap w:val="0"/>
                  <w:vAlign w:val="center"/>
                </w:tcPr>
                <w:p w14:paraId="3F18F8DD">
                  <w:pPr>
                    <w:keepNext w:val="0"/>
                    <w:keepLines w:val="0"/>
                    <w:pageBreakBefore w:val="0"/>
                    <w:kinsoku/>
                    <w:overflowPunct/>
                    <w:topLinePunct/>
                    <w:autoSpaceDE w:val="0"/>
                    <w:bidi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浓度mg/m</w:t>
                  </w:r>
                  <w:r>
                    <w:rPr>
                      <w:rFonts w:hint="default" w:ascii="Times New Roman" w:hAnsi="Times New Roman" w:eastAsia="宋体" w:cs="Times New Roman"/>
                      <w:b/>
                      <w:color w:val="auto"/>
                      <w:sz w:val="21"/>
                      <w:szCs w:val="21"/>
                      <w:highlight w:val="none"/>
                      <w:vertAlign w:val="superscript"/>
                    </w:rPr>
                    <w:t>3</w:t>
                  </w:r>
                </w:p>
              </w:tc>
            </w:tr>
            <w:tr w14:paraId="7DDC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pct"/>
                  <w:noWrap w:val="0"/>
                  <w:vAlign w:val="center"/>
                </w:tcPr>
                <w:p w14:paraId="2FEC11E3">
                  <w:pPr>
                    <w:keepNext w:val="0"/>
                    <w:keepLines w:val="0"/>
                    <w:pageBreakBefore w:val="0"/>
                    <w:kinsoku/>
                    <w:overflowPunct/>
                    <w:topLinePunct/>
                    <w:autoSpaceDE w:val="0"/>
                    <w:bidi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食堂</w:t>
                  </w:r>
                  <w:r>
                    <w:rPr>
                      <w:rFonts w:hint="default" w:ascii="Times New Roman" w:hAnsi="Times New Roman" w:eastAsia="宋体" w:cs="Times New Roman"/>
                      <w:color w:val="auto"/>
                      <w:kern w:val="0"/>
                      <w:sz w:val="21"/>
                      <w:szCs w:val="21"/>
                      <w:highlight w:val="none"/>
                    </w:rPr>
                    <w:t>油烟</w:t>
                  </w:r>
                </w:p>
              </w:tc>
              <w:tc>
                <w:tcPr>
                  <w:tcW w:w="546" w:type="pct"/>
                  <w:noWrap w:val="0"/>
                  <w:vAlign w:val="center"/>
                </w:tcPr>
                <w:p w14:paraId="1507E84C">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w:t>
                  </w:r>
                </w:p>
              </w:tc>
              <w:tc>
                <w:tcPr>
                  <w:tcW w:w="537" w:type="pct"/>
                  <w:noWrap w:val="0"/>
                  <w:vAlign w:val="center"/>
                </w:tcPr>
                <w:p w14:paraId="625A4848">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59.4</w:t>
                  </w:r>
                </w:p>
              </w:tc>
              <w:tc>
                <w:tcPr>
                  <w:tcW w:w="529" w:type="pct"/>
                  <w:noWrap w:val="0"/>
                  <w:vAlign w:val="center"/>
                </w:tcPr>
                <w:p w14:paraId="60AB4C39">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val="en-US" w:eastAsia="zh-CN" w:bidi="ar"/>
                    </w:rPr>
                    <w:t>3</w:t>
                  </w:r>
                </w:p>
              </w:tc>
              <w:tc>
                <w:tcPr>
                  <w:tcW w:w="514" w:type="pct"/>
                  <w:noWrap w:val="0"/>
                  <w:vAlign w:val="center"/>
                </w:tcPr>
                <w:p w14:paraId="3AE2BEDA">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6.0</w:t>
                  </w:r>
                </w:p>
              </w:tc>
              <w:tc>
                <w:tcPr>
                  <w:tcW w:w="423" w:type="pct"/>
                  <w:noWrap w:val="0"/>
                  <w:vAlign w:val="center"/>
                </w:tcPr>
                <w:p w14:paraId="0A152DD0">
                  <w:pPr>
                    <w:keepNext w:val="0"/>
                    <w:keepLines w:val="0"/>
                    <w:pageBreakBefore w:val="0"/>
                    <w:kinsoku/>
                    <w:overflowPunct/>
                    <w:topLinePunct/>
                    <w:autoSpaceDE w:val="0"/>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536" w:type="pct"/>
                  <w:noWrap w:val="0"/>
                  <w:vAlign w:val="center"/>
                </w:tcPr>
                <w:p w14:paraId="47632327">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14.85</w:t>
                  </w:r>
                </w:p>
              </w:tc>
              <w:tc>
                <w:tcPr>
                  <w:tcW w:w="547" w:type="pct"/>
                  <w:noWrap w:val="0"/>
                  <w:vAlign w:val="center"/>
                </w:tcPr>
                <w:p w14:paraId="1CC7ABE3">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w:t>
                  </w:r>
                  <w:r>
                    <w:rPr>
                      <w:rFonts w:hint="default" w:ascii="Times New Roman" w:hAnsi="Times New Roman" w:eastAsia="宋体" w:cs="Times New Roman"/>
                      <w:color w:val="auto"/>
                      <w:kern w:val="0"/>
                      <w:sz w:val="21"/>
                      <w:szCs w:val="21"/>
                      <w:highlight w:val="none"/>
                      <w:lang w:val="en-US" w:eastAsia="zh-CN" w:bidi="ar"/>
                    </w:rPr>
                    <w:t>07</w:t>
                  </w:r>
                  <w:r>
                    <w:rPr>
                      <w:rFonts w:hint="default" w:ascii="Times New Roman" w:hAnsi="Times New Roman" w:eastAsia="宋体" w:cs="Times New Roman"/>
                      <w:color w:val="auto"/>
                      <w:kern w:val="0"/>
                      <w:sz w:val="21"/>
                      <w:szCs w:val="21"/>
                      <w:highlight w:val="none"/>
                      <w:lang w:bidi="ar"/>
                    </w:rPr>
                    <w:t>5</w:t>
                  </w:r>
                </w:p>
              </w:tc>
              <w:tc>
                <w:tcPr>
                  <w:tcW w:w="555" w:type="pct"/>
                  <w:noWrap w:val="0"/>
                  <w:vAlign w:val="center"/>
                </w:tcPr>
                <w:p w14:paraId="65C13835">
                  <w:pPr>
                    <w:keepNext w:val="0"/>
                    <w:keepLines w:val="0"/>
                    <w:pageBreakBefore w:val="0"/>
                    <w:widowControl/>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1.</w:t>
                  </w:r>
                  <w:r>
                    <w:rPr>
                      <w:rFonts w:hint="default" w:ascii="Times New Roman" w:hAnsi="Times New Roman" w:eastAsia="宋体" w:cs="Times New Roman"/>
                      <w:color w:val="auto"/>
                      <w:kern w:val="0"/>
                      <w:sz w:val="21"/>
                      <w:szCs w:val="21"/>
                      <w:highlight w:val="none"/>
                      <w:lang w:val="en-US" w:eastAsia="zh-CN" w:bidi="ar"/>
                    </w:rPr>
                    <w:t>5</w:t>
                  </w:r>
                </w:p>
              </w:tc>
            </w:tr>
          </w:tbl>
          <w:p w14:paraId="777068F1">
            <w:pPr>
              <w:keepNext w:val="0"/>
              <w:keepLines w:val="0"/>
              <w:pageBreakBefore w:val="0"/>
              <w:widowControl/>
              <w:numPr>
                <w:ilvl w:val="0"/>
                <w:numId w:val="0"/>
              </w:numPr>
              <w:kinsoku/>
              <w:wordWrap/>
              <w:overflowPunct/>
              <w:topLinePunct/>
              <w:autoSpaceDE w:val="0"/>
              <w:autoSpaceDN/>
              <w:bidi w:val="0"/>
              <w:adjustRightInd/>
              <w:snapToGrid/>
              <w:spacing w:line="360" w:lineRule="auto"/>
              <w:ind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（7）汽车尾气</w:t>
            </w:r>
          </w:p>
          <w:p w14:paraId="5A9D7FD9">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生产原辅料、产品等均</w:t>
            </w:r>
            <w:r>
              <w:rPr>
                <w:rFonts w:hint="default" w:ascii="Times New Roman" w:hAnsi="Times New Roman" w:eastAsia="宋体" w:cs="Times New Roman"/>
                <w:color w:val="auto"/>
                <w:sz w:val="24"/>
                <w:szCs w:val="24"/>
                <w:highlight w:val="none"/>
              </w:rPr>
              <w:t>采用公路运输方式，通过汽车运输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highlight w:val="none"/>
              </w:rPr>
              <w:t>运输车辆驶入、驶出时会排放少量尾气，其中含CH、NO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、CO等少量污染物，呈无组织排放</w:t>
            </w:r>
            <w:r>
              <w:rPr>
                <w:rFonts w:hint="default" w:ascii="Times New Roman" w:hAnsi="Times New Roman" w:eastAsia="宋体" w:cs="Times New Roman"/>
                <w:color w:val="auto"/>
                <w:highlight w:val="none"/>
                <w:lang w:eastAsia="zh-CN"/>
              </w:rPr>
              <w:t>。</w:t>
            </w:r>
          </w:p>
          <w:p w14:paraId="35EDEC5E">
            <w:pPr>
              <w:keepNext w:val="0"/>
              <w:keepLines w:val="0"/>
              <w:pageBreakBefore w:val="0"/>
              <w:widowControl w:val="0"/>
              <w:kinsoku/>
              <w:wordWrap/>
              <w:overflowPunct/>
              <w:topLinePunct/>
              <w:autoSpaceDE w:val="0"/>
              <w:autoSpaceDN/>
              <w:bidi w:val="0"/>
              <w:adjustRightInd/>
              <w:snapToGrid/>
              <w:spacing w:line="360" w:lineRule="auto"/>
              <w:ind w:right="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strike w:val="0"/>
                <w:dstrike w:val="0"/>
                <w:color w:val="auto"/>
                <w:sz w:val="24"/>
                <w:highlight w:val="none"/>
                <w:lang w:val="en-US" w:eastAsia="zh-CN"/>
              </w:rPr>
              <w:t>2.</w:t>
            </w:r>
            <w:r>
              <w:rPr>
                <w:rFonts w:hint="default" w:ascii="Times New Roman" w:hAnsi="Times New Roman" w:eastAsia="宋体" w:cs="Times New Roman"/>
                <w:b/>
                <w:bCs/>
                <w:strike w:val="0"/>
                <w:dstrike w:val="0"/>
                <w:color w:val="auto"/>
                <w:spacing w:val="-4"/>
                <w:sz w:val="24"/>
                <w:szCs w:val="24"/>
                <w:highlight w:val="none"/>
              </w:rPr>
              <w:t>有组织废气达标排放分析</w:t>
            </w:r>
          </w:p>
          <w:p w14:paraId="5BB22628">
            <w:pPr>
              <w:pStyle w:val="27"/>
              <w:keepNext w:val="0"/>
              <w:keepLines w:val="0"/>
              <w:pageBreakBefore w:val="0"/>
              <w:widowControl w:val="0"/>
              <w:kinsoku/>
              <w:wordWrap/>
              <w:overflowPunct/>
              <w:topLinePunct/>
              <w:autoSpaceDE w:val="0"/>
              <w:autoSpaceDN/>
              <w:bidi w:val="0"/>
              <w:spacing w:before="0" w:after="0" w:line="360" w:lineRule="auto"/>
              <w:ind w:firstLine="480" w:firstLineChars="200"/>
              <w:jc w:val="both"/>
              <w:textAlignment w:val="auto"/>
              <w:rPr>
                <w:rFonts w:hint="default" w:ascii="Times New Roman" w:hAnsi="Times New Roman" w:eastAsia="宋体" w:cs="Times New Roman"/>
                <w:color w:val="auto"/>
                <w:spacing w:val="-1"/>
                <w:sz w:val="24"/>
                <w:szCs w:val="24"/>
                <w:highlight w:val="none"/>
                <w:lang w:eastAsia="zh-CN"/>
              </w:rPr>
            </w:pP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z w:val="24"/>
                <w:szCs w:val="24"/>
                <w:highlight w:val="none"/>
              </w:rPr>
              <w:t>车间产生</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主要</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配料、电炉及滚抛过程产生的粉尘</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三股</w:t>
            </w:r>
            <w:r>
              <w:rPr>
                <w:rFonts w:hint="default" w:ascii="Times New Roman" w:hAnsi="Times New Roman" w:eastAsia="宋体" w:cs="Times New Roman"/>
                <w:b w:val="0"/>
                <w:bCs w:val="0"/>
                <w:strike w:val="0"/>
                <w:dstrike w:val="0"/>
                <w:color w:val="auto"/>
                <w:sz w:val="24"/>
                <w:szCs w:val="24"/>
                <w:highlight w:val="none"/>
              </w:rPr>
              <w:t>废气经收集后通过设置风机进行废气收集</w:t>
            </w:r>
            <w:r>
              <w:rPr>
                <w:rFonts w:hint="default" w:ascii="Times New Roman" w:hAnsi="Times New Roman" w:eastAsia="宋体" w:cs="Times New Roman"/>
                <w:b w:val="0"/>
                <w:bCs w:val="0"/>
                <w:strike w:val="0"/>
                <w:dstrike w:val="0"/>
                <w:color w:val="auto"/>
                <w:sz w:val="24"/>
                <w:szCs w:val="24"/>
                <w:highlight w:val="none"/>
                <w:lang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集中</w:t>
            </w:r>
            <w:r>
              <w:rPr>
                <w:rFonts w:hint="default" w:ascii="Times New Roman" w:hAnsi="Times New Roman" w:eastAsia="宋体" w:cs="Times New Roman"/>
                <w:b w:val="0"/>
                <w:bCs w:val="0"/>
                <w:strike w:val="0"/>
                <w:dstrike w:val="0"/>
                <w:color w:val="auto"/>
                <w:sz w:val="24"/>
                <w:szCs w:val="24"/>
                <w:highlight w:val="none"/>
              </w:rPr>
              <w:t>进入布袋除尘器</w:t>
            </w:r>
            <w:r>
              <w:rPr>
                <w:rFonts w:hint="default" w:ascii="Times New Roman" w:hAnsi="Times New Roman" w:eastAsia="宋体" w:cs="Times New Roman"/>
                <w:b w:val="0"/>
                <w:bCs w:val="0"/>
                <w:strike w:val="0"/>
                <w:dstrike w:val="0"/>
                <w:color w:val="auto"/>
                <w:sz w:val="24"/>
                <w:szCs w:val="24"/>
                <w:highlight w:val="none"/>
                <w:lang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1#</w:t>
            </w:r>
            <w:r>
              <w:rPr>
                <w:rFonts w:hint="default" w:ascii="Times New Roman" w:hAnsi="Times New Roman" w:eastAsia="宋体" w:cs="Times New Roman"/>
                <w:b w:val="0"/>
                <w:bCs w:val="0"/>
                <w:strike w:val="0"/>
                <w:dstrike w:val="0"/>
                <w:color w:val="auto"/>
                <w:sz w:val="24"/>
                <w:szCs w:val="24"/>
                <w:highlight w:val="none"/>
                <w:lang w:eastAsia="zh-CN"/>
              </w:rPr>
              <w:t>）</w:t>
            </w:r>
            <w:r>
              <w:rPr>
                <w:rFonts w:hint="default" w:ascii="Times New Roman" w:hAnsi="Times New Roman" w:eastAsia="宋体" w:cs="Times New Roman"/>
                <w:b w:val="0"/>
                <w:bCs w:val="0"/>
                <w:strike w:val="0"/>
                <w:dstrike w:val="0"/>
                <w:color w:val="auto"/>
                <w:sz w:val="24"/>
                <w:szCs w:val="24"/>
                <w:highlight w:val="none"/>
              </w:rPr>
              <w:t>处置后经</w:t>
            </w:r>
            <w:r>
              <w:rPr>
                <w:rFonts w:hint="default" w:ascii="Times New Roman" w:hAnsi="Times New Roman" w:eastAsia="宋体" w:cs="Times New Roman"/>
                <w:b w:val="0"/>
                <w:bCs w:val="0"/>
                <w:strike w:val="0"/>
                <w:dstrike w:val="0"/>
                <w:color w:val="auto"/>
                <w:sz w:val="24"/>
                <w:szCs w:val="24"/>
                <w:highlight w:val="none"/>
                <w:lang w:val="en-US" w:eastAsia="zh-CN"/>
              </w:rPr>
              <w:t>15m</w:t>
            </w:r>
            <w:r>
              <w:rPr>
                <w:rFonts w:hint="default" w:ascii="Times New Roman" w:hAnsi="Times New Roman" w:eastAsia="宋体" w:cs="Times New Roman"/>
                <w:color w:val="auto"/>
                <w:spacing w:val="-2"/>
                <w:sz w:val="24"/>
                <w:szCs w:val="24"/>
                <w:highlight w:val="none"/>
                <w:lang w:val="en-US" w:eastAsia="zh-CN"/>
              </w:rPr>
              <w:t>高</w:t>
            </w:r>
            <w:r>
              <w:rPr>
                <w:rFonts w:hint="default" w:ascii="Times New Roman" w:hAnsi="Times New Roman" w:eastAsia="宋体" w:cs="Times New Roman"/>
                <w:color w:val="auto"/>
                <w:spacing w:val="-2"/>
                <w:sz w:val="24"/>
                <w:szCs w:val="24"/>
                <w:highlight w:val="none"/>
              </w:rPr>
              <w:t>排气筒</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strike w:val="0"/>
                <w:dstrike w:val="0"/>
                <w:color w:val="auto"/>
                <w:sz w:val="24"/>
                <w:szCs w:val="24"/>
                <w:highlight w:val="none"/>
              </w:rPr>
              <w:t>DA00</w:t>
            </w:r>
            <w:r>
              <w:rPr>
                <w:rFonts w:hint="default" w:ascii="Times New Roman" w:hAnsi="Times New Roman" w:eastAsia="宋体" w:cs="Times New Roman"/>
                <w:strike w:val="0"/>
                <w:dstrike w:val="0"/>
                <w:color w:val="auto"/>
                <w:sz w:val="24"/>
                <w:szCs w:val="24"/>
                <w:highlight w:val="none"/>
                <w:lang w:val="en-US" w:eastAsia="zh-CN"/>
              </w:rPr>
              <w:t>1</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排放</w:t>
            </w:r>
            <w:r>
              <w:rPr>
                <w:rFonts w:hint="eastAsia" w:cs="Times New Roman"/>
                <w:color w:val="auto"/>
                <w:spacing w:val="-2"/>
                <w:sz w:val="24"/>
                <w:szCs w:val="24"/>
                <w:highlight w:val="none"/>
                <w:lang w:eastAsia="zh-CN"/>
              </w:rPr>
              <w:t>，</w:t>
            </w:r>
            <w:r>
              <w:rPr>
                <w:rFonts w:hint="default" w:ascii="Times New Roman" w:hAnsi="Times New Roman" w:eastAsia="宋体" w:cs="Times New Roman"/>
                <w:b w:val="0"/>
                <w:bCs w:val="0"/>
                <w:strike w:val="0"/>
                <w:dstrike w:val="0"/>
                <w:color w:val="auto"/>
                <w:spacing w:val="2"/>
                <w:sz w:val="24"/>
                <w:szCs w:val="24"/>
                <w:highlight w:val="none"/>
                <w:vertAlign w:val="baseline"/>
                <w:lang w:val="en-US" w:eastAsia="zh-CN"/>
              </w:rPr>
              <w:t>满足</w:t>
            </w:r>
            <w:r>
              <w:rPr>
                <w:rFonts w:hint="default" w:ascii="Times New Roman" w:hAnsi="Times New Roman" w:eastAsia="宋体" w:cs="Times New Roman"/>
                <w:color w:val="auto"/>
                <w:sz w:val="24"/>
                <w:szCs w:val="24"/>
                <w:highlight w:val="none"/>
                <w:lang w:val="en-US" w:eastAsia="zh-CN"/>
              </w:rPr>
              <w:t>《玻璃工业大气污染物排放标准》（GB 26453-2022）标准要求</w:t>
            </w:r>
            <w:r>
              <w:rPr>
                <w:rFonts w:hint="default" w:ascii="Times New Roman" w:hAnsi="Times New Roman" w:eastAsia="宋体" w:cs="Times New Roman"/>
                <w:color w:val="auto"/>
                <w:spacing w:val="-1"/>
                <w:sz w:val="24"/>
                <w:szCs w:val="24"/>
                <w:highlight w:val="none"/>
                <w:lang w:eastAsia="zh-CN"/>
              </w:rPr>
              <w:t>；</w:t>
            </w:r>
          </w:p>
          <w:p w14:paraId="72E4F4EA">
            <w:pPr>
              <w:pStyle w:val="27"/>
              <w:keepNext w:val="0"/>
              <w:keepLines w:val="0"/>
              <w:pageBreakBefore w:val="0"/>
              <w:widowControl w:val="0"/>
              <w:kinsoku/>
              <w:wordWrap/>
              <w:overflowPunct/>
              <w:topLinePunct/>
              <w:autoSpaceDE w:val="0"/>
              <w:autoSpaceDN/>
              <w:bidi w:val="0"/>
              <w:spacing w:before="0" w:after="0" w:line="360" w:lineRule="auto"/>
              <w:ind w:firstLine="476" w:firstLineChars="200"/>
              <w:jc w:val="both"/>
              <w:textAlignment w:val="auto"/>
              <w:rPr>
                <w:rFonts w:hint="default" w:ascii="Times New Roman" w:hAnsi="Times New Roman" w:eastAsia="宋体" w:cs="Times New Roman"/>
                <w:color w:val="auto"/>
                <w:spacing w:val="-2"/>
                <w:sz w:val="24"/>
                <w:szCs w:val="24"/>
                <w:highlight w:val="none"/>
                <w:lang w:eastAsia="zh-CN"/>
              </w:rPr>
            </w:pPr>
            <w:r>
              <w:rPr>
                <w:rFonts w:hint="eastAsia" w:cs="Times New Roman"/>
                <w:color w:val="auto"/>
                <w:spacing w:val="-1"/>
                <w:sz w:val="24"/>
                <w:szCs w:val="24"/>
                <w:highlight w:val="none"/>
                <w:lang w:eastAsia="zh-CN"/>
              </w:rPr>
              <w:t>（</w:t>
            </w:r>
            <w:r>
              <w:rPr>
                <w:rFonts w:hint="eastAsia" w:cs="Times New Roman"/>
                <w:color w:val="auto"/>
                <w:spacing w:val="-1"/>
                <w:sz w:val="24"/>
                <w:szCs w:val="24"/>
                <w:highlight w:val="none"/>
                <w:lang w:val="en-US" w:eastAsia="zh-CN"/>
              </w:rPr>
              <w:t>2</w:t>
            </w:r>
            <w:r>
              <w:rPr>
                <w:rFonts w:hint="eastAsia" w:cs="Times New Roman"/>
                <w:color w:val="auto"/>
                <w:spacing w:val="-1"/>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吸塑</w:t>
            </w:r>
            <w:r>
              <w:rPr>
                <w:rFonts w:hint="default" w:ascii="Times New Roman" w:hAnsi="Times New Roman" w:eastAsia="宋体" w:cs="Times New Roman"/>
                <w:color w:val="auto"/>
                <w:sz w:val="24"/>
                <w:szCs w:val="24"/>
                <w:highlight w:val="none"/>
              </w:rPr>
              <w:t>车间配料粉尘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破碎粉尘</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pacing w:val="-1"/>
                <w:sz w:val="24"/>
                <w:szCs w:val="24"/>
                <w:highlight w:val="none"/>
              </w:rPr>
              <w:t>集气罩收</w:t>
            </w:r>
            <w:r>
              <w:rPr>
                <w:rFonts w:hint="default" w:ascii="Times New Roman" w:hAnsi="Times New Roman" w:eastAsia="宋体" w:cs="Times New Roman"/>
                <w:color w:val="auto"/>
                <w:spacing w:val="-2"/>
                <w:sz w:val="24"/>
                <w:szCs w:val="24"/>
                <w:highlight w:val="none"/>
              </w:rPr>
              <w:t>集后通过</w:t>
            </w:r>
            <w:r>
              <w:rPr>
                <w:rFonts w:hint="default" w:ascii="Times New Roman" w:hAnsi="Times New Roman" w:eastAsia="宋体" w:cs="Times New Roman"/>
                <w:color w:val="auto"/>
                <w:spacing w:val="-2"/>
                <w:sz w:val="24"/>
                <w:szCs w:val="24"/>
                <w:highlight w:val="none"/>
                <w:lang w:val="en-US" w:eastAsia="zh-CN"/>
              </w:rPr>
              <w:t>管道集中</w:t>
            </w:r>
            <w:r>
              <w:rPr>
                <w:rFonts w:hint="default" w:ascii="Times New Roman" w:hAnsi="Times New Roman" w:eastAsia="宋体" w:cs="Times New Roman"/>
                <w:color w:val="auto"/>
                <w:spacing w:val="-2"/>
                <w:sz w:val="24"/>
                <w:szCs w:val="24"/>
                <w:highlight w:val="none"/>
              </w:rPr>
              <w:t>进入布袋除尘器</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处置后</w:t>
            </w:r>
            <w:r>
              <w:rPr>
                <w:rFonts w:hint="default" w:ascii="Times New Roman" w:hAnsi="Times New Roman" w:eastAsia="宋体" w:cs="Times New Roman"/>
                <w:color w:val="auto"/>
                <w:spacing w:val="-2"/>
                <w:sz w:val="24"/>
                <w:szCs w:val="24"/>
                <w:highlight w:val="none"/>
                <w:lang w:eastAsia="zh-CN"/>
              </w:rPr>
              <w:t>经</w:t>
            </w:r>
            <w:r>
              <w:rPr>
                <w:rFonts w:hint="default" w:ascii="Times New Roman" w:hAnsi="Times New Roman" w:eastAsia="宋体" w:cs="Times New Roman"/>
                <w:b w:val="0"/>
                <w:bCs w:val="0"/>
                <w:strike w:val="0"/>
                <w:dstrike w:val="0"/>
                <w:color w:val="auto"/>
                <w:sz w:val="24"/>
                <w:szCs w:val="24"/>
                <w:highlight w:val="none"/>
                <w:lang w:val="en-US" w:eastAsia="zh-CN"/>
              </w:rPr>
              <w:t>15m</w:t>
            </w:r>
            <w:r>
              <w:rPr>
                <w:rFonts w:hint="default" w:ascii="Times New Roman" w:hAnsi="Times New Roman" w:eastAsia="宋体" w:cs="Times New Roman"/>
                <w:color w:val="auto"/>
                <w:spacing w:val="-2"/>
                <w:sz w:val="24"/>
                <w:szCs w:val="24"/>
                <w:highlight w:val="none"/>
                <w:lang w:val="en-US" w:eastAsia="zh-CN"/>
              </w:rPr>
              <w:t>高</w:t>
            </w:r>
            <w:r>
              <w:rPr>
                <w:rFonts w:hint="default" w:ascii="Times New Roman" w:hAnsi="Times New Roman" w:eastAsia="宋体" w:cs="Times New Roman"/>
                <w:color w:val="auto"/>
                <w:spacing w:val="-2"/>
                <w:sz w:val="24"/>
                <w:szCs w:val="24"/>
                <w:highlight w:val="none"/>
              </w:rPr>
              <w:t>排气筒</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strike w:val="0"/>
                <w:dstrike w:val="0"/>
                <w:color w:val="auto"/>
                <w:sz w:val="24"/>
                <w:szCs w:val="24"/>
                <w:highlight w:val="none"/>
              </w:rPr>
              <w:t>DA00</w:t>
            </w:r>
            <w:r>
              <w:rPr>
                <w:rFonts w:hint="default" w:ascii="Times New Roman" w:hAnsi="Times New Roman" w:eastAsia="宋体" w:cs="Times New Roman"/>
                <w:strike w:val="0"/>
                <w:dstrike w:val="0"/>
                <w:color w:val="auto"/>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排放</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rPr>
              <w:t>污染物排放浓度及排放速率满足</w:t>
            </w:r>
            <w:r>
              <w:rPr>
                <w:rFonts w:hint="default" w:ascii="Times New Roman" w:hAnsi="Times New Roman" w:eastAsia="宋体" w:cs="Times New Roman"/>
                <w:color w:val="auto"/>
                <w:sz w:val="24"/>
                <w:szCs w:val="24"/>
                <w:highlight w:val="none"/>
                <w:lang w:bidi="ar"/>
              </w:rPr>
              <w:t>《大气污染物综合排放标准》（GB16297-1996）</w:t>
            </w:r>
            <w:r>
              <w:rPr>
                <w:rFonts w:hint="default" w:ascii="Times New Roman" w:hAnsi="Times New Roman" w:eastAsia="宋体" w:cs="Times New Roman"/>
                <w:color w:val="auto"/>
                <w:sz w:val="24"/>
                <w:szCs w:val="24"/>
                <w:highlight w:val="none"/>
                <w:lang w:val="en-US" w:eastAsia="zh-CN"/>
              </w:rPr>
              <w:t>表2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bCs/>
                <w:color w:val="auto"/>
                <w:sz w:val="24"/>
                <w:szCs w:val="24"/>
                <w:highlight w:val="none"/>
              </w:rPr>
              <w:t>限值</w:t>
            </w:r>
            <w:r>
              <w:rPr>
                <w:rFonts w:hint="default" w:ascii="Times New Roman" w:hAnsi="Times New Roman" w:eastAsia="宋体" w:cs="Times New Roman"/>
                <w:color w:val="auto"/>
                <w:sz w:val="24"/>
                <w:szCs w:val="24"/>
                <w:highlight w:val="none"/>
                <w:lang w:val="en-US" w:eastAsia="zh-CN"/>
              </w:rPr>
              <w:t>要求</w:t>
            </w:r>
            <w:r>
              <w:rPr>
                <w:rFonts w:hint="eastAsia" w:ascii="Times New Roman" w:hAnsi="Times New Roman" w:eastAsia="宋体" w:cs="Times New Roman"/>
                <w:color w:val="auto"/>
                <w:sz w:val="24"/>
                <w:szCs w:val="24"/>
                <w:highlight w:val="none"/>
                <w:lang w:val="en-US" w:eastAsia="zh-CN"/>
              </w:rPr>
              <w:t>；</w:t>
            </w:r>
          </w:p>
          <w:p w14:paraId="1C439EE9">
            <w:pPr>
              <w:pStyle w:val="27"/>
              <w:keepNext w:val="0"/>
              <w:keepLines w:val="0"/>
              <w:pageBreakBefore w:val="0"/>
              <w:widowControl w:val="0"/>
              <w:kinsoku/>
              <w:wordWrap/>
              <w:overflowPunct/>
              <w:topLinePunct/>
              <w:autoSpaceDE w:val="0"/>
              <w:autoSpaceDN/>
              <w:bidi w:val="0"/>
              <w:spacing w:before="0" w:after="0"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吸塑片</w:t>
            </w:r>
            <w:r>
              <w:rPr>
                <w:rFonts w:hint="default" w:ascii="Times New Roman" w:hAnsi="Times New Roman" w:eastAsia="宋体" w:cs="Times New Roman"/>
                <w:color w:val="auto"/>
                <w:sz w:val="24"/>
                <w:szCs w:val="24"/>
                <w:highlight w:val="none"/>
                <w:lang w:val="en-US" w:eastAsia="zh-CN"/>
              </w:rPr>
              <w:t>加热、挤出塑化、压延产生的</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val="en-US" w:eastAsia="zh-CN"/>
              </w:rPr>
              <w:t>及氯化氢</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经集气罩收集后由三级活性炭吸附装置处理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rPr>
              <w:t>经15m排气筒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DA003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各</w:t>
            </w:r>
            <w:r>
              <w:rPr>
                <w:rFonts w:hint="default" w:ascii="Times New Roman" w:hAnsi="Times New Roman" w:eastAsia="宋体" w:cs="Times New Roman"/>
                <w:color w:val="auto"/>
                <w:sz w:val="24"/>
                <w:szCs w:val="24"/>
                <w:highlight w:val="none"/>
              </w:rPr>
              <w:t>污染物排放浓度及排放速率满足</w:t>
            </w:r>
            <w:r>
              <w:rPr>
                <w:rFonts w:hint="default" w:ascii="Times New Roman" w:hAnsi="Times New Roman" w:eastAsia="宋体" w:cs="Times New Roman"/>
                <w:color w:val="auto"/>
                <w:sz w:val="24"/>
                <w:szCs w:val="24"/>
                <w:highlight w:val="none"/>
                <w:lang w:bidi="ar"/>
              </w:rPr>
              <w:t>《大气污染物综合排放标准》（GB16297-1996）</w:t>
            </w:r>
            <w:r>
              <w:rPr>
                <w:rFonts w:hint="default" w:ascii="Times New Roman" w:hAnsi="Times New Roman" w:eastAsia="宋体" w:cs="Times New Roman"/>
                <w:color w:val="auto"/>
                <w:sz w:val="24"/>
                <w:szCs w:val="24"/>
                <w:highlight w:val="none"/>
                <w:lang w:val="en-US" w:eastAsia="zh-CN"/>
              </w:rPr>
              <w:t>表2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bCs/>
                <w:color w:val="auto"/>
                <w:sz w:val="24"/>
                <w:szCs w:val="24"/>
                <w:highlight w:val="none"/>
              </w:rPr>
              <w:t>限值</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pacing w:val="-1"/>
                <w:sz w:val="24"/>
                <w:szCs w:val="24"/>
                <w:highlight w:val="none"/>
                <w:lang w:eastAsia="zh-CN"/>
              </w:rPr>
              <w:t>；</w:t>
            </w:r>
          </w:p>
          <w:p w14:paraId="3F04A8FF">
            <w:pPr>
              <w:pStyle w:val="27"/>
              <w:keepNext w:val="0"/>
              <w:keepLines w:val="0"/>
              <w:pageBreakBefore w:val="0"/>
              <w:widowControl w:val="0"/>
              <w:kinsoku/>
              <w:wordWrap/>
              <w:overflowPunct/>
              <w:topLinePunct/>
              <w:autoSpaceDE w:val="0"/>
              <w:autoSpaceDN/>
              <w:bidi w:val="0"/>
              <w:spacing w:before="0" w:after="0" w:line="360" w:lineRule="auto"/>
              <w:ind w:firstLine="488"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eastAsia" w:cs="Times New Roman"/>
                <w:color w:val="auto"/>
                <w:spacing w:val="2"/>
                <w:sz w:val="24"/>
                <w:szCs w:val="24"/>
                <w:highlight w:val="none"/>
                <w:lang w:eastAsia="zh-CN"/>
              </w:rPr>
              <w:t>（</w:t>
            </w:r>
            <w:r>
              <w:rPr>
                <w:rFonts w:hint="eastAsia" w:cs="Times New Roman"/>
                <w:color w:val="auto"/>
                <w:spacing w:val="2"/>
                <w:sz w:val="24"/>
                <w:szCs w:val="24"/>
                <w:highlight w:val="none"/>
                <w:lang w:val="en-US" w:eastAsia="zh-CN"/>
              </w:rPr>
              <w:t>4</w:t>
            </w:r>
            <w:r>
              <w:rPr>
                <w:rFonts w:hint="eastAsia"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抛轮投料粉尘、车圆粉尘</w:t>
            </w:r>
            <w:r>
              <w:rPr>
                <w:rFonts w:hint="eastAsia"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经集气罩收集后由</w:t>
            </w:r>
            <w:r>
              <w:rPr>
                <w:rFonts w:hint="default" w:ascii="Times New Roman" w:hAnsi="Times New Roman" w:eastAsia="宋体" w:cs="Times New Roman"/>
                <w:color w:val="auto"/>
                <w:spacing w:val="1"/>
                <w:sz w:val="24"/>
                <w:szCs w:val="24"/>
                <w:highlight w:val="none"/>
              </w:rPr>
              <w:t>布袋除尘器处理后通过15m高排气</w:t>
            </w:r>
            <w:r>
              <w:rPr>
                <w:rFonts w:hint="default" w:ascii="Times New Roman" w:hAnsi="Times New Roman" w:eastAsia="宋体" w:cs="Times New Roman"/>
                <w:color w:val="auto"/>
                <w:sz w:val="24"/>
                <w:szCs w:val="24"/>
                <w:highlight w:val="none"/>
              </w:rPr>
              <w:t>筒</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DA004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污染物排放浓度及排放速率满足</w:t>
            </w:r>
            <w:r>
              <w:rPr>
                <w:rFonts w:hint="default" w:ascii="Times New Roman" w:hAnsi="Times New Roman" w:eastAsia="宋体" w:cs="Times New Roman"/>
                <w:color w:val="auto"/>
                <w:sz w:val="24"/>
                <w:szCs w:val="24"/>
                <w:highlight w:val="none"/>
                <w:lang w:bidi="ar"/>
              </w:rPr>
              <w:t>《大气污染物综合排放标准》（GB16297-1996）</w:t>
            </w:r>
            <w:r>
              <w:rPr>
                <w:rFonts w:hint="default" w:ascii="Times New Roman" w:hAnsi="Times New Roman" w:eastAsia="宋体" w:cs="Times New Roman"/>
                <w:color w:val="auto"/>
                <w:sz w:val="24"/>
                <w:szCs w:val="24"/>
                <w:highlight w:val="none"/>
                <w:lang w:val="en-US" w:eastAsia="zh-CN"/>
              </w:rPr>
              <w:t>表2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二级标准</w:t>
            </w:r>
            <w:r>
              <w:rPr>
                <w:rFonts w:hint="default" w:ascii="Times New Roman" w:hAnsi="Times New Roman" w:eastAsia="宋体" w:cs="Times New Roman"/>
                <w:bCs/>
                <w:color w:val="auto"/>
                <w:sz w:val="24"/>
                <w:szCs w:val="24"/>
                <w:highlight w:val="none"/>
              </w:rPr>
              <w:t>标准限值</w:t>
            </w:r>
            <w:r>
              <w:rPr>
                <w:rFonts w:hint="default" w:ascii="Times New Roman" w:hAnsi="Times New Roman" w:eastAsia="宋体" w:cs="Times New Roman"/>
                <w:color w:val="auto"/>
                <w:sz w:val="24"/>
                <w:szCs w:val="24"/>
                <w:highlight w:val="none"/>
                <w:lang w:val="en-US" w:eastAsia="zh-CN"/>
              </w:rPr>
              <w:t>要求。</w:t>
            </w:r>
          </w:p>
          <w:p w14:paraId="602EFEC1">
            <w:pPr>
              <w:adjustRightInd w:val="0"/>
              <w:snapToGrid w:val="0"/>
              <w:spacing w:line="276"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4-</w:t>
            </w:r>
            <w:r>
              <w:rPr>
                <w:rFonts w:hint="eastAsia"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项目大气污染物</w:t>
            </w:r>
            <w:r>
              <w:rPr>
                <w:rFonts w:hint="default" w:ascii="Times New Roman" w:hAnsi="Times New Roman" w:eastAsia="宋体" w:cs="Times New Roman"/>
                <w:b/>
                <w:bCs/>
                <w:color w:val="auto"/>
                <w:szCs w:val="21"/>
                <w:highlight w:val="none"/>
                <w:lang w:val="en-US" w:eastAsia="zh-CN"/>
              </w:rPr>
              <w:t>有组织</w:t>
            </w:r>
            <w:r>
              <w:rPr>
                <w:rFonts w:hint="default" w:ascii="Times New Roman" w:hAnsi="Times New Roman" w:eastAsia="宋体" w:cs="Times New Roman"/>
                <w:b/>
                <w:bCs/>
                <w:color w:val="auto"/>
                <w:szCs w:val="21"/>
                <w:highlight w:val="none"/>
              </w:rPr>
              <w:t>排放及达标情况汇总表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64"/>
              <w:gridCol w:w="778"/>
              <w:gridCol w:w="720"/>
              <w:gridCol w:w="765"/>
              <w:gridCol w:w="825"/>
              <w:gridCol w:w="1125"/>
              <w:gridCol w:w="1088"/>
              <w:gridCol w:w="649"/>
            </w:tblGrid>
            <w:tr w14:paraId="32BF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dxa"/>
                  <w:vMerge w:val="restart"/>
                  <w:noWrap w:val="0"/>
                  <w:vAlign w:val="center"/>
                </w:tcPr>
                <w:p w14:paraId="0008FCE0">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664" w:type="dxa"/>
                  <w:vMerge w:val="restart"/>
                  <w:noWrap w:val="0"/>
                  <w:vAlign w:val="center"/>
                </w:tcPr>
                <w:p w14:paraId="386E5CDD">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sz w:val="21"/>
                      <w:szCs w:val="21"/>
                      <w:highlight w:val="none"/>
                    </w:rPr>
                    <w:t>污染物</w:t>
                  </w:r>
                </w:p>
              </w:tc>
              <w:tc>
                <w:tcPr>
                  <w:tcW w:w="5301" w:type="dxa"/>
                  <w:gridSpan w:val="6"/>
                  <w:noWrap w:val="0"/>
                  <w:vAlign w:val="center"/>
                </w:tcPr>
                <w:p w14:paraId="4545FB8B">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污染物排放情况</w:t>
                  </w:r>
                </w:p>
              </w:tc>
              <w:tc>
                <w:tcPr>
                  <w:tcW w:w="649" w:type="dxa"/>
                  <w:vMerge w:val="restart"/>
                  <w:noWrap w:val="0"/>
                  <w:vAlign w:val="center"/>
                </w:tcPr>
                <w:p w14:paraId="6F7A81CE">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达标情况</w:t>
                  </w:r>
                </w:p>
              </w:tc>
            </w:tr>
            <w:tr w14:paraId="4086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289" w:type="dxa"/>
                  <w:vMerge w:val="continue"/>
                  <w:noWrap w:val="0"/>
                  <w:vAlign w:val="center"/>
                </w:tcPr>
                <w:p w14:paraId="51346B9F">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b/>
                      <w:bCs/>
                      <w:color w:val="auto"/>
                      <w:sz w:val="21"/>
                      <w:szCs w:val="21"/>
                      <w:highlight w:val="none"/>
                    </w:rPr>
                  </w:pPr>
                </w:p>
              </w:tc>
              <w:tc>
                <w:tcPr>
                  <w:tcW w:w="664" w:type="dxa"/>
                  <w:vMerge w:val="continue"/>
                  <w:noWrap w:val="0"/>
                  <w:vAlign w:val="center"/>
                </w:tcPr>
                <w:p w14:paraId="63AA0EF5">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b/>
                      <w:bCs/>
                      <w:color w:val="auto"/>
                      <w:kern w:val="2"/>
                      <w:sz w:val="21"/>
                      <w:szCs w:val="21"/>
                      <w:highlight w:val="none"/>
                    </w:rPr>
                  </w:pPr>
                </w:p>
              </w:tc>
              <w:tc>
                <w:tcPr>
                  <w:tcW w:w="778" w:type="dxa"/>
                  <w:noWrap w:val="0"/>
                  <w:vAlign w:val="center"/>
                </w:tcPr>
                <w:p w14:paraId="4911C599">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排气筒</w:t>
                  </w:r>
                  <w:r>
                    <w:rPr>
                      <w:rFonts w:hint="default" w:ascii="Times New Roman" w:hAnsi="Times New Roman" w:eastAsia="宋体" w:cs="Times New Roman"/>
                      <w:b/>
                      <w:bCs/>
                      <w:color w:val="auto"/>
                      <w:sz w:val="21"/>
                      <w:szCs w:val="21"/>
                      <w:highlight w:val="none"/>
                    </w:rPr>
                    <w:t>编号</w:t>
                  </w:r>
                </w:p>
              </w:tc>
              <w:tc>
                <w:tcPr>
                  <w:tcW w:w="720" w:type="dxa"/>
                  <w:noWrap w:val="0"/>
                  <w:vAlign w:val="center"/>
                </w:tcPr>
                <w:p w14:paraId="7E32F1BF">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w:t>
                  </w:r>
                </w:p>
                <w:p w14:paraId="6936513A">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量t/a</w:t>
                  </w:r>
                </w:p>
              </w:tc>
              <w:tc>
                <w:tcPr>
                  <w:tcW w:w="765" w:type="dxa"/>
                  <w:noWrap w:val="0"/>
                  <w:vAlign w:val="center"/>
                </w:tcPr>
                <w:p w14:paraId="257DB684">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排放速率kg/h</w:t>
                  </w:r>
                </w:p>
              </w:tc>
              <w:tc>
                <w:tcPr>
                  <w:tcW w:w="825" w:type="dxa"/>
                  <w:noWrap w:val="0"/>
                  <w:vAlign w:val="center"/>
                </w:tcPr>
                <w:p w14:paraId="3B34781E">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排放浓度mg/m</w:t>
                  </w:r>
                  <w:r>
                    <w:rPr>
                      <w:rFonts w:hint="default" w:ascii="Times New Roman" w:hAnsi="Times New Roman" w:eastAsia="宋体" w:cs="Times New Roman"/>
                      <w:b/>
                      <w:bCs/>
                      <w:color w:val="auto"/>
                      <w:kern w:val="0"/>
                      <w:sz w:val="21"/>
                      <w:szCs w:val="21"/>
                      <w:highlight w:val="none"/>
                      <w:vertAlign w:val="superscript"/>
                      <w:lang w:bidi="ar"/>
                    </w:rPr>
                    <w:t>3</w:t>
                  </w:r>
                </w:p>
              </w:tc>
              <w:tc>
                <w:tcPr>
                  <w:tcW w:w="1125" w:type="dxa"/>
                  <w:noWrap w:val="0"/>
                  <w:vAlign w:val="center"/>
                </w:tcPr>
                <w:p w14:paraId="230850D5">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最高允许排放浓度mg/m</w:t>
                  </w:r>
                  <w:r>
                    <w:rPr>
                      <w:rFonts w:hint="default" w:ascii="Times New Roman" w:hAnsi="Times New Roman" w:eastAsia="宋体" w:cs="Times New Roman"/>
                      <w:b/>
                      <w:bCs/>
                      <w:color w:val="auto"/>
                      <w:kern w:val="0"/>
                      <w:sz w:val="21"/>
                      <w:szCs w:val="21"/>
                      <w:highlight w:val="none"/>
                      <w:vertAlign w:val="superscript"/>
                      <w:lang w:bidi="ar"/>
                    </w:rPr>
                    <w:t>3</w:t>
                  </w:r>
                </w:p>
              </w:tc>
              <w:tc>
                <w:tcPr>
                  <w:tcW w:w="1088" w:type="dxa"/>
                  <w:noWrap w:val="0"/>
                  <w:vAlign w:val="center"/>
                </w:tcPr>
                <w:p w14:paraId="3A224111">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最高允许排放速率kg/h</w:t>
                  </w:r>
                </w:p>
              </w:tc>
              <w:tc>
                <w:tcPr>
                  <w:tcW w:w="649" w:type="dxa"/>
                  <w:vMerge w:val="continue"/>
                  <w:noWrap w:val="0"/>
                  <w:vAlign w:val="center"/>
                </w:tcPr>
                <w:p w14:paraId="31CEA1FB">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b/>
                      <w:bCs/>
                      <w:color w:val="auto"/>
                      <w:kern w:val="0"/>
                      <w:sz w:val="21"/>
                      <w:szCs w:val="21"/>
                      <w:highlight w:val="none"/>
                      <w:lang w:bidi="ar"/>
                    </w:rPr>
                  </w:pPr>
                </w:p>
              </w:tc>
            </w:tr>
            <w:tr w14:paraId="7893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dxa"/>
                  <w:noWrap w:val="0"/>
                  <w:vAlign w:val="center"/>
                </w:tcPr>
                <w:p w14:paraId="4A5F39C7">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珠胚生产</w:t>
                  </w:r>
                  <w:r>
                    <w:rPr>
                      <w:rFonts w:hint="default" w:ascii="Times New Roman" w:hAnsi="Times New Roman" w:eastAsia="宋体" w:cs="Times New Roman"/>
                      <w:i w:val="0"/>
                      <w:iCs w:val="0"/>
                      <w:color w:val="auto"/>
                      <w:kern w:val="0"/>
                      <w:sz w:val="21"/>
                      <w:szCs w:val="21"/>
                      <w:highlight w:val="none"/>
                      <w:u w:val="none"/>
                      <w:lang w:val="en-US" w:eastAsia="zh-CN" w:bidi="ar"/>
                    </w:rPr>
                    <w:t>配料、电炉及滚抛工序</w:t>
                  </w:r>
                </w:p>
              </w:tc>
              <w:tc>
                <w:tcPr>
                  <w:tcW w:w="664" w:type="dxa"/>
                  <w:noWrap w:val="0"/>
                  <w:vAlign w:val="center"/>
                </w:tcPr>
                <w:p w14:paraId="32028513">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778" w:type="dxa"/>
                  <w:noWrap w:val="0"/>
                  <w:vAlign w:val="center"/>
                </w:tcPr>
                <w:p w14:paraId="0955893B">
                  <w:pPr>
                    <w:keepNext w:val="0"/>
                    <w:keepLines w:val="0"/>
                    <w:pageBreakBefore w:val="0"/>
                    <w:widowControl/>
                    <w:kinsoku/>
                    <w:wordWrap/>
                    <w:overflowPunct/>
                    <w:topLinePunct w:val="0"/>
                    <w:autoSpaceDE/>
                    <w:autoSpaceDN/>
                    <w:bidi w:val="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DA001</w:t>
                  </w:r>
                </w:p>
              </w:tc>
              <w:tc>
                <w:tcPr>
                  <w:tcW w:w="720" w:type="dxa"/>
                  <w:noWrap w:val="0"/>
                  <w:vAlign w:val="center"/>
                </w:tcPr>
                <w:p w14:paraId="22C1E4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765" w:type="dxa"/>
                  <w:noWrap w:val="0"/>
                  <w:vAlign w:val="center"/>
                </w:tcPr>
                <w:p w14:paraId="5E8AEC0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825" w:type="dxa"/>
                  <w:noWrap w:val="0"/>
                  <w:vAlign w:val="center"/>
                </w:tcPr>
                <w:p w14:paraId="4ADE83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u w:val="none"/>
                      <w:lang w:val="en-US" w:eastAsia="zh-CN" w:bidi="ar"/>
                    </w:rPr>
                    <w:t>4.32</w:t>
                  </w:r>
                </w:p>
              </w:tc>
              <w:tc>
                <w:tcPr>
                  <w:tcW w:w="1125" w:type="dxa"/>
                  <w:noWrap w:val="0"/>
                  <w:vAlign w:val="center"/>
                </w:tcPr>
                <w:p w14:paraId="33ECA7F8">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88" w:type="dxa"/>
                  <w:noWrap w:val="0"/>
                  <w:vAlign w:val="center"/>
                </w:tcPr>
                <w:p w14:paraId="5EDC332C">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49" w:type="dxa"/>
                  <w:noWrap w:val="0"/>
                  <w:vAlign w:val="center"/>
                </w:tcPr>
                <w:p w14:paraId="58037F50">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达标</w:t>
                  </w:r>
                </w:p>
              </w:tc>
            </w:tr>
            <w:tr w14:paraId="2B94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dxa"/>
                  <w:noWrap w:val="0"/>
                  <w:vAlign w:val="center"/>
                </w:tcPr>
                <w:p w14:paraId="0A3D4BC3">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吸塑片生产配料、破碎工序</w:t>
                  </w:r>
                </w:p>
              </w:tc>
              <w:tc>
                <w:tcPr>
                  <w:tcW w:w="664" w:type="dxa"/>
                  <w:noWrap w:val="0"/>
                  <w:vAlign w:val="center"/>
                </w:tcPr>
                <w:p w14:paraId="4EF48E23">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778" w:type="dxa"/>
                  <w:noWrap w:val="0"/>
                  <w:vAlign w:val="center"/>
                </w:tcPr>
                <w:p w14:paraId="06CE9D33">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DA002</w:t>
                  </w:r>
                </w:p>
              </w:tc>
              <w:tc>
                <w:tcPr>
                  <w:tcW w:w="720" w:type="dxa"/>
                  <w:noWrap w:val="0"/>
                  <w:vAlign w:val="center"/>
                </w:tcPr>
                <w:p w14:paraId="55327F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0.20</w:t>
                  </w:r>
                </w:p>
              </w:tc>
              <w:tc>
                <w:tcPr>
                  <w:tcW w:w="765" w:type="dxa"/>
                  <w:noWrap w:val="0"/>
                  <w:vAlign w:val="center"/>
                </w:tcPr>
                <w:p w14:paraId="313ED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825" w:type="dxa"/>
                  <w:noWrap w:val="0"/>
                  <w:vAlign w:val="center"/>
                </w:tcPr>
                <w:p w14:paraId="47DEB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6.46</w:t>
                  </w:r>
                </w:p>
              </w:tc>
              <w:tc>
                <w:tcPr>
                  <w:tcW w:w="1125" w:type="dxa"/>
                  <w:noWrap w:val="0"/>
                  <w:vAlign w:val="center"/>
                </w:tcPr>
                <w:p w14:paraId="574C5450">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trike w:val="0"/>
                      <w:dstrike w:val="0"/>
                      <w:color w:val="auto"/>
                      <w:spacing w:val="-3"/>
                      <w:position w:val="2"/>
                      <w:sz w:val="21"/>
                      <w:szCs w:val="21"/>
                      <w:highlight w:val="none"/>
                    </w:rPr>
                    <w:t>120</w:t>
                  </w:r>
                </w:p>
              </w:tc>
              <w:tc>
                <w:tcPr>
                  <w:tcW w:w="1088" w:type="dxa"/>
                  <w:noWrap w:val="0"/>
                  <w:vAlign w:val="center"/>
                </w:tcPr>
                <w:p w14:paraId="312A2A35">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1.75</w:t>
                  </w:r>
                </w:p>
              </w:tc>
              <w:tc>
                <w:tcPr>
                  <w:tcW w:w="649" w:type="dxa"/>
                  <w:noWrap w:val="0"/>
                  <w:vAlign w:val="center"/>
                </w:tcPr>
                <w:p w14:paraId="3FD9DAB1">
                  <w:pPr>
                    <w:pStyle w:val="28"/>
                    <w:keepNext w:val="0"/>
                    <w:keepLines w:val="0"/>
                    <w:pageBreakBefore w:val="0"/>
                    <w:kinsoku/>
                    <w:wordWrap/>
                    <w:overflowPunct/>
                    <w:topLinePunct w:val="0"/>
                    <w:autoSpaceDE/>
                    <w:autoSpaceDN/>
                    <w:bidi w:val="0"/>
                    <w:spacing w:after="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达标</w:t>
                  </w:r>
                </w:p>
              </w:tc>
            </w:tr>
            <w:tr w14:paraId="2886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Merge w:val="restart"/>
                  <w:noWrap w:val="0"/>
                  <w:vAlign w:val="center"/>
                </w:tcPr>
                <w:p w14:paraId="6467922B">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吸塑片生产加热、挤出塑化、压延工序</w:t>
                  </w:r>
                </w:p>
              </w:tc>
              <w:tc>
                <w:tcPr>
                  <w:tcW w:w="664" w:type="dxa"/>
                  <w:noWrap w:val="0"/>
                  <w:vAlign w:val="center"/>
                </w:tcPr>
                <w:p w14:paraId="27CE310A">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778" w:type="dxa"/>
                  <w:vMerge w:val="restart"/>
                  <w:noWrap w:val="0"/>
                  <w:vAlign w:val="center"/>
                </w:tcPr>
                <w:p w14:paraId="5FF8443F">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3</w:t>
                  </w:r>
                </w:p>
              </w:tc>
              <w:tc>
                <w:tcPr>
                  <w:tcW w:w="720" w:type="dxa"/>
                  <w:noWrap w:val="0"/>
                  <w:vAlign w:val="center"/>
                </w:tcPr>
                <w:p w14:paraId="785F29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765" w:type="dxa"/>
                  <w:noWrap w:val="0"/>
                  <w:vAlign w:val="center"/>
                </w:tcPr>
                <w:p w14:paraId="475F8C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0.32</w:t>
                  </w:r>
                </w:p>
              </w:tc>
              <w:tc>
                <w:tcPr>
                  <w:tcW w:w="825" w:type="dxa"/>
                  <w:noWrap w:val="0"/>
                  <w:vAlign w:val="center"/>
                </w:tcPr>
                <w:p w14:paraId="575381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80.49</w:t>
                  </w:r>
                </w:p>
              </w:tc>
              <w:tc>
                <w:tcPr>
                  <w:tcW w:w="1125" w:type="dxa"/>
                  <w:noWrap w:val="0"/>
                  <w:vAlign w:val="center"/>
                </w:tcPr>
                <w:p w14:paraId="50EBB7F3">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trike w:val="0"/>
                      <w:dstrike w:val="0"/>
                      <w:color w:val="auto"/>
                      <w:spacing w:val="-3"/>
                      <w:position w:val="2"/>
                      <w:sz w:val="21"/>
                      <w:szCs w:val="21"/>
                      <w:highlight w:val="none"/>
                    </w:rPr>
                    <w:t>120</w:t>
                  </w:r>
                </w:p>
              </w:tc>
              <w:tc>
                <w:tcPr>
                  <w:tcW w:w="1088" w:type="dxa"/>
                  <w:noWrap w:val="0"/>
                  <w:vAlign w:val="center"/>
                </w:tcPr>
                <w:p w14:paraId="46E5D2E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649" w:type="dxa"/>
                  <w:noWrap w:val="0"/>
                  <w:vAlign w:val="center"/>
                </w:tcPr>
                <w:p w14:paraId="3A796D71">
                  <w:pPr>
                    <w:pStyle w:val="28"/>
                    <w:keepNext w:val="0"/>
                    <w:keepLines w:val="0"/>
                    <w:pageBreakBefore w:val="0"/>
                    <w:kinsoku/>
                    <w:wordWrap/>
                    <w:overflowPunct/>
                    <w:topLinePunct w:val="0"/>
                    <w:autoSpaceDE/>
                    <w:autoSpaceDN/>
                    <w:bidi w:val="0"/>
                    <w:spacing w:after="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达标</w:t>
                  </w:r>
                </w:p>
              </w:tc>
            </w:tr>
            <w:tr w14:paraId="19F7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dxa"/>
                  <w:vMerge w:val="continue"/>
                  <w:noWrap w:val="0"/>
                  <w:vAlign w:val="center"/>
                </w:tcPr>
                <w:p w14:paraId="2DE39C18">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4" w:type="dxa"/>
                  <w:noWrap w:val="0"/>
                  <w:vAlign w:val="center"/>
                </w:tcPr>
                <w:p w14:paraId="6FC73B0B">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HCl</w:t>
                  </w:r>
                </w:p>
              </w:tc>
              <w:tc>
                <w:tcPr>
                  <w:tcW w:w="778" w:type="dxa"/>
                  <w:vMerge w:val="continue"/>
                  <w:noWrap w:val="0"/>
                  <w:vAlign w:val="center"/>
                </w:tcPr>
                <w:p w14:paraId="1DE25BE6">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sz w:val="21"/>
                      <w:szCs w:val="21"/>
                      <w:highlight w:val="none"/>
                    </w:rPr>
                  </w:pPr>
                </w:p>
              </w:tc>
              <w:tc>
                <w:tcPr>
                  <w:tcW w:w="720" w:type="dxa"/>
                  <w:noWrap w:val="0"/>
                  <w:vAlign w:val="center"/>
                </w:tcPr>
                <w:p w14:paraId="6BB3C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0.00032</w:t>
                  </w:r>
                </w:p>
              </w:tc>
              <w:tc>
                <w:tcPr>
                  <w:tcW w:w="765" w:type="dxa"/>
                  <w:noWrap w:val="0"/>
                  <w:vAlign w:val="center"/>
                </w:tcPr>
                <w:p w14:paraId="3DD687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825" w:type="dxa"/>
                  <w:noWrap w:val="0"/>
                  <w:vAlign w:val="center"/>
                </w:tcPr>
                <w:p w14:paraId="67FDA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1125" w:type="dxa"/>
                  <w:noWrap w:val="0"/>
                  <w:vAlign w:val="center"/>
                </w:tcPr>
                <w:p w14:paraId="708B1E4A">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3"/>
                      <w:position w:val="2"/>
                      <w:sz w:val="21"/>
                      <w:szCs w:val="21"/>
                      <w:highlight w:val="none"/>
                      <w:lang w:val="en-US" w:eastAsia="zh-CN"/>
                    </w:rPr>
                    <w:t>100</w:t>
                  </w:r>
                </w:p>
              </w:tc>
              <w:tc>
                <w:tcPr>
                  <w:tcW w:w="1088" w:type="dxa"/>
                  <w:noWrap w:val="0"/>
                  <w:vAlign w:val="center"/>
                </w:tcPr>
                <w:p w14:paraId="2683641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0.13</w:t>
                  </w:r>
                </w:p>
              </w:tc>
              <w:tc>
                <w:tcPr>
                  <w:tcW w:w="649" w:type="dxa"/>
                  <w:noWrap w:val="0"/>
                  <w:vAlign w:val="center"/>
                </w:tcPr>
                <w:p w14:paraId="3519D995">
                  <w:pPr>
                    <w:pStyle w:val="28"/>
                    <w:keepNext w:val="0"/>
                    <w:keepLines w:val="0"/>
                    <w:pageBreakBefore w:val="0"/>
                    <w:kinsoku/>
                    <w:wordWrap/>
                    <w:overflowPunct/>
                    <w:topLinePunct w:val="0"/>
                    <w:autoSpaceDE/>
                    <w:autoSpaceDN/>
                    <w:bidi w:val="0"/>
                    <w:spacing w:after="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达标</w:t>
                  </w:r>
                </w:p>
              </w:tc>
            </w:tr>
            <w:tr w14:paraId="5E0E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9" w:type="dxa"/>
                  <w:noWrap w:val="0"/>
                  <w:vAlign w:val="center"/>
                </w:tcPr>
                <w:p w14:paraId="3F69DCE6">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投料、车圆工序</w:t>
                  </w:r>
                </w:p>
              </w:tc>
              <w:tc>
                <w:tcPr>
                  <w:tcW w:w="664" w:type="dxa"/>
                  <w:noWrap w:val="0"/>
                  <w:vAlign w:val="center"/>
                </w:tcPr>
                <w:p w14:paraId="31A3AEC0">
                  <w:pPr>
                    <w:keepNext w:val="0"/>
                    <w:keepLines w:val="0"/>
                    <w:pageBreakBefore w:val="0"/>
                    <w:widowControl/>
                    <w:suppressLineNumbers w:val="0"/>
                    <w:kinsoku/>
                    <w:wordWrap/>
                    <w:overflowPunct/>
                    <w:topLinePunct w:val="0"/>
                    <w:autoSpaceDE/>
                    <w:autoSpaceDN/>
                    <w:bidi w:val="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778" w:type="dxa"/>
                  <w:noWrap w:val="0"/>
                  <w:vAlign w:val="center"/>
                </w:tcPr>
                <w:p w14:paraId="70CA28B5">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4</w:t>
                  </w:r>
                </w:p>
              </w:tc>
              <w:tc>
                <w:tcPr>
                  <w:tcW w:w="720" w:type="dxa"/>
                  <w:noWrap w:val="0"/>
                  <w:vAlign w:val="center"/>
                </w:tcPr>
                <w:p w14:paraId="7C420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765" w:type="dxa"/>
                  <w:noWrap w:val="0"/>
                  <w:vAlign w:val="center"/>
                </w:tcPr>
                <w:p w14:paraId="1D7FF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825" w:type="dxa"/>
                  <w:noWrap w:val="0"/>
                  <w:vAlign w:val="center"/>
                </w:tcPr>
                <w:p w14:paraId="439EB6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0.31</w:t>
                  </w:r>
                </w:p>
              </w:tc>
              <w:tc>
                <w:tcPr>
                  <w:tcW w:w="1125" w:type="dxa"/>
                  <w:noWrap w:val="0"/>
                  <w:vAlign w:val="center"/>
                </w:tcPr>
                <w:p w14:paraId="30F069EF">
                  <w:pPr>
                    <w:keepNext w:val="0"/>
                    <w:keepLines w:val="0"/>
                    <w:pageBreakBefore w:val="0"/>
                    <w:kinsoku/>
                    <w:wordWrap/>
                    <w:overflowPunct/>
                    <w:topLinePunct w:val="0"/>
                    <w:autoSpaceDE/>
                    <w:autoSpaceDN/>
                    <w:bidi w:val="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0</w:t>
                  </w:r>
                </w:p>
              </w:tc>
              <w:tc>
                <w:tcPr>
                  <w:tcW w:w="1088" w:type="dxa"/>
                  <w:noWrap w:val="0"/>
                  <w:vAlign w:val="center"/>
                </w:tcPr>
                <w:p w14:paraId="2F6C5DAC">
                  <w:pPr>
                    <w:keepNext w:val="0"/>
                    <w:keepLines w:val="0"/>
                    <w:pageBreakBefore w:val="0"/>
                    <w:widowControl w:val="0"/>
                    <w:kinsoku/>
                    <w:wordWrap/>
                    <w:overflowPunct/>
                    <w:topLinePunct/>
                    <w:autoSpaceDE w:val="0"/>
                    <w:autoSpaceDN/>
                    <w:bidi w:val="0"/>
                    <w:adjustRightInd/>
                    <w:snapToGrid/>
                    <w:spacing w:line="240" w:lineRule="auto"/>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1.75</w:t>
                  </w:r>
                </w:p>
              </w:tc>
              <w:tc>
                <w:tcPr>
                  <w:tcW w:w="649" w:type="dxa"/>
                  <w:noWrap w:val="0"/>
                  <w:vAlign w:val="center"/>
                </w:tcPr>
                <w:p w14:paraId="79DAA09C">
                  <w:pPr>
                    <w:pStyle w:val="28"/>
                    <w:keepNext w:val="0"/>
                    <w:keepLines w:val="0"/>
                    <w:pageBreakBefore w:val="0"/>
                    <w:kinsoku/>
                    <w:wordWrap/>
                    <w:overflowPunct/>
                    <w:topLinePunct w:val="0"/>
                    <w:autoSpaceDE/>
                    <w:autoSpaceDN/>
                    <w:bidi w:val="0"/>
                    <w:spacing w:after="0"/>
                    <w:ind w:left="0" w:leftChars="0" w:right="0" w:rightChars="0" w:firstLine="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达标</w:t>
                  </w:r>
                </w:p>
              </w:tc>
            </w:tr>
          </w:tbl>
          <w:p w14:paraId="300503AD">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pacing w:val="1"/>
                <w:sz w:val="24"/>
                <w:szCs w:val="24"/>
                <w:highlight w:val="none"/>
              </w:rPr>
              <w:t>项目</w:t>
            </w:r>
            <w:r>
              <w:rPr>
                <w:rFonts w:hint="default" w:ascii="Times New Roman" w:hAnsi="Times New Roman" w:eastAsia="宋体" w:cs="Times New Roman"/>
                <w:strike w:val="0"/>
                <w:dstrike w:val="0"/>
                <w:color w:val="auto"/>
                <w:sz w:val="24"/>
                <w:szCs w:val="24"/>
                <w:highlight w:val="none"/>
              </w:rPr>
              <w:t>有组织废气可达标经环保设施处理后经排气筒可达</w:t>
            </w:r>
            <w:r>
              <w:rPr>
                <w:rFonts w:hint="default" w:ascii="Times New Roman" w:hAnsi="Times New Roman" w:eastAsia="宋体" w:cs="Times New Roman"/>
                <w:strike w:val="0"/>
                <w:dstrike w:val="0"/>
                <w:color w:val="auto"/>
                <w:spacing w:val="-1"/>
                <w:sz w:val="24"/>
                <w:szCs w:val="24"/>
                <w:highlight w:val="none"/>
              </w:rPr>
              <w:t>标排放，对环境影响较小。</w:t>
            </w:r>
          </w:p>
          <w:p w14:paraId="2777E8AC">
            <w:pPr>
              <w:pStyle w:val="66"/>
              <w:keepNext w:val="0"/>
              <w:keepLines w:val="0"/>
              <w:pageBreakBefore w:val="0"/>
              <w:widowControl w:val="0"/>
              <w:numPr>
                <w:ilvl w:val="0"/>
                <w:numId w:val="0"/>
              </w:numPr>
              <w:kinsoku/>
              <w:wordWrap/>
              <w:overflowPunct/>
              <w:topLinePunct/>
              <w:autoSpaceDE w:val="0"/>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val="0"/>
                <w:strike w:val="0"/>
                <w:dstrike w:val="0"/>
                <w:color w:val="auto"/>
                <w:spacing w:val="-10"/>
                <w:sz w:val="24"/>
                <w:szCs w:val="24"/>
                <w:highlight w:val="none"/>
                <w:lang w:val="en-US" w:eastAsia="zh-CN"/>
              </w:rPr>
            </w:pPr>
            <w:r>
              <w:rPr>
                <w:rFonts w:hint="default" w:ascii="Times New Roman" w:hAnsi="Times New Roman" w:eastAsia="宋体" w:cs="Times New Roman"/>
                <w:b/>
                <w:bCs w:val="0"/>
                <w:strike w:val="0"/>
                <w:dstrike w:val="0"/>
                <w:color w:val="auto"/>
                <w:spacing w:val="-10"/>
                <w:kern w:val="0"/>
                <w:sz w:val="24"/>
                <w:szCs w:val="24"/>
                <w:highlight w:val="none"/>
                <w:lang w:val="en-US" w:eastAsia="zh-CN" w:bidi="ar-SA"/>
              </w:rPr>
              <w:t>3.</w:t>
            </w:r>
            <w:r>
              <w:rPr>
                <w:rFonts w:hint="default" w:ascii="Times New Roman" w:hAnsi="Times New Roman" w:eastAsia="宋体" w:cs="Times New Roman"/>
                <w:b/>
                <w:bCs w:val="0"/>
                <w:strike w:val="0"/>
                <w:dstrike w:val="0"/>
                <w:color w:val="auto"/>
                <w:spacing w:val="-10"/>
                <w:sz w:val="24"/>
                <w:szCs w:val="24"/>
                <w:highlight w:val="none"/>
                <w:lang w:val="en-US" w:eastAsia="zh-CN"/>
              </w:rPr>
              <w:t>无组织废气达标排放分析</w:t>
            </w:r>
          </w:p>
          <w:p w14:paraId="42FA4B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pacing w:val="1"/>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项目</w:t>
            </w:r>
            <w:r>
              <w:rPr>
                <w:rFonts w:hint="eastAsia" w:cs="Times New Roman"/>
                <w:color w:val="auto"/>
                <w:sz w:val="24"/>
                <w:szCs w:val="24"/>
                <w:highlight w:val="none"/>
                <w:lang w:eastAsia="zh-CN"/>
              </w:rPr>
              <w:t>珠胚</w:t>
            </w:r>
            <w:r>
              <w:rPr>
                <w:rFonts w:hint="default" w:ascii="Times New Roman" w:hAnsi="Times New Roman" w:eastAsia="宋体" w:cs="Times New Roman"/>
                <w:color w:val="auto"/>
                <w:sz w:val="24"/>
                <w:szCs w:val="24"/>
                <w:highlight w:val="none"/>
              </w:rPr>
              <w:t>车间配料、电炉及滚抛过程</w:t>
            </w:r>
            <w:r>
              <w:rPr>
                <w:rFonts w:hint="eastAsia"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吸塑</w:t>
            </w:r>
            <w:r>
              <w:rPr>
                <w:rFonts w:hint="default" w:ascii="Times New Roman" w:hAnsi="Times New Roman" w:eastAsia="宋体" w:cs="Times New Roman"/>
                <w:color w:val="auto"/>
                <w:sz w:val="24"/>
                <w:szCs w:val="24"/>
                <w:highlight w:val="none"/>
              </w:rPr>
              <w:t>车间配料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破碎过程</w:t>
            </w:r>
            <w:r>
              <w:rPr>
                <w:rFonts w:hint="default" w:ascii="Times New Roman" w:hAnsi="Times New Roman" w:eastAsia="宋体" w:cs="Times New Roman"/>
                <w:color w:val="auto"/>
                <w:spacing w:val="2"/>
                <w:sz w:val="24"/>
                <w:szCs w:val="24"/>
                <w:highlight w:val="none"/>
              </w:rPr>
              <w:t>粉尘</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pacing w:val="2"/>
                <w:sz w:val="24"/>
                <w:szCs w:val="24"/>
                <w:highlight w:val="none"/>
              </w:rPr>
              <w:t>抛轮投料、车圆</w:t>
            </w:r>
            <w:r>
              <w:rPr>
                <w:rFonts w:hint="default" w:ascii="Times New Roman" w:hAnsi="Times New Roman" w:eastAsia="宋体" w:cs="Times New Roman"/>
                <w:color w:val="auto"/>
                <w:sz w:val="24"/>
                <w:szCs w:val="24"/>
                <w:highlight w:val="none"/>
                <w:lang w:val="en-US" w:eastAsia="zh-CN"/>
              </w:rPr>
              <w:t>产生的</w:t>
            </w:r>
            <w:r>
              <w:rPr>
                <w:rFonts w:hint="default" w:ascii="Times New Roman" w:hAnsi="Times New Roman" w:eastAsia="宋体" w:cs="Times New Roman"/>
                <w:strike w:val="0"/>
                <w:dstrike w:val="0"/>
                <w:color w:val="auto"/>
                <w:spacing w:val="2"/>
                <w:sz w:val="24"/>
                <w:szCs w:val="24"/>
                <w:highlight w:val="none"/>
              </w:rPr>
              <w:t>粉尘</w:t>
            </w:r>
            <w:r>
              <w:rPr>
                <w:rFonts w:hint="default" w:ascii="Times New Roman" w:hAnsi="Times New Roman" w:eastAsia="宋体" w:cs="Times New Roman"/>
                <w:strike w:val="0"/>
                <w:dstrike w:val="0"/>
                <w:color w:val="auto"/>
                <w:spacing w:val="2"/>
                <w:sz w:val="24"/>
                <w:szCs w:val="24"/>
                <w:highlight w:val="none"/>
                <w:lang w:val="en-US" w:eastAsia="zh-CN"/>
              </w:rPr>
              <w:t>以及</w:t>
            </w:r>
            <w:r>
              <w:rPr>
                <w:rFonts w:hint="default" w:ascii="Times New Roman" w:hAnsi="Times New Roman" w:eastAsia="宋体" w:cs="Times New Roman"/>
                <w:color w:val="auto"/>
                <w:sz w:val="24"/>
                <w:szCs w:val="24"/>
                <w:highlight w:val="none"/>
                <w:lang w:val="en-US" w:eastAsia="zh-CN"/>
              </w:rPr>
              <w:t>吸塑</w:t>
            </w:r>
            <w:r>
              <w:rPr>
                <w:rFonts w:hint="default" w:ascii="Times New Roman" w:hAnsi="Times New Roman" w:eastAsia="宋体" w:cs="Times New Roman"/>
                <w:color w:val="auto"/>
                <w:sz w:val="24"/>
                <w:szCs w:val="24"/>
                <w:highlight w:val="none"/>
              </w:rPr>
              <w:t>车间</w:t>
            </w:r>
            <w:r>
              <w:rPr>
                <w:rFonts w:hint="default" w:ascii="Times New Roman" w:hAnsi="Times New Roman" w:eastAsia="宋体" w:cs="Times New Roman"/>
                <w:color w:val="auto"/>
                <w:sz w:val="24"/>
                <w:szCs w:val="24"/>
                <w:highlight w:val="none"/>
                <w:lang w:val="en-US" w:eastAsia="zh-CN"/>
              </w:rPr>
              <w:t>加热、挤出塑化、压延产生的</w:t>
            </w:r>
            <w:r>
              <w:rPr>
                <w:rFonts w:hint="default" w:ascii="Times New Roman" w:hAnsi="Times New Roman" w:eastAsia="宋体" w:cs="Times New Roman"/>
                <w:color w:val="auto"/>
                <w:sz w:val="24"/>
                <w:szCs w:val="24"/>
                <w:highlight w:val="none"/>
              </w:rPr>
              <w:t>非甲烷总烃</w:t>
            </w:r>
            <w:r>
              <w:rPr>
                <w:rFonts w:hint="default" w:ascii="Times New Roman" w:hAnsi="Times New Roman" w:eastAsia="宋体" w:cs="Times New Roman"/>
                <w:color w:val="auto"/>
                <w:sz w:val="24"/>
                <w:szCs w:val="24"/>
                <w:highlight w:val="none"/>
                <w:lang w:val="en-US" w:eastAsia="zh-CN"/>
              </w:rPr>
              <w:t>及氯化氢，</w:t>
            </w:r>
            <w:r>
              <w:rPr>
                <w:rFonts w:hint="default" w:ascii="Times New Roman" w:hAnsi="Times New Roman" w:eastAsia="宋体" w:cs="Times New Roman"/>
                <w:b w:val="0"/>
                <w:bCs/>
                <w:strike w:val="0"/>
                <w:dstrike w:val="0"/>
                <w:color w:val="auto"/>
                <w:sz w:val="24"/>
                <w:szCs w:val="24"/>
                <w:highlight w:val="none"/>
              </w:rPr>
              <w:t>未</w:t>
            </w:r>
            <w:r>
              <w:rPr>
                <w:rFonts w:hint="default" w:ascii="Times New Roman" w:hAnsi="Times New Roman" w:eastAsia="宋体" w:cs="Times New Roman"/>
                <w:b w:val="0"/>
                <w:bCs/>
                <w:strike w:val="0"/>
                <w:dstrike w:val="0"/>
                <w:color w:val="auto"/>
                <w:sz w:val="24"/>
                <w:szCs w:val="24"/>
                <w:highlight w:val="none"/>
                <w:lang w:val="en-US" w:eastAsia="zh-CN"/>
              </w:rPr>
              <w:t>经</w:t>
            </w:r>
            <w:r>
              <w:rPr>
                <w:rFonts w:hint="default" w:ascii="Times New Roman" w:hAnsi="Times New Roman" w:eastAsia="宋体" w:cs="Times New Roman"/>
                <w:b w:val="0"/>
                <w:bCs/>
                <w:strike w:val="0"/>
                <w:dstrike w:val="0"/>
                <w:color w:val="auto"/>
                <w:sz w:val="24"/>
                <w:szCs w:val="24"/>
                <w:highlight w:val="none"/>
              </w:rPr>
              <w:t>集气罩</w:t>
            </w:r>
            <w:r>
              <w:rPr>
                <w:rFonts w:hint="default" w:ascii="Times New Roman" w:hAnsi="Times New Roman" w:eastAsia="宋体" w:cs="Times New Roman"/>
                <w:b w:val="0"/>
                <w:bCs/>
                <w:strike w:val="0"/>
                <w:dstrike w:val="0"/>
                <w:color w:val="auto"/>
                <w:sz w:val="24"/>
                <w:szCs w:val="24"/>
                <w:highlight w:val="none"/>
                <w:lang w:val="en-US" w:eastAsia="zh-CN"/>
              </w:rPr>
              <w:t>收集</w:t>
            </w:r>
            <w:r>
              <w:rPr>
                <w:rFonts w:hint="default" w:ascii="Times New Roman" w:hAnsi="Times New Roman" w:eastAsia="宋体" w:cs="Times New Roman"/>
                <w:strike w:val="0"/>
                <w:dstrike w:val="0"/>
                <w:color w:val="auto"/>
                <w:sz w:val="24"/>
                <w:szCs w:val="24"/>
                <w:highlight w:val="none"/>
                <w:lang w:val="en-US" w:eastAsia="zh-CN"/>
              </w:rPr>
              <w:t>的</w:t>
            </w:r>
            <w:r>
              <w:rPr>
                <w:rFonts w:hint="default" w:ascii="Times New Roman" w:hAnsi="Times New Roman" w:eastAsia="宋体" w:cs="Times New Roman"/>
                <w:strike w:val="0"/>
                <w:dstrike w:val="0"/>
                <w:color w:val="auto"/>
                <w:sz w:val="24"/>
                <w:szCs w:val="24"/>
                <w:highlight w:val="none"/>
              </w:rPr>
              <w:t>废气</w:t>
            </w:r>
            <w:r>
              <w:rPr>
                <w:rFonts w:hint="default" w:ascii="Times New Roman" w:hAnsi="Times New Roman" w:eastAsia="宋体" w:cs="Times New Roman"/>
                <w:b w:val="0"/>
                <w:bCs/>
                <w:strike w:val="0"/>
                <w:dstrike w:val="0"/>
                <w:color w:val="auto"/>
                <w:sz w:val="24"/>
                <w:szCs w:val="24"/>
                <w:highlight w:val="none"/>
                <w:lang w:val="en-US" w:eastAsia="zh-CN"/>
              </w:rPr>
              <w:t>经车间封闭阻隔、</w:t>
            </w:r>
            <w:r>
              <w:rPr>
                <w:rFonts w:hint="default" w:ascii="Times New Roman" w:hAnsi="Times New Roman" w:eastAsia="宋体" w:cs="Times New Roman"/>
                <w:strike w:val="0"/>
                <w:dstrike w:val="0"/>
                <w:color w:val="auto"/>
                <w:spacing w:val="1"/>
                <w:sz w:val="24"/>
                <w:szCs w:val="24"/>
                <w:highlight w:val="none"/>
              </w:rPr>
              <w:t>加强通风</w:t>
            </w:r>
            <w:r>
              <w:rPr>
                <w:rFonts w:hint="default" w:ascii="Times New Roman" w:hAnsi="Times New Roman" w:eastAsia="宋体" w:cs="Times New Roman"/>
                <w:strike w:val="0"/>
                <w:dstrike w:val="0"/>
                <w:color w:val="auto"/>
                <w:spacing w:val="1"/>
                <w:sz w:val="24"/>
                <w:szCs w:val="24"/>
                <w:highlight w:val="none"/>
                <w:lang w:val="en-US" w:eastAsia="zh-CN"/>
              </w:rPr>
              <w:t>等处理后呈无组织排放；</w:t>
            </w:r>
            <w:r>
              <w:rPr>
                <w:rFonts w:hint="eastAsia" w:cs="Times New Roman"/>
                <w:strike w:val="0"/>
                <w:dstrike w:val="0"/>
                <w:color w:val="auto"/>
                <w:spacing w:val="1"/>
                <w:sz w:val="24"/>
                <w:szCs w:val="24"/>
                <w:highlight w:val="none"/>
                <w:lang w:val="en-US" w:eastAsia="zh-CN"/>
              </w:rPr>
              <w:t>项目采取</w:t>
            </w:r>
            <w:r>
              <w:rPr>
                <w:rFonts w:hint="default" w:ascii="Times New Roman" w:hAnsi="Times New Roman" w:eastAsia="宋体" w:cs="Times New Roman"/>
                <w:color w:val="auto"/>
                <w:sz w:val="24"/>
                <w:szCs w:val="24"/>
                <w:highlight w:val="none"/>
                <w:lang w:val="en-US" w:eastAsia="zh-CN"/>
              </w:rPr>
              <w:t>强化</w:t>
            </w:r>
            <w:r>
              <w:rPr>
                <w:rFonts w:hint="default" w:ascii="Times New Roman" w:hAnsi="Times New Roman" w:eastAsia="宋体" w:cs="Times New Roman"/>
                <w:color w:val="auto"/>
                <w:sz w:val="24"/>
                <w:szCs w:val="24"/>
                <w:highlight w:val="none"/>
              </w:rPr>
              <w:t>内部管理，做好设备定期的保养与维护，</w:t>
            </w:r>
            <w:r>
              <w:rPr>
                <w:rFonts w:hint="default" w:ascii="Times New Roman" w:hAnsi="Times New Roman" w:eastAsia="宋体" w:cs="Times New Roman"/>
                <w:strike w:val="0"/>
                <w:dstrike w:val="0"/>
                <w:color w:val="auto"/>
                <w:spacing w:val="1"/>
                <w:sz w:val="24"/>
                <w:szCs w:val="24"/>
                <w:highlight w:val="none"/>
                <w:lang w:eastAsia="zh-CN"/>
              </w:rPr>
              <w:t>无组织废气在采取措施后</w:t>
            </w:r>
            <w:r>
              <w:rPr>
                <w:rFonts w:hint="default" w:ascii="Times New Roman" w:hAnsi="Times New Roman" w:eastAsia="宋体" w:cs="Times New Roman"/>
                <w:strike w:val="0"/>
                <w:dstrike w:val="0"/>
                <w:color w:val="auto"/>
                <w:spacing w:val="1"/>
                <w:sz w:val="24"/>
                <w:szCs w:val="24"/>
                <w:highlight w:val="none"/>
                <w:lang w:val="en-US" w:eastAsia="zh-CN"/>
              </w:rPr>
              <w:t>排放量较小</w:t>
            </w:r>
            <w:r>
              <w:rPr>
                <w:rFonts w:hint="eastAsia" w:cs="Times New Roman"/>
                <w:strike w:val="0"/>
                <w:dstrike w:val="0"/>
                <w:color w:val="auto"/>
                <w:spacing w:val="1"/>
                <w:sz w:val="24"/>
                <w:szCs w:val="24"/>
                <w:highlight w:val="none"/>
                <w:lang w:val="en-US" w:eastAsia="zh-CN"/>
              </w:rPr>
              <w:t>。</w:t>
            </w:r>
          </w:p>
          <w:p w14:paraId="2BCCAC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pacing w:val="1"/>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根据工程</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strike w:val="0"/>
                <w:dstrike w:val="0"/>
                <w:color w:val="auto"/>
                <w:spacing w:val="1"/>
                <w:sz w:val="24"/>
                <w:szCs w:val="24"/>
                <w:highlight w:val="none"/>
              </w:rPr>
              <w:t>厂界颗粒物、</w:t>
            </w:r>
            <w:r>
              <w:rPr>
                <w:rFonts w:hint="default" w:ascii="Times New Roman" w:hAnsi="Times New Roman" w:eastAsia="宋体" w:cs="Times New Roman"/>
                <w:strike w:val="0"/>
                <w:dstrike w:val="0"/>
                <w:color w:val="auto"/>
                <w:spacing w:val="1"/>
                <w:sz w:val="24"/>
                <w:szCs w:val="24"/>
                <w:highlight w:val="none"/>
                <w:lang w:val="en-US" w:eastAsia="zh-CN"/>
              </w:rPr>
              <w:t>HCl、</w:t>
            </w:r>
            <w:r>
              <w:rPr>
                <w:rFonts w:hint="default" w:ascii="Times New Roman" w:hAnsi="Times New Roman" w:eastAsia="宋体" w:cs="Times New Roman"/>
                <w:strike w:val="0"/>
                <w:dstrike w:val="0"/>
                <w:color w:val="auto"/>
                <w:spacing w:val="1"/>
                <w:sz w:val="24"/>
                <w:szCs w:val="24"/>
                <w:highlight w:val="none"/>
              </w:rPr>
              <w:t>非甲烷总烃</w:t>
            </w:r>
            <w:r>
              <w:rPr>
                <w:rFonts w:hint="default" w:ascii="Times New Roman" w:hAnsi="Times New Roman" w:eastAsia="宋体" w:cs="Times New Roman"/>
                <w:strike w:val="0"/>
                <w:dstrike w:val="0"/>
                <w:color w:val="auto"/>
                <w:spacing w:val="1"/>
                <w:sz w:val="24"/>
                <w:szCs w:val="24"/>
                <w:highlight w:val="none"/>
                <w:lang w:val="en-US" w:eastAsia="zh-CN"/>
              </w:rPr>
              <w:t>均</w:t>
            </w:r>
            <w:r>
              <w:rPr>
                <w:rFonts w:hint="default" w:ascii="Times New Roman" w:hAnsi="Times New Roman" w:eastAsia="宋体" w:cs="Times New Roman"/>
                <w:strike w:val="0"/>
                <w:dstrike w:val="0"/>
                <w:color w:val="auto"/>
                <w:spacing w:val="1"/>
                <w:sz w:val="24"/>
                <w:szCs w:val="24"/>
                <w:highlight w:val="none"/>
              </w:rPr>
              <w:t>能满足《大气污染物综合排放标准》（GB16297-1996）无组织排放监控浓度限值要求</w:t>
            </w:r>
            <w:r>
              <w:rPr>
                <w:rFonts w:hint="eastAsia" w:cs="Times New Roman"/>
                <w:strike w:val="0"/>
                <w:dstrike w:val="0"/>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rPr>
              <w:t>即：颗粒物≤1.0mg/m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trike w:val="0"/>
                <w:dstrike w:val="0"/>
                <w:color w:val="auto"/>
                <w:spacing w:val="1"/>
                <w:sz w:val="24"/>
                <w:szCs w:val="24"/>
                <w:highlight w:val="none"/>
                <w:lang w:val="en-US" w:eastAsia="zh-CN"/>
              </w:rPr>
              <w:t>HCl</w:t>
            </w: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rPr>
              <w:t>非甲烷总烃≤4.0mg/m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，厂区内厂房外非甲烷总烃无组织排放满足《挥发性有机物无组织排放控制标准》（GB37822-2019）要求，即：厂房外监控点处1h平均浓度值≤10mg/m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、任意一次浓度值≤30mg/m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trike w:val="0"/>
                <w:dstrike w:val="0"/>
                <w:color w:val="auto"/>
                <w:spacing w:val="1"/>
                <w:sz w:val="24"/>
                <w:szCs w:val="24"/>
                <w:highlight w:val="none"/>
              </w:rPr>
              <w:t>厂区</w:t>
            </w:r>
            <w:r>
              <w:rPr>
                <w:rFonts w:hint="default" w:ascii="Times New Roman" w:hAnsi="Times New Roman" w:eastAsia="宋体" w:cs="Times New Roman"/>
                <w:strike w:val="0"/>
                <w:dstrike w:val="0"/>
                <w:color w:val="auto"/>
                <w:spacing w:val="1"/>
                <w:sz w:val="24"/>
                <w:szCs w:val="24"/>
                <w:highlight w:val="none"/>
                <w:lang w:val="en-US" w:eastAsia="zh-CN"/>
              </w:rPr>
              <w:t>内垃圾</w:t>
            </w:r>
            <w:r>
              <w:rPr>
                <w:rFonts w:hint="default" w:ascii="Times New Roman" w:hAnsi="Times New Roman" w:eastAsia="宋体" w:cs="Times New Roman"/>
                <w:strike w:val="0"/>
                <w:dstrike w:val="0"/>
                <w:color w:val="auto"/>
                <w:spacing w:val="1"/>
                <w:sz w:val="24"/>
                <w:szCs w:val="24"/>
                <w:highlight w:val="none"/>
              </w:rPr>
              <w:t>异味</w:t>
            </w:r>
            <w:r>
              <w:rPr>
                <w:rFonts w:hint="default" w:ascii="Times New Roman" w:hAnsi="Times New Roman" w:eastAsia="宋体" w:cs="Times New Roman"/>
                <w:strike w:val="0"/>
                <w:dstrike w:val="0"/>
                <w:color w:val="auto"/>
                <w:spacing w:val="1"/>
                <w:sz w:val="24"/>
                <w:szCs w:val="24"/>
                <w:highlight w:val="none"/>
                <w:lang w:val="en-US" w:eastAsia="zh-CN"/>
              </w:rPr>
              <w:t>及污水处理站</w:t>
            </w:r>
            <w:r>
              <w:rPr>
                <w:rFonts w:hint="default" w:ascii="Times New Roman" w:hAnsi="Times New Roman" w:eastAsia="宋体" w:cs="Times New Roman"/>
                <w:color w:val="auto"/>
                <w:sz w:val="24"/>
                <w:szCs w:val="24"/>
                <w:highlight w:val="none"/>
              </w:rPr>
              <w:t>无组织臭气浓度经大气稀释扩散后能满足《恶臭污染物排放标准》（GB14554-93）表1中二级标准限值，即</w:t>
            </w:r>
            <w:r>
              <w:rPr>
                <w:rFonts w:hint="eastAsia" w:ascii="Times New Roman" w:hAnsi="Times New Roman" w:eastAsia="宋体" w:cs="Times New Roman"/>
                <w:color w:val="auto"/>
                <w:sz w:val="24"/>
                <w:szCs w:val="24"/>
                <w:highlight w:val="none"/>
                <w:lang w:val="en-US" w:eastAsia="zh-CN"/>
              </w:rPr>
              <w:t>氨</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val="en-US" w:eastAsia="zh-CN"/>
              </w:rPr>
              <w:t>、硫化氢</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0.06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臭气浓度≤20（无量纲）</w:t>
            </w:r>
            <w:r>
              <w:rPr>
                <w:rFonts w:hint="default" w:ascii="Times New Roman" w:hAnsi="Times New Roman" w:eastAsia="宋体" w:cs="Times New Roman"/>
                <w:strike w:val="0"/>
                <w:dstrike w:val="0"/>
                <w:color w:val="auto"/>
                <w:spacing w:val="1"/>
                <w:sz w:val="24"/>
                <w:szCs w:val="24"/>
                <w:highlight w:val="none"/>
                <w:lang w:eastAsia="zh-CN"/>
              </w:rPr>
              <w:t>。</w:t>
            </w:r>
          </w:p>
          <w:p w14:paraId="1E17BE6C">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trike w:val="0"/>
                <w:dstrike w:val="0"/>
                <w:color w:val="auto"/>
                <w:spacing w:val="-3"/>
                <w:sz w:val="24"/>
                <w:szCs w:val="24"/>
                <w:highlight w:val="none"/>
              </w:rPr>
              <w:t>因此，项目无组织排放废</w:t>
            </w:r>
            <w:r>
              <w:rPr>
                <w:rFonts w:hint="default" w:ascii="Times New Roman" w:hAnsi="Times New Roman" w:eastAsia="宋体" w:cs="Times New Roman"/>
                <w:strike w:val="0"/>
                <w:dstrike w:val="0"/>
                <w:color w:val="auto"/>
                <w:sz w:val="24"/>
                <w:szCs w:val="24"/>
                <w:highlight w:val="none"/>
              </w:rPr>
              <w:t>气对周围环境影响可接受。</w:t>
            </w:r>
          </w:p>
          <w:p w14:paraId="254BBB0F">
            <w:pPr>
              <w:pStyle w:val="66"/>
              <w:keepNext w:val="0"/>
              <w:keepLines w:val="0"/>
              <w:pageBreakBefore w:val="0"/>
              <w:widowControl w:val="0"/>
              <w:kinsoku/>
              <w:wordWrap/>
              <w:overflowPunct/>
              <w:topLinePunct/>
              <w:autoSpaceDE w:val="0"/>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trike w:val="0"/>
                <w:dstrike w:val="0"/>
                <w:color w:val="auto"/>
                <w:highlight w:val="none"/>
                <w:lang w:val="en-US" w:eastAsia="zh-CN"/>
              </w:rPr>
            </w:pPr>
            <w:r>
              <w:rPr>
                <w:rFonts w:hint="default" w:ascii="Times New Roman" w:hAnsi="Times New Roman" w:eastAsia="宋体" w:cs="Times New Roman"/>
                <w:b/>
                <w:bCs w:val="0"/>
                <w:strike w:val="0"/>
                <w:dstrike w:val="0"/>
                <w:color w:val="auto"/>
                <w:spacing w:val="-10"/>
                <w:sz w:val="24"/>
                <w:szCs w:val="24"/>
                <w:highlight w:val="none"/>
                <w:lang w:val="en-US" w:eastAsia="zh-CN"/>
              </w:rPr>
              <w:t>4.</w:t>
            </w:r>
            <w:r>
              <w:rPr>
                <w:rFonts w:hint="default" w:ascii="Times New Roman" w:hAnsi="Times New Roman" w:eastAsia="宋体" w:cs="Times New Roman"/>
                <w:b/>
                <w:bCs/>
                <w:strike w:val="0"/>
                <w:dstrike w:val="0"/>
                <w:color w:val="auto"/>
                <w:highlight w:val="none"/>
              </w:rPr>
              <w:t>非正常工况排放</w:t>
            </w:r>
            <w:r>
              <w:rPr>
                <w:rFonts w:hint="default" w:ascii="Times New Roman" w:hAnsi="Times New Roman" w:eastAsia="宋体" w:cs="Times New Roman"/>
                <w:b/>
                <w:bCs/>
                <w:strike w:val="0"/>
                <w:dstrike w:val="0"/>
                <w:color w:val="auto"/>
                <w:highlight w:val="none"/>
                <w:lang w:val="en-US" w:eastAsia="zh-CN"/>
              </w:rPr>
              <w:t>情况</w:t>
            </w:r>
          </w:p>
          <w:p w14:paraId="02609E21">
            <w:pPr>
              <w:pStyle w:val="66"/>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strike w:val="0"/>
                <w:dstrike w:val="0"/>
                <w:color w:val="auto"/>
                <w:highlight w:val="none"/>
              </w:rPr>
            </w:pPr>
            <w:r>
              <w:rPr>
                <w:rFonts w:hint="default" w:ascii="Times New Roman" w:hAnsi="Times New Roman" w:eastAsia="宋体" w:cs="Times New Roman"/>
                <w:strike w:val="0"/>
                <w:dstrike w:val="0"/>
                <w:color w:val="auto"/>
                <w:highlight w:val="none"/>
              </w:rPr>
              <w:t>非正常工况为污染物治理设施无法正常运行或停止运行，排放的污染物会存在超标排放现象</w:t>
            </w:r>
            <w:r>
              <w:rPr>
                <w:rFonts w:hint="default" w:ascii="Times New Roman" w:hAnsi="Times New Roman" w:eastAsia="宋体" w:cs="Times New Roman"/>
                <w:strike w:val="0"/>
                <w:dstrike w:val="0"/>
                <w:color w:val="auto"/>
                <w:highlight w:val="none"/>
                <w:lang w:eastAsia="zh-CN"/>
              </w:rPr>
              <w:t>。</w:t>
            </w:r>
            <w:r>
              <w:rPr>
                <w:rFonts w:hint="default" w:ascii="Times New Roman" w:hAnsi="Times New Roman" w:eastAsia="宋体" w:cs="Times New Roman"/>
                <w:strike w:val="0"/>
                <w:dstrike w:val="0"/>
                <w:color w:val="auto"/>
                <w:highlight w:val="none"/>
              </w:rPr>
              <w:t>生产设施非正常情况主要考虑“布袋除尘器”及“</w:t>
            </w:r>
            <w:r>
              <w:rPr>
                <w:rFonts w:hint="default" w:ascii="Times New Roman" w:hAnsi="Times New Roman" w:eastAsia="宋体" w:cs="Times New Roman"/>
                <w:strike w:val="0"/>
                <w:dstrike w:val="0"/>
                <w:color w:val="auto"/>
                <w:sz w:val="24"/>
                <w:highlight w:val="none"/>
                <w:lang w:val="en-US" w:eastAsia="zh-CN"/>
              </w:rPr>
              <w:t>三级</w:t>
            </w:r>
            <w:r>
              <w:rPr>
                <w:rFonts w:hint="default" w:ascii="Times New Roman" w:hAnsi="Times New Roman" w:eastAsia="宋体" w:cs="Times New Roman"/>
                <w:strike w:val="0"/>
                <w:dstrike w:val="0"/>
                <w:color w:val="auto"/>
                <w:sz w:val="24"/>
                <w:szCs w:val="24"/>
                <w:highlight w:val="none"/>
              </w:rPr>
              <w:t>活性炭</w:t>
            </w:r>
            <w:r>
              <w:rPr>
                <w:rFonts w:hint="default" w:ascii="Times New Roman" w:hAnsi="Times New Roman" w:eastAsia="宋体" w:cs="Times New Roman"/>
                <w:strike w:val="0"/>
                <w:dstrike w:val="0"/>
                <w:color w:val="auto"/>
                <w:sz w:val="24"/>
                <w:szCs w:val="24"/>
                <w:highlight w:val="none"/>
                <w:lang w:val="en-US" w:eastAsia="zh-CN"/>
              </w:rPr>
              <w:t>装置</w:t>
            </w:r>
            <w:r>
              <w:rPr>
                <w:rFonts w:hint="default" w:ascii="Times New Roman" w:hAnsi="Times New Roman" w:eastAsia="宋体" w:cs="Times New Roman"/>
                <w:strike w:val="0"/>
                <w:dstrike w:val="0"/>
                <w:color w:val="auto"/>
                <w:highlight w:val="none"/>
              </w:rPr>
              <w:t>”发生故障，</w:t>
            </w:r>
            <w:r>
              <w:rPr>
                <w:rFonts w:hint="default" w:ascii="Times New Roman" w:hAnsi="Times New Roman" w:eastAsia="宋体" w:cs="Times New Roman"/>
                <w:color w:val="auto"/>
                <w:highlight w:val="none"/>
              </w:rPr>
              <w:t>处理效率</w:t>
            </w:r>
            <w:r>
              <w:rPr>
                <w:rFonts w:hint="eastAsia" w:ascii="Times New Roman" w:hAnsi="Times New Roman" w:eastAsia="宋体" w:cs="Times New Roman"/>
                <w:color w:val="auto"/>
                <w:highlight w:val="none"/>
                <w:lang w:val="en-US" w:eastAsia="zh-CN"/>
              </w:rPr>
              <w:t>分别</w:t>
            </w:r>
            <w:r>
              <w:rPr>
                <w:rFonts w:hint="default" w:ascii="Times New Roman" w:hAnsi="Times New Roman" w:eastAsia="宋体" w:cs="Times New Roman"/>
                <w:color w:val="auto"/>
                <w:highlight w:val="none"/>
              </w:rPr>
              <w:t>下降为</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0%</w:t>
            </w:r>
            <w:r>
              <w:rPr>
                <w:rFonts w:hint="default" w:ascii="Times New Roman" w:hAnsi="Times New Roman" w:eastAsia="宋体" w:cs="Times New Roman"/>
                <w:strike w:val="0"/>
                <w:dstrike w:val="0"/>
                <w:color w:val="auto"/>
                <w:highlight w:val="none"/>
              </w:rPr>
              <w:t>。</w:t>
            </w:r>
          </w:p>
          <w:p w14:paraId="551A7340">
            <w:pPr>
              <w:pStyle w:val="66"/>
              <w:keepNext w:val="0"/>
              <w:keepLines w:val="0"/>
              <w:pageBreakBefore w:val="0"/>
              <w:widowControl w:val="0"/>
              <w:kinsoku/>
              <w:wordWrap/>
              <w:overflowPunct/>
              <w:topLinePunct/>
              <w:autoSpaceDE w:val="0"/>
              <w:autoSpaceDN/>
              <w:bidi w:val="0"/>
              <w:adjustRightInd w:val="0"/>
              <w:snapToGrid w:val="0"/>
              <w:spacing w:line="360" w:lineRule="auto"/>
              <w:textAlignment w:val="auto"/>
              <w:rPr>
                <w:rFonts w:hint="default" w:ascii="Times New Roman" w:hAnsi="Times New Roman" w:eastAsia="宋体" w:cs="Times New Roman"/>
                <w:strike w:val="0"/>
                <w:dstrike w:val="0"/>
                <w:color w:val="auto"/>
                <w:highlight w:val="none"/>
              </w:rPr>
            </w:pPr>
            <w:r>
              <w:rPr>
                <w:rFonts w:hint="default" w:ascii="Times New Roman" w:hAnsi="Times New Roman" w:eastAsia="宋体" w:cs="Times New Roman"/>
                <w:strike w:val="0"/>
                <w:dstrike w:val="0"/>
                <w:color w:val="auto"/>
                <w:highlight w:val="none"/>
              </w:rPr>
              <w:t>项目非正常情况下排放情况见下表。</w:t>
            </w:r>
          </w:p>
          <w:p w14:paraId="3B6D2946">
            <w:pPr>
              <w:pStyle w:val="2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default" w:ascii="Times New Roman" w:hAnsi="Times New Roman" w:eastAsia="宋体" w:cs="Times New Roman"/>
                <w:b/>
                <w:bCs/>
                <w:caps w:val="0"/>
                <w:smallCaps w:val="0"/>
                <w:color w:val="auto"/>
                <w:sz w:val="21"/>
                <w:szCs w:val="21"/>
                <w:highlight w:val="none"/>
                <w:lang w:val="en-US" w:eastAsia="zh-CN"/>
              </w:rPr>
              <w:t>4-</w:t>
            </w:r>
            <w:r>
              <w:rPr>
                <w:rFonts w:hint="eastAsia" w:cs="Times New Roman"/>
                <w:b/>
                <w:bCs/>
                <w:caps w:val="0"/>
                <w:smallCaps w:val="0"/>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废气污染物非正常排放情况一览表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482"/>
              <w:gridCol w:w="811"/>
              <w:gridCol w:w="1200"/>
              <w:gridCol w:w="1096"/>
              <w:gridCol w:w="1071"/>
              <w:gridCol w:w="956"/>
            </w:tblGrid>
            <w:tr w14:paraId="475F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dxa"/>
                  <w:shd w:val="clear" w:color="auto" w:fill="auto"/>
                  <w:noWrap w:val="0"/>
                  <w:vAlign w:val="center"/>
                </w:tcPr>
                <w:p w14:paraId="7528972D">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非正常排放源</w:t>
                  </w:r>
                </w:p>
              </w:tc>
              <w:tc>
                <w:tcPr>
                  <w:tcW w:w="1482" w:type="dxa"/>
                  <w:shd w:val="clear" w:color="auto" w:fill="auto"/>
                  <w:noWrap w:val="0"/>
                  <w:vAlign w:val="center"/>
                </w:tcPr>
                <w:p w14:paraId="395C13F1">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非正常排放原因</w:t>
                  </w:r>
                </w:p>
              </w:tc>
              <w:tc>
                <w:tcPr>
                  <w:tcW w:w="811" w:type="dxa"/>
                  <w:shd w:val="clear" w:color="auto" w:fill="auto"/>
                  <w:noWrap w:val="0"/>
                  <w:vAlign w:val="center"/>
                </w:tcPr>
                <w:p w14:paraId="1034CE64">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1200" w:type="dxa"/>
                  <w:shd w:val="clear" w:color="auto" w:fill="auto"/>
                  <w:noWrap w:val="0"/>
                  <w:vAlign w:val="center"/>
                </w:tcPr>
                <w:p w14:paraId="657720EC">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非正常排放速率/kg/h</w:t>
                  </w:r>
                </w:p>
              </w:tc>
              <w:tc>
                <w:tcPr>
                  <w:tcW w:w="1096" w:type="dxa"/>
                  <w:shd w:val="clear" w:color="auto" w:fill="auto"/>
                  <w:noWrap w:val="0"/>
                  <w:vAlign w:val="center"/>
                </w:tcPr>
                <w:p w14:paraId="5C47EFEE">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非正常排放</w:t>
                  </w:r>
                  <w:r>
                    <w:rPr>
                      <w:rFonts w:hint="default" w:ascii="Times New Roman" w:hAnsi="Times New Roman" w:eastAsia="宋体" w:cs="Times New Roman"/>
                      <w:b/>
                      <w:color w:val="auto"/>
                      <w:sz w:val="21"/>
                      <w:szCs w:val="21"/>
                      <w:highlight w:val="none"/>
                      <w:lang w:val="en-US" w:eastAsia="zh-CN"/>
                    </w:rPr>
                    <w:t>浓度/</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p>
              </w:tc>
              <w:tc>
                <w:tcPr>
                  <w:tcW w:w="1071" w:type="dxa"/>
                  <w:shd w:val="clear" w:color="auto" w:fill="auto"/>
                  <w:noWrap w:val="0"/>
                  <w:vAlign w:val="center"/>
                </w:tcPr>
                <w:p w14:paraId="25DE2457">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单次持续时间/h</w:t>
                  </w:r>
                </w:p>
              </w:tc>
              <w:tc>
                <w:tcPr>
                  <w:tcW w:w="956" w:type="dxa"/>
                  <w:shd w:val="clear" w:color="auto" w:fill="auto"/>
                  <w:noWrap w:val="0"/>
                  <w:vAlign w:val="center"/>
                </w:tcPr>
                <w:p w14:paraId="51D6AE9A">
                  <w:pPr>
                    <w:pageBreakBefore w:val="0"/>
                    <w:widowControl w:val="0"/>
                    <w:wordWrap/>
                    <w:topLinePunct w:val="0"/>
                    <w:bidi w:val="0"/>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年发生频次/次</w:t>
                  </w:r>
                </w:p>
              </w:tc>
            </w:tr>
            <w:tr w14:paraId="37CA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dxa"/>
                  <w:shd w:val="clear" w:color="auto" w:fill="auto"/>
                  <w:noWrap w:val="0"/>
                  <w:vAlign w:val="center"/>
                </w:tcPr>
                <w:p w14:paraId="12377D75">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配料、电炉及滚抛粉尘</w:t>
                  </w:r>
                </w:p>
              </w:tc>
              <w:tc>
                <w:tcPr>
                  <w:tcW w:w="1482" w:type="dxa"/>
                  <w:shd w:val="clear" w:color="auto" w:fill="auto"/>
                  <w:noWrap w:val="0"/>
                  <w:vAlign w:val="center"/>
                </w:tcPr>
                <w:p w14:paraId="7425C09B">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0%时</w:t>
                  </w:r>
                </w:p>
              </w:tc>
              <w:tc>
                <w:tcPr>
                  <w:tcW w:w="811" w:type="dxa"/>
                  <w:shd w:val="clear" w:color="auto" w:fill="auto"/>
                  <w:noWrap w:val="0"/>
                  <w:vAlign w:val="center"/>
                </w:tcPr>
                <w:p w14:paraId="7E1E8F5E">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颗粒物</w:t>
                  </w:r>
                </w:p>
              </w:tc>
              <w:tc>
                <w:tcPr>
                  <w:tcW w:w="1200" w:type="dxa"/>
                  <w:shd w:val="clear" w:color="auto" w:fill="auto"/>
                  <w:noWrap w:val="0"/>
                  <w:vAlign w:val="center"/>
                </w:tcPr>
                <w:p w14:paraId="6F80A175">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2.59</w:t>
                  </w:r>
                </w:p>
              </w:tc>
              <w:tc>
                <w:tcPr>
                  <w:tcW w:w="1096" w:type="dxa"/>
                  <w:shd w:val="clear" w:color="auto" w:fill="auto"/>
                  <w:noWrap w:val="0"/>
                  <w:vAlign w:val="center"/>
                </w:tcPr>
                <w:p w14:paraId="271E056B">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215.98</w:t>
                  </w:r>
                </w:p>
              </w:tc>
              <w:tc>
                <w:tcPr>
                  <w:tcW w:w="1071" w:type="dxa"/>
                  <w:shd w:val="clear" w:color="auto" w:fill="auto"/>
                  <w:noWrap w:val="0"/>
                  <w:vAlign w:val="center"/>
                </w:tcPr>
                <w:p w14:paraId="287D4628">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&lt;3</w:t>
                  </w:r>
                </w:p>
              </w:tc>
              <w:tc>
                <w:tcPr>
                  <w:tcW w:w="956" w:type="dxa"/>
                  <w:shd w:val="clear" w:color="auto" w:fill="auto"/>
                  <w:noWrap w:val="0"/>
                  <w:vAlign w:val="center"/>
                </w:tcPr>
                <w:p w14:paraId="2177B51C">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r>
            <w:tr w14:paraId="56A6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dxa"/>
                  <w:shd w:val="clear" w:color="auto" w:fill="auto"/>
                  <w:noWrap w:val="0"/>
                  <w:vAlign w:val="center"/>
                </w:tcPr>
                <w:p w14:paraId="59A8426A">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吸塑投料、破碎粉尘</w:t>
                  </w:r>
                </w:p>
              </w:tc>
              <w:tc>
                <w:tcPr>
                  <w:tcW w:w="1482" w:type="dxa"/>
                  <w:shd w:val="clear" w:color="auto" w:fill="auto"/>
                  <w:noWrap w:val="0"/>
                  <w:vAlign w:val="center"/>
                </w:tcPr>
                <w:p w14:paraId="240F2BDB">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0%时</w:t>
                  </w:r>
                </w:p>
              </w:tc>
              <w:tc>
                <w:tcPr>
                  <w:tcW w:w="811" w:type="dxa"/>
                  <w:shd w:val="clear" w:color="auto" w:fill="auto"/>
                  <w:noWrap w:val="0"/>
                  <w:vAlign w:val="center"/>
                </w:tcPr>
                <w:p w14:paraId="7FACD5A4">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颗粒物</w:t>
                  </w:r>
                </w:p>
              </w:tc>
              <w:tc>
                <w:tcPr>
                  <w:tcW w:w="1200" w:type="dxa"/>
                  <w:shd w:val="clear" w:color="auto" w:fill="auto"/>
                  <w:noWrap w:val="0"/>
                  <w:vAlign w:val="center"/>
                </w:tcPr>
                <w:p w14:paraId="43B08FB6">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1.29</w:t>
                  </w:r>
                </w:p>
              </w:tc>
              <w:tc>
                <w:tcPr>
                  <w:tcW w:w="1096" w:type="dxa"/>
                  <w:shd w:val="clear" w:color="auto" w:fill="auto"/>
                  <w:noWrap w:val="0"/>
                  <w:vAlign w:val="center"/>
                </w:tcPr>
                <w:p w14:paraId="70B8F059">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322.98</w:t>
                  </w:r>
                </w:p>
              </w:tc>
              <w:tc>
                <w:tcPr>
                  <w:tcW w:w="1071" w:type="dxa"/>
                  <w:shd w:val="clear" w:color="auto" w:fill="auto"/>
                  <w:noWrap w:val="0"/>
                  <w:vAlign w:val="center"/>
                </w:tcPr>
                <w:p w14:paraId="66EA87C5">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&lt;3</w:t>
                  </w:r>
                </w:p>
              </w:tc>
              <w:tc>
                <w:tcPr>
                  <w:tcW w:w="956" w:type="dxa"/>
                  <w:shd w:val="clear" w:color="auto" w:fill="auto"/>
                  <w:noWrap w:val="0"/>
                  <w:vAlign w:val="center"/>
                </w:tcPr>
                <w:p w14:paraId="1634F233">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r>
            <w:tr w14:paraId="51E6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dxa"/>
                  <w:shd w:val="clear" w:color="auto" w:fill="auto"/>
                  <w:noWrap w:val="0"/>
                  <w:vAlign w:val="center"/>
                </w:tcPr>
                <w:p w14:paraId="6110E5FD">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吸塑有机废气</w:t>
                  </w:r>
                </w:p>
              </w:tc>
              <w:tc>
                <w:tcPr>
                  <w:tcW w:w="1482" w:type="dxa"/>
                  <w:shd w:val="clear" w:color="auto" w:fill="auto"/>
                  <w:noWrap w:val="0"/>
                  <w:vAlign w:val="center"/>
                </w:tcPr>
                <w:p w14:paraId="02D1148D">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三级活性炭吸附装置</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%时</w:t>
                  </w:r>
                </w:p>
              </w:tc>
              <w:tc>
                <w:tcPr>
                  <w:tcW w:w="811" w:type="dxa"/>
                  <w:shd w:val="clear" w:color="auto" w:fill="auto"/>
                  <w:noWrap w:val="0"/>
                  <w:vAlign w:val="center"/>
                </w:tcPr>
                <w:p w14:paraId="22808F0E">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非甲烷总烃</w:t>
                  </w:r>
                </w:p>
              </w:tc>
              <w:tc>
                <w:tcPr>
                  <w:tcW w:w="1200" w:type="dxa"/>
                  <w:shd w:val="clear" w:color="auto" w:fill="auto"/>
                  <w:noWrap w:val="0"/>
                  <w:vAlign w:val="center"/>
                </w:tcPr>
                <w:p w14:paraId="2C03E203">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52</w:t>
                  </w:r>
                </w:p>
              </w:tc>
              <w:tc>
                <w:tcPr>
                  <w:tcW w:w="1096" w:type="dxa"/>
                  <w:shd w:val="clear" w:color="auto" w:fill="auto"/>
                  <w:noWrap w:val="0"/>
                  <w:vAlign w:val="center"/>
                </w:tcPr>
                <w:p w14:paraId="41D5D0F1">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128.79</w:t>
                  </w:r>
                </w:p>
              </w:tc>
              <w:tc>
                <w:tcPr>
                  <w:tcW w:w="1071" w:type="dxa"/>
                  <w:shd w:val="clear" w:color="auto" w:fill="auto"/>
                  <w:noWrap w:val="0"/>
                  <w:vAlign w:val="center"/>
                </w:tcPr>
                <w:p w14:paraId="1528F4D0">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&lt;3</w:t>
                  </w:r>
                </w:p>
              </w:tc>
              <w:tc>
                <w:tcPr>
                  <w:tcW w:w="956" w:type="dxa"/>
                  <w:shd w:val="clear" w:color="auto" w:fill="auto"/>
                  <w:noWrap w:val="0"/>
                  <w:vAlign w:val="center"/>
                </w:tcPr>
                <w:p w14:paraId="2EDDD2FC">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w:t>
                  </w:r>
                </w:p>
              </w:tc>
            </w:tr>
            <w:tr w14:paraId="15A8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0" w:type="dxa"/>
                  <w:shd w:val="clear" w:color="auto" w:fill="auto"/>
                  <w:noWrap w:val="0"/>
                  <w:vAlign w:val="center"/>
                </w:tcPr>
                <w:p w14:paraId="75932199">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抛轮投料、车圆粉尘</w:t>
                  </w:r>
                </w:p>
              </w:tc>
              <w:tc>
                <w:tcPr>
                  <w:tcW w:w="1482" w:type="dxa"/>
                  <w:shd w:val="clear" w:color="auto" w:fill="auto"/>
                  <w:noWrap w:val="0"/>
                  <w:vAlign w:val="center"/>
                </w:tcPr>
                <w:p w14:paraId="1E8F02D2">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rPr>
                    <w:t>处理效率为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0%时</w:t>
                  </w:r>
                </w:p>
              </w:tc>
              <w:tc>
                <w:tcPr>
                  <w:tcW w:w="811" w:type="dxa"/>
                  <w:shd w:val="clear" w:color="auto" w:fill="auto"/>
                  <w:noWrap w:val="0"/>
                  <w:vAlign w:val="center"/>
                </w:tcPr>
                <w:p w14:paraId="331796C4">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颗粒物</w:t>
                  </w:r>
                </w:p>
              </w:tc>
              <w:tc>
                <w:tcPr>
                  <w:tcW w:w="1200" w:type="dxa"/>
                  <w:shd w:val="clear" w:color="auto" w:fill="auto"/>
                  <w:noWrap w:val="0"/>
                  <w:vAlign w:val="center"/>
                </w:tcPr>
                <w:p w14:paraId="437DD04A">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0.031</w:t>
                  </w:r>
                </w:p>
              </w:tc>
              <w:tc>
                <w:tcPr>
                  <w:tcW w:w="1096" w:type="dxa"/>
                  <w:shd w:val="clear" w:color="auto" w:fill="auto"/>
                  <w:noWrap w:val="0"/>
                  <w:vAlign w:val="center"/>
                </w:tcPr>
                <w:p w14:paraId="496AD03A">
                  <w:pPr>
                    <w:pageBreakBefore w:val="0"/>
                    <w:widowControl w:val="0"/>
                    <w:wordWrap/>
                    <w:topLinePunct w:val="0"/>
                    <w:bidi w:val="0"/>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15.53</w:t>
                  </w:r>
                </w:p>
              </w:tc>
              <w:tc>
                <w:tcPr>
                  <w:tcW w:w="1071" w:type="dxa"/>
                  <w:shd w:val="clear" w:color="auto" w:fill="auto"/>
                  <w:noWrap w:val="0"/>
                  <w:vAlign w:val="center"/>
                </w:tcPr>
                <w:p w14:paraId="0275806F">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&lt;3</w:t>
                  </w:r>
                </w:p>
              </w:tc>
              <w:tc>
                <w:tcPr>
                  <w:tcW w:w="956" w:type="dxa"/>
                  <w:shd w:val="clear" w:color="auto" w:fill="auto"/>
                  <w:noWrap w:val="0"/>
                  <w:vAlign w:val="center"/>
                </w:tcPr>
                <w:p w14:paraId="47FB523C">
                  <w:pPr>
                    <w:pageBreakBefore w:val="0"/>
                    <w:widowControl w:val="0"/>
                    <w:wordWrap/>
                    <w:topLinePunct w:val="0"/>
                    <w:bidi w:val="0"/>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r>
          </w:tbl>
          <w:p w14:paraId="22090E4D">
            <w:pPr>
              <w:keepNext w:val="0"/>
              <w:keepLines w:val="0"/>
              <w:pageBreakBefore w:val="0"/>
              <w:widowControl w:val="0"/>
              <w:kinsoku/>
              <w:wordWrap/>
              <w:overflowPunct/>
              <w:topLinePunct/>
              <w:autoSpaceDE w:val="0"/>
              <w:autoSpaceDN/>
              <w:bidi w:val="0"/>
              <w:adjustRightInd w:val="0"/>
              <w:snapToGrid w:val="0"/>
              <w:spacing w:line="360" w:lineRule="auto"/>
              <w:ind w:right="0"/>
              <w:textAlignment w:val="auto"/>
              <w:rPr>
                <w:rFonts w:hint="default" w:ascii="Times New Roman" w:hAnsi="Times New Roman" w:eastAsia="宋体" w:cs="Times New Roman"/>
                <w:b/>
                <w:bCs w:val="0"/>
                <w:strike w:val="0"/>
                <w:dstrike w:val="0"/>
                <w:color w:val="auto"/>
                <w:spacing w:val="-10"/>
                <w:sz w:val="24"/>
                <w:szCs w:val="24"/>
                <w:highlight w:val="none"/>
                <w:lang w:eastAsia="zh-CN"/>
              </w:rPr>
            </w:pPr>
            <w:r>
              <w:rPr>
                <w:rFonts w:hint="default" w:ascii="Times New Roman" w:hAnsi="Times New Roman" w:eastAsia="宋体" w:cs="Times New Roman"/>
                <w:b/>
                <w:bCs w:val="0"/>
                <w:strike w:val="0"/>
                <w:dstrike w:val="0"/>
                <w:color w:val="auto"/>
                <w:spacing w:val="-10"/>
                <w:sz w:val="24"/>
                <w:szCs w:val="24"/>
                <w:highlight w:val="none"/>
                <w:lang w:val="en-US" w:eastAsia="zh-CN"/>
              </w:rPr>
              <w:t>5.</w:t>
            </w:r>
            <w:r>
              <w:rPr>
                <w:rFonts w:hint="default" w:ascii="Times New Roman" w:hAnsi="Times New Roman" w:eastAsia="宋体" w:cs="Times New Roman"/>
                <w:b/>
                <w:bCs w:val="0"/>
                <w:strike w:val="0"/>
                <w:dstrike w:val="0"/>
                <w:color w:val="auto"/>
                <w:spacing w:val="-10"/>
                <w:sz w:val="24"/>
                <w:szCs w:val="24"/>
                <w:highlight w:val="none"/>
                <w:lang w:eastAsia="zh-CN"/>
              </w:rPr>
              <w:t>废气污染治理设施技术可行性分析</w:t>
            </w:r>
          </w:p>
          <w:p w14:paraId="7F4DEFAE">
            <w:pPr>
              <w:keepNext w:val="0"/>
              <w:keepLines w:val="0"/>
              <w:pageBreakBefore w:val="0"/>
              <w:widowControl w:val="0"/>
              <w:kinsoku/>
              <w:wordWrap/>
              <w:overflowPunct/>
              <w:topLinePunct/>
              <w:autoSpaceDE w:val="0"/>
              <w:autoSpaceDN/>
              <w:bidi w:val="0"/>
              <w:adjustRightInd/>
              <w:snapToGrid/>
              <w:spacing w:line="360" w:lineRule="auto"/>
              <w:ind w:left="0" w:right="0" w:firstLine="442"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val="0"/>
                <w:strike w:val="0"/>
                <w:dstrike w:val="0"/>
                <w:color w:val="auto"/>
                <w:spacing w:val="-10"/>
                <w:sz w:val="24"/>
                <w:szCs w:val="24"/>
                <w:highlight w:val="none"/>
                <w:lang w:val="en-US" w:eastAsia="zh-CN"/>
              </w:rPr>
              <w:t>（1）</w:t>
            </w:r>
            <w:r>
              <w:rPr>
                <w:rFonts w:hint="default" w:ascii="Times New Roman" w:hAnsi="Times New Roman" w:eastAsia="宋体" w:cs="Times New Roman"/>
                <w:b/>
                <w:bCs/>
                <w:strike w:val="0"/>
                <w:dstrike w:val="0"/>
                <w:color w:val="auto"/>
                <w:spacing w:val="-4"/>
                <w:sz w:val="24"/>
                <w:szCs w:val="24"/>
                <w:highlight w:val="none"/>
              </w:rPr>
              <w:t>活性炭装置分析</w:t>
            </w:r>
          </w:p>
          <w:p w14:paraId="7E9E0C7A">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4"/>
                <w:sz w:val="24"/>
                <w:szCs w:val="24"/>
                <w:highlight w:val="none"/>
              </w:rPr>
              <w:t>活性炭吸附装置是利用活性炭作为吸附介质，其作用原理为利用微孔活性物</w:t>
            </w:r>
            <w:r>
              <w:rPr>
                <w:rFonts w:hint="default" w:ascii="Times New Roman" w:hAnsi="Times New Roman" w:eastAsia="宋体" w:cs="Times New Roman"/>
                <w:strike w:val="0"/>
                <w:dstrike w:val="0"/>
                <w:color w:val="auto"/>
                <w:spacing w:val="-3"/>
                <w:sz w:val="24"/>
                <w:szCs w:val="24"/>
                <w:highlight w:val="none"/>
              </w:rPr>
              <w:t>质对溶剂分子或分子团的吸附力，当废气通</w:t>
            </w:r>
            <w:r>
              <w:rPr>
                <w:rFonts w:hint="default" w:ascii="Times New Roman" w:hAnsi="Times New Roman" w:eastAsia="宋体" w:cs="Times New Roman"/>
                <w:strike w:val="0"/>
                <w:dstrike w:val="0"/>
                <w:color w:val="auto"/>
                <w:spacing w:val="-4"/>
                <w:sz w:val="24"/>
                <w:szCs w:val="24"/>
                <w:highlight w:val="none"/>
              </w:rPr>
              <w:t>过吸附介质时，其中的有机废气污染</w:t>
            </w:r>
            <w:r>
              <w:rPr>
                <w:rFonts w:hint="default" w:ascii="Times New Roman" w:hAnsi="Times New Roman" w:eastAsia="宋体" w:cs="Times New Roman"/>
                <w:strike w:val="0"/>
                <w:dstrike w:val="0"/>
                <w:color w:val="auto"/>
                <w:spacing w:val="-1"/>
                <w:sz w:val="24"/>
                <w:szCs w:val="24"/>
                <w:highlight w:val="none"/>
              </w:rPr>
              <w:t>物即被阻留下来，从而使得有机废气得到净化处理后排入大气。</w:t>
            </w:r>
          </w:p>
          <w:p w14:paraId="68BA6B2B">
            <w:pPr>
              <w:keepNext w:val="0"/>
              <w:keepLines w:val="0"/>
              <w:pageBreakBefore w:val="0"/>
              <w:widowControl w:val="0"/>
              <w:kinsoku/>
              <w:wordWrap/>
              <w:overflowPunct/>
              <w:topLinePunct/>
              <w:autoSpaceDE w:val="0"/>
              <w:autoSpaceDN/>
              <w:bidi w:val="0"/>
              <w:adjustRightInd/>
              <w:snapToGrid/>
              <w:spacing w:line="360" w:lineRule="auto"/>
              <w:ind w:left="0" w:right="0" w:firstLine="484"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1"/>
                <w:sz w:val="24"/>
                <w:szCs w:val="24"/>
                <w:highlight w:val="none"/>
              </w:rPr>
              <w:t>活性</w:t>
            </w:r>
            <w:r>
              <w:rPr>
                <w:rFonts w:hint="default" w:ascii="Times New Roman" w:hAnsi="Times New Roman" w:eastAsia="宋体" w:cs="Times New Roman"/>
                <w:strike w:val="0"/>
                <w:dstrike w:val="0"/>
                <w:color w:val="auto"/>
                <w:spacing w:val="-4"/>
                <w:sz w:val="24"/>
                <w:szCs w:val="24"/>
                <w:highlight w:val="none"/>
              </w:rPr>
              <w:t>炭吸附法一直被认为是比较成熟可靠的技术，活性炭是一种由含碳材料</w:t>
            </w:r>
            <w:r>
              <w:rPr>
                <w:rFonts w:hint="default" w:ascii="Times New Roman" w:hAnsi="Times New Roman" w:eastAsia="宋体" w:cs="Times New Roman"/>
                <w:strike w:val="0"/>
                <w:dstrike w:val="0"/>
                <w:color w:val="auto"/>
                <w:spacing w:val="-3"/>
                <w:sz w:val="24"/>
                <w:szCs w:val="24"/>
                <w:highlight w:val="none"/>
              </w:rPr>
              <w:t>制成的外观呈黑色，内部孔隙结构发达，比</w:t>
            </w:r>
            <w:r>
              <w:rPr>
                <w:rFonts w:hint="default" w:ascii="Times New Roman" w:hAnsi="Times New Roman" w:eastAsia="宋体" w:cs="Times New Roman"/>
                <w:strike w:val="0"/>
                <w:dstrike w:val="0"/>
                <w:color w:val="auto"/>
                <w:spacing w:val="-4"/>
                <w:sz w:val="24"/>
                <w:szCs w:val="24"/>
                <w:highlight w:val="none"/>
              </w:rPr>
              <w:t>表面积大，吸附能力强的一类微晶质</w:t>
            </w:r>
            <w:r>
              <w:rPr>
                <w:rFonts w:hint="default" w:ascii="Times New Roman" w:hAnsi="Times New Roman" w:eastAsia="宋体" w:cs="Times New Roman"/>
                <w:strike w:val="0"/>
                <w:dstrike w:val="0"/>
                <w:color w:val="auto"/>
                <w:spacing w:val="-3"/>
                <w:sz w:val="24"/>
                <w:szCs w:val="24"/>
                <w:highlight w:val="none"/>
              </w:rPr>
              <w:t>碳素材料。有机废气净化采用活性炭吸附处</w:t>
            </w:r>
            <w:r>
              <w:rPr>
                <w:rFonts w:hint="default" w:ascii="Times New Roman" w:hAnsi="Times New Roman" w:eastAsia="宋体" w:cs="Times New Roman"/>
                <w:strike w:val="0"/>
                <w:dstrike w:val="0"/>
                <w:color w:val="auto"/>
                <w:spacing w:val="-4"/>
                <w:sz w:val="24"/>
                <w:szCs w:val="24"/>
                <w:highlight w:val="none"/>
              </w:rPr>
              <w:t>理，是国内最为有效的方法。吸附作用是一种界面现象。所谓吸附，是当两相存在时，在相与相的界面附近的浓度与</w:t>
            </w:r>
            <w:r>
              <w:rPr>
                <w:rFonts w:hint="default" w:ascii="Times New Roman" w:hAnsi="Times New Roman" w:eastAsia="宋体" w:cs="Times New Roman"/>
                <w:strike w:val="0"/>
                <w:dstrike w:val="0"/>
                <w:color w:val="auto"/>
                <w:spacing w:val="-3"/>
                <w:sz w:val="24"/>
                <w:szCs w:val="24"/>
                <w:highlight w:val="none"/>
              </w:rPr>
              <w:t>相内部不一样的现象，吸附的物质称作吸附剂或</w:t>
            </w:r>
            <w:r>
              <w:rPr>
                <w:rFonts w:hint="default" w:ascii="Times New Roman" w:hAnsi="Times New Roman" w:eastAsia="宋体" w:cs="Times New Roman"/>
                <w:strike w:val="0"/>
                <w:dstrike w:val="0"/>
                <w:color w:val="auto"/>
                <w:spacing w:val="-4"/>
                <w:sz w:val="24"/>
                <w:szCs w:val="24"/>
                <w:highlight w:val="none"/>
              </w:rPr>
              <w:t>吸附载体。活性炭的吸附是用活</w:t>
            </w:r>
            <w:r>
              <w:rPr>
                <w:rFonts w:hint="default" w:ascii="Times New Roman" w:hAnsi="Times New Roman" w:eastAsia="宋体" w:cs="Times New Roman"/>
                <w:strike w:val="0"/>
                <w:dstrike w:val="0"/>
                <w:color w:val="auto"/>
                <w:spacing w:val="-3"/>
                <w:sz w:val="24"/>
                <w:szCs w:val="24"/>
                <w:highlight w:val="none"/>
              </w:rPr>
              <w:t>性炭作为吸附载体的吸附。吸附的作用力是吸附</w:t>
            </w:r>
            <w:r>
              <w:rPr>
                <w:rFonts w:hint="default" w:ascii="Times New Roman" w:hAnsi="Times New Roman" w:eastAsia="宋体" w:cs="Times New Roman"/>
                <w:strike w:val="0"/>
                <w:dstrike w:val="0"/>
                <w:color w:val="auto"/>
                <w:spacing w:val="-4"/>
                <w:sz w:val="24"/>
                <w:szCs w:val="24"/>
                <w:highlight w:val="none"/>
              </w:rPr>
              <w:t>载体与吸附质（有机废气）之间</w:t>
            </w:r>
            <w:r>
              <w:rPr>
                <w:rFonts w:hint="default" w:ascii="Times New Roman" w:hAnsi="Times New Roman" w:eastAsia="宋体" w:cs="Times New Roman"/>
                <w:strike w:val="0"/>
                <w:dstrike w:val="0"/>
                <w:color w:val="auto"/>
                <w:spacing w:val="-3"/>
                <w:sz w:val="24"/>
                <w:szCs w:val="24"/>
                <w:highlight w:val="none"/>
              </w:rPr>
              <w:t>在能量方面的相互作用，承担这种相互作用的是</w:t>
            </w:r>
            <w:r>
              <w:rPr>
                <w:rFonts w:hint="default" w:ascii="Times New Roman" w:hAnsi="Times New Roman" w:eastAsia="宋体" w:cs="Times New Roman"/>
                <w:strike w:val="0"/>
                <w:dstrike w:val="0"/>
                <w:color w:val="auto"/>
                <w:spacing w:val="-4"/>
                <w:sz w:val="24"/>
                <w:szCs w:val="24"/>
                <w:highlight w:val="none"/>
              </w:rPr>
              <w:t>电子。吸附载体表面上的原子与</w:t>
            </w:r>
            <w:r>
              <w:rPr>
                <w:rFonts w:hint="default" w:ascii="Times New Roman" w:hAnsi="Times New Roman" w:eastAsia="宋体" w:cs="Times New Roman"/>
                <w:strike w:val="0"/>
                <w:dstrike w:val="0"/>
                <w:color w:val="auto"/>
                <w:spacing w:val="-3"/>
                <w:sz w:val="24"/>
                <w:szCs w:val="24"/>
                <w:highlight w:val="none"/>
              </w:rPr>
              <w:t>吸附质（有机废气）分子互相接近时，即使是无</w:t>
            </w:r>
            <w:r>
              <w:rPr>
                <w:rFonts w:hint="default" w:ascii="Times New Roman" w:hAnsi="Times New Roman" w:eastAsia="宋体" w:cs="Times New Roman"/>
                <w:strike w:val="0"/>
                <w:dstrike w:val="0"/>
                <w:color w:val="auto"/>
                <w:spacing w:val="-4"/>
                <w:sz w:val="24"/>
                <w:szCs w:val="24"/>
                <w:highlight w:val="none"/>
              </w:rPr>
              <w:t>极性，也会瞬时性地</w:t>
            </w:r>
            <w:r>
              <w:rPr>
                <w:rFonts w:hint="default" w:ascii="Times New Roman" w:hAnsi="Times New Roman" w:eastAsia="宋体" w:cs="Times New Roman"/>
                <w:strike w:val="0"/>
                <w:dstrike w:val="0"/>
                <w:color w:val="auto"/>
                <w:spacing w:val="-4"/>
                <w:sz w:val="24"/>
                <w:szCs w:val="24"/>
                <w:highlight w:val="none"/>
                <w:lang w:eastAsia="zh-CN"/>
              </w:rPr>
              <w:t>造成</w:t>
            </w:r>
            <w:r>
              <w:rPr>
                <w:rFonts w:hint="default" w:ascii="Times New Roman" w:hAnsi="Times New Roman" w:eastAsia="宋体" w:cs="Times New Roman"/>
                <w:strike w:val="0"/>
                <w:dstrike w:val="0"/>
                <w:color w:val="auto"/>
                <w:spacing w:val="-4"/>
                <w:sz w:val="24"/>
                <w:szCs w:val="24"/>
                <w:highlight w:val="none"/>
              </w:rPr>
              <w:t>电子分布</w:t>
            </w:r>
            <w:r>
              <w:rPr>
                <w:rFonts w:hint="default" w:ascii="Times New Roman" w:hAnsi="Times New Roman" w:eastAsia="宋体" w:cs="Times New Roman"/>
                <w:strike w:val="0"/>
                <w:dstrike w:val="0"/>
                <w:color w:val="auto"/>
                <w:spacing w:val="-3"/>
                <w:sz w:val="24"/>
                <w:szCs w:val="24"/>
                <w:highlight w:val="none"/>
              </w:rPr>
              <w:t>的不对称而形成电极，并诱导与其相对应的原子</w:t>
            </w:r>
            <w:r>
              <w:rPr>
                <w:rFonts w:hint="default" w:ascii="Times New Roman" w:hAnsi="Times New Roman" w:eastAsia="宋体" w:cs="Times New Roman"/>
                <w:strike w:val="0"/>
                <w:dstrike w:val="0"/>
                <w:color w:val="auto"/>
                <w:spacing w:val="-4"/>
                <w:sz w:val="24"/>
                <w:szCs w:val="24"/>
                <w:highlight w:val="none"/>
              </w:rPr>
              <w:t>或分子产生分电极。在这两个分</w:t>
            </w:r>
            <w:r>
              <w:rPr>
                <w:rFonts w:hint="default" w:ascii="Times New Roman" w:hAnsi="Times New Roman" w:eastAsia="宋体" w:cs="Times New Roman"/>
                <w:strike w:val="0"/>
                <w:dstrike w:val="0"/>
                <w:color w:val="auto"/>
                <w:spacing w:val="-3"/>
                <w:sz w:val="24"/>
                <w:szCs w:val="24"/>
                <w:highlight w:val="none"/>
              </w:rPr>
              <w:t>电极之间，便产生微弱的静电相互作用力。活性</w:t>
            </w:r>
            <w:r>
              <w:rPr>
                <w:rFonts w:hint="default" w:ascii="Times New Roman" w:hAnsi="Times New Roman" w:eastAsia="宋体" w:cs="Times New Roman"/>
                <w:strike w:val="0"/>
                <w:dstrike w:val="0"/>
                <w:color w:val="auto"/>
                <w:spacing w:val="-4"/>
                <w:sz w:val="24"/>
                <w:szCs w:val="24"/>
                <w:highlight w:val="none"/>
              </w:rPr>
              <w:t>炭也能通过使用氧化剂，还原剂</w:t>
            </w:r>
            <w:r>
              <w:rPr>
                <w:rFonts w:hint="default" w:ascii="Times New Roman" w:hAnsi="Times New Roman" w:eastAsia="宋体" w:cs="Times New Roman"/>
                <w:strike w:val="0"/>
                <w:dstrike w:val="0"/>
                <w:color w:val="auto"/>
                <w:spacing w:val="-3"/>
                <w:sz w:val="24"/>
                <w:szCs w:val="24"/>
                <w:highlight w:val="none"/>
              </w:rPr>
              <w:t>进行处理，让表面官能团发生变化，此时，比表</w:t>
            </w:r>
            <w:r>
              <w:rPr>
                <w:rFonts w:hint="default" w:ascii="Times New Roman" w:hAnsi="Times New Roman" w:eastAsia="宋体" w:cs="Times New Roman"/>
                <w:strike w:val="0"/>
                <w:dstrike w:val="0"/>
                <w:color w:val="auto"/>
                <w:spacing w:val="-4"/>
                <w:sz w:val="24"/>
                <w:szCs w:val="24"/>
                <w:highlight w:val="none"/>
              </w:rPr>
              <w:t>面积及孔径也将发生变化。由于</w:t>
            </w:r>
            <w:r>
              <w:rPr>
                <w:rFonts w:hint="default" w:ascii="Times New Roman" w:hAnsi="Times New Roman" w:eastAsia="宋体" w:cs="Times New Roman"/>
                <w:strike w:val="0"/>
                <w:dstrike w:val="0"/>
                <w:color w:val="auto"/>
                <w:spacing w:val="-2"/>
                <w:sz w:val="24"/>
                <w:szCs w:val="24"/>
                <w:highlight w:val="none"/>
              </w:rPr>
              <w:t>活性炭是比较非极性的物质，对有机废气具有很强的亲和性；即使有</w:t>
            </w:r>
            <w:r>
              <w:rPr>
                <w:rFonts w:hint="default" w:ascii="Times New Roman" w:hAnsi="Times New Roman" w:eastAsia="宋体" w:cs="Times New Roman"/>
                <w:strike w:val="0"/>
                <w:dstrike w:val="0"/>
                <w:color w:val="auto"/>
                <w:spacing w:val="-2"/>
                <w:sz w:val="24"/>
                <w:szCs w:val="24"/>
                <w:highlight w:val="none"/>
                <w:lang w:eastAsia="zh-CN"/>
              </w:rPr>
              <w:t>水分</w:t>
            </w:r>
            <w:r>
              <w:rPr>
                <w:rFonts w:hint="default" w:ascii="Times New Roman" w:hAnsi="Times New Roman" w:eastAsia="宋体" w:cs="Times New Roman"/>
                <w:strike w:val="0"/>
                <w:dstrike w:val="0"/>
                <w:color w:val="auto"/>
                <w:spacing w:val="-2"/>
                <w:sz w:val="24"/>
                <w:szCs w:val="24"/>
                <w:highlight w:val="none"/>
              </w:rPr>
              <w:t>存在，</w:t>
            </w:r>
            <w:r>
              <w:rPr>
                <w:rFonts w:hint="default" w:ascii="Times New Roman" w:hAnsi="Times New Roman" w:eastAsia="宋体" w:cs="Times New Roman"/>
                <w:strike w:val="0"/>
                <w:dstrike w:val="0"/>
                <w:color w:val="auto"/>
                <w:spacing w:val="-3"/>
                <w:sz w:val="24"/>
                <w:szCs w:val="24"/>
                <w:highlight w:val="none"/>
              </w:rPr>
              <w:t>吸附性能下降的也不大。活性炭的吸附性能由</w:t>
            </w:r>
            <w:r>
              <w:rPr>
                <w:rFonts w:hint="default" w:ascii="Times New Roman" w:hAnsi="Times New Roman" w:eastAsia="宋体" w:cs="Times New Roman"/>
                <w:strike w:val="0"/>
                <w:dstrike w:val="0"/>
                <w:color w:val="auto"/>
                <w:spacing w:val="-3"/>
                <w:sz w:val="24"/>
                <w:szCs w:val="24"/>
                <w:highlight w:val="none"/>
                <w:lang w:eastAsia="zh-CN"/>
              </w:rPr>
              <w:t>孔隙</w:t>
            </w:r>
            <w:r>
              <w:rPr>
                <w:rFonts w:hint="default" w:ascii="Times New Roman" w:hAnsi="Times New Roman" w:eastAsia="宋体" w:cs="Times New Roman"/>
                <w:strike w:val="0"/>
                <w:dstrike w:val="0"/>
                <w:color w:val="auto"/>
                <w:spacing w:val="-4"/>
                <w:sz w:val="24"/>
                <w:szCs w:val="24"/>
                <w:highlight w:val="none"/>
              </w:rPr>
              <w:t>大小与比表面积决定，</w:t>
            </w:r>
            <w:r>
              <w:rPr>
                <w:rFonts w:hint="default" w:ascii="Times New Roman" w:hAnsi="Times New Roman" w:eastAsia="宋体" w:cs="Times New Roman"/>
                <w:strike w:val="0"/>
                <w:dstrike w:val="0"/>
                <w:color w:val="auto"/>
                <w:spacing w:val="-4"/>
                <w:sz w:val="24"/>
                <w:szCs w:val="24"/>
                <w:highlight w:val="none"/>
                <w:lang w:eastAsia="zh-CN"/>
              </w:rPr>
              <w:t>孔隙</w:t>
            </w:r>
            <w:r>
              <w:rPr>
                <w:rFonts w:hint="default" w:ascii="Times New Roman" w:hAnsi="Times New Roman" w:eastAsia="宋体" w:cs="Times New Roman"/>
                <w:strike w:val="0"/>
                <w:dstrike w:val="0"/>
                <w:color w:val="auto"/>
                <w:spacing w:val="-4"/>
                <w:sz w:val="24"/>
                <w:szCs w:val="24"/>
                <w:highlight w:val="none"/>
              </w:rPr>
              <w:t>的</w:t>
            </w:r>
            <w:r>
              <w:rPr>
                <w:rFonts w:hint="default" w:ascii="Times New Roman" w:hAnsi="Times New Roman" w:eastAsia="宋体" w:cs="Times New Roman"/>
                <w:strike w:val="0"/>
                <w:dstrike w:val="0"/>
                <w:color w:val="auto"/>
                <w:spacing w:val="-3"/>
                <w:sz w:val="24"/>
                <w:szCs w:val="24"/>
                <w:highlight w:val="none"/>
              </w:rPr>
              <w:t>大小决定对吸附质的选择性，而比表面积的大小</w:t>
            </w:r>
            <w:r>
              <w:rPr>
                <w:rFonts w:hint="default" w:ascii="Times New Roman" w:hAnsi="Times New Roman" w:eastAsia="宋体" w:cs="Times New Roman"/>
                <w:strike w:val="0"/>
                <w:dstrike w:val="0"/>
                <w:color w:val="auto"/>
                <w:spacing w:val="-4"/>
                <w:sz w:val="24"/>
                <w:szCs w:val="24"/>
                <w:highlight w:val="none"/>
              </w:rPr>
              <w:t>则决定了吸附容量。活性炭的特</w:t>
            </w:r>
            <w:r>
              <w:rPr>
                <w:rFonts w:hint="default" w:ascii="Times New Roman" w:hAnsi="Times New Roman" w:eastAsia="宋体" w:cs="Times New Roman"/>
                <w:strike w:val="0"/>
                <w:dstrike w:val="0"/>
                <w:color w:val="auto"/>
                <w:spacing w:val="-1"/>
                <w:sz w:val="24"/>
                <w:szCs w:val="24"/>
                <w:highlight w:val="none"/>
              </w:rPr>
              <w:t>点是比表面积及比孔容积大，单位重量的吸附量也大。</w:t>
            </w:r>
          </w:p>
          <w:p w14:paraId="5D33DB30">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b w:val="0"/>
                <w:bCs w:val="0"/>
                <w:strike w:val="0"/>
                <w:dstrike w:val="0"/>
                <w:color w:val="auto"/>
                <w:sz w:val="24"/>
                <w:szCs w:val="24"/>
                <w:highlight w:val="none"/>
              </w:rPr>
            </w:pPr>
            <w:r>
              <w:rPr>
                <w:rFonts w:hint="default" w:ascii="Times New Roman" w:hAnsi="Times New Roman" w:eastAsia="宋体" w:cs="Times New Roman"/>
                <w:b/>
                <w:bCs/>
                <w:strike w:val="0"/>
                <w:dstrike w:val="0"/>
                <w:color w:val="auto"/>
                <w:sz w:val="24"/>
                <w:szCs w:val="24"/>
                <w:highlight w:val="none"/>
                <w:lang w:val="en-US" w:eastAsia="zh-CN"/>
              </w:rPr>
              <w:t>活性炭吸附</w:t>
            </w:r>
            <w:r>
              <w:rPr>
                <w:rFonts w:hint="default" w:ascii="Times New Roman" w:hAnsi="Times New Roman" w:eastAsia="宋体" w:cs="Times New Roman"/>
                <w:b/>
                <w:bCs/>
                <w:strike w:val="0"/>
                <w:dstrike w:val="0"/>
                <w:color w:val="auto"/>
                <w:sz w:val="24"/>
                <w:szCs w:val="24"/>
                <w:highlight w:val="none"/>
              </w:rPr>
              <w:t>效率：</w:t>
            </w:r>
            <w:r>
              <w:rPr>
                <w:rFonts w:hint="default" w:ascii="Times New Roman" w:hAnsi="Times New Roman" w:eastAsia="宋体" w:cs="Times New Roman"/>
                <w:b w:val="0"/>
                <w:bCs w:val="0"/>
                <w:strike w:val="0"/>
                <w:dstrike w:val="0"/>
                <w:color w:val="auto"/>
                <w:sz w:val="24"/>
                <w:szCs w:val="24"/>
                <w:highlight w:val="none"/>
              </w:rPr>
              <w:t>活性炭是一种具有非极性表面、疏水性、亲有机物的吸附剂。所以活性炭常常被用来吸附回收空气中的有机溶剂和恶臭物质，它可以根据需要制成不同性状和粒度，如粉末活性炭、颗粒活性炭及柱状活性炭、纤维活性炭。活性炭是由各种含碳物质（如木材、泥煤、果核、椰壳等原料）在高温下炭化后，再用水蒸气或化学药品（如氯化锌、氯化锰、氯化钙和磷酸等）进行活化处理，然后制成的孔隙十分丰富的吸附剂，其孔径平均为（10～40）×10</w:t>
            </w:r>
            <w:r>
              <w:rPr>
                <w:rFonts w:hint="default" w:ascii="Times New Roman" w:hAnsi="Times New Roman" w:eastAsia="宋体" w:cs="Times New Roman"/>
                <w:b w:val="0"/>
                <w:bCs w:val="0"/>
                <w:strike w:val="0"/>
                <w:dstrike w:val="0"/>
                <w:color w:val="auto"/>
                <w:sz w:val="24"/>
                <w:szCs w:val="24"/>
                <w:highlight w:val="none"/>
                <w:lang w:eastAsia="zh-CN"/>
              </w:rPr>
              <w:t>—</w:t>
            </w:r>
            <w:r>
              <w:rPr>
                <w:rFonts w:hint="default" w:ascii="Times New Roman" w:hAnsi="Times New Roman" w:eastAsia="宋体" w:cs="Times New Roman"/>
                <w:b w:val="0"/>
                <w:bCs w:val="0"/>
                <w:strike w:val="0"/>
                <w:dstrike w:val="0"/>
                <w:color w:val="auto"/>
                <w:sz w:val="24"/>
                <w:szCs w:val="24"/>
                <w:highlight w:val="none"/>
                <w:vertAlign w:val="superscript"/>
              </w:rPr>
              <w:t>10</w:t>
            </w:r>
            <w:r>
              <w:rPr>
                <w:rFonts w:hint="default" w:ascii="Times New Roman" w:hAnsi="Times New Roman" w:eastAsia="宋体" w:cs="Times New Roman"/>
                <w:b w:val="0"/>
                <w:bCs w:val="0"/>
                <w:strike w:val="0"/>
                <w:dstrike w:val="0"/>
                <w:color w:val="auto"/>
                <w:sz w:val="24"/>
                <w:szCs w:val="24"/>
                <w:highlight w:val="none"/>
              </w:rPr>
              <w:t>cm，比表面积一般在600～1500m²/g范围内，具有优良的吸附能力。</w:t>
            </w:r>
          </w:p>
          <w:p w14:paraId="15F0E86E">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strike w:val="0"/>
                <w:dstrike w:val="0"/>
                <w:color w:val="auto"/>
                <w:w w:val="100"/>
                <w:sz w:val="24"/>
                <w:szCs w:val="24"/>
                <w:highlight w:val="none"/>
                <w:lang w:val="en-US" w:eastAsia="zh-CN" w:bidi="ar-SA"/>
              </w:rPr>
              <w:t>活性炭碘值要求：</w:t>
            </w:r>
            <w:r>
              <w:rPr>
                <w:rFonts w:hint="default" w:ascii="Times New Roman" w:hAnsi="Times New Roman" w:eastAsia="宋体" w:cs="Times New Roman"/>
                <w:strike w:val="0"/>
                <w:dstrike w:val="0"/>
                <w:color w:val="auto"/>
                <w:w w:val="100"/>
                <w:sz w:val="24"/>
                <w:szCs w:val="24"/>
                <w:highlight w:val="none"/>
                <w:lang w:val="en-US" w:eastAsia="zh-CN" w:bidi="ar-SA"/>
              </w:rPr>
              <w:t>企业购买的颗粒活性炭需要碘吸附值≥800mg/g，比表面积≥850m</w:t>
            </w:r>
            <w:r>
              <w:rPr>
                <w:rFonts w:hint="default" w:ascii="Times New Roman" w:hAnsi="Times New Roman" w:eastAsia="宋体" w:cs="Times New Roman"/>
                <w:strike w:val="0"/>
                <w:dstrike w:val="0"/>
                <w:color w:val="auto"/>
                <w:w w:val="100"/>
                <w:sz w:val="24"/>
                <w:szCs w:val="24"/>
                <w:highlight w:val="none"/>
                <w:vertAlign w:val="superscript"/>
                <w:lang w:val="en-US" w:eastAsia="zh-CN" w:bidi="ar-SA"/>
              </w:rPr>
              <w:t>2</w:t>
            </w:r>
            <w:r>
              <w:rPr>
                <w:rFonts w:hint="default" w:ascii="Times New Roman" w:hAnsi="Times New Roman" w:eastAsia="宋体" w:cs="Times New Roman"/>
                <w:strike w:val="0"/>
                <w:dstrike w:val="0"/>
                <w:color w:val="auto"/>
                <w:w w:val="100"/>
                <w:sz w:val="24"/>
                <w:szCs w:val="24"/>
                <w:highlight w:val="none"/>
                <w:lang w:val="en-US" w:eastAsia="zh-CN" w:bidi="ar-SA"/>
              </w:rPr>
              <w:t>/g；蜂窝活性炭横向抗压强度应不低于0.9MPa，纵向强度应不低于0.4MPa，碘吸附值≥650mg/g，比表面积≥750m</w:t>
            </w:r>
            <w:r>
              <w:rPr>
                <w:rFonts w:hint="default" w:ascii="Times New Roman" w:hAnsi="Times New Roman" w:eastAsia="宋体" w:cs="Times New Roman"/>
                <w:strike w:val="0"/>
                <w:dstrike w:val="0"/>
                <w:color w:val="auto"/>
                <w:w w:val="100"/>
                <w:sz w:val="24"/>
                <w:szCs w:val="24"/>
                <w:highlight w:val="none"/>
                <w:vertAlign w:val="superscript"/>
                <w:lang w:val="en-US" w:eastAsia="zh-CN" w:bidi="ar-SA"/>
              </w:rPr>
              <w:t>2</w:t>
            </w:r>
            <w:r>
              <w:rPr>
                <w:rFonts w:hint="default" w:ascii="Times New Roman" w:hAnsi="Times New Roman" w:eastAsia="宋体" w:cs="Times New Roman"/>
                <w:strike w:val="0"/>
                <w:dstrike w:val="0"/>
                <w:color w:val="auto"/>
                <w:w w:val="100"/>
                <w:sz w:val="24"/>
                <w:szCs w:val="24"/>
                <w:highlight w:val="none"/>
                <w:lang w:val="en-US" w:eastAsia="zh-CN" w:bidi="ar-SA"/>
              </w:rPr>
              <w:t>/g。企业应备好所购活性炭厂家关于活性炭碘值、比表面积等相关证明材料。</w:t>
            </w:r>
          </w:p>
          <w:p w14:paraId="1B5C136D">
            <w:pPr>
              <w:keepNext w:val="0"/>
              <w:keepLines w:val="0"/>
              <w:pageBreakBefore w:val="0"/>
              <w:widowControl w:val="0"/>
              <w:kinsoku/>
              <w:wordWrap/>
              <w:overflowPunct/>
              <w:topLinePunct/>
              <w:autoSpaceDE w:val="0"/>
              <w:autoSpaceDN/>
              <w:bidi w:val="0"/>
              <w:adjustRightInd/>
              <w:snapToGrid/>
              <w:spacing w:line="360" w:lineRule="auto"/>
              <w:ind w:left="0" w:right="0" w:firstLine="464"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4"/>
                <w:sz w:val="24"/>
                <w:szCs w:val="24"/>
                <w:highlight w:val="none"/>
              </w:rPr>
              <w:t>本项目采用</w:t>
            </w:r>
            <w:r>
              <w:rPr>
                <w:rFonts w:hint="eastAsia" w:cs="Times New Roman"/>
                <w:strike w:val="0"/>
                <w:dstrike w:val="0"/>
                <w:color w:val="auto"/>
                <w:spacing w:val="-4"/>
                <w:sz w:val="24"/>
                <w:szCs w:val="24"/>
                <w:highlight w:val="none"/>
                <w:lang w:val="en-US" w:eastAsia="zh-CN"/>
              </w:rPr>
              <w:t>三</w:t>
            </w:r>
            <w:r>
              <w:rPr>
                <w:rFonts w:hint="default" w:ascii="Times New Roman" w:hAnsi="Times New Roman" w:eastAsia="宋体" w:cs="Times New Roman"/>
                <w:strike w:val="0"/>
                <w:dstrike w:val="0"/>
                <w:color w:val="auto"/>
                <w:spacing w:val="-4"/>
                <w:sz w:val="24"/>
                <w:szCs w:val="24"/>
                <w:highlight w:val="none"/>
              </w:rPr>
              <w:t>级活性炭吸附设备对项目产生的有机废气（非甲烷总烃）进行</w:t>
            </w:r>
            <w:r>
              <w:rPr>
                <w:rFonts w:hint="default" w:ascii="Times New Roman" w:hAnsi="Times New Roman" w:eastAsia="宋体" w:cs="Times New Roman"/>
                <w:strike w:val="0"/>
                <w:dstrike w:val="0"/>
                <w:color w:val="auto"/>
                <w:spacing w:val="-7"/>
                <w:sz w:val="24"/>
                <w:szCs w:val="24"/>
                <w:highlight w:val="none"/>
              </w:rPr>
              <w:t>处置，通过查阅相关资料和文献得知，一般活性炭吸附装置的处理效率约为30%，</w:t>
            </w:r>
            <w:r>
              <w:rPr>
                <w:rFonts w:hint="default" w:ascii="Times New Roman" w:hAnsi="Times New Roman" w:eastAsia="宋体" w:cs="Times New Roman"/>
                <w:strike w:val="0"/>
                <w:dstrike w:val="0"/>
                <w:color w:val="auto"/>
                <w:spacing w:val="-1"/>
                <w:sz w:val="24"/>
                <w:szCs w:val="24"/>
                <w:highlight w:val="none"/>
              </w:rPr>
              <w:t>而采用多级活性炭吸附装置（由1层吸附处理提高到3层吸附处理</w:t>
            </w:r>
            <w:r>
              <w:rPr>
                <w:rFonts w:hint="default" w:ascii="Times New Roman" w:hAnsi="Times New Roman" w:eastAsia="宋体" w:cs="Times New Roman"/>
                <w:strike w:val="0"/>
                <w:dstrike w:val="0"/>
                <w:color w:val="auto"/>
                <w:spacing w:val="-27"/>
                <w:sz w:val="24"/>
                <w:szCs w:val="24"/>
                <w:highlight w:val="none"/>
              </w:rPr>
              <w:t>），</w:t>
            </w:r>
            <w:r>
              <w:rPr>
                <w:rFonts w:hint="default" w:ascii="Times New Roman" w:hAnsi="Times New Roman" w:eastAsia="宋体" w:cs="Times New Roman"/>
                <w:strike w:val="0"/>
                <w:dstrike w:val="0"/>
                <w:color w:val="auto"/>
                <w:spacing w:val="-1"/>
                <w:sz w:val="24"/>
                <w:szCs w:val="24"/>
                <w:highlight w:val="none"/>
              </w:rPr>
              <w:t>通过增加</w:t>
            </w:r>
            <w:r>
              <w:rPr>
                <w:rFonts w:hint="default" w:ascii="Times New Roman" w:hAnsi="Times New Roman" w:eastAsia="宋体" w:cs="Times New Roman"/>
                <w:strike w:val="0"/>
                <w:dstrike w:val="0"/>
                <w:color w:val="auto"/>
                <w:spacing w:val="3"/>
                <w:sz w:val="24"/>
                <w:szCs w:val="24"/>
                <w:highlight w:val="none"/>
              </w:rPr>
              <w:t>有机废气的停留时间，能有效提高处置效率，有机废气处置率可达90%</w:t>
            </w:r>
            <w:r>
              <w:rPr>
                <w:rFonts w:hint="eastAsia" w:cs="Times New Roman"/>
                <w:strike w:val="0"/>
                <w:dstrike w:val="0"/>
                <w:color w:val="auto"/>
                <w:spacing w:val="3"/>
                <w:sz w:val="24"/>
                <w:szCs w:val="24"/>
                <w:highlight w:val="none"/>
                <w:lang w:eastAsia="zh-CN"/>
              </w:rPr>
              <w:t>；</w:t>
            </w:r>
            <w:r>
              <w:rPr>
                <w:rFonts w:hint="eastAsia" w:cs="Times New Roman"/>
                <w:strike w:val="0"/>
                <w:dstrike w:val="0"/>
                <w:color w:val="auto"/>
                <w:spacing w:val="3"/>
                <w:sz w:val="24"/>
                <w:szCs w:val="24"/>
                <w:highlight w:val="none"/>
                <w:lang w:val="en-US" w:eastAsia="zh-CN"/>
              </w:rPr>
              <w:t>结合省厅抽查及行业实际情况，</w:t>
            </w:r>
            <w:r>
              <w:rPr>
                <w:rFonts w:hint="default" w:ascii="Times New Roman" w:hAnsi="Times New Roman" w:eastAsia="宋体" w:cs="Times New Roman"/>
                <w:strike w:val="0"/>
                <w:dstrike w:val="0"/>
                <w:color w:val="auto"/>
                <w:spacing w:val="3"/>
                <w:sz w:val="24"/>
                <w:szCs w:val="24"/>
                <w:highlight w:val="none"/>
                <w:lang w:val="en-US" w:eastAsia="zh-CN"/>
              </w:rPr>
              <w:t>本项目取</w:t>
            </w:r>
            <w:r>
              <w:rPr>
                <w:rFonts w:hint="eastAsia" w:cs="Times New Roman"/>
                <w:strike w:val="0"/>
                <w:dstrike w:val="0"/>
                <w:color w:val="auto"/>
                <w:spacing w:val="3"/>
                <w:sz w:val="24"/>
                <w:szCs w:val="24"/>
                <w:highlight w:val="none"/>
                <w:lang w:val="en-US" w:eastAsia="zh-CN"/>
              </w:rPr>
              <w:t>5</w:t>
            </w:r>
            <w:r>
              <w:rPr>
                <w:rFonts w:hint="default" w:ascii="Times New Roman" w:hAnsi="Times New Roman" w:eastAsia="宋体" w:cs="Times New Roman"/>
                <w:strike w:val="0"/>
                <w:dstrike w:val="0"/>
                <w:color w:val="auto"/>
                <w:spacing w:val="3"/>
                <w:sz w:val="24"/>
                <w:szCs w:val="24"/>
                <w:highlight w:val="none"/>
                <w:lang w:val="en-US" w:eastAsia="zh-CN"/>
              </w:rPr>
              <w:t>0%</w:t>
            </w:r>
            <w:r>
              <w:rPr>
                <w:rFonts w:hint="default" w:ascii="Times New Roman" w:hAnsi="Times New Roman" w:eastAsia="宋体" w:cs="Times New Roman"/>
                <w:strike w:val="0"/>
                <w:dstrike w:val="0"/>
                <w:color w:val="auto"/>
                <w:sz w:val="24"/>
                <w:szCs w:val="24"/>
                <w:highlight w:val="none"/>
              </w:rPr>
              <w:t>，经处理后的有机废气可达标排放，故</w:t>
            </w:r>
            <w:r>
              <w:rPr>
                <w:rFonts w:hint="default" w:ascii="Times New Roman" w:hAnsi="Times New Roman" w:eastAsia="宋体" w:cs="Times New Roman"/>
                <w:strike w:val="0"/>
                <w:dstrike w:val="0"/>
                <w:color w:val="auto"/>
                <w:spacing w:val="-1"/>
                <w:sz w:val="24"/>
                <w:szCs w:val="24"/>
                <w:highlight w:val="none"/>
              </w:rPr>
              <w:t>环保设施设置合理。</w:t>
            </w:r>
          </w:p>
          <w:p w14:paraId="1E33F8B1">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1"/>
                <w:sz w:val="24"/>
                <w:szCs w:val="24"/>
                <w:highlight w:val="none"/>
              </w:rPr>
              <w:t>综上所述，项目所采取的的废气治理措施是可行的。</w:t>
            </w:r>
          </w:p>
          <w:p w14:paraId="730A28D7">
            <w:pPr>
              <w:keepNext w:val="0"/>
              <w:keepLines w:val="0"/>
              <w:pageBreakBefore w:val="0"/>
              <w:widowControl w:val="0"/>
              <w:kinsoku/>
              <w:wordWrap/>
              <w:overflowPunct/>
              <w:topLinePunct/>
              <w:autoSpaceDE w:val="0"/>
              <w:autoSpaceDN/>
              <w:bidi w:val="0"/>
              <w:adjustRightInd/>
              <w:snapToGrid/>
              <w:spacing w:line="360" w:lineRule="auto"/>
              <w:ind w:left="0" w:right="0" w:firstLine="442"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val="0"/>
                <w:strike w:val="0"/>
                <w:dstrike w:val="0"/>
                <w:color w:val="auto"/>
                <w:spacing w:val="-10"/>
                <w:sz w:val="24"/>
                <w:szCs w:val="24"/>
                <w:highlight w:val="none"/>
                <w:lang w:val="en-US" w:eastAsia="zh-CN"/>
              </w:rPr>
              <w:t>（2）布袋除尘器</w:t>
            </w:r>
            <w:r>
              <w:rPr>
                <w:rFonts w:hint="default" w:ascii="Times New Roman" w:hAnsi="Times New Roman" w:eastAsia="宋体" w:cs="Times New Roman"/>
                <w:b/>
                <w:bCs/>
                <w:strike w:val="0"/>
                <w:dstrike w:val="0"/>
                <w:color w:val="auto"/>
                <w:spacing w:val="-4"/>
                <w:sz w:val="24"/>
                <w:szCs w:val="24"/>
                <w:highlight w:val="none"/>
              </w:rPr>
              <w:t>分析</w:t>
            </w:r>
          </w:p>
          <w:p w14:paraId="3EB7E0C5">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trike w:val="0"/>
                <w:dstrike w:val="0"/>
                <w:color w:val="auto"/>
                <w:spacing w:val="-1"/>
                <w:sz w:val="24"/>
                <w:szCs w:val="24"/>
                <w:highlight w:val="none"/>
              </w:rPr>
            </w:pPr>
            <w:r>
              <w:rPr>
                <w:rFonts w:hint="default" w:ascii="Times New Roman" w:hAnsi="Times New Roman" w:eastAsia="宋体" w:cs="Times New Roman"/>
                <w:strike w:val="0"/>
                <w:dstrike w:val="0"/>
                <w:color w:val="auto"/>
                <w:spacing w:val="-1"/>
                <w:sz w:val="24"/>
                <w:szCs w:val="24"/>
                <w:highlight w:val="none"/>
              </w:rPr>
              <w:t>本项目粉尘采用布袋除尘的方式进行处理。</w:t>
            </w:r>
          </w:p>
          <w:p w14:paraId="287D30B4">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trike w:val="0"/>
                <w:dstrike w:val="0"/>
                <w:color w:val="auto"/>
                <w:spacing w:val="-1"/>
                <w:sz w:val="24"/>
                <w:szCs w:val="24"/>
                <w:highlight w:val="none"/>
              </w:rPr>
            </w:pPr>
            <w:r>
              <w:rPr>
                <w:rFonts w:hint="default" w:ascii="Times New Roman" w:hAnsi="Times New Roman" w:eastAsia="宋体" w:cs="Times New Roman"/>
                <w:strike w:val="0"/>
                <w:dstrike w:val="0"/>
                <w:color w:val="auto"/>
                <w:spacing w:val="-1"/>
                <w:sz w:val="24"/>
                <w:szCs w:val="24"/>
                <w:highlight w:val="none"/>
              </w:rPr>
              <w:t>袋式除尘器的基本工作原理是：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到良好的捕尘作用。</w:t>
            </w:r>
          </w:p>
          <w:p w14:paraId="08EA4ECD">
            <w:pPr>
              <w:keepNext w:val="0"/>
              <w:keepLines w:val="0"/>
              <w:pageBreakBefore w:val="0"/>
              <w:widowControl w:val="0"/>
              <w:kinsoku/>
              <w:wordWrap/>
              <w:overflowPunct/>
              <w:topLinePunct/>
              <w:autoSpaceDE w:val="0"/>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strike w:val="0"/>
                <w:dstrike w:val="0"/>
                <w:color w:val="auto"/>
                <w:spacing w:val="-1"/>
                <w:sz w:val="24"/>
                <w:szCs w:val="24"/>
                <w:highlight w:val="none"/>
              </w:rPr>
            </w:pPr>
            <w:r>
              <w:rPr>
                <w:rFonts w:hint="default" w:ascii="Times New Roman" w:hAnsi="Times New Roman" w:eastAsia="宋体" w:cs="Times New Roman"/>
                <w:color w:val="auto"/>
                <w:spacing w:val="-3"/>
                <w:sz w:val="24"/>
                <w:szCs w:val="24"/>
                <w:highlight w:val="none"/>
              </w:rPr>
              <w:t>袋式除尘技术是利用纤维织物的过滤作用对含尘气</w:t>
            </w:r>
            <w:r>
              <w:rPr>
                <w:rFonts w:hint="default" w:ascii="Times New Roman" w:hAnsi="Times New Roman" w:eastAsia="宋体" w:cs="Times New Roman"/>
                <w:color w:val="auto"/>
                <w:spacing w:val="-4"/>
                <w:sz w:val="24"/>
                <w:szCs w:val="24"/>
                <w:highlight w:val="none"/>
              </w:rPr>
              <w:t>体进行过滤分离。当含尘气</w:t>
            </w:r>
            <w:r>
              <w:rPr>
                <w:rFonts w:hint="default" w:ascii="Times New Roman" w:hAnsi="Times New Roman" w:eastAsia="宋体" w:cs="Times New Roman"/>
                <w:color w:val="auto"/>
                <w:spacing w:val="-3"/>
                <w:sz w:val="24"/>
                <w:szCs w:val="24"/>
                <w:highlight w:val="none"/>
              </w:rPr>
              <w:t>体进入袋式除尘器后，粒径大、比重大的粉尘在重力作用下沉降，落</w:t>
            </w:r>
            <w:r>
              <w:rPr>
                <w:rFonts w:hint="default" w:ascii="Times New Roman" w:hAnsi="Times New Roman" w:eastAsia="宋体" w:cs="Times New Roman"/>
                <w:color w:val="auto"/>
                <w:spacing w:val="-4"/>
                <w:sz w:val="24"/>
                <w:szCs w:val="24"/>
                <w:highlight w:val="none"/>
              </w:rPr>
              <w:t>入灰斗；携带</w:t>
            </w:r>
            <w:r>
              <w:rPr>
                <w:rFonts w:hint="default" w:ascii="Times New Roman" w:hAnsi="Times New Roman" w:eastAsia="宋体" w:cs="Times New Roman"/>
                <w:color w:val="auto"/>
                <w:spacing w:val="-8"/>
                <w:sz w:val="24"/>
                <w:szCs w:val="24"/>
                <w:highlight w:val="none"/>
              </w:rPr>
              <w:t>烟尘的气体通过滤料时，细小粉尘被阻留在滤料上，气体通过滤料，从而尘气分离，</w:t>
            </w:r>
            <w:r>
              <w:rPr>
                <w:rFonts w:hint="default" w:ascii="Times New Roman" w:hAnsi="Times New Roman" w:eastAsia="宋体" w:cs="Times New Roman"/>
                <w:color w:val="auto"/>
                <w:spacing w:val="-1"/>
                <w:sz w:val="24"/>
                <w:szCs w:val="24"/>
                <w:highlight w:val="none"/>
              </w:rPr>
              <w:t>使含尘气体得到净化。</w:t>
            </w:r>
            <w:r>
              <w:rPr>
                <w:rFonts w:hint="default" w:ascii="Times New Roman" w:hAnsi="Times New Roman" w:eastAsia="宋体" w:cs="Times New Roman"/>
                <w:color w:val="auto"/>
                <w:spacing w:val="-3"/>
                <w:sz w:val="24"/>
                <w:szCs w:val="24"/>
                <w:highlight w:val="none"/>
              </w:rPr>
              <w:t>袋式除尘器滤料应选用耐高温的涤纶针刺毡。袋式</w:t>
            </w:r>
            <w:r>
              <w:rPr>
                <w:rFonts w:hint="default" w:ascii="Times New Roman" w:hAnsi="Times New Roman" w:eastAsia="宋体" w:cs="Times New Roman"/>
                <w:color w:val="auto"/>
                <w:spacing w:val="-4"/>
                <w:sz w:val="24"/>
                <w:szCs w:val="24"/>
                <w:highlight w:val="none"/>
              </w:rPr>
              <w:t>除尘器对含尘废气中的粉尘</w:t>
            </w:r>
            <w:r>
              <w:rPr>
                <w:rFonts w:hint="default" w:ascii="Times New Roman" w:hAnsi="Times New Roman" w:eastAsia="宋体" w:cs="Times New Roman"/>
                <w:color w:val="auto"/>
                <w:spacing w:val="3"/>
                <w:sz w:val="24"/>
                <w:szCs w:val="24"/>
                <w:highlight w:val="none"/>
              </w:rPr>
              <w:t>的去除效率可达99%以上。根据《环境工程设计手册》（修订版</w:t>
            </w:r>
            <w:r>
              <w:rPr>
                <w:rFonts w:hint="default" w:ascii="Times New Roman" w:hAnsi="Times New Roman" w:eastAsia="宋体" w:cs="Times New Roman"/>
                <w:color w:val="auto"/>
                <w:spacing w:val="-14"/>
                <w:sz w:val="24"/>
                <w:szCs w:val="24"/>
                <w:highlight w:val="none"/>
              </w:rPr>
              <w:t>）（</w:t>
            </w:r>
            <w:r>
              <w:rPr>
                <w:rFonts w:hint="default" w:ascii="Times New Roman" w:hAnsi="Times New Roman" w:eastAsia="宋体" w:cs="Times New Roman"/>
                <w:color w:val="auto"/>
                <w:spacing w:val="2"/>
                <w:sz w:val="24"/>
                <w:szCs w:val="24"/>
                <w:highlight w:val="none"/>
              </w:rPr>
              <w:t>主编</w:t>
            </w:r>
            <w:r>
              <w:rPr>
                <w:rFonts w:hint="default" w:ascii="Times New Roman" w:hAnsi="Times New Roman" w:eastAsia="宋体" w:cs="Times New Roman"/>
                <w:strike w:val="0"/>
                <w:dstrike w:val="0"/>
                <w:color w:val="auto"/>
                <w:spacing w:val="-1"/>
                <w:sz w:val="24"/>
                <w:szCs w:val="24"/>
                <w:highlight w:val="none"/>
              </w:rPr>
              <w:t>：魏先勋，副主编：陈信常马菊元韩绍昌湖南科学技术出版社）描述“过滤式除尘器是一种高效除尘器，净化效率可高达99%以上”，本项目布袋除尘器属于过滤式除尘器的一种，本项目布袋除尘器通过专人的维护，定期清灰、更换布袋，处理效率可达到99%以上，为保守起见，本项目粉尘处理效率按99%计算。</w:t>
            </w:r>
          </w:p>
          <w:p w14:paraId="524719FA">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trike w:val="0"/>
                <w:dstrike w:val="0"/>
                <w:color w:val="auto"/>
                <w:spacing w:val="-1"/>
                <w:sz w:val="24"/>
                <w:szCs w:val="24"/>
                <w:highlight w:val="none"/>
              </w:rPr>
            </w:pPr>
            <w:r>
              <w:rPr>
                <w:rFonts w:hint="default" w:ascii="Times New Roman" w:hAnsi="Times New Roman" w:eastAsia="宋体" w:cs="Times New Roman"/>
                <w:strike w:val="0"/>
                <w:dstrike w:val="0"/>
                <w:color w:val="auto"/>
                <w:spacing w:val="-1"/>
                <w:sz w:val="24"/>
                <w:szCs w:val="24"/>
                <w:highlight w:val="none"/>
              </w:rPr>
              <w:t>因此，项目粉尘经布袋除尘器处理后达标排放，粉尘处理</w:t>
            </w:r>
            <w:r>
              <w:rPr>
                <w:rFonts w:hint="default" w:ascii="Times New Roman" w:hAnsi="Times New Roman" w:eastAsia="宋体" w:cs="Times New Roman"/>
                <w:strike w:val="0"/>
                <w:dstrike w:val="0"/>
                <w:color w:val="auto"/>
                <w:spacing w:val="-1"/>
                <w:sz w:val="24"/>
                <w:szCs w:val="24"/>
                <w:highlight w:val="none"/>
                <w:lang w:val="en-US" w:eastAsia="zh-CN"/>
              </w:rPr>
              <w:t>措施在</w:t>
            </w:r>
            <w:r>
              <w:rPr>
                <w:rFonts w:hint="default" w:ascii="Times New Roman" w:hAnsi="Times New Roman" w:eastAsia="宋体" w:cs="Times New Roman"/>
                <w:strike w:val="0"/>
                <w:dstrike w:val="0"/>
                <w:color w:val="auto"/>
                <w:spacing w:val="-1"/>
                <w:sz w:val="24"/>
                <w:szCs w:val="24"/>
                <w:highlight w:val="none"/>
              </w:rPr>
              <w:t>技术上是有效可行的。</w:t>
            </w:r>
          </w:p>
          <w:p w14:paraId="21FB6EC0">
            <w:pPr>
              <w:keepNext w:val="0"/>
              <w:keepLines w:val="0"/>
              <w:pageBreakBefore w:val="0"/>
              <w:kinsoku/>
              <w:wordWrap/>
              <w:overflowPunct/>
              <w:topLinePunct/>
              <w:autoSpaceDE w:val="0"/>
              <w:autoSpaceDN/>
              <w:bidi w:val="0"/>
              <w:adjustRightInd/>
              <w:spacing w:line="348" w:lineRule="auto"/>
              <w:ind w:right="0" w:firstLine="482"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b/>
                <w:caps w:val="0"/>
                <w:strike w:val="0"/>
                <w:dstrike w:val="0"/>
                <w:color w:val="auto"/>
                <w:spacing w:val="0"/>
                <w:w w:val="100"/>
                <w:position w:val="0"/>
                <w:sz w:val="24"/>
                <w:szCs w:val="24"/>
                <w:highlight w:val="none"/>
                <w:lang w:val="en-US" w:eastAsia="zh-CN"/>
              </w:rPr>
              <w:t>（3）</w:t>
            </w:r>
            <w:r>
              <w:rPr>
                <w:rFonts w:hint="default" w:ascii="Times New Roman" w:hAnsi="Times New Roman" w:eastAsia="宋体" w:cs="Times New Roman"/>
                <w:b/>
                <w:bCs w:val="0"/>
                <w:strike w:val="0"/>
                <w:dstrike w:val="0"/>
                <w:color w:val="auto"/>
                <w:sz w:val="24"/>
                <w:szCs w:val="24"/>
                <w:highlight w:val="none"/>
                <w:lang w:val="en-US" w:eastAsia="zh-CN"/>
              </w:rPr>
              <w:t>治理措施可行性分析</w:t>
            </w:r>
          </w:p>
          <w:p w14:paraId="140BCDBA">
            <w:pPr>
              <w:keepNext w:val="0"/>
              <w:keepLines w:val="0"/>
              <w:pageBreakBefore w:val="0"/>
              <w:widowControl w:val="0"/>
              <w:kinsoku/>
              <w:wordWrap/>
              <w:overflowPunct/>
              <w:topLinePunct/>
              <w:autoSpaceDE w:val="0"/>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trike w:val="0"/>
                <w:dstrike w:val="0"/>
                <w:color w:val="auto"/>
                <w:spacing w:val="-1"/>
                <w:sz w:val="24"/>
                <w:szCs w:val="24"/>
                <w:highlight w:val="none"/>
                <w:lang w:val="en-US" w:eastAsia="zh-CN"/>
              </w:rPr>
              <w:t>本项目</w:t>
            </w:r>
            <w:r>
              <w:rPr>
                <w:rFonts w:hint="eastAsia" w:cs="Times New Roman"/>
                <w:color w:val="auto"/>
                <w:sz w:val="24"/>
                <w:highlight w:val="none"/>
                <w:lang w:eastAsia="zh-CN"/>
              </w:rPr>
              <w:t>珠胚生产</w:t>
            </w:r>
            <w:r>
              <w:rPr>
                <w:rFonts w:hint="default" w:ascii="Times New Roman" w:hAnsi="Times New Roman" w:eastAsia="宋体" w:cs="Times New Roman"/>
                <w:color w:val="auto"/>
                <w:sz w:val="24"/>
                <w:szCs w:val="24"/>
                <w:highlight w:val="none"/>
              </w:rPr>
              <w:t>配料</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rPr>
              <w:t>及滚抛</w:t>
            </w:r>
            <w:r>
              <w:rPr>
                <w:rFonts w:hint="default" w:ascii="Times New Roman" w:hAnsi="Times New Roman" w:eastAsia="宋体" w:cs="Times New Roman"/>
                <w:color w:val="auto"/>
                <w:sz w:val="24"/>
                <w:highlight w:val="none"/>
              </w:rPr>
              <w:t>过程</w:t>
            </w:r>
            <w:r>
              <w:rPr>
                <w:rFonts w:hint="default" w:ascii="Times New Roman" w:hAnsi="Times New Roman" w:eastAsia="宋体" w:cs="Times New Roman"/>
                <w:color w:val="auto"/>
                <w:sz w:val="24"/>
                <w:highlight w:val="none"/>
                <w:lang w:val="en-US" w:eastAsia="zh-CN"/>
              </w:rPr>
              <w:t>产生的粉尘</w:t>
            </w:r>
            <w:r>
              <w:rPr>
                <w:rFonts w:hint="default" w:ascii="Times New Roman" w:hAnsi="Times New Roman" w:eastAsia="宋体" w:cs="Times New Roman"/>
                <w:strike w:val="0"/>
                <w:dstrike w:val="0"/>
                <w:color w:val="auto"/>
                <w:spacing w:val="-1"/>
                <w:sz w:val="24"/>
                <w:szCs w:val="24"/>
                <w:highlight w:val="none"/>
                <w:lang w:eastAsia="zh-CN"/>
              </w:rPr>
              <w:t>采用布袋除尘</w:t>
            </w:r>
            <w:r>
              <w:rPr>
                <w:rFonts w:hint="default" w:ascii="Times New Roman" w:hAnsi="Times New Roman" w:eastAsia="宋体" w:cs="Times New Roman"/>
                <w:strike w:val="0"/>
                <w:dstrike w:val="0"/>
                <w:color w:val="auto"/>
                <w:spacing w:val="-1"/>
                <w:sz w:val="24"/>
                <w:szCs w:val="24"/>
                <w:highlight w:val="none"/>
                <w:lang w:val="en-US" w:eastAsia="zh-CN"/>
              </w:rPr>
              <w:t>，参考《排污许可证申请与核发技术规范 玻璃工业-平板玻璃（HJ856-2017）》，颗粒物采用布袋除尘器为可行技术；</w:t>
            </w:r>
            <w:r>
              <w:rPr>
                <w:rFonts w:hint="default" w:ascii="Times New Roman" w:hAnsi="Times New Roman" w:eastAsia="宋体" w:cs="Times New Roman"/>
                <w:color w:val="auto"/>
                <w:sz w:val="24"/>
                <w:highlight w:val="none"/>
              </w:rPr>
              <w:t>抛轮修复</w:t>
            </w:r>
            <w:r>
              <w:rPr>
                <w:rFonts w:hint="default" w:ascii="Times New Roman" w:hAnsi="Times New Roman" w:eastAsia="宋体" w:cs="Times New Roman"/>
                <w:color w:val="auto"/>
                <w:sz w:val="24"/>
                <w:szCs w:val="24"/>
                <w:highlight w:val="none"/>
              </w:rPr>
              <w:t>配料</w:t>
            </w:r>
            <w:r>
              <w:rPr>
                <w:rFonts w:hint="default" w:ascii="Times New Roman" w:hAnsi="Times New Roman" w:eastAsia="宋体" w:cs="Times New Roman"/>
                <w:color w:val="auto"/>
                <w:sz w:val="24"/>
                <w:szCs w:val="24"/>
                <w:highlight w:val="none"/>
                <w:lang w:val="en-US" w:eastAsia="zh-CN"/>
              </w:rPr>
              <w:t>及外圆</w:t>
            </w:r>
            <w:r>
              <w:rPr>
                <w:rFonts w:hint="default" w:ascii="Times New Roman" w:hAnsi="Times New Roman" w:eastAsia="宋体" w:cs="Times New Roman"/>
                <w:color w:val="auto"/>
                <w:sz w:val="24"/>
                <w:highlight w:val="none"/>
                <w:lang w:val="en-US" w:eastAsia="zh-CN"/>
              </w:rPr>
              <w:t>产生的粉尘，参照《排污许可证申请与核发技术规范 石墨及其他非金属矿物制品制造》（HJ1119-2020），</w:t>
            </w:r>
            <w:r>
              <w:rPr>
                <w:rFonts w:hint="default" w:ascii="Times New Roman" w:hAnsi="Times New Roman" w:eastAsia="宋体" w:cs="Times New Roman"/>
                <w:strike w:val="0"/>
                <w:dstrike w:val="0"/>
                <w:color w:val="auto"/>
                <w:spacing w:val="-1"/>
                <w:sz w:val="24"/>
                <w:szCs w:val="24"/>
                <w:highlight w:val="none"/>
                <w:lang w:val="en-US" w:eastAsia="zh-CN"/>
              </w:rPr>
              <w:t>颗粒物采用布袋除尘器为可行技术；</w:t>
            </w:r>
            <w:r>
              <w:rPr>
                <w:rFonts w:hint="default" w:ascii="Times New Roman" w:hAnsi="Times New Roman" w:eastAsia="宋体" w:cs="Times New Roman"/>
                <w:color w:val="auto"/>
                <w:sz w:val="24"/>
                <w:highlight w:val="none"/>
              </w:rPr>
              <w:t>吸塑片产生的投料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破碎产生的粉尘</w:t>
            </w:r>
            <w:r>
              <w:rPr>
                <w:rFonts w:hint="default" w:ascii="Times New Roman" w:hAnsi="Times New Roman" w:eastAsia="宋体" w:cs="Times New Roman"/>
                <w:strike w:val="0"/>
                <w:dstrike w:val="0"/>
                <w:color w:val="auto"/>
                <w:spacing w:val="-1"/>
                <w:sz w:val="24"/>
                <w:szCs w:val="24"/>
                <w:highlight w:val="none"/>
                <w:lang w:eastAsia="zh-CN"/>
              </w:rPr>
              <w:t>采用布袋除尘</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strike w:val="0"/>
                <w:dstrike w:val="0"/>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加热、挤出塑化、压延产生的有机废气采用“</w:t>
            </w:r>
            <w:r>
              <w:rPr>
                <w:rFonts w:hint="default" w:ascii="Times New Roman" w:hAnsi="Times New Roman" w:eastAsia="宋体" w:cs="Times New Roman"/>
                <w:b w:val="0"/>
                <w:bCs w:val="0"/>
                <w:color w:val="auto"/>
                <w:sz w:val="24"/>
                <w:szCs w:val="24"/>
                <w:highlight w:val="none"/>
                <w:lang w:val="zh-CN" w:bidi="zh-CN"/>
              </w:rPr>
              <w:t>三级活性炭吸附装置</w:t>
            </w:r>
            <w:r>
              <w:rPr>
                <w:rFonts w:hint="default" w:ascii="Times New Roman" w:hAnsi="Times New Roman" w:eastAsia="宋体" w:cs="Times New Roman"/>
                <w:color w:val="auto"/>
                <w:sz w:val="24"/>
                <w:szCs w:val="24"/>
                <w:highlight w:val="none"/>
                <w:lang w:val="en-US" w:eastAsia="zh-CN"/>
              </w:rPr>
              <w:t>”处理，参照</w:t>
            </w:r>
            <w:r>
              <w:rPr>
                <w:rFonts w:hint="default" w:ascii="Times New Roman" w:hAnsi="Times New Roman" w:eastAsia="宋体" w:cs="Times New Roman"/>
                <w:color w:val="auto"/>
                <w:sz w:val="24"/>
                <w:szCs w:val="24"/>
                <w:highlight w:val="none"/>
              </w:rPr>
              <w:t>《排污许可证申请与核发技术规范 橡胶和塑料制品工业》（HJ1122-2020）附录A</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表A.2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strike w:val="0"/>
                <w:dstrike w:val="0"/>
                <w:color w:val="auto"/>
                <w:spacing w:val="-1"/>
                <w:sz w:val="24"/>
                <w:szCs w:val="24"/>
                <w:highlight w:val="none"/>
                <w:lang w:val="en-US" w:eastAsia="zh-CN"/>
              </w:rPr>
              <w:t>颗粒物采用布袋除尘器为可行技术、非甲烷总烃采用“吸附”为可行技术</w:t>
            </w:r>
            <w:r>
              <w:rPr>
                <w:rFonts w:hint="default" w:ascii="Times New Roman" w:hAnsi="Times New Roman" w:eastAsia="宋体" w:cs="Times New Roman"/>
                <w:color w:val="auto"/>
                <w:sz w:val="24"/>
                <w:szCs w:val="24"/>
                <w:highlight w:val="none"/>
                <w:lang w:eastAsia="zh-CN"/>
              </w:rPr>
              <w:t>。</w:t>
            </w:r>
          </w:p>
          <w:p w14:paraId="28A7E0C0">
            <w:pPr>
              <w:keepNext w:val="0"/>
              <w:keepLines w:val="0"/>
              <w:pageBreakBefore w:val="0"/>
              <w:widowControl w:val="0"/>
              <w:numPr>
                <w:ilvl w:val="0"/>
                <w:numId w:val="5"/>
              </w:numPr>
              <w:kinsoku/>
              <w:wordWrap/>
              <w:overflowPunct/>
              <w:topLinePunct/>
              <w:autoSpaceDE w:val="0"/>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排气筒设置合理性分析</w:t>
            </w:r>
          </w:p>
          <w:p w14:paraId="62BE2A90">
            <w:pPr>
              <w:pStyle w:val="19"/>
              <w:keepNext w:val="0"/>
              <w:keepLines w:val="0"/>
              <w:pageBreakBefore w:val="0"/>
              <w:widowControl w:val="0"/>
              <w:kinsoku/>
              <w:wordWrap/>
              <w:overflowPunct/>
              <w:topLinePunct/>
              <w:autoSpaceDE w:val="0"/>
              <w:autoSpaceDN/>
              <w:bidi w:val="0"/>
              <w:adjustRightInd w:val="0"/>
              <w:snapToGrid w:val="0"/>
              <w:spacing w:before="0" w:after="0"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通过</w:t>
            </w:r>
            <w:r>
              <w:rPr>
                <w:rFonts w:hint="default" w:ascii="Times New Roman" w:hAnsi="Times New Roman" w:eastAsia="宋体" w:cs="Times New Roman"/>
                <w:strike w:val="0"/>
                <w:dstrike w:val="0"/>
                <w:color w:val="auto"/>
                <w:sz w:val="24"/>
                <w:szCs w:val="24"/>
                <w:highlight w:val="none"/>
                <w:lang w:val="en-US" w:eastAsia="zh-CN"/>
              </w:rPr>
              <w:t>项目污染物源强核算，采取废气治理措施具有可行性，项目产生的废气均可达标排放</w:t>
            </w:r>
            <w:r>
              <w:rPr>
                <w:rFonts w:hint="eastAsia"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val="en-US" w:eastAsia="zh-CN"/>
              </w:rPr>
              <w:t>项目宿舍楼最高22.9m（为周围200m半径范围内最高建筑），项目DA001~DA004排气筒高度均为15m，DA001满足</w:t>
            </w:r>
            <w:r>
              <w:rPr>
                <w:rFonts w:hint="default" w:ascii="Times New Roman" w:hAnsi="Times New Roman" w:eastAsia="宋体" w:cs="Times New Roman"/>
                <w:color w:val="auto"/>
                <w:sz w:val="24"/>
                <w:szCs w:val="24"/>
                <w:highlight w:val="none"/>
                <w:lang w:val="en-US" w:eastAsia="zh-CN"/>
              </w:rPr>
              <w:t>《玻璃工业大气污染物排放标准》（GB 26453-2022）中</w:t>
            </w:r>
            <w:r>
              <w:rPr>
                <w:rFonts w:hint="default" w:ascii="Times New Roman" w:hAnsi="Times New Roman" w:eastAsia="宋体" w:cs="Times New Roman"/>
                <w:strike w:val="0"/>
                <w:dstrike w:val="0"/>
                <w:color w:val="auto"/>
                <w:sz w:val="24"/>
                <w:szCs w:val="24"/>
                <w:highlight w:val="none"/>
                <w:lang w:val="en-US" w:eastAsia="zh-CN"/>
              </w:rPr>
              <w:t>排气筒高度不低于15m的要求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val="en-US" w:eastAsia="zh-CN"/>
              </w:rPr>
              <w:t>DA002~DA004则不满足《大气污染物综合排放标</w:t>
            </w:r>
            <w:r>
              <w:rPr>
                <w:rFonts w:hint="default" w:ascii="Times New Roman" w:hAnsi="Times New Roman" w:eastAsia="宋体" w:cs="Times New Roman"/>
                <w:b w:val="0"/>
                <w:bCs w:val="0"/>
                <w:strike w:val="0"/>
                <w:dstrike w:val="0"/>
                <w:color w:val="auto"/>
                <w:kern w:val="2"/>
                <w:sz w:val="24"/>
                <w:szCs w:val="24"/>
                <w:highlight w:val="none"/>
                <w:lang w:val="en-US" w:eastAsia="zh-CN" w:bidi="ar-SA"/>
              </w:rPr>
              <w:t>准》</w:t>
            </w:r>
            <w:r>
              <w:rPr>
                <w:rFonts w:hint="default" w:ascii="Times New Roman" w:hAnsi="Times New Roman" w:eastAsia="宋体" w:cs="Times New Roman"/>
                <w:strike w:val="0"/>
                <w:dstrike w:val="0"/>
                <w:color w:val="auto"/>
                <w:sz w:val="24"/>
                <w:szCs w:val="24"/>
                <w:highlight w:val="none"/>
                <w:lang w:val="en-US" w:eastAsia="zh-CN"/>
              </w:rPr>
              <w:t>中</w:t>
            </w:r>
            <w:r>
              <w:rPr>
                <w:rFonts w:hint="default" w:ascii="Times New Roman" w:hAnsi="Times New Roman" w:eastAsia="宋体" w:cs="Times New Roman"/>
                <w:b w:val="0"/>
                <w:bCs w:val="0"/>
                <w:strike w:val="0"/>
                <w:dstrike w:val="0"/>
                <w:color w:val="auto"/>
                <w:kern w:val="2"/>
                <w:sz w:val="24"/>
                <w:szCs w:val="24"/>
                <w:highlight w:val="none"/>
                <w:lang w:val="en-US" w:eastAsia="zh-CN" w:bidi="ar-SA"/>
              </w:rPr>
              <w:t>（GB16297-1996）</w:t>
            </w:r>
            <w:r>
              <w:rPr>
                <w:rFonts w:hint="default" w:ascii="Times New Roman" w:hAnsi="Times New Roman" w:eastAsia="宋体" w:cs="Times New Roman"/>
                <w:strike w:val="0"/>
                <w:dstrike w:val="0"/>
                <w:color w:val="auto"/>
                <w:sz w:val="24"/>
                <w:szCs w:val="24"/>
                <w:highlight w:val="none"/>
                <w:lang w:val="en-US" w:eastAsia="zh-CN"/>
              </w:rPr>
              <w:t>“7.1排气筒高度除须遵守表列排放速率标准值外，还应高出周围200m半径范围的建筑5m以上的要求”，故DA002~DA004排气筒速率按其高度对应的表列排放速率标准值严格50%执行</w:t>
            </w:r>
            <w:r>
              <w:rPr>
                <w:rFonts w:hint="default" w:ascii="Times New Roman" w:hAnsi="Times New Roman" w:eastAsia="宋体" w:cs="Times New Roman"/>
                <w:strike w:val="0"/>
                <w:dstrike w:val="0"/>
                <w:color w:val="auto"/>
                <w:spacing w:val="-7"/>
                <w:position w:val="1"/>
                <w:sz w:val="24"/>
                <w:szCs w:val="24"/>
                <w:highlight w:val="none"/>
                <w:lang w:eastAsia="zh-CN"/>
              </w:rPr>
              <w:t>，</w:t>
            </w:r>
            <w:r>
              <w:rPr>
                <w:rFonts w:hint="default" w:ascii="Times New Roman" w:hAnsi="Times New Roman" w:eastAsia="宋体" w:cs="Times New Roman"/>
                <w:strike w:val="0"/>
                <w:dstrike w:val="0"/>
                <w:color w:val="auto"/>
                <w:sz w:val="24"/>
                <w:szCs w:val="24"/>
                <w:highlight w:val="none"/>
                <w:lang w:val="en-US" w:eastAsia="zh-CN"/>
              </w:rPr>
              <w:t>因此</w:t>
            </w:r>
            <w:r>
              <w:rPr>
                <w:rFonts w:hint="default" w:ascii="Times New Roman" w:hAnsi="Times New Roman" w:eastAsia="宋体" w:cs="Times New Roman"/>
                <w:b w:val="0"/>
                <w:bCs w:val="0"/>
                <w:strike w:val="0"/>
                <w:dstrike w:val="0"/>
                <w:color w:val="auto"/>
                <w:kern w:val="0"/>
                <w:sz w:val="24"/>
                <w:szCs w:val="24"/>
                <w:highlight w:val="none"/>
                <w:lang w:val="en-US" w:eastAsia="zh-CN"/>
              </w:rPr>
              <w:t>项目排气筒的设置可行</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30DA8F45">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7.大气影响分析</w:t>
            </w:r>
          </w:p>
          <w:p w14:paraId="6C7E0323">
            <w:pPr>
              <w:pStyle w:val="19"/>
              <w:keepNext w:val="0"/>
              <w:keepLines w:val="0"/>
              <w:pageBreakBefore w:val="0"/>
              <w:widowControl w:val="0"/>
              <w:numPr>
                <w:ilvl w:val="0"/>
                <w:numId w:val="0"/>
              </w:numPr>
              <w:kinsoku/>
              <w:wordWrap/>
              <w:overflowPunct/>
              <w:topLinePunct/>
              <w:autoSpaceDE w:val="0"/>
              <w:autoSpaceDN/>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val="0"/>
                <w:bCs/>
                <w:caps w:val="0"/>
                <w:strike w:val="0"/>
                <w:dstrike w:val="0"/>
                <w:color w:val="auto"/>
                <w:spacing w:val="0"/>
                <w:w w:val="100"/>
                <w:position w:val="0"/>
                <w:sz w:val="24"/>
                <w:szCs w:val="24"/>
                <w:highlight w:val="none"/>
                <w:lang w:val="en-US" w:eastAsia="zh-CN"/>
              </w:rPr>
              <w:t>经分析评价，</w:t>
            </w:r>
            <w:r>
              <w:rPr>
                <w:rFonts w:hint="default" w:ascii="Times New Roman" w:hAnsi="Times New Roman" w:eastAsia="宋体" w:cs="Times New Roman"/>
                <w:color w:val="auto"/>
                <w:kern w:val="0"/>
                <w:sz w:val="24"/>
                <w:szCs w:val="24"/>
                <w:highlight w:val="none"/>
                <w:lang w:val="en-US" w:eastAsia="zh-CN" w:bidi="ar"/>
              </w:rPr>
              <w:t>项目所在区域属于空气环境质量达标区，</w:t>
            </w:r>
            <w:r>
              <w:rPr>
                <w:rFonts w:hint="default" w:ascii="Times New Roman" w:hAnsi="Times New Roman" w:eastAsia="宋体" w:cs="Times New Roman"/>
                <w:b w:val="0"/>
                <w:bCs/>
                <w:caps w:val="0"/>
                <w:strike w:val="0"/>
                <w:dstrike w:val="0"/>
                <w:color w:val="auto"/>
                <w:spacing w:val="0"/>
                <w:w w:val="100"/>
                <w:position w:val="0"/>
                <w:sz w:val="24"/>
                <w:szCs w:val="24"/>
                <w:highlight w:val="none"/>
                <w:lang w:val="en-US" w:eastAsia="zh-CN"/>
              </w:rPr>
              <w:t>本项目排放的有组织废气均达标排放，采取的有组织废气治理措施均为可行技术；本项目对各大气污染物做到应收尽收，各污染物的无组织排放量不大，不会对区域环境空气造成明显影响；在落实废气治理措施的基础上，加强环保设备运行维护管理，对周边保护目标及外环境空气影响小，本项目的大气环境影响可接受</w:t>
            </w:r>
            <w:r>
              <w:rPr>
                <w:rFonts w:hint="default" w:ascii="Times New Roman" w:hAnsi="Times New Roman" w:eastAsia="宋体" w:cs="Times New Roman"/>
                <w:color w:val="auto"/>
                <w:sz w:val="24"/>
                <w:szCs w:val="24"/>
                <w:highlight w:val="none"/>
                <w:lang w:val="en-US" w:eastAsia="zh-CN"/>
              </w:rPr>
              <w:t>。</w:t>
            </w:r>
          </w:p>
          <w:p w14:paraId="6BA9632A">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8.环境监测计划</w:t>
            </w:r>
          </w:p>
          <w:p w14:paraId="4C03CABA">
            <w:pPr>
              <w:pStyle w:val="19"/>
              <w:keepNext w:val="0"/>
              <w:keepLines w:val="0"/>
              <w:pageBreakBefore w:val="0"/>
              <w:kinsoku/>
              <w:overflowPunct/>
              <w:topLinePunct/>
              <w:autoSpaceDE w:val="0"/>
              <w:bidi w:val="0"/>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eastAsia="zh-CN"/>
              </w:rPr>
              <w:t>水晶钻石制造（</w:t>
            </w:r>
            <w:r>
              <w:rPr>
                <w:rFonts w:hint="default" w:ascii="Times New Roman" w:hAnsi="Times New Roman" w:eastAsia="宋体" w:cs="Times New Roman"/>
                <w:color w:val="auto"/>
                <w:sz w:val="24"/>
                <w:szCs w:val="24"/>
                <w:highlight w:val="none"/>
                <w:lang w:val="en-US" w:eastAsia="zh-CN"/>
              </w:rPr>
              <w:t>主要生产为烫钻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参照《排污许可证申请与核发技术规范 总则》（HJ942-2018）、《排污单位自行监测技术指南 总则》（HJ819-2017）并结合行业要求，项目自行监测具体见下表。</w:t>
            </w:r>
          </w:p>
          <w:p w14:paraId="2C3863AD">
            <w:pPr>
              <w:keepNext w:val="0"/>
              <w:keepLines w:val="0"/>
              <w:pageBreakBefore w:val="0"/>
              <w:widowControl/>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项目废气</w:t>
            </w:r>
            <w:r>
              <w:rPr>
                <w:rFonts w:hint="default" w:ascii="Times New Roman" w:hAnsi="Times New Roman" w:eastAsia="宋体" w:cs="Times New Roman"/>
                <w:b/>
                <w:bCs/>
                <w:color w:val="auto"/>
                <w:sz w:val="21"/>
                <w:szCs w:val="21"/>
                <w:highlight w:val="none"/>
              </w:rPr>
              <w:t>自行监测计划表</w:t>
            </w:r>
          </w:p>
          <w:tbl>
            <w:tblPr>
              <w:tblStyle w:val="29"/>
              <w:tblW w:w="499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6"/>
              <w:gridCol w:w="983"/>
              <w:gridCol w:w="1111"/>
              <w:gridCol w:w="1281"/>
              <w:gridCol w:w="1281"/>
              <w:gridCol w:w="2481"/>
            </w:tblGrid>
            <w:tr w14:paraId="336AE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noWrap w:val="0"/>
                  <w:vAlign w:val="center"/>
                </w:tcPr>
                <w:p w14:paraId="394E179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监测</w:t>
                  </w:r>
                </w:p>
                <w:p w14:paraId="3947A4FF">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983" w:type="dxa"/>
                  <w:noWrap w:val="0"/>
                  <w:vAlign w:val="center"/>
                </w:tcPr>
                <w:p w14:paraId="042284D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111" w:type="dxa"/>
                  <w:noWrap w:val="0"/>
                  <w:vAlign w:val="center"/>
                </w:tcPr>
                <w:p w14:paraId="766C88B5">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监测因子</w:t>
                  </w:r>
                </w:p>
              </w:tc>
              <w:tc>
                <w:tcPr>
                  <w:tcW w:w="1281" w:type="dxa"/>
                  <w:noWrap w:val="0"/>
                  <w:vAlign w:val="center"/>
                </w:tcPr>
                <w:p w14:paraId="1825409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eastAsia="zh-CN"/>
                    </w:rPr>
                    <w:t>最低</w:t>
                  </w:r>
                  <w:r>
                    <w:rPr>
                      <w:rFonts w:hint="default" w:ascii="Times New Roman" w:hAnsi="Times New Roman" w:eastAsia="宋体" w:cs="Times New Roman"/>
                      <w:b/>
                      <w:bCs/>
                      <w:color w:val="auto"/>
                      <w:sz w:val="21"/>
                      <w:szCs w:val="21"/>
                      <w:highlight w:val="none"/>
                    </w:rPr>
                    <w:t>监测频次</w:t>
                  </w:r>
                </w:p>
              </w:tc>
              <w:tc>
                <w:tcPr>
                  <w:tcW w:w="1281" w:type="dxa"/>
                  <w:noWrap w:val="0"/>
                  <w:vAlign w:val="center"/>
                </w:tcPr>
                <w:p w14:paraId="3C8A17C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监测方式</w:t>
                  </w:r>
                </w:p>
              </w:tc>
              <w:tc>
                <w:tcPr>
                  <w:tcW w:w="2483" w:type="dxa"/>
                  <w:noWrap w:val="0"/>
                  <w:vAlign w:val="center"/>
                </w:tcPr>
                <w:p w14:paraId="06DE641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执行标准</w:t>
                  </w:r>
                </w:p>
              </w:tc>
            </w:tr>
            <w:tr w14:paraId="1793C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restart"/>
                  <w:noWrap w:val="0"/>
                  <w:vAlign w:val="center"/>
                </w:tcPr>
                <w:p w14:paraId="42BC04D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w:t>
                  </w:r>
                  <w:r>
                    <w:rPr>
                      <w:rFonts w:hint="default" w:ascii="Times New Roman" w:hAnsi="Times New Roman" w:eastAsia="宋体" w:cs="Times New Roman"/>
                      <w:color w:val="auto"/>
                      <w:sz w:val="21"/>
                      <w:szCs w:val="21"/>
                      <w:highlight w:val="none"/>
                    </w:rPr>
                    <w:t>废气</w:t>
                  </w:r>
                </w:p>
              </w:tc>
              <w:tc>
                <w:tcPr>
                  <w:tcW w:w="983" w:type="dxa"/>
                  <w:noWrap w:val="0"/>
                  <w:vAlign w:val="center"/>
                </w:tcPr>
                <w:p w14:paraId="34CC628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lang w:eastAsia="zh-CN"/>
                    </w:rPr>
                    <w:t>排气筒</w:t>
                  </w:r>
                </w:p>
              </w:tc>
              <w:tc>
                <w:tcPr>
                  <w:tcW w:w="1111" w:type="dxa"/>
                  <w:shd w:val="clear" w:color="auto" w:fill="auto"/>
                  <w:noWrap w:val="0"/>
                  <w:vAlign w:val="center"/>
                </w:tcPr>
                <w:p w14:paraId="1ECBDDE3">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1281" w:type="dxa"/>
                  <w:shd w:val="clear" w:color="auto" w:fill="auto"/>
                  <w:noWrap w:val="0"/>
                  <w:vAlign w:val="center"/>
                </w:tcPr>
                <w:p w14:paraId="67BE068C">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1次/年</w:t>
                  </w:r>
                </w:p>
              </w:tc>
              <w:tc>
                <w:tcPr>
                  <w:tcW w:w="1281" w:type="dxa"/>
                  <w:vMerge w:val="restart"/>
                  <w:noWrap w:val="0"/>
                  <w:vAlign w:val="center"/>
                </w:tcPr>
                <w:p w14:paraId="7EA667D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企业自行或委托其他检（监）测机构代其开展监测</w:t>
                  </w:r>
                </w:p>
              </w:tc>
              <w:tc>
                <w:tcPr>
                  <w:tcW w:w="2483" w:type="dxa"/>
                  <w:tcBorders>
                    <w:bottom w:val="single" w:color="auto" w:sz="4" w:space="0"/>
                  </w:tcBorders>
                  <w:noWrap w:val="0"/>
                  <w:vAlign w:val="center"/>
                </w:tcPr>
                <w:p w14:paraId="3A544AE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《玻璃工业大气污染物排放标准》（GB26453-2022）</w:t>
                  </w:r>
                </w:p>
              </w:tc>
            </w:tr>
            <w:tr w14:paraId="323A7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58E3FDA3">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p>
              </w:tc>
              <w:tc>
                <w:tcPr>
                  <w:tcW w:w="983" w:type="dxa"/>
                  <w:shd w:val="clear" w:color="auto" w:fill="auto"/>
                  <w:noWrap w:val="0"/>
                  <w:vAlign w:val="center"/>
                </w:tcPr>
                <w:p w14:paraId="583E7C7B">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DA002排气筒</w:t>
                  </w:r>
                </w:p>
              </w:tc>
              <w:tc>
                <w:tcPr>
                  <w:tcW w:w="1111" w:type="dxa"/>
                  <w:shd w:val="clear" w:color="auto" w:fill="auto"/>
                  <w:noWrap w:val="0"/>
                  <w:vAlign w:val="center"/>
                </w:tcPr>
                <w:p w14:paraId="4FE31A25">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1281" w:type="dxa"/>
                  <w:shd w:val="clear" w:color="auto" w:fill="auto"/>
                  <w:noWrap w:val="0"/>
                  <w:vAlign w:val="center"/>
                </w:tcPr>
                <w:p w14:paraId="1E08F4E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1次/年</w:t>
                  </w:r>
                </w:p>
              </w:tc>
              <w:tc>
                <w:tcPr>
                  <w:tcW w:w="1281" w:type="dxa"/>
                  <w:vMerge w:val="continue"/>
                  <w:shd w:val="clear" w:color="auto" w:fill="auto"/>
                  <w:noWrap w:val="0"/>
                  <w:vAlign w:val="center"/>
                </w:tcPr>
                <w:p w14:paraId="1462F38C">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p>
              </w:tc>
              <w:tc>
                <w:tcPr>
                  <w:tcW w:w="2483" w:type="dxa"/>
                  <w:vMerge w:val="restart"/>
                  <w:tcBorders>
                    <w:top w:val="single" w:color="auto" w:sz="4" w:space="0"/>
                  </w:tcBorders>
                  <w:shd w:val="clear" w:color="auto" w:fill="auto"/>
                  <w:noWrap w:val="0"/>
                  <w:vAlign w:val="center"/>
                </w:tcPr>
                <w:p w14:paraId="5F0D7DFD">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《大气污染物综合排放标准》（GB16297-1996）</w:t>
                  </w:r>
                </w:p>
              </w:tc>
            </w:tr>
            <w:tr w14:paraId="6EF41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4CBA698C">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c>
                <w:tcPr>
                  <w:tcW w:w="983" w:type="dxa"/>
                  <w:vMerge w:val="restart"/>
                  <w:noWrap w:val="0"/>
                  <w:vAlign w:val="center"/>
                </w:tcPr>
                <w:p w14:paraId="0B12018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lang w:eastAsia="zh-CN"/>
                    </w:rPr>
                    <w:t>排气筒</w:t>
                  </w:r>
                </w:p>
              </w:tc>
              <w:tc>
                <w:tcPr>
                  <w:tcW w:w="1111" w:type="dxa"/>
                  <w:noWrap w:val="0"/>
                  <w:vAlign w:val="center"/>
                </w:tcPr>
                <w:p w14:paraId="0D300D39">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氯化氢</w:t>
                  </w:r>
                </w:p>
              </w:tc>
              <w:tc>
                <w:tcPr>
                  <w:tcW w:w="1281" w:type="dxa"/>
                  <w:noWrap w:val="0"/>
                  <w:vAlign w:val="center"/>
                </w:tcPr>
                <w:p w14:paraId="7FA0591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1次/年</w:t>
                  </w:r>
                </w:p>
              </w:tc>
              <w:tc>
                <w:tcPr>
                  <w:tcW w:w="1281" w:type="dxa"/>
                  <w:vMerge w:val="continue"/>
                  <w:noWrap w:val="0"/>
                  <w:vAlign w:val="center"/>
                </w:tcPr>
                <w:p w14:paraId="0A6B65D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vMerge w:val="continue"/>
                  <w:noWrap w:val="0"/>
                  <w:vAlign w:val="center"/>
                </w:tcPr>
                <w:p w14:paraId="40718602">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r>
            <w:tr w14:paraId="4D9B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329C5F65">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p>
              </w:tc>
              <w:tc>
                <w:tcPr>
                  <w:tcW w:w="983" w:type="dxa"/>
                  <w:vMerge w:val="continue"/>
                  <w:noWrap w:val="0"/>
                  <w:vAlign w:val="center"/>
                </w:tcPr>
                <w:p w14:paraId="122BC8F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p>
              </w:tc>
              <w:tc>
                <w:tcPr>
                  <w:tcW w:w="1111" w:type="dxa"/>
                  <w:shd w:val="clear" w:color="auto" w:fill="auto"/>
                  <w:noWrap w:val="0"/>
                  <w:vAlign w:val="center"/>
                </w:tcPr>
                <w:p w14:paraId="3C7BCE32">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非甲烷总烃</w:t>
                  </w:r>
                </w:p>
              </w:tc>
              <w:tc>
                <w:tcPr>
                  <w:tcW w:w="1281" w:type="dxa"/>
                  <w:shd w:val="clear" w:color="auto" w:fill="auto"/>
                  <w:noWrap w:val="0"/>
                  <w:vAlign w:val="center"/>
                </w:tcPr>
                <w:p w14:paraId="1FEBA095">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1次/年</w:t>
                  </w:r>
                </w:p>
              </w:tc>
              <w:tc>
                <w:tcPr>
                  <w:tcW w:w="1281" w:type="dxa"/>
                  <w:vMerge w:val="continue"/>
                  <w:noWrap w:val="0"/>
                  <w:vAlign w:val="center"/>
                </w:tcPr>
                <w:p w14:paraId="7804B88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vMerge w:val="continue"/>
                  <w:tcBorders>
                    <w:bottom w:val="single" w:color="auto" w:sz="4" w:space="0"/>
                  </w:tcBorders>
                  <w:noWrap w:val="0"/>
                  <w:vAlign w:val="center"/>
                </w:tcPr>
                <w:p w14:paraId="58DDCF2E">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r>
            <w:tr w14:paraId="48A09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2EC2573A">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p>
              </w:tc>
              <w:tc>
                <w:tcPr>
                  <w:tcW w:w="983" w:type="dxa"/>
                  <w:vMerge w:val="continue"/>
                  <w:noWrap w:val="0"/>
                  <w:vAlign w:val="center"/>
                </w:tcPr>
                <w:p w14:paraId="5ADDF835">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p>
              </w:tc>
              <w:tc>
                <w:tcPr>
                  <w:tcW w:w="1111" w:type="dxa"/>
                  <w:shd w:val="clear" w:color="auto" w:fill="auto"/>
                  <w:noWrap w:val="0"/>
                  <w:vAlign w:val="center"/>
                </w:tcPr>
                <w:p w14:paraId="3FFCD15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臭气浓度</w:t>
                  </w:r>
                </w:p>
              </w:tc>
              <w:tc>
                <w:tcPr>
                  <w:tcW w:w="1281" w:type="dxa"/>
                  <w:shd w:val="clear" w:color="auto" w:fill="auto"/>
                  <w:noWrap w:val="0"/>
                  <w:vAlign w:val="center"/>
                </w:tcPr>
                <w:p w14:paraId="65EEFB6D">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1次/年</w:t>
                  </w:r>
                </w:p>
              </w:tc>
              <w:tc>
                <w:tcPr>
                  <w:tcW w:w="1281" w:type="dxa"/>
                  <w:vMerge w:val="continue"/>
                  <w:noWrap w:val="0"/>
                  <w:vAlign w:val="center"/>
                </w:tcPr>
                <w:p w14:paraId="7575AB4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tcBorders>
                    <w:top w:val="single" w:color="auto" w:sz="4" w:space="0"/>
                    <w:bottom w:val="single" w:color="auto" w:sz="4" w:space="0"/>
                  </w:tcBorders>
                  <w:noWrap w:val="0"/>
                  <w:vAlign w:val="center"/>
                </w:tcPr>
                <w:p w14:paraId="477C777B">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《恶臭污染物排放标准》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GB14554-93</w:t>
                  </w:r>
                  <w:r>
                    <w:rPr>
                      <w:rFonts w:hint="default" w:ascii="Times New Roman" w:hAnsi="Times New Roman" w:eastAsia="宋体" w:cs="Times New Roman"/>
                      <w:b w:val="0"/>
                      <w:bCs w:val="0"/>
                      <w:color w:val="auto"/>
                      <w:sz w:val="21"/>
                      <w:szCs w:val="21"/>
                      <w:highlight w:val="none"/>
                      <w:lang w:eastAsia="zh-CN"/>
                    </w:rPr>
                    <w:t>）</w:t>
                  </w:r>
                </w:p>
              </w:tc>
            </w:tr>
            <w:tr w14:paraId="1B4C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71B53DD3">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c>
                <w:tcPr>
                  <w:tcW w:w="983" w:type="dxa"/>
                  <w:noWrap w:val="0"/>
                  <w:vAlign w:val="center"/>
                </w:tcPr>
                <w:p w14:paraId="0657C319">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DA004排气筒</w:t>
                  </w:r>
                </w:p>
              </w:tc>
              <w:tc>
                <w:tcPr>
                  <w:tcW w:w="1111" w:type="dxa"/>
                  <w:noWrap w:val="0"/>
                  <w:vAlign w:val="center"/>
                </w:tcPr>
                <w:p w14:paraId="6E110276">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1281" w:type="dxa"/>
                  <w:tcBorders>
                    <w:bottom w:val="single" w:color="auto" w:sz="4" w:space="0"/>
                  </w:tcBorders>
                  <w:noWrap w:val="0"/>
                  <w:vAlign w:val="center"/>
                </w:tcPr>
                <w:p w14:paraId="39F9C85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1次/年</w:t>
                  </w:r>
                </w:p>
              </w:tc>
              <w:tc>
                <w:tcPr>
                  <w:tcW w:w="1281" w:type="dxa"/>
                  <w:vMerge w:val="continue"/>
                  <w:tcBorders>
                    <w:bottom w:val="single" w:color="auto" w:sz="4" w:space="0"/>
                  </w:tcBorders>
                  <w:noWrap w:val="0"/>
                  <w:vAlign w:val="center"/>
                </w:tcPr>
                <w:p w14:paraId="6FAA0EBD">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tcBorders>
                    <w:top w:val="single" w:color="auto" w:sz="4" w:space="0"/>
                    <w:bottom w:val="single" w:color="auto" w:sz="4" w:space="0"/>
                  </w:tcBorders>
                  <w:noWrap w:val="0"/>
                  <w:vAlign w:val="center"/>
                </w:tcPr>
                <w:p w14:paraId="5F5750DD">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《大气污染物综合排放标准》（GB16297-1996）</w:t>
                  </w:r>
                </w:p>
              </w:tc>
            </w:tr>
            <w:tr w14:paraId="34BA1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restart"/>
                  <w:noWrap w:val="0"/>
                  <w:vAlign w:val="center"/>
                </w:tcPr>
                <w:p w14:paraId="2641FE2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无组织废气</w:t>
                  </w:r>
                </w:p>
              </w:tc>
              <w:tc>
                <w:tcPr>
                  <w:tcW w:w="983" w:type="dxa"/>
                  <w:vMerge w:val="restart"/>
                  <w:noWrap w:val="0"/>
                  <w:vAlign w:val="center"/>
                </w:tcPr>
                <w:p w14:paraId="470761CF">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eastAsia="zh-CN"/>
                    </w:rPr>
                    <w:t>上</w:t>
                  </w:r>
                  <w:r>
                    <w:rPr>
                      <w:rFonts w:hint="default" w:ascii="Times New Roman" w:hAnsi="Times New Roman" w:eastAsia="宋体" w:cs="Times New Roman"/>
                      <w:color w:val="auto"/>
                      <w:sz w:val="21"/>
                      <w:szCs w:val="21"/>
                      <w:highlight w:val="none"/>
                      <w:lang w:val="en-US" w:eastAsia="zh-CN"/>
                    </w:rPr>
                    <w:t>风向1个点位</w:t>
                  </w:r>
                  <w:r>
                    <w:rPr>
                      <w:rFonts w:hint="default" w:ascii="Times New Roman" w:hAnsi="Times New Roman" w:eastAsia="宋体" w:cs="Times New Roman"/>
                      <w:color w:val="auto"/>
                      <w:sz w:val="21"/>
                      <w:szCs w:val="21"/>
                      <w:highlight w:val="none"/>
                      <w:lang w:eastAsia="zh-CN"/>
                    </w:rPr>
                    <w:t>、下风向</w:t>
                  </w:r>
                  <w:r>
                    <w:rPr>
                      <w:rFonts w:hint="default" w:ascii="Times New Roman" w:hAnsi="Times New Roman" w:eastAsia="宋体" w:cs="Times New Roman"/>
                      <w:color w:val="auto"/>
                      <w:sz w:val="21"/>
                      <w:szCs w:val="21"/>
                      <w:highlight w:val="none"/>
                      <w:lang w:val="en-US" w:eastAsia="zh-CN"/>
                    </w:rPr>
                    <w:t>3个点位</w:t>
                  </w:r>
                </w:p>
              </w:tc>
              <w:tc>
                <w:tcPr>
                  <w:tcW w:w="1111" w:type="dxa"/>
                  <w:tcBorders>
                    <w:top w:val="single" w:color="auto" w:sz="4" w:space="0"/>
                    <w:bottom w:val="single" w:color="auto" w:sz="4" w:space="0"/>
                  </w:tcBorders>
                  <w:noWrap w:val="0"/>
                  <w:vAlign w:val="center"/>
                </w:tcPr>
                <w:p w14:paraId="507DC158">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非甲烷总烃</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颗粒物、</w:t>
                  </w:r>
                  <w:r>
                    <w:rPr>
                      <w:rFonts w:hint="default" w:ascii="Times New Roman" w:hAnsi="Times New Roman" w:eastAsia="宋体" w:cs="Times New Roman"/>
                      <w:color w:val="auto"/>
                      <w:sz w:val="21"/>
                      <w:szCs w:val="21"/>
                      <w:highlight w:val="none"/>
                      <w:lang w:val="en-US" w:eastAsia="zh-CN"/>
                    </w:rPr>
                    <w:t>氯化氢</w:t>
                  </w:r>
                </w:p>
              </w:tc>
              <w:tc>
                <w:tcPr>
                  <w:tcW w:w="1281" w:type="dxa"/>
                  <w:tcBorders>
                    <w:top w:val="single" w:color="auto" w:sz="4" w:space="0"/>
                  </w:tcBorders>
                  <w:noWrap w:val="0"/>
                  <w:vAlign w:val="center"/>
                </w:tcPr>
                <w:p w14:paraId="2871128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13"/>
                      <w:sz w:val="21"/>
                      <w:szCs w:val="21"/>
                      <w:highlight w:val="none"/>
                    </w:rPr>
                    <w:t>1次/年</w:t>
                  </w:r>
                </w:p>
              </w:tc>
              <w:tc>
                <w:tcPr>
                  <w:tcW w:w="1281" w:type="dxa"/>
                  <w:vMerge w:val="restart"/>
                  <w:tcBorders>
                    <w:top w:val="single" w:color="auto" w:sz="4" w:space="0"/>
                  </w:tcBorders>
                  <w:noWrap w:val="0"/>
                  <w:vAlign w:val="center"/>
                </w:tcPr>
                <w:p w14:paraId="53D4CBFB">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企业自行或委托其他检（监）测机构代其开展监测</w:t>
                  </w:r>
                </w:p>
              </w:tc>
              <w:tc>
                <w:tcPr>
                  <w:tcW w:w="2483" w:type="dxa"/>
                  <w:tcBorders>
                    <w:top w:val="single" w:color="auto" w:sz="4" w:space="0"/>
                  </w:tcBorders>
                  <w:noWrap w:val="0"/>
                  <w:vAlign w:val="center"/>
                </w:tcPr>
                <w:p w14:paraId="57B0A5AC">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《大气污染物综合排放标准》（GB16297-1996）</w:t>
                  </w:r>
                </w:p>
              </w:tc>
            </w:tr>
            <w:tr w14:paraId="0BCA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7132087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983" w:type="dxa"/>
                  <w:vMerge w:val="continue"/>
                  <w:noWrap w:val="0"/>
                  <w:vAlign w:val="center"/>
                </w:tcPr>
                <w:p w14:paraId="2E811F70">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c>
                <w:tcPr>
                  <w:tcW w:w="1111" w:type="dxa"/>
                  <w:tcBorders>
                    <w:top w:val="single" w:color="auto" w:sz="4" w:space="0"/>
                    <w:bottom w:val="single" w:color="auto" w:sz="4" w:space="0"/>
                  </w:tcBorders>
                  <w:noWrap w:val="0"/>
                  <w:vAlign w:val="center"/>
                </w:tcPr>
                <w:p w14:paraId="505D544F">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NH</w:t>
                  </w:r>
                  <w:r>
                    <w:rPr>
                      <w:rFonts w:hint="default" w:ascii="Times New Roman" w:hAnsi="Times New Roman" w:eastAsia="宋体" w:cs="Times New Roman"/>
                      <w:color w:val="auto"/>
                      <w:sz w:val="21"/>
                      <w:szCs w:val="21"/>
                      <w:highlight w:val="none"/>
                      <w:vertAlign w:val="subscript"/>
                      <w:lang w:bidi="ar"/>
                    </w:rPr>
                    <w:t>3</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lang w:bidi="ar"/>
                    </w:rPr>
                    <w:t>H</w:t>
                  </w:r>
                  <w:r>
                    <w:rPr>
                      <w:rFonts w:hint="default" w:ascii="Times New Roman" w:hAnsi="Times New Roman" w:eastAsia="宋体" w:cs="Times New Roman"/>
                      <w:color w:val="auto"/>
                      <w:sz w:val="21"/>
                      <w:szCs w:val="21"/>
                      <w:highlight w:val="none"/>
                      <w:vertAlign w:val="subscript"/>
                      <w:lang w:bidi="ar"/>
                    </w:rPr>
                    <w:t>2</w:t>
                  </w:r>
                  <w:r>
                    <w:rPr>
                      <w:rFonts w:hint="default" w:ascii="Times New Roman" w:hAnsi="Times New Roman" w:eastAsia="宋体" w:cs="Times New Roman"/>
                      <w:color w:val="auto"/>
                      <w:sz w:val="21"/>
                      <w:szCs w:val="21"/>
                      <w:highlight w:val="none"/>
                      <w:lang w:bidi="ar"/>
                    </w:rPr>
                    <w:t>S</w:t>
                  </w:r>
                </w:p>
              </w:tc>
              <w:tc>
                <w:tcPr>
                  <w:tcW w:w="1281" w:type="dxa"/>
                  <w:noWrap w:val="0"/>
                  <w:vAlign w:val="center"/>
                </w:tcPr>
                <w:p w14:paraId="3EDC740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13"/>
                      <w:sz w:val="21"/>
                      <w:szCs w:val="21"/>
                      <w:highlight w:val="none"/>
                    </w:rPr>
                    <w:t>1次/年</w:t>
                  </w:r>
                </w:p>
              </w:tc>
              <w:tc>
                <w:tcPr>
                  <w:tcW w:w="1281" w:type="dxa"/>
                  <w:vMerge w:val="continue"/>
                  <w:noWrap w:val="0"/>
                  <w:vAlign w:val="center"/>
                </w:tcPr>
                <w:p w14:paraId="2D87B7DF">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vMerge w:val="restart"/>
                  <w:noWrap w:val="0"/>
                  <w:vAlign w:val="center"/>
                </w:tcPr>
                <w:p w14:paraId="17B0EF0A">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default" w:ascii="Times New Roman" w:hAnsi="Times New Roman" w:eastAsia="宋体" w:cs="Times New Roman"/>
                      <w:color w:val="auto"/>
                      <w:sz w:val="21"/>
                      <w:szCs w:val="21"/>
                      <w:highlight w:val="none"/>
                      <w:lang w:eastAsia="zh-CN"/>
                    </w:rPr>
                    <w:t>）</w:t>
                  </w:r>
                </w:p>
              </w:tc>
            </w:tr>
            <w:tr w14:paraId="1BF5C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4DC5B992">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983" w:type="dxa"/>
                  <w:vMerge w:val="continue"/>
                  <w:noWrap w:val="0"/>
                  <w:vAlign w:val="center"/>
                </w:tcPr>
                <w:p w14:paraId="46184204">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c>
                <w:tcPr>
                  <w:tcW w:w="1111" w:type="dxa"/>
                  <w:tcBorders>
                    <w:top w:val="single" w:color="auto" w:sz="4" w:space="0"/>
                    <w:bottom w:val="single" w:color="auto" w:sz="4" w:space="0"/>
                  </w:tcBorders>
                  <w:noWrap w:val="0"/>
                  <w:vAlign w:val="center"/>
                </w:tcPr>
                <w:p w14:paraId="74AAA4B2">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臭气浓度</w:t>
                  </w:r>
                </w:p>
              </w:tc>
              <w:tc>
                <w:tcPr>
                  <w:tcW w:w="1281" w:type="dxa"/>
                  <w:noWrap w:val="0"/>
                  <w:vAlign w:val="center"/>
                </w:tcPr>
                <w:p w14:paraId="102B1867">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13"/>
                      <w:sz w:val="21"/>
                      <w:szCs w:val="21"/>
                      <w:highlight w:val="none"/>
                    </w:rPr>
                    <w:t>1次/年</w:t>
                  </w:r>
                </w:p>
              </w:tc>
              <w:tc>
                <w:tcPr>
                  <w:tcW w:w="1281" w:type="dxa"/>
                  <w:vMerge w:val="continue"/>
                  <w:noWrap w:val="0"/>
                  <w:vAlign w:val="center"/>
                </w:tcPr>
                <w:p w14:paraId="234270D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vMerge w:val="continue"/>
                  <w:noWrap w:val="0"/>
                  <w:vAlign w:val="center"/>
                </w:tcPr>
                <w:p w14:paraId="1148649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rPr>
                  </w:pPr>
                </w:p>
              </w:tc>
            </w:tr>
            <w:tr w14:paraId="33DC1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6" w:type="dxa"/>
                  <w:vMerge w:val="continue"/>
                  <w:noWrap w:val="0"/>
                  <w:vAlign w:val="center"/>
                </w:tcPr>
                <w:p w14:paraId="07C7044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983" w:type="dxa"/>
                  <w:noWrap w:val="0"/>
                  <w:vAlign w:val="center"/>
                </w:tcPr>
                <w:p w14:paraId="6EE7826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厂区内</w:t>
                  </w:r>
                </w:p>
              </w:tc>
              <w:tc>
                <w:tcPr>
                  <w:tcW w:w="1111" w:type="dxa"/>
                  <w:tcBorders>
                    <w:top w:val="single" w:color="auto" w:sz="4" w:space="0"/>
                  </w:tcBorders>
                  <w:noWrap w:val="0"/>
                  <w:vAlign w:val="center"/>
                </w:tcPr>
                <w:p w14:paraId="3E9D2714">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NMHC</w:t>
                  </w:r>
                </w:p>
              </w:tc>
              <w:tc>
                <w:tcPr>
                  <w:tcW w:w="1281" w:type="dxa"/>
                  <w:noWrap w:val="0"/>
                  <w:vAlign w:val="center"/>
                </w:tcPr>
                <w:p w14:paraId="588D0DFA">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pacing w:val="-10"/>
                      <w:sz w:val="21"/>
                      <w:szCs w:val="21"/>
                      <w:highlight w:val="none"/>
                    </w:rPr>
                    <w:t>1次/年</w:t>
                  </w:r>
                </w:p>
              </w:tc>
              <w:tc>
                <w:tcPr>
                  <w:tcW w:w="1281" w:type="dxa"/>
                  <w:vMerge w:val="continue"/>
                  <w:noWrap w:val="0"/>
                  <w:vAlign w:val="center"/>
                </w:tcPr>
                <w:p w14:paraId="2A30A10E">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p>
              </w:tc>
              <w:tc>
                <w:tcPr>
                  <w:tcW w:w="2483" w:type="dxa"/>
                  <w:noWrap w:val="0"/>
                  <w:vAlign w:val="center"/>
                </w:tcPr>
                <w:p w14:paraId="7F9121D7">
                  <w:pPr>
                    <w:pStyle w:val="48"/>
                    <w:keepNext w:val="0"/>
                    <w:keepLines w:val="0"/>
                    <w:pageBreakBefore w:val="0"/>
                    <w:kinsoku/>
                    <w:overflowPunct/>
                    <w:topLinePunct/>
                    <w:autoSpaceDE w:val="0"/>
                    <w:bidi w:val="0"/>
                    <w:adjustRightInd w:val="0"/>
                    <w:snapToGrid w:val="0"/>
                    <w:spacing w:before="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aps w:val="0"/>
                      <w:smallCaps w:val="0"/>
                      <w:color w:val="auto"/>
                      <w:sz w:val="21"/>
                      <w:szCs w:val="21"/>
                      <w:highlight w:val="none"/>
                    </w:rPr>
                    <w:t>《挥发性有机物无组织排放控制标准》（GB37822-2019）</w:t>
                  </w:r>
                </w:p>
              </w:tc>
            </w:tr>
          </w:tbl>
          <w:p w14:paraId="37D40175">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bCs w:val="0"/>
                <w:strike w:val="0"/>
                <w:dstrike w:val="0"/>
                <w:color w:val="auto"/>
                <w:spacing w:val="-10"/>
                <w:sz w:val="24"/>
                <w:szCs w:val="24"/>
                <w:highlight w:val="none"/>
                <w:lang w:eastAsia="zh-CN"/>
              </w:rPr>
            </w:pPr>
            <w:r>
              <w:rPr>
                <w:rFonts w:hint="default" w:ascii="Times New Roman" w:hAnsi="Times New Roman" w:eastAsia="宋体" w:cs="Times New Roman"/>
                <w:b/>
                <w:bCs w:val="0"/>
                <w:strike w:val="0"/>
                <w:dstrike w:val="0"/>
                <w:color w:val="auto"/>
                <w:spacing w:val="-10"/>
                <w:sz w:val="24"/>
                <w:szCs w:val="24"/>
                <w:highlight w:val="none"/>
                <w:lang w:eastAsia="zh-CN"/>
              </w:rPr>
              <w:t>二、水环境影响和保护措施</w:t>
            </w:r>
          </w:p>
          <w:p w14:paraId="1BB3B0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b/>
                <w:bCs/>
                <w:strike w:val="0"/>
                <w:dstrike w:val="0"/>
                <w:color w:val="auto"/>
                <w:sz w:val="24"/>
                <w:szCs w:val="24"/>
                <w:highlight w:val="none"/>
                <w:lang w:val="en-US" w:eastAsia="zh-CN"/>
              </w:rPr>
              <w:t>1.废水源强核算</w:t>
            </w:r>
          </w:p>
          <w:p w14:paraId="6F9A86A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trike w:val="0"/>
                <w:dstrike w:val="0"/>
                <w:color w:val="auto"/>
                <w:spacing w:val="-4"/>
                <w:sz w:val="24"/>
                <w:szCs w:val="24"/>
                <w:highlight w:val="none"/>
                <w:lang w:val="en-US" w:eastAsia="zh-CN"/>
              </w:rPr>
            </w:pPr>
            <w:r>
              <w:rPr>
                <w:rFonts w:hint="default" w:ascii="Times New Roman" w:hAnsi="Times New Roman" w:eastAsia="宋体" w:cs="Times New Roman"/>
                <w:bCs/>
                <w:strike w:val="0"/>
                <w:dstrike w:val="0"/>
                <w:color w:val="auto"/>
                <w:sz w:val="24"/>
                <w:highlight w:val="none"/>
                <w:lang w:val="en-US" w:eastAsia="zh-CN"/>
              </w:rPr>
              <w:t>项目</w:t>
            </w:r>
            <w:r>
              <w:rPr>
                <w:rFonts w:hint="default" w:ascii="Times New Roman" w:hAnsi="Times New Roman" w:eastAsia="宋体" w:cs="Times New Roman"/>
                <w:bCs/>
                <w:strike w:val="0"/>
                <w:dstrike w:val="0"/>
                <w:color w:val="auto"/>
                <w:sz w:val="24"/>
                <w:highlight w:val="none"/>
              </w:rPr>
              <w:t>具体产污情况详见水平衡章节。</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根据项目水平衡分析，废水产生量如下：</w:t>
            </w:r>
          </w:p>
          <w:p w14:paraId="6C889F9C">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（1）生产废水</w:t>
            </w:r>
          </w:p>
          <w:p w14:paraId="0A0889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eastAsia" w:cs="Times New Roman"/>
                <w:b/>
                <w:bCs/>
                <w:strike w:val="0"/>
                <w:dstrike w:val="0"/>
                <w:color w:val="auto"/>
                <w:spacing w:val="-5"/>
                <w:sz w:val="24"/>
                <w:szCs w:val="24"/>
                <w:highlight w:val="none"/>
                <w:lang w:val="en-US" w:eastAsia="zh-CN"/>
              </w:rPr>
              <w:t>珠胚清洗</w:t>
            </w:r>
            <w:r>
              <w:rPr>
                <w:rFonts w:hint="default" w:ascii="Times New Roman" w:hAnsi="Times New Roman" w:eastAsia="宋体" w:cs="Times New Roman"/>
                <w:b/>
                <w:bCs/>
                <w:strike w:val="0"/>
                <w:dstrike w:val="0"/>
                <w:color w:val="auto"/>
                <w:spacing w:val="-5"/>
                <w:sz w:val="24"/>
                <w:szCs w:val="24"/>
                <w:highlight w:val="none"/>
                <w:lang w:val="en-US" w:eastAsia="zh-CN"/>
              </w:rPr>
              <w:t>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4"/>
                <w:sz w:val="24"/>
                <w:szCs w:val="24"/>
                <w:highlight w:val="none"/>
              </w:rPr>
              <w:t>废水经</w:t>
            </w:r>
            <w:r>
              <w:rPr>
                <w:rFonts w:hint="eastAsia" w:cs="Times New Roman"/>
                <w:color w:val="auto"/>
                <w:spacing w:val="-4"/>
                <w:sz w:val="24"/>
                <w:szCs w:val="24"/>
                <w:highlight w:val="none"/>
                <w:lang w:val="en-US" w:eastAsia="zh-CN"/>
              </w:rPr>
              <w:t>珠胚循环水池</w:t>
            </w:r>
            <w:r>
              <w:rPr>
                <w:rFonts w:hint="default" w:ascii="Times New Roman" w:hAnsi="Times New Roman" w:eastAsia="宋体" w:cs="Times New Roman"/>
                <w:color w:val="auto"/>
                <w:spacing w:val="-4"/>
                <w:sz w:val="24"/>
                <w:szCs w:val="24"/>
                <w:highlight w:val="none"/>
                <w:lang w:val="en-US" w:eastAsia="zh-CN"/>
              </w:rPr>
              <w:t>“</w:t>
            </w:r>
            <w:r>
              <w:rPr>
                <w:rFonts w:hint="eastAsia" w:cs="Times New Roman"/>
                <w:color w:val="auto"/>
                <w:sz w:val="24"/>
                <w:highlight w:val="none"/>
                <w:lang w:val="en-US" w:eastAsia="zh-CN"/>
              </w:rPr>
              <w:t>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pacing w:val="-4"/>
                <w:sz w:val="24"/>
                <w:szCs w:val="24"/>
                <w:highlight w:val="none"/>
              </w:rPr>
              <w:t>处</w:t>
            </w:r>
            <w:r>
              <w:rPr>
                <w:rFonts w:hint="default" w:ascii="Times New Roman" w:hAnsi="Times New Roman" w:eastAsia="宋体" w:cs="Times New Roman"/>
                <w:color w:val="auto"/>
                <w:spacing w:val="-1"/>
                <w:sz w:val="24"/>
                <w:szCs w:val="24"/>
                <w:highlight w:val="none"/>
              </w:rPr>
              <w:t>理后大部分循环回用，小部分排至生化污水处理站处理</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b w:val="0"/>
                <w:bCs w:val="0"/>
                <w:strike w:val="0"/>
                <w:dstrike w:val="0"/>
                <w:color w:val="auto"/>
                <w:spacing w:val="-5"/>
                <w:sz w:val="24"/>
                <w:szCs w:val="24"/>
                <w:highlight w:val="none"/>
                <w:lang w:val="en-US" w:eastAsia="zh-CN"/>
              </w:rPr>
              <w:t>该工序</w:t>
            </w:r>
            <w:r>
              <w:rPr>
                <w:rFonts w:hint="default" w:ascii="Times New Roman" w:hAnsi="Times New Roman" w:eastAsia="宋体" w:cs="Times New Roman"/>
                <w:color w:val="auto"/>
                <w:spacing w:val="-7"/>
                <w:sz w:val="24"/>
                <w:szCs w:val="24"/>
                <w:highlight w:val="none"/>
              </w:rPr>
              <w:t>外排废水量约为</w:t>
            </w:r>
            <w:r>
              <w:rPr>
                <w:rFonts w:hint="default" w:ascii="Times New Roman" w:hAnsi="Times New Roman" w:eastAsia="宋体" w:cs="Times New Roman"/>
                <w:color w:val="auto"/>
                <w:spacing w:val="-7"/>
                <w:sz w:val="24"/>
                <w:szCs w:val="24"/>
                <w:highlight w:val="none"/>
                <w:lang w:val="en-US" w:eastAsia="zh-CN"/>
              </w:rPr>
              <w:t>3.</w:t>
            </w:r>
            <w:r>
              <w:rPr>
                <w:rFonts w:hint="eastAsia" w:cs="Times New Roman"/>
                <w:color w:val="auto"/>
                <w:spacing w:val="-7"/>
                <w:sz w:val="24"/>
                <w:szCs w:val="24"/>
                <w:highlight w:val="none"/>
                <w:lang w:val="en-US" w:eastAsia="zh-CN"/>
              </w:rPr>
              <w:t>2</w:t>
            </w:r>
            <w:r>
              <w:rPr>
                <w:rFonts w:hint="default" w:ascii="Times New Roman" w:hAnsi="Times New Roman" w:eastAsia="宋体" w:cs="Times New Roman"/>
                <w:color w:val="auto"/>
                <w:spacing w:val="-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/d</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、SS等。</w:t>
            </w:r>
          </w:p>
          <w:p w14:paraId="0B8692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磨抛废水：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工序废水经管道收集后排至</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4"/>
                <w:sz w:val="24"/>
                <w:szCs w:val="24"/>
                <w:highlight w:val="none"/>
                <w:lang w:val="en-US" w:eastAsia="zh-CN"/>
              </w:rPr>
              <w:t>循环水池“</w:t>
            </w:r>
            <w:r>
              <w:rPr>
                <w:rFonts w:hint="eastAsia" w:cs="Times New Roman"/>
                <w:color w:val="auto"/>
                <w:sz w:val="24"/>
                <w:highlight w:val="none"/>
                <w:lang w:val="en-US" w:eastAsia="zh-CN"/>
              </w:rPr>
              <w:t>磁混凝沉淀+压滤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pacing w:val="-3"/>
                <w:sz w:val="24"/>
                <w:szCs w:val="24"/>
                <w:highlight w:val="none"/>
              </w:rPr>
              <w:t>处理后大部分输送</w:t>
            </w:r>
            <w:r>
              <w:rPr>
                <w:rFonts w:hint="default" w:ascii="Times New Roman" w:hAnsi="Times New Roman" w:eastAsia="宋体" w:cs="Times New Roman"/>
                <w:color w:val="auto"/>
                <w:spacing w:val="-4"/>
                <w:sz w:val="24"/>
                <w:szCs w:val="24"/>
                <w:highlight w:val="none"/>
              </w:rPr>
              <w:t>回</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4"/>
                <w:sz w:val="24"/>
                <w:szCs w:val="24"/>
                <w:highlight w:val="none"/>
              </w:rPr>
              <w:t>车间循环使用，少部分排至生化污</w:t>
            </w:r>
            <w:r>
              <w:rPr>
                <w:rFonts w:hint="default" w:ascii="Times New Roman" w:hAnsi="Times New Roman" w:eastAsia="宋体" w:cs="Times New Roman"/>
                <w:color w:val="auto"/>
                <w:spacing w:val="-2"/>
                <w:sz w:val="24"/>
                <w:szCs w:val="24"/>
                <w:highlight w:val="none"/>
              </w:rPr>
              <w:t>水处理站处理</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b w:val="0"/>
                <w:bCs w:val="0"/>
                <w:strike w:val="0"/>
                <w:dstrike w:val="0"/>
                <w:color w:val="auto"/>
                <w:spacing w:val="-5"/>
                <w:sz w:val="24"/>
                <w:szCs w:val="24"/>
                <w:highlight w:val="none"/>
                <w:lang w:val="en-US" w:eastAsia="zh-CN"/>
              </w:rPr>
              <w:t>该工序</w:t>
            </w:r>
            <w:r>
              <w:rPr>
                <w:rFonts w:hint="default" w:ascii="Times New Roman" w:hAnsi="Times New Roman" w:eastAsia="宋体" w:cs="Times New Roman"/>
                <w:color w:val="auto"/>
                <w:spacing w:val="-7"/>
                <w:sz w:val="24"/>
                <w:szCs w:val="24"/>
                <w:highlight w:val="none"/>
              </w:rPr>
              <w:t>外排废水量约为</w:t>
            </w:r>
            <w:r>
              <w:rPr>
                <w:rFonts w:hint="eastAsia" w:cs="Times New Roman"/>
                <w:color w:val="auto"/>
                <w:spacing w:val="-7"/>
                <w:sz w:val="24"/>
                <w:szCs w:val="24"/>
                <w:highlight w:val="none"/>
                <w:lang w:val="en-US" w:eastAsia="zh-CN"/>
              </w:rPr>
              <w:t>130</w:t>
            </w:r>
            <w:r>
              <w:rPr>
                <w:rFonts w:hint="default" w:ascii="Times New Roman" w:hAnsi="Times New Roman" w:eastAsia="宋体" w:cs="Times New Roman"/>
                <w:color w:val="auto"/>
                <w:spacing w:val="-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/d</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、SS等。</w:t>
            </w:r>
          </w:p>
          <w:p w14:paraId="5997F0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strike w:val="0"/>
                <w:dstrike w:val="0"/>
                <w:color w:val="auto"/>
                <w:spacing w:val="-5"/>
                <w:sz w:val="24"/>
                <w:szCs w:val="24"/>
                <w:highlight w:val="none"/>
                <w:lang w:val="en-US" w:eastAsia="zh-CN"/>
              </w:rPr>
              <w:t>圆磨废水：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color w:val="auto"/>
                <w:spacing w:val="-3"/>
                <w:sz w:val="24"/>
                <w:szCs w:val="24"/>
                <w:highlight w:val="none"/>
              </w:rPr>
              <w:t>圆磨工段废水经管道收集后经厂区圆</w:t>
            </w:r>
            <w:r>
              <w:rPr>
                <w:rFonts w:hint="default" w:ascii="Times New Roman" w:hAnsi="Times New Roman" w:eastAsia="宋体" w:cs="Times New Roman"/>
                <w:color w:val="auto"/>
                <w:sz w:val="24"/>
                <w:szCs w:val="24"/>
                <w:highlight w:val="none"/>
              </w:rPr>
              <w:t>磨循环水池</w:t>
            </w:r>
            <w:r>
              <w:rPr>
                <w:rFonts w:hint="default" w:ascii="Times New Roman" w:hAnsi="Times New Roman" w:eastAsia="宋体" w:cs="Times New Roman"/>
                <w:color w:val="auto"/>
                <w:spacing w:val="-4"/>
                <w:sz w:val="24"/>
                <w:szCs w:val="24"/>
                <w:highlight w:val="none"/>
                <w:lang w:val="en-US" w:eastAsia="zh-CN"/>
              </w:rPr>
              <w:t>“</w:t>
            </w:r>
            <w:r>
              <w:rPr>
                <w:rFonts w:hint="eastAsia" w:cs="Times New Roman"/>
                <w:color w:val="auto"/>
                <w:sz w:val="24"/>
                <w:highlight w:val="none"/>
                <w:lang w:val="en-US" w:eastAsia="zh-CN"/>
              </w:rPr>
              <w:t>磁混凝沉淀+压滤</w:t>
            </w:r>
            <w:r>
              <w:rPr>
                <w:rFonts w:hint="default"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z w:val="24"/>
                <w:szCs w:val="24"/>
                <w:highlight w:val="none"/>
              </w:rPr>
              <w:t>处理后大部分循环回用于圆磨用水，少部分</w:t>
            </w:r>
            <w:r>
              <w:rPr>
                <w:rFonts w:hint="default" w:ascii="Times New Roman" w:hAnsi="Times New Roman" w:eastAsia="宋体" w:cs="Times New Roman"/>
                <w:color w:val="auto"/>
                <w:spacing w:val="-1"/>
                <w:sz w:val="24"/>
                <w:szCs w:val="24"/>
                <w:highlight w:val="none"/>
              </w:rPr>
              <w:t>排至生化污水处理站处理</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b w:val="0"/>
                <w:bCs w:val="0"/>
                <w:strike w:val="0"/>
                <w:dstrike w:val="0"/>
                <w:color w:val="auto"/>
                <w:spacing w:val="-5"/>
                <w:sz w:val="24"/>
                <w:szCs w:val="24"/>
                <w:highlight w:val="none"/>
                <w:lang w:val="en-US" w:eastAsia="zh-CN"/>
              </w:rPr>
              <w:t>该工序</w:t>
            </w:r>
            <w:r>
              <w:rPr>
                <w:rFonts w:hint="default" w:ascii="Times New Roman" w:hAnsi="Times New Roman" w:eastAsia="宋体" w:cs="Times New Roman"/>
                <w:color w:val="auto"/>
                <w:spacing w:val="-7"/>
                <w:sz w:val="24"/>
                <w:szCs w:val="24"/>
                <w:highlight w:val="none"/>
              </w:rPr>
              <w:t>外排废水量约为</w:t>
            </w:r>
            <w:r>
              <w:rPr>
                <w:rFonts w:hint="eastAsia" w:cs="Times New Roman"/>
                <w:color w:val="auto"/>
                <w:spacing w:val="-7"/>
                <w:sz w:val="24"/>
                <w:szCs w:val="24"/>
                <w:highlight w:val="none"/>
                <w:lang w:val="en-US" w:eastAsia="zh-CN"/>
              </w:rPr>
              <w:t>100</w:t>
            </w:r>
            <w:r>
              <w:rPr>
                <w:rFonts w:hint="default" w:ascii="Times New Roman" w:hAnsi="Times New Roman" w:eastAsia="宋体" w:cs="Times New Roman"/>
                <w:color w:val="auto"/>
                <w:spacing w:val="-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/d</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主要污染物为COD、</w:t>
            </w:r>
            <w:r>
              <w:rPr>
                <w:rFonts w:hint="default" w:ascii="Times New Roman" w:hAnsi="Times New Roman" w:eastAsia="宋体" w:cs="Times New Roman"/>
                <w:color w:val="auto"/>
                <w:sz w:val="24"/>
                <w:szCs w:val="24"/>
                <w:highlight w:val="none"/>
              </w:rPr>
              <w:t>BOD5、SS等。</w:t>
            </w:r>
          </w:p>
          <w:p w14:paraId="7255D2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碱洗废水：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color w:val="auto"/>
                <w:spacing w:val="5"/>
                <w:sz w:val="24"/>
                <w:szCs w:val="24"/>
                <w:highlight w:val="none"/>
                <w:lang w:val="en-US" w:eastAsia="zh-CN"/>
              </w:rPr>
              <w:t>碱洗废水产生量</w:t>
            </w:r>
            <w:r>
              <w:rPr>
                <w:rFonts w:hint="default" w:ascii="Times New Roman" w:hAnsi="Times New Roman" w:eastAsia="宋体" w:cs="Times New Roman"/>
                <w:color w:val="auto"/>
                <w:spacing w:val="-3"/>
                <w:sz w:val="24"/>
                <w:szCs w:val="24"/>
                <w:highlight w:val="none"/>
                <w:lang w:val="en-US" w:eastAsia="zh-CN"/>
              </w:rPr>
              <w:t>为</w:t>
            </w:r>
            <w:r>
              <w:rPr>
                <w:rFonts w:hint="eastAsia" w:cs="Times New Roman"/>
                <w:color w:val="auto"/>
                <w:spacing w:val="-2"/>
                <w:sz w:val="24"/>
                <w:szCs w:val="24"/>
                <w:highlight w:val="none"/>
                <w:lang w:val="en-US" w:eastAsia="zh-CN"/>
              </w:rPr>
              <w:t>10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3"/>
                <w:sz w:val="24"/>
                <w:szCs w:val="24"/>
                <w:highlight w:val="none"/>
                <w:lang w:val="en-US" w:eastAsia="zh-CN"/>
              </w:rPr>
              <w:t>，</w:t>
            </w:r>
            <w:r>
              <w:rPr>
                <w:rFonts w:hint="default" w:ascii="Times New Roman" w:hAnsi="Times New Roman" w:eastAsia="宋体" w:cs="Times New Roman"/>
                <w:color w:val="auto"/>
                <w:spacing w:val="-2"/>
                <w:sz w:val="24"/>
                <w:szCs w:val="24"/>
                <w:highlight w:val="none"/>
              </w:rPr>
              <w:t>碱洗废水</w:t>
            </w:r>
            <w:r>
              <w:rPr>
                <w:rFonts w:hint="default" w:ascii="Times New Roman" w:hAnsi="Times New Roman" w:eastAsia="宋体" w:cs="Times New Roman"/>
                <w:color w:val="auto"/>
                <w:spacing w:val="-2"/>
                <w:sz w:val="24"/>
                <w:szCs w:val="24"/>
                <w:highlight w:val="none"/>
                <w:lang w:val="en-US" w:eastAsia="zh-CN"/>
              </w:rPr>
              <w:t>经</w:t>
            </w:r>
            <w:r>
              <w:rPr>
                <w:rFonts w:hint="eastAsia" w:cs="Times New Roman"/>
                <w:color w:val="auto"/>
                <w:spacing w:val="-2"/>
                <w:sz w:val="24"/>
                <w:szCs w:val="24"/>
                <w:highlight w:val="none"/>
                <w:lang w:val="en-US" w:eastAsia="zh-CN"/>
              </w:rPr>
              <w:t>收集池沉淀</w:t>
            </w:r>
            <w:r>
              <w:rPr>
                <w:rFonts w:hint="default" w:ascii="Times New Roman" w:hAnsi="Times New Roman" w:eastAsia="宋体" w:cs="Times New Roman"/>
                <w:color w:val="auto"/>
                <w:spacing w:val="-2"/>
                <w:sz w:val="24"/>
                <w:szCs w:val="24"/>
                <w:highlight w:val="none"/>
                <w:lang w:val="en-US" w:eastAsia="zh-CN"/>
              </w:rPr>
              <w:t>处理后</w:t>
            </w:r>
            <w:r>
              <w:rPr>
                <w:rFonts w:hint="eastAsia" w:cs="Times New Roman"/>
                <w:color w:val="auto"/>
                <w:spacing w:val="-2"/>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上层澄清的</w:t>
            </w:r>
            <w:r>
              <w:rPr>
                <w:rFonts w:hint="default" w:ascii="Times New Roman" w:hAnsi="Times New Roman" w:eastAsia="宋体" w:cs="Times New Roman"/>
                <w:color w:val="auto"/>
                <w:sz w:val="24"/>
                <w:szCs w:val="24"/>
                <w:highlight w:val="none"/>
                <w:lang w:val="en-US" w:eastAsia="zh-CN"/>
              </w:rPr>
              <w:t>NaOH</w:t>
            </w:r>
            <w:r>
              <w:rPr>
                <w:rFonts w:hint="eastAsia" w:ascii="Times New Roman" w:hAnsi="Times New Roman" w:eastAsia="宋体" w:cs="Times New Roman"/>
                <w:color w:val="auto"/>
                <w:sz w:val="24"/>
                <w:szCs w:val="24"/>
                <w:highlight w:val="none"/>
                <w:lang w:val="en-US" w:eastAsia="zh-CN"/>
              </w:rPr>
              <w:t>溶液经管道输送回车间循环使用</w:t>
            </w:r>
            <w:r>
              <w:rPr>
                <w:rFonts w:hint="default" w:ascii="Times New Roman" w:hAnsi="Times New Roman" w:eastAsia="宋体" w:cs="Times New Roman"/>
                <w:color w:val="auto"/>
                <w:spacing w:val="-2"/>
                <w:sz w:val="24"/>
                <w:szCs w:val="24"/>
                <w:highlight w:val="none"/>
                <w:lang w:val="en-US" w:eastAsia="zh-CN"/>
              </w:rPr>
              <w:t>，</w:t>
            </w:r>
            <w:r>
              <w:rPr>
                <w:rFonts w:hint="eastAsia" w:cs="Times New Roman"/>
                <w:color w:val="auto"/>
                <w:sz w:val="24"/>
                <w:szCs w:val="24"/>
                <w:highlight w:val="none"/>
                <w:lang w:val="en-US" w:eastAsia="zh-CN"/>
              </w:rPr>
              <w:t>其</w:t>
            </w:r>
            <w:r>
              <w:rPr>
                <w:rFonts w:hint="eastAsia" w:ascii="Times New Roman" w:hAnsi="Times New Roman" w:eastAsia="宋体" w:cs="Times New Roman"/>
                <w:color w:val="auto"/>
                <w:sz w:val="24"/>
                <w:szCs w:val="24"/>
                <w:highlight w:val="none"/>
                <w:lang w:val="en-US" w:eastAsia="zh-CN"/>
              </w:rPr>
              <w:t>余经调节池进行</w:t>
            </w:r>
            <w:r>
              <w:rPr>
                <w:rFonts w:hint="eastAsia" w:cs="Times New Roman"/>
                <w:color w:val="auto"/>
                <w:sz w:val="24"/>
                <w:szCs w:val="24"/>
                <w:highlight w:val="none"/>
                <w:lang w:val="en-US" w:eastAsia="zh-CN"/>
              </w:rPr>
              <w:t>p</w:t>
            </w:r>
            <w:r>
              <w:rPr>
                <w:rFonts w:hint="eastAsia" w:ascii="Times New Roman" w:hAnsi="Times New Roman" w:eastAsia="宋体" w:cs="Times New Roman"/>
                <w:color w:val="auto"/>
                <w:sz w:val="24"/>
                <w:szCs w:val="24"/>
                <w:highlight w:val="none"/>
                <w:lang w:val="en-US" w:eastAsia="zh-CN"/>
              </w:rPr>
              <w:t>H调节后</w:t>
            </w:r>
            <w:r>
              <w:rPr>
                <w:rFonts w:hint="default" w:ascii="Times New Roman" w:hAnsi="Times New Roman" w:eastAsia="宋体" w:cs="Times New Roman"/>
                <w:color w:val="auto"/>
                <w:sz w:val="24"/>
                <w:szCs w:val="24"/>
                <w:highlight w:val="none"/>
                <w:lang w:val="en-US" w:eastAsia="zh-CN"/>
              </w:rPr>
              <w:t>排至生化污水处理站处理，该工序外排废水量</w:t>
            </w:r>
            <w:r>
              <w:rPr>
                <w:rFonts w:hint="default" w:ascii="Times New Roman" w:hAnsi="Times New Roman" w:eastAsia="宋体" w:cs="Times New Roman"/>
                <w:color w:val="auto"/>
                <w:spacing w:val="-7"/>
                <w:sz w:val="24"/>
                <w:szCs w:val="24"/>
                <w:highlight w:val="none"/>
              </w:rPr>
              <w:t>约为</w:t>
            </w:r>
            <w:r>
              <w:rPr>
                <w:rFonts w:hint="eastAsia" w:cs="Times New Roman"/>
                <w:color w:val="auto"/>
                <w:spacing w:val="-7"/>
                <w:sz w:val="24"/>
                <w:szCs w:val="24"/>
                <w:highlight w:val="none"/>
                <w:lang w:val="en-US" w:eastAsia="zh-CN"/>
              </w:rPr>
              <w:t>5</w:t>
            </w:r>
            <w:r>
              <w:rPr>
                <w:rFonts w:hint="default" w:ascii="Times New Roman" w:hAnsi="Times New Roman" w:eastAsia="宋体" w:cs="Times New Roman"/>
                <w:color w:val="auto"/>
                <w:spacing w:val="-7"/>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w:t>
            </w:r>
            <w:r>
              <w:rPr>
                <w:rFonts w:hint="default" w:ascii="Times New Roman" w:hAnsi="Times New Roman" w:eastAsia="宋体" w:cs="Times New Roman"/>
                <w:bCs/>
                <w:strike w:val="0"/>
                <w:dstrike w:val="0"/>
                <w:color w:val="auto"/>
                <w:sz w:val="24"/>
                <w:highlight w:val="none"/>
                <w:lang w:val="en-US" w:eastAsia="zh-CN"/>
              </w:rPr>
              <w:t>pH、</w:t>
            </w:r>
            <w:r>
              <w:rPr>
                <w:rFonts w:hint="default" w:ascii="Times New Roman" w:hAnsi="Times New Roman" w:eastAsia="宋体" w:cs="Times New Roman"/>
                <w:bCs/>
                <w:strike w:val="0"/>
                <w:dstrike w:val="0"/>
                <w:color w:val="auto"/>
                <w:sz w:val="24"/>
                <w:highlight w:val="none"/>
              </w:rPr>
              <w:t>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、SS等。</w:t>
            </w:r>
          </w:p>
          <w:p w14:paraId="7F111B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碱洗后清洗废水：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color w:val="auto"/>
                <w:spacing w:val="-1"/>
                <w:sz w:val="24"/>
                <w:szCs w:val="24"/>
                <w:highlight w:val="none"/>
              </w:rPr>
              <w:t>碱洗后产品清洗废水产生量为</w:t>
            </w:r>
            <w:r>
              <w:rPr>
                <w:rFonts w:hint="eastAsia" w:cs="Times New Roman"/>
                <w:color w:val="auto"/>
                <w:spacing w:val="-1"/>
                <w:sz w:val="24"/>
                <w:szCs w:val="24"/>
                <w:highlight w:val="none"/>
                <w:lang w:val="en-US" w:eastAsia="zh-CN"/>
              </w:rPr>
              <w:t>72</w:t>
            </w:r>
            <w:r>
              <w:rPr>
                <w:rFonts w:hint="default" w:ascii="Times New Roman" w:hAnsi="Times New Roman" w:eastAsia="宋体" w:cs="Times New Roman"/>
                <w:color w:val="auto"/>
                <w:spacing w:val="-1"/>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/d</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废水经</w:t>
            </w:r>
            <w:r>
              <w:rPr>
                <w:rFonts w:hint="default" w:ascii="Times New Roman" w:hAnsi="Times New Roman" w:eastAsia="宋体" w:cs="Times New Roman"/>
                <w:strike w:val="0"/>
                <w:dstrike w:val="0"/>
                <w:color w:val="auto"/>
                <w:spacing w:val="-2"/>
                <w:sz w:val="24"/>
                <w:szCs w:val="24"/>
                <w:highlight w:val="none"/>
                <w:lang w:val="en-US" w:eastAsia="zh-CN"/>
              </w:rPr>
              <w:t>收集后进入</w:t>
            </w:r>
            <w:r>
              <w:rPr>
                <w:rFonts w:hint="default" w:ascii="Times New Roman" w:hAnsi="Times New Roman" w:eastAsia="宋体" w:cs="Times New Roman"/>
                <w:color w:val="auto"/>
                <w:spacing w:val="-1"/>
                <w:sz w:val="24"/>
                <w:szCs w:val="24"/>
                <w:highlight w:val="none"/>
              </w:rPr>
              <w:t>生化污水处理站</w:t>
            </w:r>
            <w:r>
              <w:rPr>
                <w:rFonts w:hint="default" w:ascii="Times New Roman" w:hAnsi="Times New Roman" w:eastAsia="宋体" w:cs="Times New Roman"/>
                <w:strike w:val="0"/>
                <w:dstrike w:val="0"/>
                <w:color w:val="auto"/>
                <w:spacing w:val="-2"/>
                <w:sz w:val="24"/>
                <w:szCs w:val="24"/>
                <w:highlight w:val="none"/>
              </w:rPr>
              <w:t>处理</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w:t>
            </w:r>
            <w:r>
              <w:rPr>
                <w:rFonts w:hint="default" w:ascii="Times New Roman" w:hAnsi="Times New Roman" w:eastAsia="宋体" w:cs="Times New Roman"/>
                <w:bCs/>
                <w:strike w:val="0"/>
                <w:dstrike w:val="0"/>
                <w:color w:val="auto"/>
                <w:sz w:val="24"/>
                <w:highlight w:val="none"/>
                <w:lang w:val="en-US" w:eastAsia="zh-CN"/>
              </w:rPr>
              <w:t>pH、</w:t>
            </w:r>
            <w:r>
              <w:rPr>
                <w:rFonts w:hint="default" w:ascii="Times New Roman" w:hAnsi="Times New Roman" w:eastAsia="宋体" w:cs="Times New Roman"/>
                <w:bCs/>
                <w:strike w:val="0"/>
                <w:dstrike w:val="0"/>
                <w:color w:val="auto"/>
                <w:sz w:val="24"/>
                <w:highlight w:val="none"/>
              </w:rPr>
              <w:t>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、SS等。</w:t>
            </w:r>
          </w:p>
          <w:p w14:paraId="616352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磨抛工段循环冷却水：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b w:val="0"/>
                <w:bCs w:val="0"/>
                <w:strike w:val="0"/>
                <w:dstrike w:val="0"/>
                <w:color w:val="auto"/>
                <w:spacing w:val="-5"/>
                <w:sz w:val="24"/>
                <w:szCs w:val="24"/>
                <w:highlight w:val="none"/>
                <w:lang w:val="en-US" w:eastAsia="zh-CN"/>
              </w:rPr>
              <w:t>该部分</w:t>
            </w:r>
            <w:r>
              <w:rPr>
                <w:rFonts w:hint="default" w:ascii="Times New Roman" w:hAnsi="Times New Roman" w:eastAsia="宋体" w:cs="Times New Roman"/>
                <w:strike w:val="0"/>
                <w:dstrike w:val="0"/>
                <w:color w:val="auto"/>
                <w:sz w:val="24"/>
                <w:szCs w:val="24"/>
                <w:highlight w:val="none"/>
                <w:lang w:val="en-US" w:eastAsia="zh-CN"/>
              </w:rPr>
              <w:t>经循环水冷却降温后循环使用，不外排；</w:t>
            </w:r>
            <w:r>
              <w:rPr>
                <w:rFonts w:hint="default" w:ascii="Times New Roman" w:hAnsi="Times New Roman" w:eastAsia="宋体" w:cs="Times New Roman"/>
                <w:bCs/>
                <w:strike w:val="0"/>
                <w:dstrike w:val="0"/>
                <w:color w:val="auto"/>
                <w:sz w:val="24"/>
                <w:highlight w:val="none"/>
              </w:rPr>
              <w:t>主要污染物为SS。</w:t>
            </w:r>
          </w:p>
          <w:p w14:paraId="72377C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吸塑工段循环冷却水：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b w:val="0"/>
                <w:bCs w:val="0"/>
                <w:strike w:val="0"/>
                <w:dstrike w:val="0"/>
                <w:color w:val="auto"/>
                <w:spacing w:val="-5"/>
                <w:sz w:val="24"/>
                <w:szCs w:val="24"/>
                <w:highlight w:val="none"/>
                <w:lang w:val="en-US" w:eastAsia="zh-CN"/>
              </w:rPr>
              <w:t>该部分</w:t>
            </w:r>
            <w:r>
              <w:rPr>
                <w:rFonts w:hint="default" w:ascii="Times New Roman" w:hAnsi="Times New Roman" w:eastAsia="宋体" w:cs="Times New Roman"/>
                <w:strike w:val="0"/>
                <w:dstrike w:val="0"/>
                <w:color w:val="auto"/>
                <w:sz w:val="24"/>
                <w:szCs w:val="24"/>
                <w:highlight w:val="none"/>
                <w:lang w:val="en-US" w:eastAsia="zh-CN"/>
              </w:rPr>
              <w:t>经循环水冷却降温后循环使用，不外排；</w:t>
            </w:r>
            <w:r>
              <w:rPr>
                <w:rFonts w:hint="default" w:ascii="Times New Roman" w:hAnsi="Times New Roman" w:eastAsia="宋体" w:cs="Times New Roman"/>
                <w:bCs/>
                <w:strike w:val="0"/>
                <w:dstrike w:val="0"/>
                <w:color w:val="auto"/>
                <w:sz w:val="24"/>
                <w:highlight w:val="none"/>
              </w:rPr>
              <w:t>主要污染物为SS。</w:t>
            </w:r>
          </w:p>
          <w:p w14:paraId="2D3CAF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6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trike w:val="0"/>
                <w:dstrike w:val="0"/>
                <w:color w:val="auto"/>
                <w:spacing w:val="-5"/>
                <w:sz w:val="24"/>
                <w:szCs w:val="24"/>
                <w:highlight w:val="none"/>
                <w:lang w:val="en-US" w:eastAsia="zh-CN"/>
              </w:rPr>
              <w:t>车间冲洗废水：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color w:val="auto"/>
                <w:spacing w:val="-2"/>
                <w:kern w:val="2"/>
                <w:sz w:val="24"/>
                <w:szCs w:val="24"/>
                <w:highlight w:val="none"/>
                <w:lang w:val="en-US" w:eastAsia="zh-CN" w:bidi="ar-SA"/>
              </w:rPr>
              <w:t>车</w:t>
            </w:r>
            <w:r>
              <w:rPr>
                <w:rFonts w:hint="default" w:ascii="Times New Roman" w:hAnsi="Times New Roman" w:eastAsia="宋体" w:cs="Times New Roman"/>
                <w:color w:val="auto"/>
                <w:spacing w:val="-8"/>
                <w:sz w:val="24"/>
                <w:szCs w:val="24"/>
                <w:highlight w:val="none"/>
              </w:rPr>
              <w:t>间冲洗废水产生</w:t>
            </w:r>
            <w:r>
              <w:rPr>
                <w:rFonts w:hint="default" w:ascii="Times New Roman" w:hAnsi="Times New Roman" w:eastAsia="宋体" w:cs="Times New Roman"/>
                <w:color w:val="auto"/>
                <w:spacing w:val="-9"/>
                <w:sz w:val="24"/>
                <w:szCs w:val="24"/>
                <w:highlight w:val="none"/>
              </w:rPr>
              <w:t>量为</w:t>
            </w:r>
            <w:r>
              <w:rPr>
                <w:rFonts w:hint="default" w:ascii="Times New Roman" w:hAnsi="Times New Roman" w:eastAsia="宋体" w:cs="Times New Roman"/>
                <w:color w:val="auto"/>
                <w:spacing w:val="-9"/>
                <w:sz w:val="24"/>
                <w:szCs w:val="24"/>
                <w:highlight w:val="none"/>
                <w:lang w:val="en-US" w:eastAsia="zh-CN"/>
              </w:rPr>
              <w:t>4.13</w:t>
            </w:r>
            <w:r>
              <w:rPr>
                <w:rFonts w:hint="default" w:ascii="Times New Roman" w:hAnsi="Times New Roman" w:eastAsia="宋体" w:cs="Times New Roman"/>
                <w:color w:val="auto"/>
                <w:spacing w:val="-9"/>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3</w:t>
            </w:r>
            <w:r>
              <w:rPr>
                <w:rFonts w:hint="default" w:ascii="Times New Roman" w:hAnsi="Times New Roman" w:eastAsia="宋体" w:cs="Times New Roman"/>
                <w:color w:val="auto"/>
                <w:spacing w:val="-9"/>
                <w:sz w:val="24"/>
                <w:szCs w:val="24"/>
                <w:highlight w:val="none"/>
              </w:rPr>
              <w:t>/d</w:t>
            </w:r>
            <w:r>
              <w:rPr>
                <w:rFonts w:hint="default" w:ascii="Times New Roman" w:hAnsi="Times New Roman" w:eastAsia="宋体" w:cs="Times New Roman"/>
                <w:color w:val="auto"/>
                <w:spacing w:val="-9"/>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废水经</w:t>
            </w:r>
            <w:r>
              <w:rPr>
                <w:rFonts w:hint="default" w:ascii="Times New Roman" w:hAnsi="Times New Roman" w:eastAsia="宋体" w:cs="Times New Roman"/>
                <w:strike w:val="0"/>
                <w:dstrike w:val="0"/>
                <w:color w:val="auto"/>
                <w:spacing w:val="-2"/>
                <w:sz w:val="24"/>
                <w:szCs w:val="24"/>
                <w:highlight w:val="none"/>
                <w:lang w:val="en-US" w:eastAsia="zh-CN"/>
              </w:rPr>
              <w:t>收集后进入</w:t>
            </w:r>
            <w:r>
              <w:rPr>
                <w:rFonts w:hint="default" w:ascii="Times New Roman" w:hAnsi="Times New Roman" w:eastAsia="宋体" w:cs="Times New Roman"/>
                <w:color w:val="auto"/>
                <w:spacing w:val="-1"/>
                <w:sz w:val="24"/>
                <w:szCs w:val="24"/>
                <w:highlight w:val="none"/>
              </w:rPr>
              <w:t>生化污水处理站</w:t>
            </w:r>
            <w:r>
              <w:rPr>
                <w:rFonts w:hint="default" w:ascii="Times New Roman" w:hAnsi="Times New Roman" w:eastAsia="宋体" w:cs="Times New Roman"/>
                <w:strike w:val="0"/>
                <w:dstrike w:val="0"/>
                <w:color w:val="auto"/>
                <w:spacing w:val="-2"/>
                <w:sz w:val="24"/>
                <w:szCs w:val="24"/>
                <w:highlight w:val="none"/>
              </w:rPr>
              <w:t>处理</w:t>
            </w:r>
            <w:r>
              <w:rPr>
                <w:rFonts w:hint="default" w:ascii="Times New Roman" w:hAnsi="Times New Roman" w:eastAsia="宋体" w:cs="Times New Roman"/>
                <w:strike w:val="0"/>
                <w:dstrike w:val="0"/>
                <w:color w:val="auto"/>
                <w:spacing w:val="-2"/>
                <w:sz w:val="24"/>
                <w:szCs w:val="24"/>
                <w:highlight w:val="none"/>
                <w:lang w:eastAsia="zh-CN"/>
              </w:rPr>
              <w:t>；</w:t>
            </w:r>
            <w:r>
              <w:rPr>
                <w:rFonts w:hint="default" w:ascii="Times New Roman" w:hAnsi="Times New Roman" w:eastAsia="宋体" w:cs="Times New Roman"/>
                <w:bCs/>
                <w:strike w:val="0"/>
                <w:dstrike w:val="0"/>
                <w:color w:val="auto"/>
                <w:sz w:val="24"/>
                <w:highlight w:val="none"/>
              </w:rPr>
              <w:t>主要污染物为COD、BOD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w:t>
            </w:r>
            <w:r>
              <w:rPr>
                <w:rFonts w:hint="default" w:ascii="Times New Roman" w:hAnsi="Times New Roman" w:eastAsia="宋体" w:cs="Times New Roman"/>
                <w:bCs/>
                <w:strike w:val="0"/>
                <w:dstrike w:val="0"/>
                <w:color w:val="auto"/>
                <w:sz w:val="24"/>
                <w:highlight w:val="none"/>
                <w:lang w:eastAsia="zh-CN"/>
              </w:rPr>
              <w:t>、</w:t>
            </w:r>
            <w:r>
              <w:rPr>
                <w:rFonts w:hint="default" w:ascii="Times New Roman" w:hAnsi="Times New Roman" w:eastAsia="宋体" w:cs="Times New Roman"/>
                <w:bCs/>
                <w:strike w:val="0"/>
                <w:dstrike w:val="0"/>
                <w:color w:val="auto"/>
                <w:sz w:val="24"/>
                <w:highlight w:val="none"/>
                <w:lang w:val="en-US" w:eastAsia="zh-CN"/>
              </w:rPr>
              <w:t>石油类</w:t>
            </w:r>
            <w:r>
              <w:rPr>
                <w:rFonts w:hint="default" w:ascii="Times New Roman" w:hAnsi="Times New Roman" w:eastAsia="宋体" w:cs="Times New Roman"/>
                <w:bCs/>
                <w:strike w:val="0"/>
                <w:dstrike w:val="0"/>
                <w:color w:val="auto"/>
                <w:sz w:val="24"/>
                <w:highlight w:val="none"/>
              </w:rPr>
              <w:t>等。</w:t>
            </w:r>
          </w:p>
          <w:p w14:paraId="792FA3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val="0"/>
                <w:strike w:val="0"/>
                <w:dstrike w:val="0"/>
                <w:color w:val="auto"/>
                <w:kern w:val="2"/>
                <w:sz w:val="24"/>
                <w:szCs w:val="24"/>
                <w:highlight w:val="none"/>
                <w:lang w:val="en-US" w:eastAsia="zh-CN" w:bidi="ar-SA"/>
              </w:rPr>
            </w:pPr>
            <w:r>
              <w:rPr>
                <w:rFonts w:hint="default" w:ascii="Times New Roman" w:hAnsi="Times New Roman" w:eastAsia="宋体" w:cs="Times New Roman"/>
                <w:b/>
                <w:bCs w:val="0"/>
                <w:strike w:val="0"/>
                <w:dstrike w:val="0"/>
                <w:color w:val="auto"/>
                <w:kern w:val="2"/>
                <w:sz w:val="24"/>
                <w:szCs w:val="24"/>
                <w:highlight w:val="none"/>
                <w:lang w:val="en-US" w:eastAsia="zh-CN" w:bidi="ar-SA"/>
              </w:rPr>
              <w:t>去离子水制备浓水</w:t>
            </w:r>
            <w:r>
              <w:rPr>
                <w:rFonts w:hint="default" w:ascii="Times New Roman" w:hAnsi="Times New Roman" w:eastAsia="宋体" w:cs="Times New Roman"/>
                <w:b/>
                <w:bCs w:val="0"/>
                <w:color w:val="auto"/>
                <w:spacing w:val="-1"/>
                <w:sz w:val="24"/>
                <w:szCs w:val="24"/>
                <w:highlight w:val="none"/>
                <w:lang w:val="en-US" w:eastAsia="zh-CN"/>
              </w:rPr>
              <w:t>及反冲洗水</w:t>
            </w:r>
            <w:r>
              <w:rPr>
                <w:rFonts w:hint="default" w:ascii="Times New Roman" w:hAnsi="Times New Roman" w:eastAsia="宋体" w:cs="Times New Roman"/>
                <w:b/>
                <w:bCs w:val="0"/>
                <w:strike w:val="0"/>
                <w:dstrike w:val="0"/>
                <w:color w:val="auto"/>
                <w:kern w:val="2"/>
                <w:sz w:val="24"/>
                <w:szCs w:val="24"/>
                <w:highlight w:val="none"/>
                <w:lang w:val="en-US" w:eastAsia="zh-CN" w:bidi="ar-SA"/>
              </w:rPr>
              <w:t>：</w:t>
            </w:r>
            <w:r>
              <w:rPr>
                <w:rFonts w:hint="default" w:ascii="Times New Roman" w:hAnsi="Times New Roman" w:eastAsia="宋体" w:cs="Times New Roman"/>
                <w:b w:val="0"/>
                <w:bCs/>
                <w:strike w:val="0"/>
                <w:dstrike w:val="0"/>
                <w:color w:val="auto"/>
                <w:kern w:val="2"/>
                <w:sz w:val="24"/>
                <w:szCs w:val="24"/>
                <w:highlight w:val="none"/>
                <w:lang w:val="en-US" w:eastAsia="zh-CN" w:bidi="ar-SA"/>
              </w:rPr>
              <w:t>该</w:t>
            </w:r>
            <w:r>
              <w:rPr>
                <w:rFonts w:hint="default" w:ascii="Times New Roman" w:hAnsi="Times New Roman" w:eastAsia="宋体" w:cs="Times New Roman"/>
                <w:strike w:val="0"/>
                <w:dstrike w:val="0"/>
                <w:color w:val="auto"/>
                <w:kern w:val="2"/>
                <w:sz w:val="24"/>
                <w:szCs w:val="24"/>
                <w:highlight w:val="none"/>
                <w:lang w:val="en-US" w:eastAsia="zh-CN" w:bidi="ar-SA"/>
              </w:rPr>
              <w:t>废水主要为反渗透浓水及石英砂反冲废水，</w:t>
            </w:r>
            <w:r>
              <w:rPr>
                <w:rFonts w:hint="default" w:ascii="Times New Roman" w:hAnsi="Times New Roman" w:eastAsia="宋体" w:cs="Times New Roman"/>
                <w:strike w:val="0"/>
                <w:dstrike w:val="0"/>
                <w:color w:val="auto"/>
                <w:spacing w:val="-4"/>
                <w:sz w:val="24"/>
                <w:szCs w:val="24"/>
                <w:highlight w:val="none"/>
                <w:lang w:val="en-US" w:eastAsia="zh-CN"/>
              </w:rPr>
              <w:t>根据项目用水情况分析，</w:t>
            </w:r>
            <w:r>
              <w:rPr>
                <w:rFonts w:hint="default" w:ascii="Times New Roman" w:hAnsi="Times New Roman" w:eastAsia="宋体" w:cs="Times New Roman"/>
                <w:strike w:val="0"/>
                <w:dstrike w:val="0"/>
                <w:color w:val="auto"/>
                <w:kern w:val="2"/>
                <w:sz w:val="24"/>
                <w:szCs w:val="24"/>
                <w:highlight w:val="none"/>
                <w:lang w:val="en-US" w:eastAsia="zh-CN" w:bidi="ar-SA"/>
              </w:rPr>
              <w:t>项目所需去离子水量为5.0m</w:t>
            </w:r>
            <w:r>
              <w:rPr>
                <w:rFonts w:hint="default" w:ascii="Times New Roman" w:hAnsi="Times New Roman" w:eastAsia="宋体" w:cs="Times New Roman"/>
                <w:strike w:val="0"/>
                <w:dstrike w:val="0"/>
                <w:color w:val="auto"/>
                <w:kern w:val="2"/>
                <w:sz w:val="24"/>
                <w:szCs w:val="24"/>
                <w:highlight w:val="none"/>
                <w:vertAlign w:val="superscript"/>
                <w:lang w:val="en-US" w:eastAsia="zh-CN" w:bidi="ar-SA"/>
              </w:rPr>
              <w:t>3</w:t>
            </w:r>
            <w:r>
              <w:rPr>
                <w:rFonts w:hint="default" w:ascii="Times New Roman" w:hAnsi="Times New Roman" w:eastAsia="宋体" w:cs="Times New Roman"/>
                <w:strike w:val="0"/>
                <w:dstrike w:val="0"/>
                <w:color w:val="auto"/>
                <w:kern w:val="2"/>
                <w:sz w:val="24"/>
                <w:szCs w:val="24"/>
                <w:highlight w:val="none"/>
                <w:lang w:val="en-US" w:eastAsia="zh-CN" w:bidi="ar-SA"/>
              </w:rPr>
              <w:t>/a，去离子水制备系统制备率约为70%，产生浓水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strike w:val="0"/>
                <w:dstrike w:val="0"/>
                <w:color w:val="auto"/>
                <w:kern w:val="2"/>
                <w:sz w:val="24"/>
                <w:szCs w:val="24"/>
                <w:highlight w:val="none"/>
                <w:lang w:val="en-US" w:eastAsia="zh-CN" w:bidi="ar-SA"/>
              </w:rPr>
              <w:t>量为2.15m</w:t>
            </w:r>
            <w:r>
              <w:rPr>
                <w:rFonts w:hint="default" w:ascii="Times New Roman" w:hAnsi="Times New Roman" w:eastAsia="宋体" w:cs="Times New Roman"/>
                <w:strike w:val="0"/>
                <w:dstrike w:val="0"/>
                <w:color w:val="auto"/>
                <w:kern w:val="2"/>
                <w:sz w:val="24"/>
                <w:szCs w:val="24"/>
                <w:highlight w:val="none"/>
                <w:vertAlign w:val="superscript"/>
                <w:lang w:val="en-US" w:eastAsia="zh-CN" w:bidi="ar-SA"/>
              </w:rPr>
              <w:t>3</w:t>
            </w:r>
            <w:r>
              <w:rPr>
                <w:rFonts w:hint="default" w:ascii="Times New Roman" w:hAnsi="Times New Roman" w:eastAsia="宋体" w:cs="Times New Roman"/>
                <w:strike w:val="0"/>
                <w:dstrike w:val="0"/>
                <w:color w:val="auto"/>
                <w:kern w:val="2"/>
                <w:sz w:val="24"/>
                <w:szCs w:val="24"/>
                <w:highlight w:val="none"/>
                <w:lang w:val="en-US" w:eastAsia="zh-CN" w:bidi="ar-SA"/>
              </w:rPr>
              <w:t>/d；</w:t>
            </w:r>
            <w:r>
              <w:rPr>
                <w:rFonts w:hint="default" w:ascii="Times New Roman" w:hAnsi="Times New Roman" w:eastAsia="宋体" w:cs="Times New Roman"/>
                <w:bCs/>
                <w:strike w:val="0"/>
                <w:dstrike w:val="0"/>
                <w:color w:val="auto"/>
                <w:sz w:val="24"/>
                <w:highlight w:val="none"/>
                <w:lang w:val="en-US" w:eastAsia="zh-CN"/>
              </w:rPr>
              <w:t>该部分废水较清洁，经项目总排口进入市政管网。</w:t>
            </w:r>
            <w:r>
              <w:rPr>
                <w:rFonts w:hint="default" w:ascii="Times New Roman" w:hAnsi="Times New Roman" w:eastAsia="宋体" w:cs="Times New Roman"/>
                <w:bCs/>
                <w:strike w:val="0"/>
                <w:dstrike w:val="0"/>
                <w:color w:val="auto"/>
                <w:sz w:val="24"/>
                <w:highlight w:val="none"/>
              </w:rPr>
              <w:t>主要污染物为</w:t>
            </w:r>
            <w:r>
              <w:rPr>
                <w:rFonts w:hint="default" w:ascii="Times New Roman" w:hAnsi="Times New Roman" w:eastAsia="宋体" w:cs="Times New Roman"/>
                <w:bCs/>
                <w:strike w:val="0"/>
                <w:dstrike w:val="0"/>
                <w:color w:val="auto"/>
                <w:sz w:val="24"/>
                <w:highlight w:val="none"/>
                <w:lang w:val="en-US" w:eastAsia="zh-CN"/>
              </w:rPr>
              <w:t>盐类</w:t>
            </w:r>
            <w:r>
              <w:rPr>
                <w:rFonts w:hint="default" w:ascii="Times New Roman" w:hAnsi="Times New Roman" w:eastAsia="宋体" w:cs="Times New Roman"/>
                <w:bCs/>
                <w:strike w:val="0"/>
                <w:dstrike w:val="0"/>
                <w:color w:val="auto"/>
                <w:sz w:val="24"/>
                <w:highlight w:val="none"/>
              </w:rPr>
              <w:t>、SS</w:t>
            </w:r>
            <w:r>
              <w:rPr>
                <w:rFonts w:hint="default" w:ascii="Times New Roman" w:hAnsi="Times New Roman" w:eastAsia="宋体" w:cs="Times New Roman"/>
                <w:bCs/>
                <w:strike w:val="0"/>
                <w:dstrike w:val="0"/>
                <w:color w:val="auto"/>
                <w:sz w:val="24"/>
                <w:highlight w:val="none"/>
                <w:lang w:eastAsia="zh-CN"/>
              </w:rPr>
              <w:t>、</w:t>
            </w:r>
            <w:r>
              <w:rPr>
                <w:rFonts w:hint="default" w:ascii="Times New Roman" w:hAnsi="Times New Roman" w:eastAsia="宋体" w:cs="Times New Roman"/>
                <w:bCs/>
                <w:strike w:val="0"/>
                <w:dstrike w:val="0"/>
                <w:color w:val="auto"/>
                <w:sz w:val="24"/>
                <w:highlight w:val="none"/>
                <w:lang w:val="en-US" w:eastAsia="zh-CN"/>
              </w:rPr>
              <w:t>TDS</w:t>
            </w:r>
            <w:r>
              <w:rPr>
                <w:rFonts w:hint="default" w:ascii="Times New Roman" w:hAnsi="Times New Roman" w:eastAsia="宋体" w:cs="Times New Roman"/>
                <w:bCs/>
                <w:strike w:val="0"/>
                <w:dstrike w:val="0"/>
                <w:color w:val="auto"/>
                <w:sz w:val="24"/>
                <w:highlight w:val="none"/>
              </w:rPr>
              <w:t>等。</w:t>
            </w:r>
          </w:p>
          <w:p w14:paraId="377A001C">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（2）生活污水</w:t>
            </w:r>
          </w:p>
          <w:p w14:paraId="3376E1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strike w:val="0"/>
                <w:dstrike w:val="0"/>
                <w:color w:val="auto"/>
                <w:spacing w:val="-5"/>
                <w:sz w:val="24"/>
                <w:szCs w:val="24"/>
                <w:highlight w:val="none"/>
                <w:lang w:val="en-US" w:eastAsia="zh-CN"/>
              </w:rPr>
            </w:pPr>
            <w:r>
              <w:rPr>
                <w:rFonts w:hint="default" w:ascii="Times New Roman" w:hAnsi="Times New Roman" w:eastAsia="宋体" w:cs="Times New Roman"/>
                <w:b/>
                <w:bCs/>
                <w:smallCaps w:val="0"/>
                <w:color w:val="auto"/>
                <w:kern w:val="2"/>
                <w:sz w:val="24"/>
                <w:szCs w:val="20"/>
                <w:highlight w:val="none"/>
                <w:lang w:val="en-US" w:eastAsia="zh-CN" w:bidi="ar"/>
              </w:rPr>
              <w:t>食堂餐饮废水：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smallCaps w:val="0"/>
                <w:color w:val="auto"/>
                <w:kern w:val="2"/>
                <w:sz w:val="24"/>
                <w:szCs w:val="20"/>
                <w:highlight w:val="none"/>
                <w:lang w:val="en-US" w:eastAsia="zh-CN" w:bidi="ar"/>
              </w:rPr>
              <w:t>项目区食堂餐饮废水产生量为5.1m</w:t>
            </w:r>
            <w:r>
              <w:rPr>
                <w:rFonts w:hint="default" w:ascii="Times New Roman" w:hAnsi="Times New Roman" w:eastAsia="宋体" w:cs="Times New Roman"/>
                <w:smallCaps w:val="0"/>
                <w:color w:val="auto"/>
                <w:kern w:val="2"/>
                <w:sz w:val="24"/>
                <w:szCs w:val="20"/>
                <w:highlight w:val="none"/>
                <w:vertAlign w:val="superscript"/>
                <w:lang w:val="en-US" w:eastAsia="zh-CN" w:bidi="ar"/>
              </w:rPr>
              <w:t>3</w:t>
            </w:r>
            <w:r>
              <w:rPr>
                <w:rFonts w:hint="default" w:ascii="Times New Roman" w:hAnsi="Times New Roman" w:eastAsia="宋体" w:cs="Times New Roman"/>
                <w:smallCaps w:val="0"/>
                <w:color w:val="auto"/>
                <w:kern w:val="2"/>
                <w:sz w:val="24"/>
                <w:szCs w:val="20"/>
                <w:highlight w:val="none"/>
                <w:lang w:val="en-US" w:eastAsia="zh-CN" w:bidi="ar"/>
              </w:rPr>
              <w:t>/d。</w:t>
            </w:r>
            <w:r>
              <w:rPr>
                <w:rFonts w:hint="default" w:ascii="Times New Roman" w:hAnsi="Times New Roman" w:eastAsia="宋体" w:cs="Times New Roman"/>
                <w:b/>
                <w:bCs/>
                <w:smallCaps w:val="0"/>
                <w:color w:val="auto"/>
                <w:kern w:val="2"/>
                <w:sz w:val="24"/>
                <w:szCs w:val="20"/>
                <w:highlight w:val="none"/>
                <w:lang w:val="en-US" w:eastAsia="zh-CN" w:bidi="ar"/>
              </w:rPr>
              <w:t>办公生活盥洗废水：</w:t>
            </w:r>
            <w:r>
              <w:rPr>
                <w:rFonts w:hint="default" w:ascii="Times New Roman" w:hAnsi="Times New Roman" w:eastAsia="宋体" w:cs="Times New Roman"/>
                <w:strike w:val="0"/>
                <w:dstrike w:val="0"/>
                <w:color w:val="auto"/>
                <w:spacing w:val="-4"/>
                <w:sz w:val="24"/>
                <w:szCs w:val="24"/>
                <w:highlight w:val="none"/>
                <w:lang w:val="en-US" w:eastAsia="zh-CN"/>
              </w:rPr>
              <w:t>根据项目水平衡分析，</w:t>
            </w:r>
            <w:r>
              <w:rPr>
                <w:rFonts w:hint="default" w:ascii="Times New Roman" w:hAnsi="Times New Roman" w:eastAsia="宋体" w:cs="Times New Roman"/>
                <w:smallCaps w:val="0"/>
                <w:color w:val="auto"/>
                <w:kern w:val="2"/>
                <w:sz w:val="24"/>
                <w:szCs w:val="20"/>
                <w:highlight w:val="none"/>
                <w:lang w:val="en-US" w:eastAsia="zh-CN" w:bidi="ar"/>
              </w:rPr>
              <w:t>项目</w:t>
            </w:r>
            <w:r>
              <w:rPr>
                <w:rFonts w:hint="default" w:ascii="Times New Roman" w:hAnsi="Times New Roman" w:eastAsia="宋体" w:cs="Times New Roman"/>
                <w:smallCaps w:val="0"/>
                <w:color w:val="auto"/>
                <w:kern w:val="2"/>
                <w:sz w:val="24"/>
                <w:szCs w:val="24"/>
                <w:highlight w:val="none"/>
                <w:lang w:val="en-US" w:eastAsia="zh-CN" w:bidi="ar"/>
              </w:rPr>
              <w:t>盥洗废水</w:t>
            </w:r>
            <w:r>
              <w:rPr>
                <w:rFonts w:hint="default" w:ascii="Times New Roman" w:hAnsi="Times New Roman" w:eastAsia="宋体" w:cs="Times New Roman"/>
                <w:color w:val="auto"/>
                <w:sz w:val="24"/>
                <w:szCs w:val="24"/>
                <w:highlight w:val="none"/>
                <w:lang w:bidi="ar"/>
              </w:rPr>
              <w:t>产生量为</w:t>
            </w:r>
            <w:r>
              <w:rPr>
                <w:rFonts w:hint="default" w:ascii="Times New Roman" w:hAnsi="Times New Roman" w:eastAsia="宋体" w:cs="Times New Roman"/>
                <w:color w:val="auto"/>
                <w:sz w:val="24"/>
                <w:szCs w:val="24"/>
                <w:highlight w:val="none"/>
                <w:lang w:val="en-US" w:eastAsia="zh-CN" w:bidi="ar"/>
              </w:rPr>
              <w:t>18.02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smallCaps w:val="0"/>
                <w:color w:val="auto"/>
                <w:kern w:val="2"/>
                <w:sz w:val="24"/>
                <w:szCs w:val="24"/>
                <w:highlight w:val="none"/>
                <w:lang w:val="en-US" w:eastAsia="zh-CN" w:bidi="ar"/>
              </w:rPr>
              <w:t>。</w:t>
            </w:r>
            <w:r>
              <w:rPr>
                <w:rFonts w:hint="eastAsia" w:cs="Times New Roman"/>
                <w:smallCaps w:val="0"/>
                <w:color w:val="auto"/>
                <w:kern w:val="2"/>
                <w:sz w:val="24"/>
                <w:szCs w:val="24"/>
                <w:highlight w:val="none"/>
                <w:lang w:val="en-US" w:eastAsia="zh-CN" w:bidi="ar"/>
              </w:rPr>
              <w:t>生活污水主要</w:t>
            </w:r>
            <w:r>
              <w:rPr>
                <w:rFonts w:hint="default" w:ascii="Times New Roman" w:hAnsi="Times New Roman" w:eastAsia="宋体" w:cs="Times New Roman"/>
                <w:bCs/>
                <w:strike w:val="0"/>
                <w:dstrike w:val="0"/>
                <w:color w:val="auto"/>
                <w:sz w:val="24"/>
                <w:highlight w:val="none"/>
              </w:rPr>
              <w:t>污染物为COD、BOD</w:t>
            </w:r>
            <w:r>
              <w:rPr>
                <w:rFonts w:hint="default" w:ascii="Times New Roman" w:hAnsi="Times New Roman" w:eastAsia="宋体" w:cs="Times New Roman"/>
                <w:bCs/>
                <w:strike w:val="0"/>
                <w:dstrike w:val="0"/>
                <w:color w:val="auto"/>
                <w:sz w:val="24"/>
                <w:highlight w:val="none"/>
                <w:vertAlign w:val="subscript"/>
              </w:rPr>
              <w:t>5</w:t>
            </w:r>
            <w:r>
              <w:rPr>
                <w:rFonts w:hint="default" w:ascii="Times New Roman" w:hAnsi="Times New Roman" w:eastAsia="宋体" w:cs="Times New Roman"/>
                <w:bCs/>
                <w:strike w:val="0"/>
                <w:dstrike w:val="0"/>
                <w:color w:val="auto"/>
                <w:sz w:val="24"/>
                <w:highlight w:val="none"/>
              </w:rPr>
              <w:t>、SS</w:t>
            </w:r>
            <w:r>
              <w:rPr>
                <w:rFonts w:hint="default" w:ascii="Times New Roman" w:hAnsi="Times New Roman" w:eastAsia="宋体" w:cs="Times New Roman"/>
                <w:bCs/>
                <w:strike w:val="0"/>
                <w:dstrike w:val="0"/>
                <w:color w:val="auto"/>
                <w:sz w:val="24"/>
                <w:highlight w:val="none"/>
                <w:lang w:eastAsia="zh-CN"/>
              </w:rPr>
              <w:t>、</w:t>
            </w:r>
            <w:r>
              <w:rPr>
                <w:rFonts w:hint="eastAsia" w:cs="Times New Roman"/>
                <w:bCs/>
                <w:strike w:val="0"/>
                <w:dstrike w:val="0"/>
                <w:color w:val="auto"/>
                <w:sz w:val="24"/>
                <w:highlight w:val="none"/>
                <w:lang w:val="en-US" w:eastAsia="zh-CN"/>
              </w:rPr>
              <w:t>氨氮、动植物油</w:t>
            </w:r>
            <w:r>
              <w:rPr>
                <w:rFonts w:hint="default" w:ascii="Times New Roman" w:hAnsi="Times New Roman" w:eastAsia="宋体" w:cs="Times New Roman"/>
                <w:bCs/>
                <w:strike w:val="0"/>
                <w:dstrike w:val="0"/>
                <w:color w:val="auto"/>
                <w:sz w:val="24"/>
                <w:highlight w:val="none"/>
              </w:rPr>
              <w:t>等。</w:t>
            </w:r>
          </w:p>
          <w:p w14:paraId="7B3BFF54">
            <w:pPr>
              <w:pStyle w:val="5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mallCaps w:val="0"/>
                <w:color w:val="auto"/>
                <w:kern w:val="2"/>
                <w:sz w:val="24"/>
                <w:szCs w:val="20"/>
                <w:highlight w:val="none"/>
                <w:lang w:val="en-US" w:eastAsia="zh-CN" w:bidi="ar"/>
              </w:rPr>
              <w:t>综上，项目生活</w:t>
            </w:r>
            <w:r>
              <w:rPr>
                <w:rFonts w:hint="default" w:ascii="Times New Roman" w:hAnsi="Times New Roman" w:eastAsia="宋体" w:cs="Times New Roman"/>
                <w:color w:val="auto"/>
                <w:sz w:val="24"/>
                <w:szCs w:val="24"/>
                <w:highlight w:val="none"/>
                <w:lang w:bidi="ar"/>
              </w:rPr>
              <w:t>污水产生量为</w:t>
            </w:r>
            <w:r>
              <w:rPr>
                <w:rFonts w:hint="default" w:ascii="Times New Roman" w:hAnsi="Times New Roman" w:eastAsia="宋体" w:cs="Times New Roman"/>
                <w:color w:val="auto"/>
                <w:sz w:val="24"/>
                <w:szCs w:val="24"/>
                <w:highlight w:val="none"/>
                <w:lang w:val="en-US" w:eastAsia="zh-CN" w:bidi="ar"/>
              </w:rPr>
              <w:t>23.12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aps w:val="0"/>
                <w:smallCaps w:val="0"/>
                <w:color w:val="auto"/>
                <w:sz w:val="24"/>
                <w:highlight w:val="none"/>
                <w:lang w:val="en-US" w:eastAsia="zh-CN"/>
              </w:rPr>
              <w:t>项目</w:t>
            </w:r>
            <w:r>
              <w:rPr>
                <w:rFonts w:hint="default" w:ascii="Times New Roman" w:hAnsi="Times New Roman" w:eastAsia="宋体" w:cs="Times New Roman"/>
                <w:caps w:val="0"/>
                <w:smallCaps w:val="0"/>
                <w:color w:val="auto"/>
                <w:sz w:val="24"/>
                <w:highlight w:val="none"/>
              </w:rPr>
              <w:t>食堂</w:t>
            </w:r>
            <w:r>
              <w:rPr>
                <w:rFonts w:hint="default" w:ascii="Times New Roman" w:hAnsi="Times New Roman" w:eastAsia="宋体" w:cs="Times New Roman"/>
                <w:caps w:val="0"/>
                <w:smallCaps w:val="0"/>
                <w:color w:val="auto"/>
                <w:highlight w:val="none"/>
              </w:rPr>
              <w:t>废水</w:t>
            </w:r>
            <w:r>
              <w:rPr>
                <w:rFonts w:hint="default" w:ascii="Times New Roman" w:hAnsi="Times New Roman" w:eastAsia="宋体" w:cs="Times New Roman"/>
                <w:caps w:val="0"/>
                <w:smallCaps w:val="0"/>
                <w:color w:val="auto"/>
                <w:sz w:val="24"/>
                <w:highlight w:val="none"/>
              </w:rPr>
              <w:t>经隔油池处理后与其他生活污水一起进</w:t>
            </w:r>
            <w:r>
              <w:rPr>
                <w:rFonts w:hint="default" w:ascii="Times New Roman" w:hAnsi="Times New Roman" w:eastAsia="宋体" w:cs="Times New Roman"/>
                <w:caps w:val="0"/>
                <w:smallCaps w:val="0"/>
                <w:color w:val="auto"/>
                <w:sz w:val="24"/>
                <w:szCs w:val="24"/>
                <w:highlight w:val="none"/>
              </w:rPr>
              <w:t>入化粪池处理后</w:t>
            </w:r>
            <w:r>
              <w:rPr>
                <w:rFonts w:hint="default" w:ascii="Times New Roman" w:hAnsi="Times New Roman" w:eastAsia="宋体" w:cs="Times New Roman"/>
                <w:caps w:val="0"/>
                <w:smallCaps w:val="0"/>
                <w:color w:val="auto"/>
                <w:sz w:val="24"/>
                <w:szCs w:val="24"/>
                <w:highlight w:val="none"/>
                <w:lang w:val="en-US" w:eastAsia="zh-CN"/>
              </w:rPr>
              <w:t>达</w:t>
            </w:r>
            <w:r>
              <w:rPr>
                <w:rFonts w:hint="eastAsia" w:ascii="Times New Roman" w:hAnsi="Times New Roman" w:cs="Times New Roman"/>
                <w:caps w:val="0"/>
                <w:smallCaps w:val="0"/>
                <w:color w:val="auto"/>
                <w:sz w:val="24"/>
                <w:szCs w:val="24"/>
                <w:highlight w:val="none"/>
                <w:lang w:val="en-US" w:eastAsia="zh-CN"/>
              </w:rPr>
              <w:t>标</w:t>
            </w:r>
            <w:r>
              <w:rPr>
                <w:rFonts w:hint="default" w:ascii="Times New Roman" w:hAnsi="Times New Roman" w:eastAsia="宋体" w:cs="Times New Roman"/>
                <w:color w:val="auto"/>
                <w:spacing w:val="-3"/>
                <w:sz w:val="24"/>
                <w:szCs w:val="24"/>
                <w:highlight w:val="none"/>
                <w:lang w:val="en-US" w:eastAsia="zh-CN"/>
              </w:rPr>
              <w:t>后</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经总排口</w:t>
            </w:r>
            <w:r>
              <w:rPr>
                <w:rFonts w:hint="default" w:ascii="Times New Roman" w:hAnsi="Times New Roman" w:eastAsia="宋体" w:cs="Times New Roman"/>
                <w:color w:val="auto"/>
                <w:spacing w:val="-3"/>
                <w:sz w:val="24"/>
                <w:szCs w:val="24"/>
                <w:highlight w:val="none"/>
              </w:rPr>
              <w:t>排入</w:t>
            </w:r>
            <w:r>
              <w:rPr>
                <w:rFonts w:hint="eastAsia" w:ascii="Times New Roman" w:hAnsi="Times New Roman" w:cs="Times New Roman"/>
                <w:color w:val="auto"/>
                <w:spacing w:val="-3"/>
                <w:sz w:val="24"/>
                <w:szCs w:val="24"/>
                <w:highlight w:val="none"/>
                <w:lang w:val="en-US" w:eastAsia="zh-CN"/>
              </w:rPr>
              <w:t>市政管网，最终</w:t>
            </w:r>
            <w:r>
              <w:rPr>
                <w:rFonts w:hint="default" w:ascii="Times New Roman" w:hAnsi="Times New Roman" w:eastAsia="宋体" w:cs="Times New Roman"/>
                <w:color w:val="auto"/>
                <w:spacing w:val="-3"/>
                <w:sz w:val="24"/>
                <w:szCs w:val="24"/>
                <w:highlight w:val="none"/>
                <w:lang w:val="en-US" w:eastAsia="zh-CN"/>
              </w:rPr>
              <w:t>云南易门产业园区六街和麦子田片区集中式生活污水处理厂</w:t>
            </w:r>
            <w:r>
              <w:rPr>
                <w:rFonts w:hint="default" w:ascii="Times New Roman" w:hAnsi="Times New Roman" w:eastAsia="宋体" w:cs="Times New Roman"/>
                <w:color w:val="auto"/>
                <w:spacing w:val="-3"/>
                <w:sz w:val="24"/>
                <w:szCs w:val="24"/>
                <w:highlight w:val="none"/>
              </w:rPr>
              <w:t>处理</w:t>
            </w:r>
            <w:r>
              <w:rPr>
                <w:rFonts w:hint="default" w:ascii="Times New Roman" w:hAnsi="Times New Roman" w:eastAsia="宋体" w:cs="Times New Roman"/>
                <w:caps w:val="0"/>
                <w:smallCaps w:val="0"/>
                <w:color w:val="auto"/>
                <w:sz w:val="24"/>
                <w:szCs w:val="24"/>
                <w:highlight w:val="none"/>
                <w:lang w:eastAsia="zh-CN"/>
              </w:rPr>
              <w:t>。</w:t>
            </w:r>
          </w:p>
          <w:p w14:paraId="79B072AC">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（3）排放情况</w:t>
            </w:r>
          </w:p>
          <w:p w14:paraId="2A7B4CB6">
            <w:pPr>
              <w:keepNext w:val="0"/>
              <w:keepLines w:val="0"/>
              <w:pageBreakBefore w:val="0"/>
              <w:kinsoku/>
              <w:wordWrap/>
              <w:overflowPunct/>
              <w:topLinePunct w:val="0"/>
              <w:bidi w:val="0"/>
              <w:spacing w:line="360" w:lineRule="auto"/>
              <w:ind w:right="0" w:firstLine="480" w:firstLineChars="20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lang w:bidi="ar"/>
              </w:rPr>
              <w:t>项目</w:t>
            </w:r>
            <w:r>
              <w:rPr>
                <w:rFonts w:hint="default" w:ascii="Times New Roman" w:hAnsi="Times New Roman" w:eastAsia="宋体" w:cs="Times New Roman"/>
                <w:color w:val="auto"/>
                <w:sz w:val="24"/>
                <w:szCs w:val="24"/>
                <w:highlight w:val="none"/>
                <w:lang w:eastAsia="zh-CN" w:bidi="ar"/>
              </w:rPr>
              <w:t>生活污水</w:t>
            </w:r>
            <w:r>
              <w:rPr>
                <w:rFonts w:hint="default" w:ascii="Times New Roman" w:hAnsi="Times New Roman" w:eastAsia="宋体" w:cs="Times New Roman"/>
                <w:color w:val="auto"/>
                <w:sz w:val="24"/>
                <w:szCs w:val="24"/>
                <w:highlight w:val="none"/>
                <w:lang w:bidi="ar"/>
              </w:rPr>
              <w:t>污染物指标</w:t>
            </w:r>
            <w:r>
              <w:rPr>
                <w:rFonts w:hint="default" w:ascii="Times New Roman" w:hAnsi="Times New Roman" w:eastAsia="宋体" w:cs="Times New Roman"/>
                <w:color w:val="auto"/>
                <w:kern w:val="0"/>
                <w:sz w:val="24"/>
                <w:szCs w:val="24"/>
                <w:highlight w:val="none"/>
              </w:rPr>
              <w:t>参照生态环境部发布的《排放源统计调查产排污核算方法和系数手册》（环境部公告2021年第24号）中的生活污染源的系数</w:t>
            </w:r>
            <w:r>
              <w:rPr>
                <w:rFonts w:hint="eastAsia" w:cs="Times New Roman"/>
                <w:color w:val="auto"/>
                <w:sz w:val="24"/>
                <w:szCs w:val="24"/>
                <w:highlight w:val="none"/>
                <w:lang w:val="en-US" w:eastAsia="zh-CN" w:bidi="ar"/>
              </w:rPr>
              <w:t>核算</w:t>
            </w:r>
            <w:r>
              <w:rPr>
                <w:rFonts w:hint="eastAsia" w:cs="Times New Roman"/>
                <w:color w:val="auto"/>
                <w:sz w:val="24"/>
                <w:szCs w:val="24"/>
                <w:highlight w:val="none"/>
                <w:lang w:eastAsia="zh-CN" w:bidi="ar"/>
              </w:rPr>
              <w:t>，</w:t>
            </w:r>
            <w:r>
              <w:rPr>
                <w:rFonts w:hint="eastAsia" w:cs="Times New Roman"/>
                <w:color w:val="auto"/>
                <w:sz w:val="24"/>
                <w:szCs w:val="24"/>
                <w:highlight w:val="none"/>
                <w:lang w:val="en-US" w:eastAsia="zh-CN" w:bidi="ar"/>
              </w:rPr>
              <w:t>易门</w:t>
            </w:r>
            <w:r>
              <w:rPr>
                <w:rFonts w:hint="eastAsia" w:cs="Times New Roman"/>
                <w:color w:val="auto"/>
                <w:sz w:val="24"/>
                <w:szCs w:val="24"/>
                <w:highlight w:val="none"/>
                <w:lang w:eastAsia="zh-CN" w:bidi="ar"/>
              </w:rPr>
              <w:t>属于城镇六区，</w:t>
            </w:r>
            <w:r>
              <w:rPr>
                <w:rFonts w:hint="eastAsia" w:cs="Times New Roman"/>
                <w:color w:val="auto"/>
                <w:sz w:val="24"/>
                <w:szCs w:val="24"/>
                <w:highlight w:val="none"/>
                <w:lang w:val="en-US" w:eastAsia="zh-CN" w:bidi="ar"/>
              </w:rPr>
              <w:t>对应</w:t>
            </w:r>
            <w:r>
              <w:rPr>
                <w:rFonts w:hint="eastAsia" w:cs="Times New Roman"/>
                <w:color w:val="auto"/>
                <w:sz w:val="24"/>
                <w:szCs w:val="24"/>
                <w:highlight w:val="none"/>
                <w:lang w:eastAsia="zh-CN" w:bidi="ar"/>
              </w:rPr>
              <w:t>生活污水中各水污染物产生浓度约为</w:t>
            </w:r>
            <w:r>
              <w:rPr>
                <w:rFonts w:hint="default" w:ascii="Times New Roman" w:hAnsi="Times New Roman" w:eastAsia="宋体" w:cs="Times New Roman"/>
                <w:color w:val="auto"/>
                <w:spacing w:val="4"/>
                <w:sz w:val="24"/>
                <w:szCs w:val="24"/>
                <w:highlight w:val="none"/>
              </w:rPr>
              <w:t>COD：</w:t>
            </w:r>
            <w:r>
              <w:rPr>
                <w:rFonts w:hint="default" w:ascii="Times New Roman" w:hAnsi="Times New Roman" w:eastAsia="宋体" w:cs="Times New Roman"/>
                <w:color w:val="auto"/>
                <w:spacing w:val="4"/>
                <w:sz w:val="24"/>
                <w:szCs w:val="24"/>
                <w:highlight w:val="none"/>
                <w:lang w:val="en-US" w:eastAsia="zh-CN"/>
              </w:rPr>
              <w:t>350</w:t>
            </w:r>
            <w:r>
              <w:rPr>
                <w:rFonts w:hint="default" w:ascii="Times New Roman" w:hAnsi="Times New Roman" w:eastAsia="宋体" w:cs="Times New Roman"/>
                <w:color w:val="auto"/>
                <w:spacing w:val="4"/>
                <w:sz w:val="24"/>
                <w:szCs w:val="24"/>
                <w:highlight w:val="none"/>
              </w:rPr>
              <w:t>mg/L、BOD</w:t>
            </w:r>
            <w:r>
              <w:rPr>
                <w:rFonts w:hint="default" w:ascii="Times New Roman" w:hAnsi="Times New Roman" w:eastAsia="宋体" w:cs="Times New Roman"/>
                <w:color w:val="auto"/>
                <w:spacing w:val="4"/>
                <w:sz w:val="24"/>
                <w:szCs w:val="24"/>
                <w:highlight w:val="none"/>
                <w:vertAlign w:val="subscript"/>
              </w:rPr>
              <w:t>5</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18</w:t>
            </w:r>
            <w:r>
              <w:rPr>
                <w:rFonts w:hint="default" w:ascii="Times New Roman" w:hAnsi="Times New Roman" w:eastAsia="宋体" w:cs="Times New Roman"/>
                <w:color w:val="auto"/>
                <w:spacing w:val="4"/>
                <w:sz w:val="24"/>
                <w:szCs w:val="24"/>
                <w:highlight w:val="none"/>
              </w:rPr>
              <w:t>0mg/L、SS：</w:t>
            </w:r>
            <w:r>
              <w:rPr>
                <w:rFonts w:hint="default" w:ascii="Times New Roman" w:hAnsi="Times New Roman" w:eastAsia="宋体"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rPr>
              <w:t>20mg/L、</w:t>
            </w:r>
            <w:r>
              <w:rPr>
                <w:rFonts w:hint="default" w:ascii="Times New Roman" w:hAnsi="Times New Roman" w:eastAsia="宋体" w:cs="Times New Roman"/>
                <w:color w:val="auto"/>
                <w:spacing w:val="4"/>
                <w:sz w:val="24"/>
                <w:szCs w:val="24"/>
                <w:highlight w:val="none"/>
                <w:lang w:val="en-US" w:eastAsia="zh-CN"/>
              </w:rPr>
              <w:t>氨氮</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30</w:t>
            </w:r>
            <w:r>
              <w:rPr>
                <w:rFonts w:hint="default" w:ascii="Times New Roman" w:hAnsi="Times New Roman" w:eastAsia="宋体" w:cs="Times New Roman"/>
                <w:color w:val="auto"/>
                <w:spacing w:val="4"/>
                <w:sz w:val="24"/>
                <w:szCs w:val="24"/>
                <w:highlight w:val="none"/>
              </w:rPr>
              <w:t>mg/L、</w:t>
            </w:r>
            <w:r>
              <w:rPr>
                <w:rFonts w:hint="default" w:ascii="Times New Roman" w:hAnsi="Times New Roman" w:eastAsia="宋体" w:cs="Times New Roman"/>
                <w:color w:val="auto"/>
                <w:spacing w:val="4"/>
                <w:sz w:val="24"/>
                <w:szCs w:val="24"/>
                <w:highlight w:val="none"/>
                <w:lang w:val="en-US" w:eastAsia="zh-CN"/>
              </w:rPr>
              <w:t>总磷</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6</w:t>
            </w:r>
            <w:r>
              <w:rPr>
                <w:rFonts w:hint="default" w:ascii="Times New Roman" w:hAnsi="Times New Roman" w:eastAsia="宋体" w:cs="Times New Roman"/>
                <w:color w:val="auto"/>
                <w:spacing w:val="4"/>
                <w:sz w:val="24"/>
                <w:szCs w:val="24"/>
                <w:highlight w:val="none"/>
              </w:rPr>
              <w:t>mg/L、</w:t>
            </w:r>
            <w:r>
              <w:rPr>
                <w:rFonts w:hint="default" w:ascii="Times New Roman" w:hAnsi="Times New Roman" w:eastAsia="宋体" w:cs="Times New Roman"/>
                <w:color w:val="auto"/>
                <w:spacing w:val="4"/>
                <w:sz w:val="24"/>
                <w:szCs w:val="24"/>
                <w:highlight w:val="none"/>
                <w:lang w:val="en-US" w:eastAsia="zh-CN"/>
              </w:rPr>
              <w:t>动植物油</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color w:val="auto"/>
                <w:spacing w:val="4"/>
                <w:sz w:val="24"/>
                <w:szCs w:val="24"/>
                <w:highlight w:val="none"/>
                <w:lang w:val="en-US" w:eastAsia="zh-CN"/>
              </w:rPr>
              <w:t>80</w:t>
            </w:r>
            <w:r>
              <w:rPr>
                <w:rFonts w:hint="default" w:ascii="Times New Roman" w:hAnsi="Times New Roman" w:eastAsia="宋体" w:cs="Times New Roman"/>
                <w:color w:val="auto"/>
                <w:spacing w:val="4"/>
                <w:sz w:val="24"/>
                <w:szCs w:val="24"/>
                <w:highlight w:val="none"/>
              </w:rPr>
              <w:t>mg/L</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rPr>
              <w:t>隔油池、</w:t>
            </w:r>
            <w:r>
              <w:rPr>
                <w:rFonts w:hint="default" w:ascii="Times New Roman" w:hAnsi="Times New Roman" w:eastAsia="宋体" w:cs="Times New Roman"/>
                <w:color w:val="auto"/>
                <w:sz w:val="24"/>
                <w:szCs w:val="24"/>
                <w:highlight w:val="none"/>
              </w:rPr>
              <w:t>化粪池的处理效率依据《常用污水处理设备及去除率》确定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隔油池仅针对食堂废水</w:t>
            </w:r>
            <w:r>
              <w:rPr>
                <w:rFonts w:hint="default" w:ascii="Times New Roman" w:hAnsi="Times New Roman" w:eastAsia="宋体" w:cs="Times New Roman"/>
                <w:color w:val="auto"/>
                <w:sz w:val="24"/>
                <w:szCs w:val="24"/>
                <w:highlight w:val="none"/>
                <w:lang w:bidi="ar"/>
              </w:rPr>
              <w:t>动植物油</w:t>
            </w:r>
            <w:r>
              <w:rPr>
                <w:rFonts w:hint="default" w:ascii="Times New Roman" w:hAnsi="Times New Roman" w:eastAsia="宋体" w:cs="Times New Roman"/>
                <w:color w:val="auto"/>
                <w:sz w:val="24"/>
                <w:szCs w:val="24"/>
                <w:highlight w:val="none"/>
                <w:lang w:val="en-US" w:eastAsia="zh-CN"/>
              </w:rPr>
              <w:t>进行处理，</w:t>
            </w:r>
            <w:r>
              <w:rPr>
                <w:rFonts w:hint="default" w:ascii="Times New Roman" w:hAnsi="Times New Roman" w:eastAsia="宋体" w:cs="Times New Roman"/>
                <w:color w:val="auto"/>
                <w:sz w:val="24"/>
                <w:szCs w:val="24"/>
                <w:highlight w:val="none"/>
              </w:rPr>
              <w:t>处理效率</w:t>
            </w:r>
            <w:r>
              <w:rPr>
                <w:rFonts w:hint="default" w:ascii="Times New Roman" w:hAnsi="Times New Roman" w:eastAsia="宋体" w:cs="Times New Roman"/>
                <w:color w:val="auto"/>
                <w:sz w:val="24"/>
                <w:szCs w:val="24"/>
                <w:highlight w:val="none"/>
                <w:lang w:val="en-US" w:eastAsia="zh-CN"/>
              </w:rPr>
              <w:t>约为</w:t>
            </w:r>
            <w:r>
              <w:rPr>
                <w:rFonts w:hint="default" w:ascii="Times New Roman" w:hAnsi="Times New Roman" w:eastAsia="宋体" w:cs="Times New Roman"/>
                <w:color w:val="auto"/>
                <w:sz w:val="24"/>
                <w:szCs w:val="24"/>
                <w:highlight w:val="none"/>
                <w:lang w:val="en-US" w:eastAsia="zh-CN" w:bidi="ar"/>
              </w:rPr>
              <w:t>45</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其余去除效率可忽略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化</w:t>
            </w:r>
            <w:r>
              <w:rPr>
                <w:rFonts w:hint="default" w:ascii="Times New Roman" w:hAnsi="Times New Roman" w:eastAsia="宋体" w:cs="Times New Roman"/>
                <w:b w:val="0"/>
                <w:bCs w:val="0"/>
                <w:color w:val="auto"/>
                <w:sz w:val="24"/>
                <w:szCs w:val="24"/>
                <w:highlight w:val="none"/>
                <w:lang w:val="en-US" w:eastAsia="zh-CN"/>
              </w:rPr>
              <w:t>粪池对各污染物去除效率分别为CODcr15%、SS30%，BOD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9%，氨氮3%</w:t>
            </w:r>
            <w:r>
              <w:rPr>
                <w:rFonts w:hint="default" w:ascii="Times New Roman" w:hAnsi="Times New Roman" w:eastAsia="宋体" w:cs="Times New Roman"/>
                <w:color w:val="auto"/>
                <w:kern w:val="0"/>
                <w:sz w:val="24"/>
                <w:szCs w:val="24"/>
                <w:highlight w:val="none"/>
                <w:lang w:eastAsia="zh-CN"/>
              </w:rPr>
              <w:t>。</w:t>
            </w:r>
          </w:p>
          <w:p w14:paraId="3ED1F165">
            <w:pPr>
              <w:keepNext w:val="0"/>
              <w:keepLines w:val="0"/>
              <w:pageBreakBefore w:val="0"/>
              <w:kinsoku/>
              <w:wordWrap/>
              <w:overflowPunct/>
              <w:topLinePunct w:val="0"/>
              <w:bidi w:val="0"/>
              <w:spacing w:line="360" w:lineRule="auto"/>
              <w:ind w:right="0" w:firstLine="480" w:firstLineChars="200"/>
              <w:rPr>
                <w:rFonts w:hint="default" w:ascii="Times New Roman" w:hAnsi="Times New Roman" w:eastAsia="宋体" w:cs="Times New Roman"/>
                <w:strike w:val="0"/>
                <w:dstrike w:val="0"/>
                <w:color w:val="auto"/>
                <w:sz w:val="24"/>
                <w:szCs w:val="24"/>
                <w:highlight w:val="none"/>
                <w:lang w:val="en-US" w:eastAsia="zh-CN"/>
              </w:rPr>
            </w:pPr>
            <w:r>
              <w:rPr>
                <w:rFonts w:hint="default" w:ascii="Times New Roman" w:hAnsi="Times New Roman" w:eastAsia="宋体" w:cs="Times New Roman"/>
                <w:strike w:val="0"/>
                <w:dstrike w:val="0"/>
                <w:color w:val="auto"/>
                <w:sz w:val="24"/>
                <w:szCs w:val="24"/>
                <w:highlight w:val="none"/>
                <w:lang w:val="en-US" w:eastAsia="zh-CN"/>
              </w:rPr>
              <w:t>去离子水制备系统废水水质参照同类项目，各</w:t>
            </w:r>
            <w:r>
              <w:rPr>
                <w:rFonts w:hint="default" w:ascii="Times New Roman" w:hAnsi="Times New Roman" w:eastAsia="宋体" w:cs="Times New Roman"/>
                <w:strike w:val="0"/>
                <w:dstrike w:val="0"/>
                <w:color w:val="auto"/>
                <w:sz w:val="24"/>
                <w:szCs w:val="24"/>
                <w:highlight w:val="none"/>
              </w:rPr>
              <w:t>主要污染的浓度</w:t>
            </w:r>
            <w:r>
              <w:rPr>
                <w:rFonts w:hint="default" w:ascii="Times New Roman" w:hAnsi="Times New Roman" w:eastAsia="宋体" w:cs="Times New Roman"/>
                <w:strike w:val="0"/>
                <w:dstrike w:val="0"/>
                <w:color w:val="auto"/>
                <w:sz w:val="24"/>
                <w:szCs w:val="24"/>
                <w:highlight w:val="none"/>
                <w:lang w:val="en-US" w:eastAsia="zh-CN"/>
              </w:rPr>
              <w:t>为</w:t>
            </w:r>
            <w:r>
              <w:rPr>
                <w:rFonts w:hint="default" w:ascii="Times New Roman" w:hAnsi="Times New Roman" w:eastAsia="宋体" w:cs="Times New Roman"/>
                <w:strike w:val="0"/>
                <w:dstrike w:val="0"/>
                <w:color w:val="auto"/>
                <w:sz w:val="24"/>
                <w:szCs w:val="24"/>
                <w:highlight w:val="none"/>
              </w:rPr>
              <w:t>COD</w:t>
            </w:r>
            <w:r>
              <w:rPr>
                <w:rFonts w:hint="default" w:ascii="Times New Roman" w:hAnsi="Times New Roman" w:eastAsia="宋体" w:cs="Times New Roman"/>
                <w:strike w:val="0"/>
                <w:dstrike w:val="0"/>
                <w:color w:val="auto"/>
                <w:sz w:val="24"/>
                <w:szCs w:val="24"/>
                <w:highlight w:val="none"/>
                <w:lang w:val="en-US" w:eastAsia="zh-CN"/>
              </w:rPr>
              <w:t>70</w:t>
            </w:r>
            <w:r>
              <w:rPr>
                <w:rFonts w:hint="default" w:ascii="Times New Roman" w:hAnsi="Times New Roman" w:eastAsia="宋体" w:cs="Times New Roman"/>
                <w:strike w:val="0"/>
                <w:dstrike w:val="0"/>
                <w:color w:val="auto"/>
                <w:sz w:val="24"/>
                <w:szCs w:val="24"/>
                <w:highlight w:val="none"/>
              </w:rPr>
              <w:t>mg/L、BOD</w:t>
            </w:r>
            <w:r>
              <w:rPr>
                <w:rFonts w:hint="default" w:ascii="Times New Roman" w:hAnsi="Times New Roman" w:eastAsia="宋体" w:cs="Times New Roman"/>
                <w:strike w:val="0"/>
                <w:dstrike w:val="0"/>
                <w:color w:val="auto"/>
                <w:sz w:val="24"/>
                <w:szCs w:val="24"/>
                <w:highlight w:val="none"/>
                <w:vertAlign w:val="subscript"/>
              </w:rPr>
              <w:t>5</w:t>
            </w:r>
            <w:r>
              <w:rPr>
                <w:rFonts w:hint="default" w:ascii="Times New Roman" w:hAnsi="Times New Roman" w:eastAsia="宋体" w:cs="Times New Roman"/>
                <w:strike w:val="0"/>
                <w:dstrike w:val="0"/>
                <w:color w:val="auto"/>
                <w:sz w:val="24"/>
                <w:szCs w:val="24"/>
                <w:highlight w:val="none"/>
                <w:lang w:val="en-US" w:eastAsia="zh-CN"/>
              </w:rPr>
              <w:t>30</w:t>
            </w:r>
            <w:r>
              <w:rPr>
                <w:rFonts w:hint="default" w:ascii="Times New Roman" w:hAnsi="Times New Roman" w:eastAsia="宋体" w:cs="Times New Roman"/>
                <w:strike w:val="0"/>
                <w:dstrike w:val="0"/>
                <w:color w:val="auto"/>
                <w:sz w:val="24"/>
                <w:szCs w:val="24"/>
                <w:highlight w:val="none"/>
              </w:rPr>
              <w:t>mg/L、SS</w:t>
            </w:r>
            <w:r>
              <w:rPr>
                <w:rFonts w:hint="default" w:ascii="Times New Roman" w:hAnsi="Times New Roman" w:eastAsia="宋体" w:cs="Times New Roman"/>
                <w:strike w:val="0"/>
                <w:dstrike w:val="0"/>
                <w:color w:val="auto"/>
                <w:sz w:val="24"/>
                <w:szCs w:val="24"/>
                <w:highlight w:val="none"/>
                <w:lang w:val="en-US" w:eastAsia="zh-CN"/>
              </w:rPr>
              <w:t>120</w:t>
            </w:r>
            <w:r>
              <w:rPr>
                <w:rFonts w:hint="default" w:ascii="Times New Roman" w:hAnsi="Times New Roman" w:eastAsia="宋体" w:cs="Times New Roman"/>
                <w:strike w:val="0"/>
                <w:dstrike w:val="0"/>
                <w:color w:val="auto"/>
                <w:sz w:val="24"/>
                <w:szCs w:val="24"/>
                <w:highlight w:val="none"/>
              </w:rPr>
              <w:t>mg/L、</w:t>
            </w:r>
            <w:r>
              <w:rPr>
                <w:rFonts w:hint="default" w:ascii="Times New Roman" w:hAnsi="Times New Roman" w:eastAsia="宋体" w:cs="Times New Roman"/>
                <w:strike w:val="0"/>
                <w:dstrike w:val="0"/>
                <w:color w:val="auto"/>
                <w:sz w:val="24"/>
                <w:szCs w:val="24"/>
                <w:highlight w:val="none"/>
                <w:lang w:val="en-US" w:eastAsia="zh-CN"/>
              </w:rPr>
              <w:t>TDS580</w:t>
            </w:r>
            <w:r>
              <w:rPr>
                <w:rFonts w:hint="default" w:ascii="Times New Roman" w:hAnsi="Times New Roman" w:eastAsia="宋体" w:cs="Times New Roman"/>
                <w:strike w:val="0"/>
                <w:dstrike w:val="0"/>
                <w:color w:val="auto"/>
                <w:sz w:val="24"/>
                <w:szCs w:val="24"/>
                <w:highlight w:val="none"/>
              </w:rPr>
              <w:t>mg/L</w:t>
            </w:r>
            <w:r>
              <w:rPr>
                <w:rFonts w:hint="default" w:ascii="Times New Roman" w:hAnsi="Times New Roman" w:eastAsia="宋体" w:cs="Times New Roman"/>
                <w:strike w:val="0"/>
                <w:dstrike w:val="0"/>
                <w:color w:val="auto"/>
                <w:sz w:val="24"/>
                <w:szCs w:val="24"/>
                <w:highlight w:val="none"/>
                <w:lang w:eastAsia="zh-CN"/>
              </w:rPr>
              <w:t>。</w:t>
            </w:r>
          </w:p>
          <w:p w14:paraId="01BD64EB">
            <w:pPr>
              <w:keepNext w:val="0"/>
              <w:keepLines w:val="0"/>
              <w:pageBreakBefore w:val="0"/>
              <w:kinsoku/>
              <w:wordWrap/>
              <w:overflowPunct/>
              <w:topLinePunct w:val="0"/>
              <w:bidi w:val="0"/>
              <w:spacing w:line="360" w:lineRule="auto"/>
              <w:ind w:right="0" w:firstLine="480" w:firstLineChars="200"/>
              <w:rPr>
                <w:rFonts w:hint="default" w:ascii="Times New Roman" w:hAnsi="Times New Roman" w:eastAsia="宋体" w:cs="Times New Roman"/>
                <w:color w:val="auto"/>
                <w:spacing w:val="-1"/>
                <w:sz w:val="24"/>
                <w:szCs w:val="24"/>
                <w:highlight w:val="none"/>
              </w:rPr>
            </w:pPr>
            <w:r>
              <w:rPr>
                <w:rFonts w:hint="eastAsia" w:ascii="Times New Roman" w:hAnsi="Times New Roman" w:eastAsia="宋体" w:cs="Times New Roman"/>
                <w:strike w:val="0"/>
                <w:dstrike w:val="0"/>
                <w:color w:val="auto"/>
                <w:sz w:val="24"/>
                <w:szCs w:val="24"/>
                <w:highlight w:val="none"/>
                <w:lang w:val="en-US" w:eastAsia="zh-CN"/>
              </w:rPr>
              <w:t>根据</w:t>
            </w:r>
            <w:r>
              <w:rPr>
                <w:rFonts w:hint="default" w:ascii="Times New Roman" w:hAnsi="Times New Roman" w:eastAsia="宋体" w:cs="Times New Roman"/>
                <w:strike w:val="0"/>
                <w:dstrike w:val="0"/>
                <w:color w:val="auto"/>
                <w:sz w:val="24"/>
                <w:szCs w:val="24"/>
                <w:highlight w:val="none"/>
                <w:lang w:val="en-US" w:eastAsia="zh-CN"/>
              </w:rPr>
              <w:t>《江西省水钻行业水污染状况调查及处理工艺研究》（《江西科学》2022年10月，第40卷，第5期；王丽，张浩，钮佰杰，王元月，周武，何友文，王先勇）的研究数据</w:t>
            </w:r>
            <w:r>
              <w:rPr>
                <w:rFonts w:hint="eastAsia"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lang w:val="en-US" w:eastAsia="zh-CN"/>
              </w:rPr>
              <w:t>以下简称“文献”</w:t>
            </w:r>
            <w:r>
              <w:rPr>
                <w:rFonts w:hint="eastAsia" w:cs="Times New Roman"/>
                <w:strike w:val="0"/>
                <w:dstrike w:val="0"/>
                <w:color w:val="auto"/>
                <w:sz w:val="24"/>
                <w:szCs w:val="24"/>
                <w:highlight w:val="none"/>
                <w:lang w:val="en-US" w:eastAsia="zh-CN"/>
              </w:rPr>
              <w:t>，珠胚清洗废水、磨抛废水及圆磨废水</w:t>
            </w:r>
            <w:r>
              <w:rPr>
                <w:rFonts w:hint="eastAsia" w:ascii="Times New Roman" w:hAnsi="Times New Roman" w:eastAsia="宋体" w:cs="Times New Roman"/>
                <w:strike w:val="0"/>
                <w:dstrike w:val="0"/>
                <w:color w:val="auto"/>
                <w:sz w:val="24"/>
                <w:szCs w:val="24"/>
                <w:highlight w:val="none"/>
                <w:lang w:val="en-US" w:eastAsia="zh-CN"/>
              </w:rPr>
              <w:t>参考</w:t>
            </w:r>
            <w:r>
              <w:rPr>
                <w:rFonts w:hint="default" w:ascii="Times New Roman" w:hAnsi="Times New Roman" w:eastAsia="宋体" w:cs="Times New Roman"/>
                <w:strike w:val="0"/>
                <w:dstrike w:val="0"/>
                <w:color w:val="auto"/>
                <w:sz w:val="24"/>
                <w:szCs w:val="24"/>
                <w:highlight w:val="none"/>
                <w:lang w:val="en-US" w:eastAsia="zh-CN"/>
              </w:rPr>
              <w:t>文献</w:t>
            </w:r>
            <w:r>
              <w:rPr>
                <w:rFonts w:hint="eastAsia" w:ascii="Times New Roman" w:hAnsi="Times New Roman" w:eastAsia="宋体" w:cs="Times New Roman"/>
                <w:strike w:val="0"/>
                <w:dstrike w:val="0"/>
                <w:color w:val="auto"/>
                <w:sz w:val="24"/>
                <w:szCs w:val="24"/>
                <w:highlight w:val="none"/>
                <w:lang w:val="en-US" w:eastAsia="zh-CN"/>
              </w:rPr>
              <w:t>中表2</w:t>
            </w:r>
            <w:r>
              <w:rPr>
                <w:rFonts w:hint="eastAsia" w:cs="Times New Roman"/>
                <w:strike w:val="0"/>
                <w:dstrike w:val="0"/>
                <w:color w:val="auto"/>
                <w:sz w:val="24"/>
                <w:szCs w:val="24"/>
                <w:highlight w:val="none"/>
                <w:lang w:val="en-US" w:eastAsia="zh-CN"/>
              </w:rPr>
              <w:t>中“两磨一抛”，碱洗及清洗废水</w:t>
            </w:r>
            <w:r>
              <w:rPr>
                <w:rFonts w:hint="eastAsia" w:ascii="Times New Roman" w:hAnsi="Times New Roman" w:eastAsia="宋体" w:cs="Times New Roman"/>
                <w:strike w:val="0"/>
                <w:dstrike w:val="0"/>
                <w:color w:val="auto"/>
                <w:sz w:val="24"/>
                <w:szCs w:val="24"/>
                <w:highlight w:val="none"/>
                <w:lang w:val="en-US" w:eastAsia="zh-CN"/>
              </w:rPr>
              <w:t>参考</w:t>
            </w:r>
            <w:r>
              <w:rPr>
                <w:rFonts w:hint="default" w:ascii="Times New Roman" w:hAnsi="Times New Roman" w:eastAsia="宋体" w:cs="Times New Roman"/>
                <w:strike w:val="0"/>
                <w:dstrike w:val="0"/>
                <w:color w:val="auto"/>
                <w:sz w:val="24"/>
                <w:szCs w:val="24"/>
                <w:highlight w:val="none"/>
                <w:lang w:val="en-US" w:eastAsia="zh-CN"/>
              </w:rPr>
              <w:t>文献</w:t>
            </w:r>
            <w:r>
              <w:rPr>
                <w:rFonts w:hint="eastAsia" w:ascii="Times New Roman" w:hAnsi="Times New Roman" w:eastAsia="宋体" w:cs="Times New Roman"/>
                <w:strike w:val="0"/>
                <w:dstrike w:val="0"/>
                <w:color w:val="auto"/>
                <w:sz w:val="24"/>
                <w:szCs w:val="24"/>
                <w:highlight w:val="none"/>
                <w:lang w:val="en-US" w:eastAsia="zh-CN"/>
              </w:rPr>
              <w:t>中表</w:t>
            </w:r>
            <w:r>
              <w:rPr>
                <w:rFonts w:hint="eastAsia" w:cs="Times New Roman"/>
                <w:strike w:val="0"/>
                <w:dstrike w:val="0"/>
                <w:color w:val="auto"/>
                <w:sz w:val="24"/>
                <w:szCs w:val="24"/>
                <w:highlight w:val="none"/>
                <w:lang w:val="en-US" w:eastAsia="zh-CN"/>
              </w:rPr>
              <w:t>3</w:t>
            </w:r>
            <w:r>
              <w:rPr>
                <w:rFonts w:hint="eastAsia" w:ascii="Times New Roman" w:hAnsi="Times New Roman" w:eastAsia="宋体" w:cs="Times New Roman"/>
                <w:strike w:val="0"/>
                <w:dstrike w:val="0"/>
                <w:color w:val="auto"/>
                <w:sz w:val="24"/>
                <w:szCs w:val="24"/>
                <w:highlight w:val="none"/>
                <w:lang w:val="en-US" w:eastAsia="zh-CN"/>
              </w:rPr>
              <w:t>）</w:t>
            </w:r>
            <w:r>
              <w:rPr>
                <w:rFonts w:hint="eastAsia" w:cs="Times New Roman"/>
                <w:strike w:val="0"/>
                <w:dstrike w:val="0"/>
                <w:color w:val="auto"/>
                <w:sz w:val="24"/>
                <w:szCs w:val="24"/>
                <w:highlight w:val="none"/>
                <w:lang w:val="en-US" w:eastAsia="zh-CN"/>
              </w:rPr>
              <w:t>，</w:t>
            </w:r>
            <w:r>
              <w:rPr>
                <w:rFonts w:hint="eastAsia" w:cs="Times New Roman"/>
                <w:color w:val="auto"/>
                <w:spacing w:val="-3"/>
                <w:sz w:val="24"/>
                <w:szCs w:val="24"/>
                <w:highlight w:val="none"/>
                <w:lang w:val="en-US" w:eastAsia="zh-CN"/>
              </w:rPr>
              <w:t>并</w:t>
            </w:r>
            <w:r>
              <w:rPr>
                <w:rFonts w:hint="default" w:ascii="Times New Roman" w:hAnsi="Times New Roman" w:eastAsia="宋体" w:cs="Times New Roman"/>
                <w:color w:val="auto"/>
                <w:spacing w:val="-3"/>
                <w:sz w:val="24"/>
                <w:szCs w:val="24"/>
                <w:highlight w:val="none"/>
              </w:rPr>
              <w:t>类比</w:t>
            </w:r>
            <w:r>
              <w:rPr>
                <w:rFonts w:hint="eastAsia" w:cs="Times New Roman"/>
                <w:color w:val="auto"/>
                <w:spacing w:val="-3"/>
                <w:sz w:val="24"/>
                <w:szCs w:val="24"/>
                <w:highlight w:val="none"/>
                <w:lang w:eastAsia="zh-CN"/>
              </w:rPr>
              <w:t>《</w:t>
            </w:r>
            <w:r>
              <w:rPr>
                <w:rFonts w:hint="default" w:ascii="Times New Roman" w:hAnsi="Times New Roman" w:eastAsia="宋体" w:cs="Times New Roman"/>
                <w:color w:val="auto"/>
                <w:kern w:val="1"/>
                <w:sz w:val="24"/>
                <w:szCs w:val="24"/>
                <w:highlight w:val="none"/>
                <w:lang w:val="en-US" w:eastAsia="zh-CN" w:bidi="zh-CN"/>
              </w:rPr>
              <w:t>浙江今辰饰品有限公司年产1300吨高品质水晶烫钻生产线项目</w:t>
            </w:r>
            <w:r>
              <w:rPr>
                <w:rFonts w:hint="eastAsia" w:cs="Times New Roman"/>
                <w:color w:val="auto"/>
                <w:spacing w:val="-3"/>
                <w:sz w:val="24"/>
                <w:szCs w:val="24"/>
                <w:highlight w:val="none"/>
                <w:lang w:eastAsia="zh-CN"/>
              </w:rPr>
              <w:t>》</w:t>
            </w:r>
            <w:r>
              <w:rPr>
                <w:rFonts w:hint="eastAsia" w:cs="Times New Roman"/>
                <w:color w:val="auto"/>
                <w:kern w:val="1"/>
                <w:sz w:val="24"/>
                <w:szCs w:val="24"/>
                <w:highlight w:val="none"/>
                <w:lang w:val="en-US" w:eastAsia="zh-CN" w:bidi="zh-CN"/>
              </w:rPr>
              <w:t>（项目总公司，</w:t>
            </w:r>
            <w:r>
              <w:rPr>
                <w:rFonts w:hint="eastAsia" w:cs="Times New Roman"/>
                <w:color w:val="auto"/>
                <w:spacing w:val="-3"/>
                <w:sz w:val="24"/>
                <w:szCs w:val="24"/>
                <w:highlight w:val="none"/>
                <w:lang w:val="en-US" w:eastAsia="zh-CN"/>
              </w:rPr>
              <w:t>所用原料、</w:t>
            </w:r>
            <w:r>
              <w:rPr>
                <w:rFonts w:hint="eastAsia" w:ascii="宋体" w:hAnsi="宋体" w:eastAsia="宋体" w:cs="宋体"/>
                <w:color w:val="auto"/>
                <w:kern w:val="0"/>
                <w:sz w:val="24"/>
                <w:szCs w:val="24"/>
                <w:highlight w:val="none"/>
                <w:lang w:val="en-US" w:eastAsia="zh-CN" w:bidi="ar"/>
              </w:rPr>
              <w:t>生产工艺、废水类型</w:t>
            </w:r>
            <w:r>
              <w:rPr>
                <w:rFonts w:hint="eastAsia" w:ascii="宋体" w:hAnsi="宋体" w:cs="宋体"/>
                <w:color w:val="auto"/>
                <w:kern w:val="0"/>
                <w:sz w:val="24"/>
                <w:szCs w:val="24"/>
                <w:highlight w:val="none"/>
                <w:lang w:val="en-US" w:eastAsia="zh-CN" w:bidi="ar"/>
              </w:rPr>
              <w:t>均与本项目一致</w:t>
            </w:r>
            <w:r>
              <w:rPr>
                <w:rFonts w:hint="eastAsia" w:cs="Times New Roman"/>
                <w:color w:val="auto"/>
                <w:kern w:val="1"/>
                <w:sz w:val="24"/>
                <w:szCs w:val="24"/>
                <w:highlight w:val="none"/>
                <w:lang w:val="en-US" w:eastAsia="zh-CN" w:bidi="zh-CN"/>
              </w:rPr>
              <w:t>）</w:t>
            </w:r>
            <w:r>
              <w:rPr>
                <w:rFonts w:hint="eastAsia" w:cs="Times New Roman"/>
                <w:color w:val="auto"/>
                <w:spacing w:val="-3"/>
                <w:sz w:val="24"/>
                <w:szCs w:val="24"/>
                <w:highlight w:val="none"/>
                <w:lang w:val="en-US" w:eastAsia="zh-CN"/>
              </w:rPr>
              <w:t>等</w:t>
            </w:r>
            <w:r>
              <w:rPr>
                <w:rFonts w:hint="default" w:ascii="Times New Roman" w:hAnsi="Times New Roman" w:eastAsia="宋体" w:cs="Times New Roman"/>
                <w:color w:val="auto"/>
                <w:spacing w:val="-3"/>
                <w:sz w:val="24"/>
                <w:szCs w:val="24"/>
                <w:highlight w:val="none"/>
                <w:lang w:val="en-US" w:eastAsia="zh-CN"/>
              </w:rPr>
              <w:t>同行业</w:t>
            </w:r>
            <w:r>
              <w:rPr>
                <w:rFonts w:hint="default" w:ascii="Times New Roman" w:hAnsi="Times New Roman" w:eastAsia="宋体" w:cs="Times New Roman"/>
                <w:color w:val="auto"/>
                <w:spacing w:val="-1"/>
                <w:sz w:val="24"/>
                <w:szCs w:val="24"/>
                <w:highlight w:val="none"/>
              </w:rPr>
              <w:t>中废水水质浓度</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color w:val="auto"/>
                <w:spacing w:val="-1"/>
                <w:sz w:val="24"/>
                <w:szCs w:val="24"/>
                <w:highlight w:val="none"/>
              </w:rPr>
              <w:t>综合确定本项目各个工序废水主要污染物及浓度</w:t>
            </w:r>
            <w:r>
              <w:rPr>
                <w:rFonts w:hint="eastAsia" w:cs="Times New Roman"/>
                <w:color w:val="auto"/>
                <w:spacing w:val="-1"/>
                <w:sz w:val="24"/>
                <w:szCs w:val="24"/>
                <w:highlight w:val="none"/>
                <w:lang w:eastAsia="zh-CN"/>
              </w:rPr>
              <w:t>，</w:t>
            </w:r>
            <w:r>
              <w:rPr>
                <w:rFonts w:hint="eastAsia" w:cs="Times New Roman"/>
                <w:color w:val="auto"/>
                <w:spacing w:val="-1"/>
                <w:sz w:val="24"/>
                <w:szCs w:val="24"/>
                <w:highlight w:val="none"/>
                <w:lang w:val="en-US" w:eastAsia="zh-CN"/>
              </w:rPr>
              <w:t>具体</w:t>
            </w:r>
            <w:r>
              <w:rPr>
                <w:rFonts w:hint="default" w:ascii="Times New Roman" w:hAnsi="Times New Roman" w:eastAsia="宋体" w:cs="Times New Roman"/>
                <w:color w:val="auto"/>
                <w:spacing w:val="-1"/>
                <w:sz w:val="24"/>
                <w:szCs w:val="24"/>
                <w:highlight w:val="none"/>
              </w:rPr>
              <w:t>废水主要污染物及浓度见下表。</w:t>
            </w:r>
          </w:p>
          <w:p w14:paraId="4A3784E4">
            <w:pPr>
              <w:keepNext w:val="0"/>
              <w:keepLines w:val="0"/>
              <w:pageBreakBefore w:val="0"/>
              <w:widowControl/>
              <w:kinsoku/>
              <w:wordWrap/>
              <w:overflowPunct/>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项目</w:t>
            </w:r>
            <w:r>
              <w:rPr>
                <w:rFonts w:hint="eastAsia" w:cs="Times New Roman"/>
                <w:b/>
                <w:bCs/>
                <w:color w:val="auto"/>
                <w:sz w:val="21"/>
                <w:szCs w:val="21"/>
                <w:highlight w:val="none"/>
                <w:lang w:val="en-US" w:eastAsia="zh-CN"/>
              </w:rPr>
              <w:t>各类废水</w:t>
            </w:r>
            <w:r>
              <w:rPr>
                <w:rFonts w:hint="default" w:ascii="Times New Roman" w:hAnsi="Times New Roman" w:eastAsia="宋体" w:cs="Times New Roman"/>
                <w:b/>
                <w:bCs/>
                <w:color w:val="auto"/>
                <w:sz w:val="21"/>
                <w:szCs w:val="21"/>
                <w:highlight w:val="none"/>
              </w:rPr>
              <w:t>主要污染物及浓度一览表</w:t>
            </w:r>
          </w:p>
          <w:tbl>
            <w:tblPr>
              <w:tblStyle w:val="6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780"/>
              <w:gridCol w:w="1965"/>
              <w:gridCol w:w="1100"/>
              <w:gridCol w:w="1988"/>
              <w:gridCol w:w="1411"/>
            </w:tblGrid>
            <w:tr w14:paraId="49264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14:paraId="147520A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用水装置</w:t>
                  </w:r>
                </w:p>
              </w:tc>
              <w:tc>
                <w:tcPr>
                  <w:tcW w:w="780" w:type="dxa"/>
                  <w:tcBorders>
                    <w:tl2br w:val="nil"/>
                    <w:tr2bl w:val="nil"/>
                  </w:tcBorders>
                  <w:vAlign w:val="center"/>
                </w:tcPr>
                <w:p w14:paraId="47E9B96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污染源名称</w:t>
                  </w:r>
                </w:p>
              </w:tc>
              <w:tc>
                <w:tcPr>
                  <w:tcW w:w="1965" w:type="dxa"/>
                  <w:tcBorders>
                    <w:tl2br w:val="nil"/>
                    <w:tr2bl w:val="nil"/>
                  </w:tcBorders>
                  <w:vAlign w:val="center"/>
                </w:tcPr>
                <w:p w14:paraId="3D6784C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主要污染物及浓度</w:t>
                  </w:r>
                </w:p>
              </w:tc>
              <w:tc>
                <w:tcPr>
                  <w:tcW w:w="1100" w:type="dxa"/>
                  <w:tcBorders>
                    <w:tl2br w:val="nil"/>
                    <w:tr2bl w:val="nil"/>
                  </w:tcBorders>
                  <w:vAlign w:val="center"/>
                </w:tcPr>
                <w:p w14:paraId="4D3A03A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pacing w:val="5"/>
                      <w:sz w:val="21"/>
                      <w:szCs w:val="21"/>
                      <w:highlight w:val="none"/>
                      <w:lang w:val="en-US" w:eastAsia="zh-CN"/>
                    </w:rPr>
                    <w:t>预处理</w:t>
                  </w:r>
                  <w:r>
                    <w:rPr>
                      <w:rFonts w:hint="default" w:ascii="Times New Roman" w:hAnsi="Times New Roman" w:eastAsia="宋体" w:cs="Times New Roman"/>
                      <w:b/>
                      <w:bCs/>
                      <w:color w:val="auto"/>
                      <w:spacing w:val="5"/>
                      <w:sz w:val="21"/>
                      <w:szCs w:val="21"/>
                      <w:highlight w:val="none"/>
                    </w:rPr>
                    <w:t>措施</w:t>
                  </w:r>
                </w:p>
              </w:tc>
              <w:tc>
                <w:tcPr>
                  <w:tcW w:w="1988" w:type="dxa"/>
                  <w:tcBorders>
                    <w:tl2br w:val="nil"/>
                    <w:tr2bl w:val="nil"/>
                  </w:tcBorders>
                  <w:vAlign w:val="center"/>
                </w:tcPr>
                <w:p w14:paraId="45D65D1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预处理后水质</w:t>
                  </w:r>
                </w:p>
              </w:tc>
              <w:tc>
                <w:tcPr>
                  <w:tcW w:w="1411" w:type="dxa"/>
                  <w:tcBorders>
                    <w:tl2br w:val="nil"/>
                    <w:tr2bl w:val="nil"/>
                  </w:tcBorders>
                  <w:vAlign w:val="center"/>
                </w:tcPr>
                <w:p w14:paraId="52B4443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去向</w:t>
                  </w:r>
                </w:p>
              </w:tc>
            </w:tr>
            <w:tr w14:paraId="5E995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14:paraId="1D2B235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4"/>
                      <w:sz w:val="21"/>
                      <w:szCs w:val="21"/>
                      <w:highlight w:val="none"/>
                      <w:lang w:eastAsia="zh-CN"/>
                    </w:rPr>
                    <w:t>珠胚生产</w:t>
                  </w:r>
                </w:p>
              </w:tc>
              <w:tc>
                <w:tcPr>
                  <w:tcW w:w="780" w:type="dxa"/>
                  <w:tcBorders>
                    <w:tl2br w:val="nil"/>
                    <w:tr2bl w:val="nil"/>
                  </w:tcBorders>
                  <w:vAlign w:val="center"/>
                </w:tcPr>
                <w:p w14:paraId="798D2BF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8"/>
                      <w:sz w:val="21"/>
                      <w:szCs w:val="21"/>
                      <w:highlight w:val="none"/>
                      <w:lang w:eastAsia="zh-CN"/>
                    </w:rPr>
                    <w:t>珠胚清洗</w:t>
                  </w:r>
                  <w:r>
                    <w:rPr>
                      <w:rFonts w:hint="default" w:ascii="Times New Roman" w:hAnsi="Times New Roman" w:eastAsia="宋体" w:cs="Times New Roman"/>
                      <w:color w:val="auto"/>
                      <w:spacing w:val="8"/>
                      <w:sz w:val="21"/>
                      <w:szCs w:val="21"/>
                      <w:highlight w:val="none"/>
                    </w:rPr>
                    <w:t>废水</w:t>
                  </w:r>
                </w:p>
              </w:tc>
              <w:tc>
                <w:tcPr>
                  <w:tcW w:w="1965" w:type="dxa"/>
                  <w:tcBorders>
                    <w:tl2br w:val="nil"/>
                    <w:tr2bl w:val="nil"/>
                  </w:tcBorders>
                  <w:vAlign w:val="center"/>
                </w:tcPr>
                <w:p w14:paraId="43CDD3D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CODcr：</w:t>
                  </w:r>
                  <w:r>
                    <w:rPr>
                      <w:rFonts w:hint="eastAsia" w:ascii="Times New Roman" w:hAnsi="Times New Roman" w:eastAsia="宋体" w:cs="Times New Roman"/>
                      <w:color w:val="auto"/>
                      <w:spacing w:val="-1"/>
                      <w:sz w:val="21"/>
                      <w:szCs w:val="21"/>
                      <w:highlight w:val="none"/>
                      <w:lang w:val="en-US" w:eastAsia="zh-CN"/>
                    </w:rPr>
                    <w:t>200</w:t>
                  </w:r>
                  <w:r>
                    <w:rPr>
                      <w:rFonts w:hint="default" w:ascii="Times New Roman" w:hAnsi="Times New Roman" w:eastAsia="宋体" w:cs="Times New Roman"/>
                      <w:color w:val="auto"/>
                      <w:spacing w:val="-1"/>
                      <w:sz w:val="21"/>
                      <w:szCs w:val="21"/>
                      <w:highlight w:val="none"/>
                    </w:rPr>
                    <w:t>mg/L、BOD</w:t>
                  </w:r>
                  <w:r>
                    <w:rPr>
                      <w:rFonts w:hint="default" w:ascii="Times New Roman" w:hAnsi="Times New Roman" w:eastAsia="宋体" w:cs="Times New Roman"/>
                      <w:color w:val="auto"/>
                      <w:spacing w:val="-1"/>
                      <w:position w:val="-1"/>
                      <w:sz w:val="21"/>
                      <w:szCs w:val="21"/>
                      <w:highlight w:val="none"/>
                      <w:vertAlign w:val="subscript"/>
                    </w:rPr>
                    <w:t>5</w:t>
                  </w:r>
                  <w:r>
                    <w:rPr>
                      <w:rFonts w:hint="default" w:ascii="Times New Roman" w:hAnsi="Times New Roman" w:eastAsia="宋体" w:cs="Times New Roman"/>
                      <w:color w:val="auto"/>
                      <w:spacing w:val="-1"/>
                      <w:sz w:val="21"/>
                      <w:szCs w:val="21"/>
                      <w:highlight w:val="none"/>
                    </w:rPr>
                    <w:t>：</w:t>
                  </w:r>
                  <w:r>
                    <w:rPr>
                      <w:rFonts w:hint="eastAsia" w:ascii="Times New Roman" w:hAnsi="Times New Roman" w:eastAsia="宋体" w:cs="Times New Roman"/>
                      <w:color w:val="auto"/>
                      <w:spacing w:val="-2"/>
                      <w:sz w:val="21"/>
                      <w:szCs w:val="21"/>
                      <w:highlight w:val="none"/>
                      <w:lang w:val="en-US" w:eastAsia="zh-CN"/>
                    </w:rPr>
                    <w:t>70</w:t>
                  </w:r>
                  <w:r>
                    <w:rPr>
                      <w:rFonts w:hint="default" w:ascii="Times New Roman" w:hAnsi="Times New Roman" w:eastAsia="宋体" w:cs="Times New Roman"/>
                      <w:color w:val="auto"/>
                      <w:spacing w:val="-2"/>
                      <w:sz w:val="21"/>
                      <w:szCs w:val="21"/>
                      <w:highlight w:val="none"/>
                    </w:rPr>
                    <w:t>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pacing w:val="7"/>
                      <w:sz w:val="21"/>
                      <w:szCs w:val="21"/>
                      <w:highlight w:val="none"/>
                    </w:rPr>
                    <w:t>：</w:t>
                  </w:r>
                  <w:r>
                    <w:rPr>
                      <w:rFonts w:hint="eastAsia" w:ascii="Times New Roman" w:hAnsi="Times New Roman" w:eastAsia="宋体" w:cs="Times New Roman"/>
                      <w:color w:val="auto"/>
                      <w:spacing w:val="7"/>
                      <w:sz w:val="21"/>
                      <w:szCs w:val="21"/>
                      <w:highlight w:val="none"/>
                      <w:lang w:val="en-US" w:eastAsia="zh-CN"/>
                    </w:rPr>
                    <w:t>400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7"/>
                      <w:sz w:val="21"/>
                      <w:szCs w:val="21"/>
                      <w:highlight w:val="none"/>
                    </w:rPr>
                    <w:t>/L</w:t>
                  </w:r>
                </w:p>
              </w:tc>
              <w:tc>
                <w:tcPr>
                  <w:tcW w:w="1100" w:type="dxa"/>
                  <w:tcBorders>
                    <w:tl2br w:val="nil"/>
                    <w:tr2bl w:val="nil"/>
                  </w:tcBorders>
                  <w:vAlign w:val="center"/>
                </w:tcPr>
                <w:p w14:paraId="1F0012A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8"/>
                      <w:sz w:val="21"/>
                      <w:szCs w:val="21"/>
                      <w:highlight w:val="none"/>
                      <w:lang w:eastAsia="zh-CN"/>
                    </w:rPr>
                    <w:t>珠胚</w:t>
                  </w:r>
                  <w:r>
                    <w:rPr>
                      <w:rFonts w:hint="default" w:ascii="Times New Roman" w:hAnsi="Times New Roman" w:eastAsia="宋体" w:cs="Times New Roman"/>
                      <w:color w:val="auto"/>
                      <w:spacing w:val="8"/>
                      <w:sz w:val="21"/>
                      <w:szCs w:val="21"/>
                      <w:highlight w:val="none"/>
                    </w:rPr>
                    <w:t>循环</w:t>
                  </w:r>
                  <w:r>
                    <w:rPr>
                      <w:rFonts w:hint="eastAsia" w:ascii="Times New Roman" w:hAnsi="Times New Roman" w:eastAsia="宋体" w:cs="Times New Roman"/>
                      <w:color w:val="auto"/>
                      <w:spacing w:val="8"/>
                      <w:sz w:val="21"/>
                      <w:szCs w:val="21"/>
                      <w:highlight w:val="none"/>
                      <w:lang w:val="en-US" w:eastAsia="zh-CN"/>
                    </w:rPr>
                    <w:t>沉淀</w:t>
                  </w:r>
                  <w:r>
                    <w:rPr>
                      <w:rFonts w:hint="default" w:ascii="Times New Roman" w:hAnsi="Times New Roman" w:eastAsia="宋体" w:cs="Times New Roman"/>
                      <w:color w:val="auto"/>
                      <w:spacing w:val="8"/>
                      <w:sz w:val="21"/>
                      <w:szCs w:val="21"/>
                      <w:highlight w:val="none"/>
                      <w:lang w:val="en-US" w:eastAsia="zh-CN"/>
                    </w:rPr>
                    <w:t>水</w:t>
                  </w:r>
                  <w:r>
                    <w:rPr>
                      <w:rFonts w:hint="default" w:ascii="Times New Roman" w:hAnsi="Times New Roman" w:eastAsia="宋体" w:cs="Times New Roman"/>
                      <w:color w:val="auto"/>
                      <w:spacing w:val="8"/>
                      <w:sz w:val="21"/>
                      <w:szCs w:val="21"/>
                      <w:highlight w:val="none"/>
                    </w:rPr>
                    <w:t>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混凝沉淀+压滤</w:t>
                  </w:r>
                  <w:r>
                    <w:rPr>
                      <w:rFonts w:hint="eastAsia" w:ascii="Times New Roman" w:hAnsi="Times New Roman" w:eastAsia="宋体" w:cs="Times New Roman"/>
                      <w:color w:val="auto"/>
                      <w:sz w:val="21"/>
                      <w:szCs w:val="21"/>
                      <w:highlight w:val="none"/>
                      <w:lang w:eastAsia="zh-CN"/>
                    </w:rPr>
                    <w:t>）</w:t>
                  </w:r>
                </w:p>
              </w:tc>
              <w:tc>
                <w:tcPr>
                  <w:tcW w:w="1988" w:type="dxa"/>
                  <w:tcBorders>
                    <w:tl2br w:val="nil"/>
                    <w:tr2bl w:val="nil"/>
                  </w:tcBorders>
                  <w:vAlign w:val="center"/>
                </w:tcPr>
                <w:p w14:paraId="189B806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CODcr</w:t>
                  </w: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6"/>
                      <w:sz w:val="21"/>
                      <w:szCs w:val="21"/>
                      <w:highlight w:val="none"/>
                      <w:lang w:val="en-US" w:eastAsia="zh-CN"/>
                    </w:rPr>
                    <w:t>170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6"/>
                      <w:sz w:val="21"/>
                      <w:szCs w:val="21"/>
                      <w:highlight w:val="none"/>
                    </w:rPr>
                    <w:t>/L、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pacing w:val="6"/>
                      <w:position w:val="-1"/>
                      <w:sz w:val="21"/>
                      <w:szCs w:val="21"/>
                      <w:highlight w:val="none"/>
                      <w:vertAlign w:val="subscript"/>
                    </w:rPr>
                    <w:t>5</w:t>
                  </w: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6"/>
                      <w:sz w:val="21"/>
                      <w:szCs w:val="21"/>
                      <w:highlight w:val="none"/>
                      <w:lang w:val="en-US" w:eastAsia="zh-CN"/>
                    </w:rPr>
                    <w:t>6</w:t>
                  </w:r>
                  <w:r>
                    <w:rPr>
                      <w:rFonts w:hint="default" w:ascii="Times New Roman" w:hAnsi="Times New Roman" w:eastAsia="宋体" w:cs="Times New Roman"/>
                      <w:color w:val="auto"/>
                      <w:spacing w:val="6"/>
                      <w:sz w:val="21"/>
                      <w:szCs w:val="21"/>
                      <w:highlight w:val="none"/>
                    </w:rPr>
                    <w:t>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6"/>
                      <w:sz w:val="21"/>
                      <w:szCs w:val="21"/>
                      <w:highlight w:val="none"/>
                    </w:rPr>
                    <w:t>/L、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pacing w:val="6"/>
                      <w:sz w:val="21"/>
                      <w:szCs w:val="21"/>
                      <w:highlight w:val="none"/>
                    </w:rPr>
                    <w:t>：</w:t>
                  </w:r>
                  <w:r>
                    <w:rPr>
                      <w:rFonts w:hint="eastAsia" w:ascii="Times New Roman" w:hAnsi="Times New Roman" w:eastAsia="宋体" w:cs="Times New Roman"/>
                      <w:color w:val="auto"/>
                      <w:spacing w:val="6"/>
                      <w:sz w:val="21"/>
                      <w:szCs w:val="21"/>
                      <w:highlight w:val="none"/>
                      <w:lang w:val="en-US" w:eastAsia="zh-CN"/>
                    </w:rPr>
                    <w:t>20</w:t>
                  </w:r>
                  <w:r>
                    <w:rPr>
                      <w:rFonts w:hint="default" w:ascii="Times New Roman" w:hAnsi="Times New Roman" w:eastAsia="宋体" w:cs="Times New Roman"/>
                      <w:color w:val="auto"/>
                      <w:spacing w:val="6"/>
                      <w:sz w:val="21"/>
                      <w:szCs w:val="21"/>
                      <w:highlight w:val="none"/>
                    </w:rPr>
                    <w:t>0</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6"/>
                      <w:sz w:val="21"/>
                      <w:szCs w:val="21"/>
                      <w:highlight w:val="none"/>
                    </w:rPr>
                    <w:t>/L</w:t>
                  </w:r>
                </w:p>
              </w:tc>
              <w:tc>
                <w:tcPr>
                  <w:tcW w:w="1411" w:type="dxa"/>
                  <w:tcBorders>
                    <w:tl2br w:val="nil"/>
                    <w:tr2bl w:val="nil"/>
                  </w:tcBorders>
                  <w:vAlign w:val="center"/>
                </w:tcPr>
                <w:p w14:paraId="4C6F402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大部分循环回用，小部分</w:t>
                  </w:r>
                  <w:r>
                    <w:rPr>
                      <w:rFonts w:hint="eastAsia" w:ascii="Times New Roman" w:hAnsi="Times New Roman" w:eastAsia="宋体" w:cs="Times New Roman"/>
                      <w:color w:val="auto"/>
                      <w:spacing w:val="4"/>
                      <w:sz w:val="21"/>
                      <w:szCs w:val="21"/>
                      <w:highlight w:val="none"/>
                      <w:lang w:val="en-US" w:eastAsia="zh-CN"/>
                    </w:rPr>
                    <w:t>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8"/>
                      <w:sz w:val="21"/>
                      <w:szCs w:val="21"/>
                      <w:highlight w:val="none"/>
                    </w:rPr>
                    <w:t>进入生化污水处理站</w:t>
                  </w:r>
                </w:p>
              </w:tc>
            </w:tr>
            <w:tr w14:paraId="6151A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vMerge w:val="restart"/>
                  <w:tcBorders>
                    <w:tl2br w:val="nil"/>
                    <w:tr2bl w:val="nil"/>
                  </w:tcBorders>
                  <w:vAlign w:val="center"/>
                </w:tcPr>
                <w:p w14:paraId="5C052FB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烫钻生产过程</w:t>
                  </w:r>
                </w:p>
              </w:tc>
              <w:tc>
                <w:tcPr>
                  <w:tcW w:w="780" w:type="dxa"/>
                  <w:tcBorders>
                    <w:tl2br w:val="nil"/>
                    <w:tr2bl w:val="nil"/>
                  </w:tcBorders>
                  <w:shd w:val="clear" w:color="auto" w:fill="auto"/>
                  <w:vAlign w:val="center"/>
                </w:tcPr>
                <w:p w14:paraId="209148C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eastAsia="zh-CN"/>
                    </w:rPr>
                    <w:t>磨抛</w:t>
                  </w:r>
                  <w:r>
                    <w:rPr>
                      <w:rFonts w:hint="default" w:ascii="Times New Roman" w:hAnsi="Times New Roman" w:eastAsia="宋体" w:cs="Times New Roman"/>
                      <w:color w:val="auto"/>
                      <w:spacing w:val="4"/>
                      <w:sz w:val="21"/>
                      <w:szCs w:val="21"/>
                      <w:highlight w:val="none"/>
                    </w:rPr>
                    <w:t>废水</w:t>
                  </w:r>
                  <w:r>
                    <w:rPr>
                      <w:rFonts w:hint="eastAsia" w:ascii="Times New Roman" w:hAnsi="Times New Roman" w:eastAsia="宋体" w:cs="Times New Roman"/>
                      <w:color w:val="auto"/>
                      <w:spacing w:val="4"/>
                      <w:sz w:val="21"/>
                      <w:szCs w:val="21"/>
                      <w:highlight w:val="none"/>
                      <w:lang w:eastAsia="zh-CN"/>
                    </w:rPr>
                    <w:t>（</w:t>
                  </w:r>
                  <w:r>
                    <w:rPr>
                      <w:rFonts w:hint="eastAsia" w:ascii="Times New Roman" w:hAnsi="Times New Roman" w:eastAsia="宋体" w:cs="Times New Roman"/>
                      <w:color w:val="auto"/>
                      <w:spacing w:val="4"/>
                      <w:sz w:val="21"/>
                      <w:szCs w:val="21"/>
                      <w:highlight w:val="none"/>
                      <w:lang w:val="en-US" w:eastAsia="zh-CN"/>
                    </w:rPr>
                    <w:t>单尖</w:t>
                  </w:r>
                  <w:r>
                    <w:rPr>
                      <w:rFonts w:hint="eastAsia" w:ascii="Times New Roman" w:hAnsi="Times New Roman" w:eastAsia="宋体" w:cs="Times New Roman"/>
                      <w:color w:val="auto"/>
                      <w:spacing w:val="4"/>
                      <w:sz w:val="21"/>
                      <w:szCs w:val="21"/>
                      <w:highlight w:val="none"/>
                      <w:lang w:eastAsia="zh-CN"/>
                    </w:rPr>
                    <w:t>）</w:t>
                  </w:r>
                </w:p>
              </w:tc>
              <w:tc>
                <w:tcPr>
                  <w:tcW w:w="1965" w:type="dxa"/>
                  <w:tcBorders>
                    <w:tl2br w:val="nil"/>
                    <w:tr2bl w:val="nil"/>
                  </w:tcBorders>
                  <w:shd w:val="clear" w:color="auto" w:fill="auto"/>
                  <w:vAlign w:val="center"/>
                </w:tcPr>
                <w:p w14:paraId="03E912F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CODcr：5</w:t>
                  </w:r>
                  <w:r>
                    <w:rPr>
                      <w:rFonts w:hint="eastAsia" w:ascii="Times New Roman" w:hAnsi="Times New Roman" w:eastAsia="宋体" w:cs="Times New Roman"/>
                      <w:color w:val="auto"/>
                      <w:spacing w:val="4"/>
                      <w:sz w:val="21"/>
                      <w:szCs w:val="21"/>
                      <w:highlight w:val="none"/>
                      <w:lang w:val="en-US" w:eastAsia="zh-CN"/>
                    </w:rPr>
                    <w:t>0</w:t>
                  </w:r>
                  <w:r>
                    <w:rPr>
                      <w:rFonts w:hint="default" w:ascii="Times New Roman" w:hAnsi="Times New Roman" w:eastAsia="宋体" w:cs="Times New Roman"/>
                      <w:color w:val="auto"/>
                      <w:spacing w:val="4"/>
                      <w:sz w:val="21"/>
                      <w:szCs w:val="21"/>
                      <w:highlight w:val="none"/>
                    </w:rPr>
                    <w:t>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150</w:t>
                  </w:r>
                  <w:r>
                    <w:rPr>
                      <w:rFonts w:hint="default" w:ascii="Times New Roman" w:hAnsi="Times New Roman" w:eastAsia="宋体" w:cs="Times New Roman"/>
                      <w:color w:val="auto"/>
                      <w:spacing w:val="4"/>
                      <w:sz w:val="21"/>
                      <w:szCs w:val="21"/>
                      <w:highlight w:val="none"/>
                    </w:rPr>
                    <w:t>mg/L、SS：8</w:t>
                  </w:r>
                  <w:r>
                    <w:rPr>
                      <w:rFonts w:hint="eastAsia" w:ascii="Times New Roman" w:hAnsi="Times New Roman" w:eastAsia="宋体" w:cs="Times New Roman"/>
                      <w:color w:val="auto"/>
                      <w:spacing w:val="4"/>
                      <w:sz w:val="21"/>
                      <w:szCs w:val="21"/>
                      <w:highlight w:val="none"/>
                      <w:lang w:val="en-US" w:eastAsia="zh-CN"/>
                    </w:rPr>
                    <w:t>8</w:t>
                  </w:r>
                  <w:r>
                    <w:rPr>
                      <w:rFonts w:hint="default" w:ascii="Times New Roman" w:hAnsi="Times New Roman" w:eastAsia="宋体" w:cs="Times New Roman"/>
                      <w:color w:val="auto"/>
                      <w:spacing w:val="4"/>
                      <w:sz w:val="21"/>
                      <w:szCs w:val="21"/>
                      <w:highlight w:val="none"/>
                    </w:rPr>
                    <w:t>0mg/L</w:t>
                  </w:r>
                </w:p>
              </w:tc>
              <w:tc>
                <w:tcPr>
                  <w:tcW w:w="1100" w:type="dxa"/>
                  <w:tcBorders>
                    <w:tl2br w:val="nil"/>
                    <w:tr2bl w:val="nil"/>
                  </w:tcBorders>
                  <w:shd w:val="clear" w:color="auto" w:fill="auto"/>
                  <w:vAlign w:val="center"/>
                </w:tcPr>
                <w:p w14:paraId="66E183F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磨抛</w:t>
                  </w:r>
                  <w:r>
                    <w:rPr>
                      <w:rFonts w:hint="default" w:ascii="Times New Roman" w:hAnsi="Times New Roman" w:eastAsia="宋体" w:cs="Times New Roman"/>
                      <w:color w:val="auto"/>
                      <w:spacing w:val="8"/>
                      <w:sz w:val="21"/>
                      <w:szCs w:val="21"/>
                      <w:highlight w:val="none"/>
                    </w:rPr>
                    <w:t>循环</w:t>
                  </w:r>
                  <w:r>
                    <w:rPr>
                      <w:rFonts w:hint="default" w:ascii="Times New Roman" w:hAnsi="Times New Roman" w:eastAsia="宋体" w:cs="Times New Roman"/>
                      <w:color w:val="auto"/>
                      <w:spacing w:val="8"/>
                      <w:sz w:val="21"/>
                      <w:szCs w:val="21"/>
                      <w:highlight w:val="none"/>
                      <w:lang w:val="en-US" w:eastAsia="zh-CN"/>
                    </w:rPr>
                    <w:t>水</w:t>
                  </w:r>
                  <w:r>
                    <w:rPr>
                      <w:rFonts w:hint="default" w:ascii="Times New Roman" w:hAnsi="Times New Roman" w:eastAsia="宋体" w:cs="Times New Roman"/>
                      <w:color w:val="auto"/>
                      <w:spacing w:val="8"/>
                      <w:sz w:val="21"/>
                      <w:szCs w:val="21"/>
                      <w:highlight w:val="none"/>
                    </w:rPr>
                    <w:t>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磁混凝沉淀+压滤</w:t>
                  </w:r>
                  <w:r>
                    <w:rPr>
                      <w:rFonts w:hint="eastAsia" w:ascii="Times New Roman" w:hAnsi="Times New Roman" w:eastAsia="宋体" w:cs="Times New Roman"/>
                      <w:color w:val="auto"/>
                      <w:sz w:val="21"/>
                      <w:szCs w:val="21"/>
                      <w:highlight w:val="none"/>
                      <w:lang w:eastAsia="zh-CN"/>
                    </w:rPr>
                    <w:t>）</w:t>
                  </w:r>
                </w:p>
              </w:tc>
              <w:tc>
                <w:tcPr>
                  <w:tcW w:w="1988" w:type="dxa"/>
                  <w:tcBorders>
                    <w:tl2br w:val="nil"/>
                    <w:tr2bl w:val="nil"/>
                  </w:tcBorders>
                  <w:shd w:val="clear" w:color="auto" w:fill="auto"/>
                  <w:vAlign w:val="center"/>
                </w:tcPr>
                <w:p w14:paraId="64EE548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w:t>
                  </w:r>
                  <w:r>
                    <w:rPr>
                      <w:rFonts w:hint="eastAsia" w:ascii="Times New Roman" w:hAnsi="Times New Roman" w:eastAsia="宋体" w:cs="Times New Roman"/>
                      <w:color w:val="auto"/>
                      <w:spacing w:val="4"/>
                      <w:sz w:val="21"/>
                      <w:szCs w:val="21"/>
                      <w:highlight w:val="none"/>
                      <w:lang w:val="en-US" w:eastAsia="zh-CN"/>
                    </w:rPr>
                    <w:t>425</w:t>
                  </w:r>
                  <w:r>
                    <w:rPr>
                      <w:rFonts w:hint="default" w:ascii="Times New Roman" w:hAnsi="Times New Roman" w:eastAsia="宋体" w:cs="Times New Roman"/>
                      <w:color w:val="auto"/>
                      <w:spacing w:val="4"/>
                      <w:sz w:val="21"/>
                      <w:szCs w:val="21"/>
                      <w:highlight w:val="none"/>
                    </w:rPr>
                    <w:t>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128</w:t>
                  </w:r>
                  <w:r>
                    <w:rPr>
                      <w:rFonts w:hint="default" w:ascii="Times New Roman" w:hAnsi="Times New Roman" w:eastAsia="宋体" w:cs="Times New Roman"/>
                      <w:color w:val="auto"/>
                      <w:spacing w:val="4"/>
                      <w:sz w:val="21"/>
                      <w:szCs w:val="21"/>
                      <w:highlight w:val="none"/>
                    </w:rPr>
                    <w:t>mg/L、SS：</w:t>
                  </w:r>
                  <w:r>
                    <w:rPr>
                      <w:rFonts w:hint="eastAsia" w:ascii="Times New Roman" w:hAnsi="Times New Roman" w:eastAsia="宋体" w:cs="Times New Roman"/>
                      <w:color w:val="auto"/>
                      <w:spacing w:val="4"/>
                      <w:sz w:val="21"/>
                      <w:szCs w:val="21"/>
                      <w:highlight w:val="none"/>
                      <w:lang w:val="en-US" w:eastAsia="zh-CN"/>
                    </w:rPr>
                    <w:t>44</w:t>
                  </w:r>
                  <w:r>
                    <w:rPr>
                      <w:rFonts w:hint="default" w:ascii="Times New Roman" w:hAnsi="Times New Roman" w:eastAsia="宋体" w:cs="Times New Roman"/>
                      <w:color w:val="auto"/>
                      <w:spacing w:val="4"/>
                      <w:sz w:val="21"/>
                      <w:szCs w:val="21"/>
                      <w:highlight w:val="none"/>
                    </w:rPr>
                    <w:t>0mg/L</w:t>
                  </w:r>
                </w:p>
              </w:tc>
              <w:tc>
                <w:tcPr>
                  <w:tcW w:w="1411" w:type="dxa"/>
                  <w:tcBorders>
                    <w:tl2br w:val="nil"/>
                    <w:tr2bl w:val="nil"/>
                  </w:tcBorders>
                  <w:shd w:val="clear" w:color="auto" w:fill="auto"/>
                  <w:vAlign w:val="center"/>
                </w:tcPr>
                <w:p w14:paraId="4260FE9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大部分循环回用，小部分</w:t>
                  </w:r>
                  <w:r>
                    <w:rPr>
                      <w:rFonts w:hint="eastAsia" w:ascii="Times New Roman" w:hAnsi="Times New Roman" w:eastAsia="宋体" w:cs="Times New Roman"/>
                      <w:color w:val="auto"/>
                      <w:spacing w:val="4"/>
                      <w:sz w:val="21"/>
                      <w:szCs w:val="21"/>
                      <w:highlight w:val="none"/>
                      <w:lang w:val="en-US" w:eastAsia="zh-CN"/>
                    </w:rPr>
                    <w:t>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进入生化污水处理站处理</w:t>
                  </w:r>
                </w:p>
              </w:tc>
            </w:tr>
            <w:tr w14:paraId="3DE30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vMerge w:val="continue"/>
                  <w:tcBorders>
                    <w:tl2br w:val="nil"/>
                    <w:tr2bl w:val="nil"/>
                  </w:tcBorders>
                  <w:vAlign w:val="center"/>
                </w:tcPr>
                <w:p w14:paraId="66092DF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c>
                <w:tcPr>
                  <w:tcW w:w="780" w:type="dxa"/>
                  <w:tcBorders>
                    <w:tl2br w:val="nil"/>
                    <w:tr2bl w:val="nil"/>
                  </w:tcBorders>
                  <w:shd w:val="clear" w:color="auto" w:fill="auto"/>
                  <w:vAlign w:val="center"/>
                </w:tcPr>
                <w:p w14:paraId="6582788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圆磨废水</w:t>
                  </w:r>
                </w:p>
              </w:tc>
              <w:tc>
                <w:tcPr>
                  <w:tcW w:w="1965" w:type="dxa"/>
                  <w:tcBorders>
                    <w:tl2br w:val="nil"/>
                    <w:tr2bl w:val="nil"/>
                  </w:tcBorders>
                  <w:shd w:val="clear" w:color="auto" w:fill="auto"/>
                  <w:vAlign w:val="center"/>
                </w:tcPr>
                <w:p w14:paraId="4655461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w:t>
                  </w:r>
                  <w:r>
                    <w:rPr>
                      <w:rFonts w:hint="eastAsia" w:ascii="Times New Roman" w:hAnsi="Times New Roman" w:eastAsia="宋体" w:cs="Times New Roman"/>
                      <w:color w:val="auto"/>
                      <w:spacing w:val="4"/>
                      <w:sz w:val="21"/>
                      <w:szCs w:val="21"/>
                      <w:highlight w:val="none"/>
                      <w:lang w:val="en-US" w:eastAsia="zh-CN"/>
                    </w:rPr>
                    <w:t>350</w:t>
                  </w:r>
                  <w:r>
                    <w:rPr>
                      <w:rFonts w:hint="default" w:ascii="Times New Roman" w:hAnsi="Times New Roman" w:eastAsia="宋体" w:cs="Times New Roman"/>
                      <w:color w:val="auto"/>
                      <w:spacing w:val="4"/>
                      <w:sz w:val="21"/>
                      <w:szCs w:val="21"/>
                      <w:highlight w:val="none"/>
                    </w:rPr>
                    <w:t>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110</w:t>
                  </w:r>
                  <w:r>
                    <w:rPr>
                      <w:rFonts w:hint="default" w:ascii="Times New Roman" w:hAnsi="Times New Roman" w:eastAsia="宋体" w:cs="Times New Roman"/>
                      <w:color w:val="auto"/>
                      <w:spacing w:val="4"/>
                      <w:sz w:val="21"/>
                      <w:szCs w:val="21"/>
                      <w:highlight w:val="none"/>
                    </w:rPr>
                    <w:t>mg/L、SS：</w:t>
                  </w:r>
                  <w:r>
                    <w:rPr>
                      <w:rFonts w:hint="eastAsia" w:ascii="Times New Roman" w:hAnsi="Times New Roman" w:eastAsia="宋体" w:cs="Times New Roman"/>
                      <w:color w:val="auto"/>
                      <w:spacing w:val="4"/>
                      <w:sz w:val="21"/>
                      <w:szCs w:val="21"/>
                      <w:highlight w:val="none"/>
                      <w:lang w:val="en-US" w:eastAsia="zh-CN"/>
                    </w:rPr>
                    <w:t>7</w:t>
                  </w:r>
                  <w:r>
                    <w:rPr>
                      <w:rFonts w:hint="default" w:ascii="Times New Roman" w:hAnsi="Times New Roman" w:eastAsia="宋体" w:cs="Times New Roman"/>
                      <w:color w:val="auto"/>
                      <w:spacing w:val="4"/>
                      <w:sz w:val="21"/>
                      <w:szCs w:val="21"/>
                      <w:highlight w:val="none"/>
                    </w:rPr>
                    <w:t>50mg/L</w:t>
                  </w:r>
                </w:p>
              </w:tc>
              <w:tc>
                <w:tcPr>
                  <w:tcW w:w="1100" w:type="dxa"/>
                  <w:tcBorders>
                    <w:tl2br w:val="nil"/>
                    <w:tr2bl w:val="nil"/>
                  </w:tcBorders>
                  <w:shd w:val="clear" w:color="auto" w:fill="auto"/>
                  <w:vAlign w:val="center"/>
                </w:tcPr>
                <w:p w14:paraId="0ABE1A0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圆磨循环水池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磁混凝沉淀+压滤</w:t>
                  </w:r>
                  <w:r>
                    <w:rPr>
                      <w:rFonts w:hint="eastAsia" w:ascii="Times New Roman" w:hAnsi="Times New Roman" w:eastAsia="宋体" w:cs="Times New Roman"/>
                      <w:color w:val="auto"/>
                      <w:sz w:val="21"/>
                      <w:szCs w:val="21"/>
                      <w:highlight w:val="none"/>
                      <w:lang w:eastAsia="zh-CN"/>
                    </w:rPr>
                    <w:t>）</w:t>
                  </w:r>
                </w:p>
              </w:tc>
              <w:tc>
                <w:tcPr>
                  <w:tcW w:w="1988" w:type="dxa"/>
                  <w:tcBorders>
                    <w:tl2br w:val="nil"/>
                    <w:tr2bl w:val="nil"/>
                  </w:tcBorders>
                  <w:shd w:val="clear" w:color="auto" w:fill="auto"/>
                  <w:vAlign w:val="center"/>
                </w:tcPr>
                <w:p w14:paraId="7BA3551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w:t>
                  </w:r>
                  <w:r>
                    <w:rPr>
                      <w:rFonts w:hint="eastAsia" w:ascii="Times New Roman" w:hAnsi="Times New Roman" w:eastAsia="宋体" w:cs="Times New Roman"/>
                      <w:color w:val="auto"/>
                      <w:spacing w:val="4"/>
                      <w:sz w:val="21"/>
                      <w:szCs w:val="21"/>
                      <w:highlight w:val="none"/>
                      <w:lang w:val="en-US" w:eastAsia="zh-CN"/>
                    </w:rPr>
                    <w:t>298</w:t>
                  </w:r>
                  <w:r>
                    <w:rPr>
                      <w:rFonts w:hint="default" w:ascii="Times New Roman" w:hAnsi="Times New Roman" w:eastAsia="宋体" w:cs="Times New Roman"/>
                      <w:color w:val="auto"/>
                      <w:spacing w:val="4"/>
                      <w:sz w:val="21"/>
                      <w:szCs w:val="21"/>
                      <w:highlight w:val="none"/>
                    </w:rPr>
                    <w:t>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94</w:t>
                  </w:r>
                  <w:r>
                    <w:rPr>
                      <w:rFonts w:hint="default" w:ascii="Times New Roman" w:hAnsi="Times New Roman" w:eastAsia="宋体" w:cs="Times New Roman"/>
                      <w:color w:val="auto"/>
                      <w:spacing w:val="4"/>
                      <w:sz w:val="21"/>
                      <w:szCs w:val="21"/>
                      <w:highlight w:val="none"/>
                    </w:rPr>
                    <w:t>mg/L、SS：</w:t>
                  </w:r>
                  <w:r>
                    <w:rPr>
                      <w:rFonts w:hint="eastAsia" w:ascii="Times New Roman" w:hAnsi="Times New Roman" w:eastAsia="宋体" w:cs="Times New Roman"/>
                      <w:color w:val="auto"/>
                      <w:spacing w:val="4"/>
                      <w:sz w:val="21"/>
                      <w:szCs w:val="21"/>
                      <w:highlight w:val="none"/>
                      <w:lang w:val="en-US" w:eastAsia="zh-CN"/>
                    </w:rPr>
                    <w:t>3</w:t>
                  </w:r>
                  <w:r>
                    <w:rPr>
                      <w:rFonts w:hint="default" w:ascii="Times New Roman" w:hAnsi="Times New Roman" w:eastAsia="宋体" w:cs="Times New Roman"/>
                      <w:color w:val="auto"/>
                      <w:spacing w:val="4"/>
                      <w:sz w:val="21"/>
                      <w:szCs w:val="21"/>
                      <w:highlight w:val="none"/>
                      <w:lang w:val="en-US" w:eastAsia="zh-CN"/>
                    </w:rPr>
                    <w:t>75</w:t>
                  </w:r>
                  <w:r>
                    <w:rPr>
                      <w:rFonts w:hint="default" w:ascii="Times New Roman" w:hAnsi="Times New Roman" w:eastAsia="宋体" w:cs="Times New Roman"/>
                      <w:color w:val="auto"/>
                      <w:spacing w:val="4"/>
                      <w:sz w:val="21"/>
                      <w:szCs w:val="21"/>
                      <w:highlight w:val="none"/>
                    </w:rPr>
                    <w:t>mg/L</w:t>
                  </w:r>
                </w:p>
              </w:tc>
              <w:tc>
                <w:tcPr>
                  <w:tcW w:w="1411" w:type="dxa"/>
                  <w:tcBorders>
                    <w:tl2br w:val="nil"/>
                    <w:tr2bl w:val="nil"/>
                  </w:tcBorders>
                  <w:shd w:val="clear" w:color="auto" w:fill="auto"/>
                  <w:vAlign w:val="center"/>
                </w:tcPr>
                <w:p w14:paraId="11E4379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大部分循环回用，小部分</w:t>
                  </w:r>
                  <w:r>
                    <w:rPr>
                      <w:rFonts w:hint="eastAsia" w:ascii="Times New Roman" w:hAnsi="Times New Roman" w:eastAsia="宋体" w:cs="Times New Roman"/>
                      <w:color w:val="auto"/>
                      <w:spacing w:val="4"/>
                      <w:sz w:val="21"/>
                      <w:szCs w:val="21"/>
                      <w:highlight w:val="none"/>
                      <w:lang w:val="en-US" w:eastAsia="zh-CN"/>
                    </w:rPr>
                    <w:t>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12AC8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vMerge w:val="continue"/>
                  <w:tcBorders>
                    <w:tl2br w:val="nil"/>
                    <w:tr2bl w:val="nil"/>
                  </w:tcBorders>
                  <w:vAlign w:val="center"/>
                </w:tcPr>
                <w:p w14:paraId="56030C0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c>
                <w:tcPr>
                  <w:tcW w:w="780" w:type="dxa"/>
                  <w:tcBorders>
                    <w:tl2br w:val="nil"/>
                    <w:tr2bl w:val="nil"/>
                  </w:tcBorders>
                  <w:shd w:val="clear" w:color="auto" w:fill="auto"/>
                  <w:vAlign w:val="center"/>
                </w:tcPr>
                <w:p w14:paraId="2CCAFEB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碱洗废水</w:t>
                  </w:r>
                </w:p>
              </w:tc>
              <w:tc>
                <w:tcPr>
                  <w:tcW w:w="1965" w:type="dxa"/>
                  <w:tcBorders>
                    <w:tl2br w:val="nil"/>
                    <w:tr2bl w:val="nil"/>
                  </w:tcBorders>
                  <w:shd w:val="clear" w:color="auto" w:fill="auto"/>
                  <w:vAlign w:val="center"/>
                </w:tcPr>
                <w:p w14:paraId="279C73D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w:t>
                  </w:r>
                  <w:r>
                    <w:rPr>
                      <w:rFonts w:hint="eastAsia" w:ascii="Times New Roman" w:hAnsi="Times New Roman" w:eastAsia="宋体" w:cs="Times New Roman"/>
                      <w:color w:val="auto"/>
                      <w:spacing w:val="4"/>
                      <w:sz w:val="21"/>
                      <w:szCs w:val="21"/>
                      <w:highlight w:val="none"/>
                      <w:lang w:val="en-US" w:eastAsia="zh-CN"/>
                    </w:rPr>
                    <w:t>80</w:t>
                  </w:r>
                  <w:r>
                    <w:rPr>
                      <w:rFonts w:hint="default" w:ascii="Times New Roman" w:hAnsi="Times New Roman" w:eastAsia="宋体" w:cs="Times New Roman"/>
                      <w:color w:val="auto"/>
                      <w:spacing w:val="4"/>
                      <w:sz w:val="21"/>
                      <w:szCs w:val="21"/>
                      <w:highlight w:val="none"/>
                    </w:rPr>
                    <w:t>00mg/L、BOD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300</w:t>
                  </w:r>
                  <w:r>
                    <w:rPr>
                      <w:rFonts w:hint="default" w:ascii="Times New Roman" w:hAnsi="Times New Roman" w:eastAsia="宋体" w:cs="Times New Roman"/>
                      <w:color w:val="auto"/>
                      <w:spacing w:val="4"/>
                      <w:sz w:val="21"/>
                      <w:szCs w:val="21"/>
                      <w:highlight w:val="none"/>
                    </w:rPr>
                    <w:t>0mg/L、SS：</w:t>
                  </w:r>
                  <w:r>
                    <w:rPr>
                      <w:rFonts w:hint="eastAsia" w:ascii="Times New Roman" w:hAnsi="Times New Roman" w:eastAsia="宋体" w:cs="Times New Roman"/>
                      <w:color w:val="auto"/>
                      <w:spacing w:val="4"/>
                      <w:sz w:val="21"/>
                      <w:szCs w:val="21"/>
                      <w:highlight w:val="none"/>
                      <w:lang w:val="en-US" w:eastAsia="zh-CN"/>
                    </w:rPr>
                    <w:t>200</w:t>
                  </w:r>
                  <w:r>
                    <w:rPr>
                      <w:rFonts w:hint="default" w:ascii="Times New Roman" w:hAnsi="Times New Roman" w:eastAsia="宋体" w:cs="Times New Roman"/>
                      <w:color w:val="auto"/>
                      <w:spacing w:val="4"/>
                      <w:sz w:val="21"/>
                      <w:szCs w:val="21"/>
                      <w:highlight w:val="none"/>
                    </w:rPr>
                    <w:t>0mg/L</w:t>
                  </w:r>
                </w:p>
              </w:tc>
              <w:tc>
                <w:tcPr>
                  <w:tcW w:w="1100" w:type="dxa"/>
                  <w:tcBorders>
                    <w:tl2br w:val="nil"/>
                    <w:tr2bl w:val="nil"/>
                  </w:tcBorders>
                  <w:shd w:val="clear" w:color="auto" w:fill="auto"/>
                  <w:vAlign w:val="center"/>
                </w:tcPr>
                <w:p w14:paraId="6D5C200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碱液收集池（沉淀压滤）</w:t>
                  </w:r>
                </w:p>
              </w:tc>
              <w:tc>
                <w:tcPr>
                  <w:tcW w:w="1988" w:type="dxa"/>
                  <w:tcBorders>
                    <w:tl2br w:val="nil"/>
                    <w:tr2bl w:val="nil"/>
                  </w:tcBorders>
                  <w:shd w:val="clear" w:color="auto" w:fill="auto"/>
                  <w:vAlign w:val="center"/>
                </w:tcPr>
                <w:p w14:paraId="0443307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w:t>
                  </w:r>
                  <w:r>
                    <w:rPr>
                      <w:rFonts w:hint="eastAsia" w:ascii="Times New Roman" w:hAnsi="Times New Roman" w:eastAsia="宋体" w:cs="Times New Roman"/>
                      <w:color w:val="auto"/>
                      <w:spacing w:val="4"/>
                      <w:sz w:val="21"/>
                      <w:szCs w:val="21"/>
                      <w:highlight w:val="none"/>
                      <w:lang w:val="en-US" w:eastAsia="zh-CN"/>
                    </w:rPr>
                    <w:t>640</w:t>
                  </w:r>
                  <w:r>
                    <w:rPr>
                      <w:rFonts w:hint="default" w:ascii="Times New Roman" w:hAnsi="Times New Roman" w:eastAsia="宋体" w:cs="Times New Roman"/>
                      <w:color w:val="auto"/>
                      <w:spacing w:val="4"/>
                      <w:sz w:val="21"/>
                      <w:szCs w:val="21"/>
                      <w:highlight w:val="none"/>
                    </w:rPr>
                    <w:t>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240</w:t>
                  </w:r>
                  <w:r>
                    <w:rPr>
                      <w:rFonts w:hint="default" w:ascii="Times New Roman" w:hAnsi="Times New Roman" w:eastAsia="宋体" w:cs="Times New Roman"/>
                      <w:color w:val="auto"/>
                      <w:spacing w:val="4"/>
                      <w:sz w:val="21"/>
                      <w:szCs w:val="21"/>
                      <w:highlight w:val="none"/>
                    </w:rPr>
                    <w:t>0mg/L、SS：</w:t>
                  </w:r>
                  <w:r>
                    <w:rPr>
                      <w:rFonts w:hint="eastAsia" w:ascii="Times New Roman" w:hAnsi="Times New Roman" w:eastAsia="宋体" w:cs="Times New Roman"/>
                      <w:color w:val="auto"/>
                      <w:spacing w:val="4"/>
                      <w:sz w:val="21"/>
                      <w:szCs w:val="21"/>
                      <w:highlight w:val="none"/>
                      <w:lang w:val="en-US" w:eastAsia="zh-CN"/>
                    </w:rPr>
                    <w:t>70</w:t>
                  </w:r>
                  <w:r>
                    <w:rPr>
                      <w:rFonts w:hint="default" w:ascii="Times New Roman" w:hAnsi="Times New Roman" w:eastAsia="宋体" w:cs="Times New Roman"/>
                      <w:color w:val="auto"/>
                      <w:spacing w:val="4"/>
                      <w:sz w:val="21"/>
                      <w:szCs w:val="21"/>
                      <w:highlight w:val="none"/>
                    </w:rPr>
                    <w:t>0mg/L</w:t>
                  </w:r>
                </w:p>
              </w:tc>
              <w:tc>
                <w:tcPr>
                  <w:tcW w:w="1411" w:type="dxa"/>
                  <w:tcBorders>
                    <w:tl2br w:val="nil"/>
                    <w:tr2bl w:val="nil"/>
                  </w:tcBorders>
                  <w:shd w:val="clear" w:color="auto" w:fill="auto"/>
                  <w:vAlign w:val="center"/>
                </w:tcPr>
                <w:p w14:paraId="0CAD2BB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上清液</w:t>
                  </w:r>
                  <w:r>
                    <w:rPr>
                      <w:rFonts w:hint="default" w:ascii="Times New Roman" w:hAnsi="Times New Roman" w:eastAsia="宋体" w:cs="Times New Roman"/>
                      <w:color w:val="auto"/>
                      <w:spacing w:val="4"/>
                      <w:sz w:val="21"/>
                      <w:szCs w:val="21"/>
                      <w:highlight w:val="none"/>
                    </w:rPr>
                    <w:t>循环回用，</w:t>
                  </w:r>
                  <w:r>
                    <w:rPr>
                      <w:rFonts w:hint="eastAsia" w:ascii="Times New Roman" w:hAnsi="Times New Roman" w:eastAsia="宋体" w:cs="Times New Roman"/>
                      <w:color w:val="auto"/>
                      <w:spacing w:val="4"/>
                      <w:sz w:val="21"/>
                      <w:szCs w:val="21"/>
                      <w:highlight w:val="none"/>
                      <w:lang w:val="en-US" w:eastAsia="zh-CN"/>
                    </w:rPr>
                    <w:t>其余经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3FB76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vMerge w:val="continue"/>
                  <w:vAlign w:val="center"/>
                </w:tcPr>
                <w:p w14:paraId="61ADC05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c>
                <w:tcPr>
                  <w:tcW w:w="0" w:type="auto"/>
                  <w:shd w:val="clear" w:color="auto" w:fill="auto"/>
                  <w:vAlign w:val="center"/>
                </w:tcPr>
                <w:p w14:paraId="1CE7054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碱洗后清洗</w:t>
                  </w:r>
                  <w:r>
                    <w:rPr>
                      <w:rFonts w:hint="eastAsia" w:ascii="Times New Roman" w:hAnsi="Times New Roman" w:eastAsia="宋体" w:cs="Times New Roman"/>
                      <w:color w:val="auto"/>
                      <w:spacing w:val="4"/>
                      <w:sz w:val="21"/>
                      <w:szCs w:val="21"/>
                      <w:highlight w:val="none"/>
                      <w:lang w:val="en-US" w:eastAsia="zh-CN"/>
                    </w:rPr>
                    <w:t>废水</w:t>
                  </w:r>
                </w:p>
              </w:tc>
              <w:tc>
                <w:tcPr>
                  <w:tcW w:w="1965" w:type="dxa"/>
                  <w:shd w:val="clear" w:color="auto" w:fill="auto"/>
                  <w:vAlign w:val="center"/>
                </w:tcPr>
                <w:p w14:paraId="5C55D91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CODcr：650mg/L、BOD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28</w:t>
                  </w:r>
                  <w:r>
                    <w:rPr>
                      <w:rFonts w:hint="default" w:ascii="Times New Roman" w:hAnsi="Times New Roman" w:eastAsia="宋体" w:cs="Times New Roman"/>
                      <w:color w:val="auto"/>
                      <w:spacing w:val="4"/>
                      <w:sz w:val="21"/>
                      <w:szCs w:val="21"/>
                      <w:highlight w:val="none"/>
                    </w:rPr>
                    <w:t>0mg/L、SS：3</w:t>
                  </w:r>
                  <w:r>
                    <w:rPr>
                      <w:rFonts w:hint="eastAsia" w:ascii="Times New Roman" w:hAnsi="Times New Roman" w:eastAsia="宋体" w:cs="Times New Roman"/>
                      <w:color w:val="auto"/>
                      <w:spacing w:val="4"/>
                      <w:sz w:val="21"/>
                      <w:szCs w:val="21"/>
                      <w:highlight w:val="none"/>
                      <w:lang w:val="en-US" w:eastAsia="zh-CN"/>
                    </w:rPr>
                    <w:t>5</w:t>
                  </w:r>
                  <w:r>
                    <w:rPr>
                      <w:rFonts w:hint="default" w:ascii="Times New Roman" w:hAnsi="Times New Roman" w:eastAsia="宋体" w:cs="Times New Roman"/>
                      <w:color w:val="auto"/>
                      <w:spacing w:val="4"/>
                      <w:sz w:val="21"/>
                      <w:szCs w:val="21"/>
                      <w:highlight w:val="none"/>
                    </w:rPr>
                    <w:t>0mg/L</w:t>
                  </w:r>
                </w:p>
              </w:tc>
              <w:tc>
                <w:tcPr>
                  <w:tcW w:w="1100" w:type="dxa"/>
                  <w:shd w:val="clear" w:color="auto" w:fill="auto"/>
                  <w:vAlign w:val="center"/>
                </w:tcPr>
                <w:p w14:paraId="2330015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w:t>
                  </w:r>
                </w:p>
              </w:tc>
              <w:tc>
                <w:tcPr>
                  <w:tcW w:w="1988" w:type="dxa"/>
                  <w:shd w:val="clear" w:color="auto" w:fill="auto"/>
                  <w:vAlign w:val="center"/>
                </w:tcPr>
                <w:p w14:paraId="3929251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CODcr：650mg/L、BOD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28</w:t>
                  </w:r>
                  <w:r>
                    <w:rPr>
                      <w:rFonts w:hint="default" w:ascii="Times New Roman" w:hAnsi="Times New Roman" w:eastAsia="宋体" w:cs="Times New Roman"/>
                      <w:color w:val="auto"/>
                      <w:spacing w:val="4"/>
                      <w:sz w:val="21"/>
                      <w:szCs w:val="21"/>
                      <w:highlight w:val="none"/>
                    </w:rPr>
                    <w:t>0mg/L、SS：3</w:t>
                  </w:r>
                  <w:r>
                    <w:rPr>
                      <w:rFonts w:hint="eastAsia" w:ascii="Times New Roman" w:hAnsi="Times New Roman" w:eastAsia="宋体" w:cs="Times New Roman"/>
                      <w:color w:val="auto"/>
                      <w:spacing w:val="4"/>
                      <w:sz w:val="21"/>
                      <w:szCs w:val="21"/>
                      <w:highlight w:val="none"/>
                      <w:lang w:val="en-US" w:eastAsia="zh-CN"/>
                    </w:rPr>
                    <w:t>5</w:t>
                  </w:r>
                  <w:r>
                    <w:rPr>
                      <w:rFonts w:hint="default" w:ascii="Times New Roman" w:hAnsi="Times New Roman" w:eastAsia="宋体" w:cs="Times New Roman"/>
                      <w:color w:val="auto"/>
                      <w:spacing w:val="4"/>
                      <w:sz w:val="21"/>
                      <w:szCs w:val="21"/>
                      <w:highlight w:val="none"/>
                    </w:rPr>
                    <w:t>0mg/L</w:t>
                  </w:r>
                </w:p>
              </w:tc>
              <w:tc>
                <w:tcPr>
                  <w:tcW w:w="1411" w:type="dxa"/>
                  <w:shd w:val="clear" w:color="auto" w:fill="auto"/>
                  <w:vAlign w:val="center"/>
                </w:tcPr>
                <w:p w14:paraId="327DA4E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eastAsia" w:ascii="Times New Roman" w:hAnsi="Times New Roman" w:eastAsia="宋体" w:cs="Times New Roman"/>
                      <w:color w:val="auto"/>
                      <w:spacing w:val="4"/>
                      <w:sz w:val="21"/>
                      <w:szCs w:val="21"/>
                      <w:highlight w:val="none"/>
                      <w:lang w:val="en-US" w:eastAsia="zh-CN"/>
                    </w:rPr>
                    <w:t>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64234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Align w:val="center"/>
                </w:tcPr>
                <w:p w14:paraId="4F27C93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生产</w:t>
                  </w:r>
                </w:p>
              </w:tc>
              <w:tc>
                <w:tcPr>
                  <w:tcW w:w="0" w:type="auto"/>
                  <w:shd w:val="clear" w:color="auto" w:fill="auto"/>
                  <w:vAlign w:val="center"/>
                </w:tcPr>
                <w:p w14:paraId="2A7F7E3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地面清洗废水</w:t>
                  </w:r>
                </w:p>
              </w:tc>
              <w:tc>
                <w:tcPr>
                  <w:tcW w:w="1965" w:type="dxa"/>
                  <w:shd w:val="clear" w:color="auto" w:fill="auto"/>
                  <w:vAlign w:val="center"/>
                </w:tcPr>
                <w:p w14:paraId="163818F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COD：</w:t>
                  </w:r>
                  <w:r>
                    <w:rPr>
                      <w:rFonts w:hint="eastAsia" w:ascii="Times New Roman" w:hAnsi="Times New Roman" w:eastAsia="宋体" w:cs="Times New Roman"/>
                      <w:color w:val="auto"/>
                      <w:spacing w:val="4"/>
                      <w:sz w:val="21"/>
                      <w:szCs w:val="21"/>
                      <w:highlight w:val="none"/>
                      <w:lang w:val="en-US" w:eastAsia="zh-CN"/>
                    </w:rPr>
                    <w:t>5</w:t>
                  </w:r>
                  <w:r>
                    <w:rPr>
                      <w:rFonts w:hint="default" w:ascii="Times New Roman" w:hAnsi="Times New Roman" w:eastAsia="宋体" w:cs="Times New Roman"/>
                      <w:color w:val="auto"/>
                      <w:spacing w:val="4"/>
                      <w:sz w:val="21"/>
                      <w:szCs w:val="21"/>
                      <w:highlight w:val="none"/>
                    </w:rPr>
                    <w:t>20mg/L、BOD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18</w:t>
                  </w:r>
                  <w:r>
                    <w:rPr>
                      <w:rFonts w:hint="default" w:ascii="Times New Roman" w:hAnsi="Times New Roman" w:eastAsia="宋体" w:cs="Times New Roman"/>
                      <w:color w:val="auto"/>
                      <w:spacing w:val="4"/>
                      <w:sz w:val="21"/>
                      <w:szCs w:val="21"/>
                      <w:highlight w:val="none"/>
                    </w:rPr>
                    <w:t>0mg/L、SS：500mg/L、氨氮：48mg/L、TP：12mg/L</w:t>
                  </w:r>
                  <w:r>
                    <w:rPr>
                      <w:rFonts w:hint="eastAsia" w:ascii="Times New Roman" w:hAnsi="Times New Roman" w:eastAsia="宋体" w:cs="Times New Roman"/>
                      <w:color w:val="auto"/>
                      <w:spacing w:val="4"/>
                      <w:sz w:val="21"/>
                      <w:szCs w:val="21"/>
                      <w:highlight w:val="none"/>
                      <w:lang w:eastAsia="zh-CN"/>
                    </w:rPr>
                    <w:t>、</w:t>
                  </w:r>
                  <w:r>
                    <w:rPr>
                      <w:rFonts w:hint="eastAsia" w:ascii="Times New Roman" w:hAnsi="Times New Roman" w:eastAsia="宋体" w:cs="Times New Roman"/>
                      <w:color w:val="auto"/>
                      <w:spacing w:val="4"/>
                      <w:sz w:val="21"/>
                      <w:szCs w:val="21"/>
                      <w:highlight w:val="none"/>
                      <w:lang w:val="en-US" w:eastAsia="zh-CN"/>
                    </w:rPr>
                    <w:t>石油类：10</w:t>
                  </w:r>
                  <w:r>
                    <w:rPr>
                      <w:rFonts w:hint="default" w:ascii="Times New Roman" w:hAnsi="Times New Roman" w:eastAsia="宋体" w:cs="Times New Roman"/>
                      <w:color w:val="auto"/>
                      <w:spacing w:val="4"/>
                      <w:sz w:val="21"/>
                      <w:szCs w:val="21"/>
                      <w:highlight w:val="none"/>
                    </w:rPr>
                    <w:t>mg/L</w:t>
                  </w:r>
                </w:p>
              </w:tc>
              <w:tc>
                <w:tcPr>
                  <w:tcW w:w="1100" w:type="dxa"/>
                  <w:shd w:val="clear" w:color="auto" w:fill="auto"/>
                  <w:vAlign w:val="center"/>
                </w:tcPr>
                <w:p w14:paraId="22DAF6E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w:t>
                  </w:r>
                </w:p>
              </w:tc>
              <w:tc>
                <w:tcPr>
                  <w:tcW w:w="1988" w:type="dxa"/>
                  <w:shd w:val="clear" w:color="auto" w:fill="auto"/>
                  <w:vAlign w:val="center"/>
                </w:tcPr>
                <w:p w14:paraId="0E980B0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COD：</w:t>
                  </w:r>
                  <w:r>
                    <w:rPr>
                      <w:rFonts w:hint="eastAsia" w:ascii="Times New Roman" w:hAnsi="Times New Roman" w:eastAsia="宋体" w:cs="Times New Roman"/>
                      <w:color w:val="auto"/>
                      <w:spacing w:val="4"/>
                      <w:sz w:val="21"/>
                      <w:szCs w:val="21"/>
                      <w:highlight w:val="none"/>
                      <w:lang w:val="en-US" w:eastAsia="zh-CN"/>
                    </w:rPr>
                    <w:t>5</w:t>
                  </w:r>
                  <w:r>
                    <w:rPr>
                      <w:rFonts w:hint="default" w:ascii="Times New Roman" w:hAnsi="Times New Roman" w:eastAsia="宋体" w:cs="Times New Roman"/>
                      <w:color w:val="auto"/>
                      <w:spacing w:val="4"/>
                      <w:sz w:val="21"/>
                      <w:szCs w:val="21"/>
                      <w:highlight w:val="none"/>
                    </w:rPr>
                    <w:t>20mg/L、BOD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eastAsia" w:ascii="Times New Roman" w:hAnsi="Times New Roman" w:eastAsia="宋体" w:cs="Times New Roman"/>
                      <w:color w:val="auto"/>
                      <w:spacing w:val="4"/>
                      <w:sz w:val="21"/>
                      <w:szCs w:val="21"/>
                      <w:highlight w:val="none"/>
                      <w:lang w:val="en-US" w:eastAsia="zh-CN"/>
                    </w:rPr>
                    <w:t>18</w:t>
                  </w:r>
                  <w:r>
                    <w:rPr>
                      <w:rFonts w:hint="default" w:ascii="Times New Roman" w:hAnsi="Times New Roman" w:eastAsia="宋体" w:cs="Times New Roman"/>
                      <w:color w:val="auto"/>
                      <w:spacing w:val="4"/>
                      <w:sz w:val="21"/>
                      <w:szCs w:val="21"/>
                      <w:highlight w:val="none"/>
                    </w:rPr>
                    <w:t>0mg/L、SS：500mg/L、氨氮：48mg/L、TP：12mg/L</w:t>
                  </w:r>
                  <w:r>
                    <w:rPr>
                      <w:rFonts w:hint="eastAsia" w:ascii="Times New Roman" w:hAnsi="Times New Roman" w:eastAsia="宋体" w:cs="Times New Roman"/>
                      <w:color w:val="auto"/>
                      <w:spacing w:val="4"/>
                      <w:sz w:val="21"/>
                      <w:szCs w:val="21"/>
                      <w:highlight w:val="none"/>
                      <w:lang w:eastAsia="zh-CN"/>
                    </w:rPr>
                    <w:t>、</w:t>
                  </w:r>
                  <w:r>
                    <w:rPr>
                      <w:rFonts w:hint="eastAsia" w:ascii="Times New Roman" w:hAnsi="Times New Roman" w:eastAsia="宋体" w:cs="Times New Roman"/>
                      <w:color w:val="auto"/>
                      <w:spacing w:val="4"/>
                      <w:sz w:val="21"/>
                      <w:szCs w:val="21"/>
                      <w:highlight w:val="none"/>
                      <w:lang w:val="en-US" w:eastAsia="zh-CN"/>
                    </w:rPr>
                    <w:t>石油类：10</w:t>
                  </w:r>
                  <w:r>
                    <w:rPr>
                      <w:rFonts w:hint="default" w:ascii="Times New Roman" w:hAnsi="Times New Roman" w:eastAsia="宋体" w:cs="Times New Roman"/>
                      <w:color w:val="auto"/>
                      <w:spacing w:val="4"/>
                      <w:sz w:val="21"/>
                      <w:szCs w:val="21"/>
                      <w:highlight w:val="none"/>
                    </w:rPr>
                    <w:t>mg/L</w:t>
                  </w:r>
                </w:p>
              </w:tc>
              <w:tc>
                <w:tcPr>
                  <w:tcW w:w="1411" w:type="dxa"/>
                  <w:shd w:val="clear" w:color="auto" w:fill="auto"/>
                  <w:vAlign w:val="center"/>
                </w:tcPr>
                <w:p w14:paraId="2B9D73C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eastAsia" w:ascii="Times New Roman" w:hAnsi="Times New Roman" w:eastAsia="宋体" w:cs="Times New Roman"/>
                      <w:color w:val="auto"/>
                      <w:spacing w:val="4"/>
                      <w:sz w:val="21"/>
                      <w:szCs w:val="21"/>
                      <w:highlight w:val="none"/>
                      <w:lang w:val="en-US" w:eastAsia="zh-CN"/>
                    </w:rPr>
                    <w:t>经</w:t>
                  </w:r>
                  <w:r>
                    <w:rPr>
                      <w:rFonts w:hint="eastAsia"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2E0E0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Align w:val="center"/>
                </w:tcPr>
                <w:p w14:paraId="568A200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去离子水制备</w:t>
                  </w:r>
                </w:p>
              </w:tc>
              <w:tc>
                <w:tcPr>
                  <w:tcW w:w="0" w:type="auto"/>
                  <w:shd w:val="clear" w:color="auto" w:fill="auto"/>
                  <w:vAlign w:val="center"/>
                </w:tcPr>
                <w:p w14:paraId="6E7F959E">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浓水</w:t>
                  </w:r>
                  <w:r>
                    <w:rPr>
                      <w:rFonts w:hint="default" w:ascii="Times New Roman" w:hAnsi="Times New Roman" w:eastAsia="宋体" w:cs="Times New Roman"/>
                      <w:color w:val="auto"/>
                      <w:spacing w:val="-1"/>
                      <w:sz w:val="21"/>
                      <w:szCs w:val="21"/>
                      <w:highlight w:val="none"/>
                      <w:lang w:val="en-US" w:eastAsia="zh-CN"/>
                    </w:rPr>
                    <w:t>及反冲洗水</w:t>
                  </w:r>
                </w:p>
              </w:tc>
              <w:tc>
                <w:tcPr>
                  <w:tcW w:w="1965" w:type="dxa"/>
                  <w:shd w:val="clear" w:color="auto" w:fill="auto"/>
                  <w:vAlign w:val="center"/>
                </w:tcPr>
                <w:p w14:paraId="18BD9A1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CODcr：70mg/L、BOD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：30mg/L、SS：120mg/L、全盐量：580mg/L</w:t>
                  </w:r>
                </w:p>
              </w:tc>
              <w:tc>
                <w:tcPr>
                  <w:tcW w:w="1100" w:type="dxa"/>
                  <w:shd w:val="clear" w:color="auto" w:fill="auto"/>
                  <w:vAlign w:val="center"/>
                </w:tcPr>
                <w:p w14:paraId="0EDEDDE8">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kern w:val="2"/>
                      <w:sz w:val="21"/>
                      <w:szCs w:val="21"/>
                      <w:highlight w:val="none"/>
                      <w:lang w:val="en-US" w:eastAsia="zh-CN" w:bidi="ar-SA"/>
                    </w:rPr>
                    <w:t>/</w:t>
                  </w:r>
                </w:p>
              </w:tc>
              <w:tc>
                <w:tcPr>
                  <w:tcW w:w="1988" w:type="dxa"/>
                  <w:shd w:val="clear" w:color="auto" w:fill="auto"/>
                  <w:vAlign w:val="center"/>
                </w:tcPr>
                <w:p w14:paraId="258C7DD9">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CODcr：70mg/L、BOD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：30mg/L、SS：120mg/L、全盐量：5</w:t>
                  </w:r>
                  <w:r>
                    <w:rPr>
                      <w:rFonts w:hint="eastAsia" w:ascii="Times New Roman" w:hAnsi="Times New Roman" w:eastAsia="宋体" w:cs="Times New Roman"/>
                      <w:color w:val="auto"/>
                      <w:spacing w:val="4"/>
                      <w:sz w:val="21"/>
                      <w:szCs w:val="21"/>
                      <w:highlight w:val="none"/>
                      <w:lang w:val="en-US" w:eastAsia="zh-CN"/>
                    </w:rPr>
                    <w:t>8</w:t>
                  </w:r>
                  <w:r>
                    <w:rPr>
                      <w:rFonts w:hint="default" w:ascii="Times New Roman" w:hAnsi="Times New Roman" w:eastAsia="宋体" w:cs="Times New Roman"/>
                      <w:color w:val="auto"/>
                      <w:spacing w:val="4"/>
                      <w:sz w:val="21"/>
                      <w:szCs w:val="21"/>
                      <w:highlight w:val="none"/>
                    </w:rPr>
                    <w:t>0mg/L</w:t>
                  </w:r>
                </w:p>
              </w:tc>
              <w:tc>
                <w:tcPr>
                  <w:tcW w:w="1411" w:type="dxa"/>
                  <w:shd w:val="clear" w:color="auto" w:fill="auto"/>
                  <w:vAlign w:val="center"/>
                </w:tcPr>
                <w:p w14:paraId="324D2F89">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lang w:val="en-US" w:eastAsia="zh-CN"/>
                    </w:rPr>
                    <w:t>进入总排口</w:t>
                  </w:r>
                </w:p>
              </w:tc>
            </w:tr>
            <w:tr w14:paraId="3ED30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vAlign w:val="center"/>
                </w:tcPr>
                <w:p w14:paraId="4E97F03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办公生活</w:t>
                  </w:r>
                </w:p>
              </w:tc>
              <w:tc>
                <w:tcPr>
                  <w:tcW w:w="0" w:type="auto"/>
                  <w:shd w:val="clear" w:color="auto" w:fill="auto"/>
                  <w:vAlign w:val="center"/>
                </w:tcPr>
                <w:p w14:paraId="1DBC3D4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食堂、生活废水</w:t>
                  </w:r>
                </w:p>
              </w:tc>
              <w:tc>
                <w:tcPr>
                  <w:tcW w:w="1965" w:type="dxa"/>
                  <w:shd w:val="clear" w:color="auto" w:fill="auto"/>
                  <w:vAlign w:val="center"/>
                </w:tcPr>
                <w:p w14:paraId="43ACB92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COD：</w:t>
                  </w:r>
                  <w:r>
                    <w:rPr>
                      <w:rFonts w:hint="default" w:ascii="Times New Roman" w:hAnsi="Times New Roman" w:eastAsia="宋体" w:cs="Times New Roman"/>
                      <w:color w:val="auto"/>
                      <w:spacing w:val="4"/>
                      <w:sz w:val="21"/>
                      <w:szCs w:val="21"/>
                      <w:highlight w:val="none"/>
                      <w:lang w:val="en-US" w:eastAsia="zh-CN"/>
                    </w:rPr>
                    <w:t>350</w:t>
                  </w:r>
                  <w:r>
                    <w:rPr>
                      <w:rFonts w:hint="default" w:ascii="Times New Roman" w:hAnsi="Times New Roman" w:eastAsia="宋体" w:cs="Times New Roman"/>
                      <w:color w:val="auto"/>
                      <w:spacing w:val="4"/>
                      <w:sz w:val="21"/>
                      <w:szCs w:val="21"/>
                      <w:highlight w:val="none"/>
                    </w:rPr>
                    <w:t>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18</w:t>
                  </w:r>
                  <w:r>
                    <w:rPr>
                      <w:rFonts w:hint="default" w:ascii="Times New Roman" w:hAnsi="Times New Roman" w:eastAsia="宋体" w:cs="Times New Roman"/>
                      <w:color w:val="auto"/>
                      <w:spacing w:val="4"/>
                      <w:sz w:val="21"/>
                      <w:szCs w:val="21"/>
                      <w:highlight w:val="none"/>
                    </w:rPr>
                    <w:t>0mg/L、SS：</w:t>
                  </w:r>
                  <w:r>
                    <w:rPr>
                      <w:rFonts w:hint="default" w:ascii="Times New Roman" w:hAnsi="Times New Roman" w:eastAsia="宋体" w:cs="Times New Roman"/>
                      <w:color w:val="auto"/>
                      <w:spacing w:val="4"/>
                      <w:sz w:val="21"/>
                      <w:szCs w:val="21"/>
                      <w:highlight w:val="none"/>
                      <w:lang w:val="en-US" w:eastAsia="zh-CN"/>
                    </w:rPr>
                    <w:t>3</w:t>
                  </w:r>
                  <w:r>
                    <w:rPr>
                      <w:rFonts w:hint="default" w:ascii="Times New Roman" w:hAnsi="Times New Roman" w:eastAsia="宋体" w:cs="Times New Roman"/>
                      <w:color w:val="auto"/>
                      <w:spacing w:val="4"/>
                      <w:sz w:val="21"/>
                      <w:szCs w:val="21"/>
                      <w:highlight w:val="none"/>
                    </w:rPr>
                    <w:t>20mg/L、</w:t>
                  </w:r>
                  <w:r>
                    <w:rPr>
                      <w:rFonts w:hint="default" w:ascii="Times New Roman" w:hAnsi="Times New Roman" w:eastAsia="宋体" w:cs="Times New Roman"/>
                      <w:color w:val="auto"/>
                      <w:spacing w:val="4"/>
                      <w:sz w:val="21"/>
                      <w:szCs w:val="21"/>
                      <w:highlight w:val="none"/>
                      <w:lang w:val="en-US" w:eastAsia="zh-CN"/>
                    </w:rPr>
                    <w:t>氨氮</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30</w:t>
                  </w:r>
                  <w:r>
                    <w:rPr>
                      <w:rFonts w:hint="default" w:ascii="Times New Roman" w:hAnsi="Times New Roman" w:eastAsia="宋体" w:cs="Times New Roman"/>
                      <w:color w:val="auto"/>
                      <w:spacing w:val="4"/>
                      <w:sz w:val="21"/>
                      <w:szCs w:val="21"/>
                      <w:highlight w:val="none"/>
                    </w:rPr>
                    <w:t>mg/L、</w:t>
                  </w:r>
                  <w:r>
                    <w:rPr>
                      <w:rFonts w:hint="default" w:ascii="Times New Roman" w:hAnsi="Times New Roman" w:eastAsia="宋体" w:cs="Times New Roman"/>
                      <w:color w:val="auto"/>
                      <w:spacing w:val="4"/>
                      <w:sz w:val="21"/>
                      <w:szCs w:val="21"/>
                      <w:highlight w:val="none"/>
                      <w:lang w:val="en-US" w:eastAsia="zh-CN"/>
                    </w:rPr>
                    <w:t>总磷</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6</w:t>
                  </w:r>
                  <w:r>
                    <w:rPr>
                      <w:rFonts w:hint="default" w:ascii="Times New Roman" w:hAnsi="Times New Roman" w:eastAsia="宋体" w:cs="Times New Roman"/>
                      <w:color w:val="auto"/>
                      <w:spacing w:val="4"/>
                      <w:sz w:val="21"/>
                      <w:szCs w:val="21"/>
                      <w:highlight w:val="none"/>
                    </w:rPr>
                    <w:t>mg/L、</w:t>
                  </w:r>
                  <w:r>
                    <w:rPr>
                      <w:rFonts w:hint="default" w:ascii="Times New Roman" w:hAnsi="Times New Roman" w:eastAsia="宋体" w:cs="Times New Roman"/>
                      <w:color w:val="auto"/>
                      <w:spacing w:val="4"/>
                      <w:sz w:val="21"/>
                      <w:szCs w:val="21"/>
                      <w:highlight w:val="none"/>
                      <w:lang w:val="en-US" w:eastAsia="zh-CN"/>
                    </w:rPr>
                    <w:t>动植物油</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80</w:t>
                  </w:r>
                  <w:r>
                    <w:rPr>
                      <w:rFonts w:hint="default" w:ascii="Times New Roman" w:hAnsi="Times New Roman" w:eastAsia="宋体" w:cs="Times New Roman"/>
                      <w:color w:val="auto"/>
                      <w:spacing w:val="4"/>
                      <w:sz w:val="21"/>
                      <w:szCs w:val="21"/>
                      <w:highlight w:val="none"/>
                    </w:rPr>
                    <w:t>mg/L</w:t>
                  </w:r>
                </w:p>
              </w:tc>
              <w:tc>
                <w:tcPr>
                  <w:tcW w:w="1100" w:type="dxa"/>
                  <w:shd w:val="clear" w:color="auto" w:fill="auto"/>
                  <w:vAlign w:val="center"/>
                </w:tcPr>
                <w:p w14:paraId="358727B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eastAsia="宋体" w:cs="Times New Roman"/>
                      <w:color w:val="auto"/>
                      <w:spacing w:val="4"/>
                      <w:sz w:val="21"/>
                      <w:szCs w:val="21"/>
                      <w:highlight w:val="none"/>
                    </w:rPr>
                    <w:t>经</w:t>
                  </w:r>
                  <w:r>
                    <w:rPr>
                      <w:rFonts w:hint="default" w:ascii="Times New Roman" w:hAnsi="Times New Roman" w:eastAsia="宋体" w:cs="Times New Roman"/>
                      <w:color w:val="auto"/>
                      <w:spacing w:val="4"/>
                      <w:sz w:val="21"/>
                      <w:szCs w:val="21"/>
                      <w:highlight w:val="none"/>
                      <w:lang w:val="en-US" w:eastAsia="zh-CN"/>
                    </w:rPr>
                    <w:t>隔油池、化粪池</w:t>
                  </w:r>
                  <w:r>
                    <w:rPr>
                      <w:rFonts w:hint="default" w:ascii="Times New Roman" w:hAnsi="Times New Roman" w:eastAsia="宋体" w:cs="Times New Roman"/>
                      <w:color w:val="auto"/>
                      <w:spacing w:val="4"/>
                      <w:sz w:val="21"/>
                      <w:szCs w:val="21"/>
                      <w:highlight w:val="none"/>
                    </w:rPr>
                    <w:t>收集</w:t>
                  </w:r>
                  <w:r>
                    <w:rPr>
                      <w:rFonts w:hint="default" w:ascii="Times New Roman" w:hAnsi="Times New Roman" w:eastAsia="宋体" w:cs="Times New Roman"/>
                      <w:color w:val="auto"/>
                      <w:spacing w:val="4"/>
                      <w:sz w:val="21"/>
                      <w:szCs w:val="21"/>
                      <w:highlight w:val="none"/>
                      <w:lang w:val="en-US" w:eastAsia="zh-CN"/>
                    </w:rPr>
                    <w:t>预处理</w:t>
                  </w:r>
                </w:p>
              </w:tc>
              <w:tc>
                <w:tcPr>
                  <w:tcW w:w="1988" w:type="dxa"/>
                  <w:shd w:val="clear" w:color="auto" w:fill="auto"/>
                  <w:vAlign w:val="center"/>
                </w:tcPr>
                <w:p w14:paraId="0B34B9A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COD：</w:t>
                  </w:r>
                  <w:r>
                    <w:rPr>
                      <w:rFonts w:hint="default" w:ascii="Times New Roman" w:hAnsi="Times New Roman" w:eastAsia="宋体" w:cs="Times New Roman"/>
                      <w:color w:val="auto"/>
                      <w:spacing w:val="4"/>
                      <w:sz w:val="21"/>
                      <w:szCs w:val="21"/>
                      <w:highlight w:val="none"/>
                      <w:lang w:val="en-US" w:eastAsia="zh-CN"/>
                    </w:rPr>
                    <w:t>298</w:t>
                  </w:r>
                  <w:r>
                    <w:rPr>
                      <w:rFonts w:hint="default" w:ascii="Times New Roman" w:hAnsi="Times New Roman" w:eastAsia="宋体" w:cs="Times New Roman"/>
                      <w:color w:val="auto"/>
                      <w:spacing w:val="4"/>
                      <w:sz w:val="21"/>
                      <w:szCs w:val="21"/>
                      <w:highlight w:val="none"/>
                    </w:rPr>
                    <w:t>mg/L、BOD</w:t>
                  </w:r>
                  <w:r>
                    <w:rPr>
                      <w:rFonts w:hint="default" w:ascii="Times New Roman" w:hAnsi="Times New Roman" w:eastAsia="宋体" w:cs="Times New Roman"/>
                      <w:color w:val="auto"/>
                      <w:spacing w:val="4"/>
                      <w:sz w:val="21"/>
                      <w:szCs w:val="21"/>
                      <w:highlight w:val="none"/>
                      <w:vertAlign w:val="subscript"/>
                    </w:rPr>
                    <w:t>5</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164</w:t>
                  </w:r>
                  <w:r>
                    <w:rPr>
                      <w:rFonts w:hint="default" w:ascii="Times New Roman" w:hAnsi="Times New Roman" w:eastAsia="宋体" w:cs="Times New Roman"/>
                      <w:color w:val="auto"/>
                      <w:spacing w:val="4"/>
                      <w:sz w:val="21"/>
                      <w:szCs w:val="21"/>
                      <w:highlight w:val="none"/>
                    </w:rPr>
                    <w:t>mg/L、SS：</w:t>
                  </w:r>
                  <w:r>
                    <w:rPr>
                      <w:rFonts w:hint="default" w:ascii="Times New Roman" w:hAnsi="Times New Roman" w:eastAsia="宋体" w:cs="Times New Roman"/>
                      <w:color w:val="auto"/>
                      <w:spacing w:val="4"/>
                      <w:sz w:val="21"/>
                      <w:szCs w:val="21"/>
                      <w:highlight w:val="none"/>
                      <w:lang w:val="en-US" w:eastAsia="zh-CN"/>
                    </w:rPr>
                    <w:t>224</w:t>
                  </w:r>
                  <w:r>
                    <w:rPr>
                      <w:rFonts w:hint="default" w:ascii="Times New Roman" w:hAnsi="Times New Roman" w:eastAsia="宋体" w:cs="Times New Roman"/>
                      <w:color w:val="auto"/>
                      <w:spacing w:val="4"/>
                      <w:sz w:val="21"/>
                      <w:szCs w:val="21"/>
                      <w:highlight w:val="none"/>
                    </w:rPr>
                    <w:t>mg/L、</w:t>
                  </w:r>
                  <w:r>
                    <w:rPr>
                      <w:rFonts w:hint="default" w:ascii="Times New Roman" w:hAnsi="Times New Roman" w:eastAsia="宋体" w:cs="Times New Roman"/>
                      <w:color w:val="auto"/>
                      <w:spacing w:val="4"/>
                      <w:sz w:val="21"/>
                      <w:szCs w:val="21"/>
                      <w:highlight w:val="none"/>
                      <w:lang w:val="en-US" w:eastAsia="zh-CN"/>
                    </w:rPr>
                    <w:t>氨氮</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29</w:t>
                  </w:r>
                  <w:r>
                    <w:rPr>
                      <w:rFonts w:hint="default" w:ascii="Times New Roman" w:hAnsi="Times New Roman" w:eastAsia="宋体" w:cs="Times New Roman"/>
                      <w:color w:val="auto"/>
                      <w:spacing w:val="4"/>
                      <w:sz w:val="21"/>
                      <w:szCs w:val="21"/>
                      <w:highlight w:val="none"/>
                    </w:rPr>
                    <w:t>mg/L、</w:t>
                  </w:r>
                  <w:r>
                    <w:rPr>
                      <w:rFonts w:hint="default" w:ascii="Times New Roman" w:hAnsi="Times New Roman" w:eastAsia="宋体" w:cs="Times New Roman"/>
                      <w:color w:val="auto"/>
                      <w:spacing w:val="4"/>
                      <w:sz w:val="21"/>
                      <w:szCs w:val="21"/>
                      <w:highlight w:val="none"/>
                      <w:lang w:val="en-US" w:eastAsia="zh-CN"/>
                    </w:rPr>
                    <w:t>总磷</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6</w:t>
                  </w:r>
                  <w:r>
                    <w:rPr>
                      <w:rFonts w:hint="default" w:ascii="Times New Roman" w:hAnsi="Times New Roman" w:eastAsia="宋体" w:cs="Times New Roman"/>
                      <w:color w:val="auto"/>
                      <w:spacing w:val="4"/>
                      <w:sz w:val="21"/>
                      <w:szCs w:val="21"/>
                      <w:highlight w:val="none"/>
                    </w:rPr>
                    <w:t>mg/L、</w:t>
                  </w:r>
                  <w:r>
                    <w:rPr>
                      <w:rFonts w:hint="default" w:ascii="Times New Roman" w:hAnsi="Times New Roman" w:eastAsia="宋体" w:cs="Times New Roman"/>
                      <w:color w:val="auto"/>
                      <w:spacing w:val="4"/>
                      <w:sz w:val="21"/>
                      <w:szCs w:val="21"/>
                      <w:highlight w:val="none"/>
                      <w:lang w:val="en-US" w:eastAsia="zh-CN"/>
                    </w:rPr>
                    <w:t>动植物油</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lang w:val="en-US" w:eastAsia="zh-CN"/>
                    </w:rPr>
                    <w:t>44</w:t>
                  </w:r>
                  <w:r>
                    <w:rPr>
                      <w:rFonts w:hint="default" w:ascii="Times New Roman" w:hAnsi="Times New Roman" w:eastAsia="宋体" w:cs="Times New Roman"/>
                      <w:color w:val="auto"/>
                      <w:spacing w:val="4"/>
                      <w:sz w:val="21"/>
                      <w:szCs w:val="21"/>
                      <w:highlight w:val="none"/>
                    </w:rPr>
                    <w:t>mg/L</w:t>
                  </w:r>
                </w:p>
              </w:tc>
              <w:tc>
                <w:tcPr>
                  <w:tcW w:w="1411" w:type="dxa"/>
                  <w:shd w:val="clear" w:color="auto" w:fill="auto"/>
                  <w:vAlign w:val="center"/>
                </w:tcPr>
                <w:p w14:paraId="7DA4F6D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rPr>
                  </w:pPr>
                  <w:r>
                    <w:rPr>
                      <w:rFonts w:hint="default" w:ascii="Times New Roman" w:hAnsi="Times New Roman" w:eastAsia="宋体" w:cs="Times New Roman"/>
                      <w:color w:val="auto"/>
                      <w:spacing w:val="4"/>
                      <w:sz w:val="21"/>
                      <w:szCs w:val="21"/>
                      <w:highlight w:val="none"/>
                    </w:rPr>
                    <w:t>经</w:t>
                  </w:r>
                  <w:r>
                    <w:rPr>
                      <w:rFonts w:hint="default" w:ascii="Times New Roman" w:hAnsi="Times New Roman" w:eastAsia="宋体" w:cs="Times New Roman"/>
                      <w:color w:val="auto"/>
                      <w:spacing w:val="4"/>
                      <w:sz w:val="21"/>
                      <w:szCs w:val="21"/>
                      <w:highlight w:val="none"/>
                      <w:lang w:val="en-US" w:eastAsia="zh-CN"/>
                    </w:rPr>
                    <w:t>隔油池、化粪池</w:t>
                  </w:r>
                  <w:r>
                    <w:rPr>
                      <w:rFonts w:hint="default" w:ascii="Times New Roman" w:hAnsi="Times New Roman" w:eastAsia="宋体" w:cs="Times New Roman"/>
                      <w:color w:val="auto"/>
                      <w:spacing w:val="4"/>
                      <w:sz w:val="21"/>
                      <w:szCs w:val="21"/>
                      <w:highlight w:val="none"/>
                    </w:rPr>
                    <w:t>收集</w:t>
                  </w:r>
                  <w:r>
                    <w:rPr>
                      <w:rFonts w:hint="default" w:ascii="Times New Roman" w:hAnsi="Times New Roman" w:eastAsia="宋体" w:cs="Times New Roman"/>
                      <w:color w:val="auto"/>
                      <w:spacing w:val="4"/>
                      <w:sz w:val="21"/>
                      <w:szCs w:val="21"/>
                      <w:highlight w:val="none"/>
                      <w:lang w:val="en-US" w:eastAsia="zh-CN"/>
                    </w:rPr>
                    <w:t>预处理后进入总排口</w:t>
                  </w:r>
                </w:p>
              </w:tc>
            </w:tr>
          </w:tbl>
          <w:p w14:paraId="17E62F45">
            <w:pPr>
              <w:keepNext w:val="0"/>
              <w:keepLines w:val="0"/>
              <w:pageBreakBefore w:val="0"/>
              <w:kinsoku/>
              <w:wordWrap/>
              <w:overflowPunct/>
              <w:topLinePunct w:val="0"/>
              <w:bidi w:val="0"/>
              <w:spacing w:line="360" w:lineRule="auto"/>
              <w:ind w:right="0" w:firstLine="468" w:firstLineChars="200"/>
              <w:rPr>
                <w:rFonts w:hint="default" w:ascii="Times New Roman" w:hAnsi="Times New Roman" w:eastAsia="宋体" w:cs="Times New Roman"/>
                <w:color w:val="auto"/>
                <w:sz w:val="24"/>
                <w:szCs w:val="24"/>
                <w:highlight w:val="none"/>
              </w:rPr>
            </w:pPr>
            <w:r>
              <w:rPr>
                <w:rFonts w:hint="eastAsia" w:cs="Times New Roman"/>
                <w:color w:val="auto"/>
                <w:spacing w:val="-3"/>
                <w:sz w:val="24"/>
                <w:szCs w:val="24"/>
                <w:highlight w:val="none"/>
                <w:lang w:val="en-US" w:eastAsia="zh-CN"/>
              </w:rPr>
              <w:t>根据项目废水设计方案，</w:t>
            </w:r>
            <w:r>
              <w:rPr>
                <w:rFonts w:hint="default" w:ascii="Times New Roman" w:hAnsi="Times New Roman" w:eastAsia="宋体" w:cs="Times New Roman"/>
                <w:color w:val="auto"/>
                <w:spacing w:val="-3"/>
                <w:sz w:val="24"/>
                <w:szCs w:val="24"/>
                <w:highlight w:val="none"/>
              </w:rPr>
              <w:t>项目生化污水处理站设计处理规模为</w:t>
            </w:r>
            <w:r>
              <w:rPr>
                <w:rFonts w:hint="eastAsia" w:cs="Times New Roman"/>
                <w:color w:val="auto"/>
                <w:spacing w:val="-3"/>
                <w:sz w:val="24"/>
                <w:szCs w:val="24"/>
                <w:highlight w:val="none"/>
                <w:lang w:val="en-US" w:eastAsia="zh-CN"/>
              </w:rPr>
              <w:t>360</w:t>
            </w:r>
            <w:r>
              <w:rPr>
                <w:rFonts w:hint="default" w:ascii="Times New Roman" w:hAnsi="Times New Roman" w:eastAsia="宋体" w:cs="Times New Roman"/>
                <w:color w:val="auto"/>
                <w:spacing w:val="-3"/>
                <w:sz w:val="24"/>
                <w:szCs w:val="24"/>
                <w:highlight w:val="none"/>
              </w:rPr>
              <w:t>m</w:t>
            </w:r>
            <w:r>
              <w:rPr>
                <w:rFonts w:hint="eastAsia"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/d，拟采用“</w:t>
            </w:r>
            <w:r>
              <w:rPr>
                <w:rFonts w:hint="default" w:ascii="Times New Roman" w:hAnsi="Times New Roman" w:eastAsia="宋体" w:cs="Times New Roman"/>
                <w:color w:val="auto"/>
                <w:spacing w:val="-3"/>
                <w:sz w:val="24"/>
                <w:szCs w:val="24"/>
                <w:highlight w:val="none"/>
                <w:lang w:val="en-US" w:eastAsia="zh-CN"/>
              </w:rPr>
              <w:t>调节池+</w:t>
            </w:r>
            <w:r>
              <w:rPr>
                <w:rFonts w:hint="eastAsia" w:cs="Times New Roman"/>
                <w:color w:val="auto"/>
                <w:spacing w:val="-3"/>
                <w:sz w:val="24"/>
                <w:szCs w:val="24"/>
                <w:highlight w:val="none"/>
                <w:lang w:val="en-US" w:eastAsia="zh-CN"/>
              </w:rPr>
              <w:t>混凝沉淀</w:t>
            </w:r>
            <w:r>
              <w:rPr>
                <w:rFonts w:hint="default" w:ascii="Times New Roman" w:hAnsi="Times New Roman" w:eastAsia="宋体" w:cs="Times New Roman"/>
                <w:color w:val="auto"/>
                <w:spacing w:val="-3"/>
                <w:sz w:val="24"/>
                <w:szCs w:val="24"/>
                <w:highlight w:val="none"/>
                <w:lang w:val="en-US" w:eastAsia="zh-CN"/>
              </w:rPr>
              <w:t>+A/O</w:t>
            </w:r>
            <w:r>
              <w:rPr>
                <w:rFonts w:hint="eastAsia" w:cs="Times New Roman"/>
                <w:color w:val="auto"/>
                <w:spacing w:val="-3"/>
                <w:sz w:val="24"/>
                <w:szCs w:val="24"/>
                <w:highlight w:val="none"/>
                <w:lang w:val="en-US" w:eastAsia="zh-CN"/>
              </w:rPr>
              <w:t>接触氧化</w:t>
            </w:r>
            <w:r>
              <w:rPr>
                <w:rFonts w:hint="default" w:ascii="Times New Roman" w:hAnsi="Times New Roman" w:eastAsia="宋体" w:cs="Times New Roman"/>
                <w:color w:val="auto"/>
                <w:spacing w:val="-3"/>
                <w:sz w:val="24"/>
                <w:szCs w:val="24"/>
                <w:highlight w:val="none"/>
                <w:lang w:val="en-US" w:eastAsia="zh-CN"/>
              </w:rPr>
              <w:t>池</w:t>
            </w:r>
            <w:r>
              <w:rPr>
                <w:rFonts w:hint="eastAsia" w:cs="Times New Roman"/>
                <w:color w:val="auto"/>
                <w:spacing w:val="-3"/>
                <w:sz w:val="24"/>
                <w:szCs w:val="24"/>
                <w:highlight w:val="none"/>
                <w:lang w:val="en-US" w:eastAsia="zh-CN"/>
              </w:rPr>
              <w:t>+斜板沉淀</w:t>
            </w:r>
            <w:r>
              <w:rPr>
                <w:rFonts w:hint="default" w:ascii="Times New Roman" w:hAnsi="Times New Roman" w:eastAsia="宋体" w:cs="Times New Roman"/>
                <w:color w:val="auto"/>
                <w:spacing w:val="-3"/>
                <w:sz w:val="24"/>
                <w:szCs w:val="24"/>
                <w:highlight w:val="none"/>
              </w:rPr>
              <w:t>”处理工艺</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污水处理站</w:t>
            </w:r>
            <w:r>
              <w:rPr>
                <w:rFonts w:hint="default" w:ascii="Times New Roman" w:hAnsi="Times New Roman" w:eastAsia="宋体" w:cs="Times New Roman"/>
                <w:b w:val="0"/>
                <w:bCs w:val="0"/>
                <w:color w:val="auto"/>
                <w:sz w:val="24"/>
                <w:szCs w:val="24"/>
                <w:highlight w:val="none"/>
                <w:lang w:val="en-US" w:eastAsia="zh-CN"/>
              </w:rPr>
              <w:t>对各污染物</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去除效率分别为CODcr</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5%、BOD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SS</w:t>
            </w:r>
            <w:r>
              <w:rPr>
                <w:rFonts w:hint="eastAsia" w:cs="Times New Roman"/>
                <w:b w:val="0"/>
                <w:bCs w:val="0"/>
                <w:color w:val="auto"/>
                <w:sz w:val="24"/>
                <w:szCs w:val="24"/>
                <w:highlight w:val="none"/>
                <w:lang w:val="en-US" w:eastAsia="zh-CN"/>
              </w:rPr>
              <w:t>≥85</w:t>
            </w:r>
            <w:r>
              <w:rPr>
                <w:rFonts w:hint="default" w:ascii="Times New Roman" w:hAnsi="Times New Roman" w:eastAsia="宋体" w:cs="Times New Roman"/>
                <w:b w:val="0"/>
                <w:bCs w:val="0"/>
                <w:color w:val="auto"/>
                <w:sz w:val="24"/>
                <w:szCs w:val="24"/>
                <w:highlight w:val="none"/>
                <w:lang w:val="en-US" w:eastAsia="zh-CN"/>
              </w:rPr>
              <w:t>%，氨氮</w:t>
            </w:r>
            <w:r>
              <w:rPr>
                <w:rFonts w:hint="eastAsia" w:cs="Times New Roman"/>
                <w:b w:val="0"/>
                <w:bCs w:val="0"/>
                <w:color w:val="auto"/>
                <w:sz w:val="24"/>
                <w:szCs w:val="24"/>
                <w:highlight w:val="none"/>
                <w:lang w:val="en-US" w:eastAsia="zh-CN"/>
              </w:rPr>
              <w:t>≥50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、总磷≥25%</w:t>
            </w:r>
            <w:r>
              <w:rPr>
                <w:rFonts w:hint="default" w:ascii="Times New Roman" w:hAnsi="Times New Roman" w:eastAsia="宋体" w:cs="Times New Roman"/>
                <w:color w:val="auto"/>
                <w:kern w:val="0"/>
                <w:sz w:val="24"/>
                <w:szCs w:val="24"/>
                <w:highlight w:val="none"/>
                <w:lang w:eastAsia="zh-CN"/>
              </w:rPr>
              <w:t>。</w:t>
            </w:r>
          </w:p>
          <w:p w14:paraId="333AAAA9">
            <w:pPr>
              <w:keepNext w:val="0"/>
              <w:keepLines w:val="0"/>
              <w:pageBreakBefore w:val="0"/>
              <w:widowControl/>
              <w:kinsoku/>
              <w:wordWrap/>
              <w:overflowPunct/>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各类废水排放水质情况一览表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1418"/>
              <w:gridCol w:w="832"/>
              <w:gridCol w:w="723"/>
              <w:gridCol w:w="572"/>
              <w:gridCol w:w="614"/>
              <w:gridCol w:w="668"/>
              <w:gridCol w:w="682"/>
              <w:gridCol w:w="682"/>
              <w:gridCol w:w="668"/>
              <w:gridCol w:w="555"/>
              <w:gridCol w:w="3"/>
            </w:tblGrid>
            <w:tr w14:paraId="77D6C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07" w:type="dxa"/>
                  <w:gridSpan w:val="2"/>
                  <w:vMerge w:val="restart"/>
                  <w:tcBorders>
                    <w:tl2br w:val="nil"/>
                    <w:tr2bl w:val="nil"/>
                  </w:tcBorders>
                  <w:vAlign w:val="center"/>
                </w:tcPr>
                <w:p w14:paraId="5D51CBA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产生工序</w:t>
                  </w:r>
                </w:p>
              </w:tc>
              <w:tc>
                <w:tcPr>
                  <w:tcW w:w="832" w:type="dxa"/>
                  <w:vMerge w:val="restart"/>
                  <w:tcBorders>
                    <w:tl2br w:val="nil"/>
                    <w:tr2bl w:val="nil"/>
                  </w:tcBorders>
                  <w:vAlign w:val="center"/>
                </w:tcPr>
                <w:p w14:paraId="706713F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废水量</w:t>
                  </w:r>
                  <w:r>
                    <w:rPr>
                      <w:rFonts w:hint="eastAsia" w:ascii="Times New Roman" w:hAnsi="Times New Roman" w:eastAsia="宋体" w:cs="Times New Roman"/>
                      <w:b/>
                      <w:bCs/>
                      <w:color w:val="auto"/>
                      <w:spacing w:val="5"/>
                      <w:sz w:val="21"/>
                      <w:szCs w:val="21"/>
                      <w:highlight w:val="none"/>
                      <w:lang w:val="en-US" w:eastAsia="zh-CN"/>
                    </w:rPr>
                    <w:t>/</w:t>
                  </w:r>
                  <w:r>
                    <w:rPr>
                      <w:rFonts w:hint="default" w:ascii="Times New Roman" w:hAnsi="Times New Roman" w:eastAsia="宋体" w:cs="Times New Roman"/>
                      <w:b/>
                      <w:bCs/>
                      <w:color w:val="auto"/>
                      <w:spacing w:val="-1"/>
                      <w:sz w:val="21"/>
                      <w:szCs w:val="21"/>
                      <w:highlight w:val="none"/>
                    </w:rPr>
                    <w:t>m</w:t>
                  </w:r>
                  <w:r>
                    <w:rPr>
                      <w:rFonts w:hint="default" w:ascii="Times New Roman" w:hAnsi="Times New Roman" w:eastAsia="宋体" w:cs="Times New Roman"/>
                      <w:b/>
                      <w:bCs/>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1"/>
                      <w:sz w:val="21"/>
                      <w:szCs w:val="21"/>
                      <w:highlight w:val="none"/>
                    </w:rPr>
                    <w:t>/d</w:t>
                  </w:r>
                </w:p>
              </w:tc>
              <w:tc>
                <w:tcPr>
                  <w:tcW w:w="5167" w:type="dxa"/>
                  <w:gridSpan w:val="9"/>
                  <w:tcBorders>
                    <w:tl2br w:val="nil"/>
                    <w:tr2bl w:val="nil"/>
                  </w:tcBorders>
                  <w:vAlign w:val="center"/>
                </w:tcPr>
                <w:p w14:paraId="30703EC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污染物浓度（</w:t>
                  </w:r>
                  <w:r>
                    <w:rPr>
                      <w:rFonts w:hint="default" w:ascii="Times New Roman" w:hAnsi="Times New Roman" w:eastAsia="宋体" w:cs="Times New Roman"/>
                      <w:color w:val="auto"/>
                      <w:spacing w:val="-60"/>
                      <w:sz w:val="21"/>
                      <w:szCs w:val="21"/>
                      <w:highlight w:val="none"/>
                    </w:rPr>
                    <w:t xml:space="preserve"> </w:t>
                  </w:r>
                  <w:r>
                    <w:rPr>
                      <w:rFonts w:hint="default" w:ascii="Times New Roman" w:hAnsi="Times New Roman" w:eastAsia="宋体" w:cs="Times New Roman"/>
                      <w:b/>
                      <w:bCs/>
                      <w:color w:val="auto"/>
                      <w:sz w:val="21"/>
                      <w:szCs w:val="21"/>
                      <w:highlight w:val="none"/>
                    </w:rPr>
                    <w:t>mg</w:t>
                  </w:r>
                  <w:r>
                    <w:rPr>
                      <w:rFonts w:hint="default" w:ascii="Times New Roman" w:hAnsi="Times New Roman" w:eastAsia="宋体" w:cs="Times New Roman"/>
                      <w:b/>
                      <w:bCs/>
                      <w:color w:val="auto"/>
                      <w:spacing w:val="2"/>
                      <w:sz w:val="21"/>
                      <w:szCs w:val="21"/>
                      <w:highlight w:val="none"/>
                    </w:rPr>
                    <w:t>/L）</w:t>
                  </w:r>
                </w:p>
              </w:tc>
            </w:tr>
            <w:tr w14:paraId="687E4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1907" w:type="dxa"/>
                  <w:gridSpan w:val="2"/>
                  <w:vMerge w:val="continue"/>
                  <w:tcBorders>
                    <w:tl2br w:val="nil"/>
                    <w:tr2bl w:val="nil"/>
                  </w:tcBorders>
                  <w:vAlign w:val="center"/>
                </w:tcPr>
                <w:p w14:paraId="380C83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832" w:type="dxa"/>
                  <w:vMerge w:val="continue"/>
                  <w:tcBorders>
                    <w:tl2br w:val="nil"/>
                    <w:tr2bl w:val="nil"/>
                  </w:tcBorders>
                  <w:vAlign w:val="center"/>
                </w:tcPr>
                <w:p w14:paraId="1ED4CA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723" w:type="dxa"/>
                  <w:tcBorders>
                    <w:tl2br w:val="nil"/>
                    <w:tr2bl w:val="nil"/>
                  </w:tcBorders>
                  <w:vAlign w:val="center"/>
                </w:tcPr>
                <w:p w14:paraId="6DEB87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COD</w:t>
                  </w:r>
                  <w:r>
                    <w:rPr>
                      <w:rFonts w:hint="default" w:ascii="Times New Roman" w:hAnsi="Times New Roman" w:eastAsia="宋体" w:cs="Times New Roman"/>
                      <w:b/>
                      <w:bCs/>
                      <w:color w:val="auto"/>
                      <w:spacing w:val="3"/>
                      <w:position w:val="-1"/>
                      <w:sz w:val="21"/>
                      <w:szCs w:val="21"/>
                      <w:highlight w:val="none"/>
                    </w:rPr>
                    <w:t>cr</w:t>
                  </w:r>
                </w:p>
              </w:tc>
              <w:tc>
                <w:tcPr>
                  <w:tcW w:w="572" w:type="dxa"/>
                  <w:tcBorders>
                    <w:tl2br w:val="nil"/>
                    <w:tr2bl w:val="nil"/>
                  </w:tcBorders>
                  <w:vAlign w:val="center"/>
                </w:tcPr>
                <w:p w14:paraId="47AF28D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pacing w:val="19"/>
                      <w:position w:val="-1"/>
                      <w:sz w:val="21"/>
                      <w:szCs w:val="21"/>
                      <w:highlight w:val="none"/>
                      <w:vertAlign w:val="subscript"/>
                    </w:rPr>
                    <w:t>5</w:t>
                  </w:r>
                </w:p>
              </w:tc>
              <w:tc>
                <w:tcPr>
                  <w:tcW w:w="614" w:type="dxa"/>
                  <w:tcBorders>
                    <w:tl2br w:val="nil"/>
                    <w:tr2bl w:val="nil"/>
                  </w:tcBorders>
                  <w:vAlign w:val="center"/>
                </w:tcPr>
                <w:p w14:paraId="5D2F74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SS</w:t>
                  </w:r>
                </w:p>
              </w:tc>
              <w:tc>
                <w:tcPr>
                  <w:tcW w:w="668" w:type="dxa"/>
                  <w:tcBorders>
                    <w:tl2br w:val="nil"/>
                    <w:tr2bl w:val="nil"/>
                  </w:tcBorders>
                  <w:vAlign w:val="center"/>
                </w:tcPr>
                <w:p w14:paraId="70E8FEB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氨氮</w:t>
                  </w:r>
                </w:p>
              </w:tc>
              <w:tc>
                <w:tcPr>
                  <w:tcW w:w="682" w:type="dxa"/>
                  <w:tcBorders>
                    <w:right w:val="single" w:color="auto" w:sz="4" w:space="0"/>
                    <w:tl2br w:val="nil"/>
                    <w:tr2bl w:val="nil"/>
                  </w:tcBorders>
                  <w:vAlign w:val="center"/>
                </w:tcPr>
                <w:p w14:paraId="3C3DDE1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总磷</w:t>
                  </w:r>
                </w:p>
              </w:tc>
              <w:tc>
                <w:tcPr>
                  <w:tcW w:w="682" w:type="dxa"/>
                  <w:tcBorders>
                    <w:left w:val="single" w:color="auto" w:sz="4" w:space="0"/>
                    <w:tl2br w:val="nil"/>
                    <w:tr2bl w:val="nil"/>
                  </w:tcBorders>
                  <w:shd w:val="clear" w:color="auto" w:fill="auto"/>
                  <w:vAlign w:val="center"/>
                </w:tcPr>
                <w:p w14:paraId="76BB3BE8">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pacing w:val="5"/>
                      <w:sz w:val="21"/>
                      <w:szCs w:val="21"/>
                      <w:highlight w:val="none"/>
                      <w:lang w:val="en-US" w:eastAsia="zh-CN"/>
                    </w:rPr>
                    <w:t>TSD</w:t>
                  </w:r>
                </w:p>
              </w:tc>
              <w:tc>
                <w:tcPr>
                  <w:tcW w:w="668" w:type="dxa"/>
                  <w:tcBorders>
                    <w:tl2br w:val="nil"/>
                    <w:tr2bl w:val="nil"/>
                  </w:tcBorders>
                  <w:vAlign w:val="center"/>
                </w:tcPr>
                <w:p w14:paraId="33405C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动植</w:t>
                  </w:r>
                </w:p>
                <w:p w14:paraId="6BCE66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物油</w:t>
                  </w:r>
                </w:p>
              </w:tc>
              <w:tc>
                <w:tcPr>
                  <w:tcW w:w="555" w:type="dxa"/>
                  <w:tcBorders>
                    <w:tl2br w:val="nil"/>
                    <w:tr2bl w:val="nil"/>
                  </w:tcBorders>
                  <w:vAlign w:val="center"/>
                </w:tcPr>
                <w:p w14:paraId="5F7FD9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石油类</w:t>
                  </w:r>
                </w:p>
              </w:tc>
            </w:tr>
            <w:tr w14:paraId="63B2C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tcBorders>
                    <w:tl2br w:val="nil"/>
                    <w:tr2bl w:val="nil"/>
                  </w:tcBorders>
                  <w:vAlign w:val="center"/>
                </w:tcPr>
                <w:p w14:paraId="7852C5A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珠胚生产</w:t>
                  </w:r>
                </w:p>
              </w:tc>
              <w:tc>
                <w:tcPr>
                  <w:tcW w:w="1418" w:type="dxa"/>
                  <w:tcBorders>
                    <w:tl2br w:val="nil"/>
                    <w:tr2bl w:val="nil"/>
                  </w:tcBorders>
                  <w:vAlign w:val="center"/>
                </w:tcPr>
                <w:p w14:paraId="21283F6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珠胚清洗</w:t>
                  </w:r>
                  <w:r>
                    <w:rPr>
                      <w:rFonts w:hint="default" w:ascii="Times New Roman" w:hAnsi="Times New Roman" w:eastAsia="宋体" w:cs="Times New Roman"/>
                      <w:color w:val="auto"/>
                      <w:spacing w:val="4"/>
                      <w:sz w:val="21"/>
                      <w:szCs w:val="21"/>
                      <w:highlight w:val="none"/>
                      <w:lang w:val="en-US" w:eastAsia="zh-CN"/>
                    </w:rPr>
                    <w:t>废水</w:t>
                  </w:r>
                </w:p>
              </w:tc>
              <w:tc>
                <w:tcPr>
                  <w:tcW w:w="832" w:type="dxa"/>
                  <w:tcBorders>
                    <w:tl2br w:val="nil"/>
                    <w:tr2bl w:val="nil"/>
                  </w:tcBorders>
                  <w:vAlign w:val="center"/>
                </w:tcPr>
                <w:p w14:paraId="0FE9C01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w:t>
                  </w:r>
                  <w:r>
                    <w:rPr>
                      <w:rFonts w:hint="eastAsia" w:ascii="Times New Roman" w:hAnsi="Times New Roman" w:eastAsia="宋体" w:cs="Times New Roman"/>
                      <w:color w:val="auto"/>
                      <w:spacing w:val="4"/>
                      <w:sz w:val="21"/>
                      <w:szCs w:val="21"/>
                      <w:highlight w:val="none"/>
                      <w:lang w:val="en-US" w:eastAsia="zh-CN"/>
                    </w:rPr>
                    <w:t>2</w:t>
                  </w:r>
                </w:p>
              </w:tc>
              <w:tc>
                <w:tcPr>
                  <w:tcW w:w="723" w:type="dxa"/>
                  <w:tcBorders>
                    <w:tl2br w:val="nil"/>
                    <w:tr2bl w:val="nil"/>
                  </w:tcBorders>
                  <w:vAlign w:val="center"/>
                </w:tcPr>
                <w:p w14:paraId="18F2D39B">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572" w:type="dxa"/>
                  <w:tcBorders>
                    <w:tl2br w:val="nil"/>
                    <w:tr2bl w:val="nil"/>
                  </w:tcBorders>
                  <w:vAlign w:val="center"/>
                </w:tcPr>
                <w:p w14:paraId="587E8E4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14" w:type="dxa"/>
                  <w:tcBorders>
                    <w:tl2br w:val="nil"/>
                    <w:tr2bl w:val="nil"/>
                  </w:tcBorders>
                  <w:vAlign w:val="center"/>
                </w:tcPr>
                <w:p w14:paraId="24B3F33D">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668" w:type="dxa"/>
                  <w:tcBorders>
                    <w:tl2br w:val="nil"/>
                    <w:tr2bl w:val="nil"/>
                  </w:tcBorders>
                  <w:vAlign w:val="center"/>
                </w:tcPr>
                <w:p w14:paraId="6F7F6CC8">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0E2D9AC6">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0DBEA5B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4AE20F1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7A5E7B1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24725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vMerge w:val="restart"/>
                  <w:tcBorders>
                    <w:tl2br w:val="nil"/>
                    <w:tr2bl w:val="nil"/>
                  </w:tcBorders>
                  <w:vAlign w:val="center"/>
                </w:tcPr>
                <w:p w14:paraId="132A618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烫钻生产</w:t>
                  </w:r>
                </w:p>
              </w:tc>
              <w:tc>
                <w:tcPr>
                  <w:tcW w:w="1418" w:type="dxa"/>
                  <w:tcBorders>
                    <w:tl2br w:val="nil"/>
                    <w:tr2bl w:val="nil"/>
                  </w:tcBorders>
                  <w:vAlign w:val="center"/>
                </w:tcPr>
                <w:p w14:paraId="2756FDD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磨抛废水</w:t>
                  </w:r>
                </w:p>
              </w:tc>
              <w:tc>
                <w:tcPr>
                  <w:tcW w:w="832" w:type="dxa"/>
                  <w:tcBorders>
                    <w:tl2br w:val="nil"/>
                    <w:tr2bl w:val="nil"/>
                  </w:tcBorders>
                  <w:vAlign w:val="center"/>
                </w:tcPr>
                <w:p w14:paraId="1AA7928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130</w:t>
                  </w:r>
                </w:p>
              </w:tc>
              <w:tc>
                <w:tcPr>
                  <w:tcW w:w="723" w:type="dxa"/>
                  <w:tcBorders>
                    <w:tl2br w:val="nil"/>
                    <w:tr2bl w:val="nil"/>
                  </w:tcBorders>
                  <w:vAlign w:val="center"/>
                </w:tcPr>
                <w:p w14:paraId="431B1920">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572" w:type="dxa"/>
                  <w:tcBorders>
                    <w:tl2br w:val="nil"/>
                    <w:tr2bl w:val="nil"/>
                  </w:tcBorders>
                  <w:vAlign w:val="center"/>
                </w:tcPr>
                <w:p w14:paraId="1371E125">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614" w:type="dxa"/>
                  <w:tcBorders>
                    <w:tl2br w:val="nil"/>
                    <w:tr2bl w:val="nil"/>
                  </w:tcBorders>
                  <w:vAlign w:val="center"/>
                </w:tcPr>
                <w:p w14:paraId="484A4263">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668" w:type="dxa"/>
                  <w:tcBorders>
                    <w:tl2br w:val="nil"/>
                    <w:tr2bl w:val="nil"/>
                  </w:tcBorders>
                  <w:vAlign w:val="center"/>
                </w:tcPr>
                <w:p w14:paraId="0838B665">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79CDA7F9">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280E8AB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05F2EBB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0E6DFBB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7B34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vMerge w:val="continue"/>
                  <w:tcBorders>
                    <w:tl2br w:val="nil"/>
                    <w:tr2bl w:val="nil"/>
                  </w:tcBorders>
                  <w:vAlign w:val="center"/>
                </w:tcPr>
                <w:p w14:paraId="3E5FD9C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1418" w:type="dxa"/>
                  <w:tcBorders>
                    <w:tl2br w:val="nil"/>
                    <w:tr2bl w:val="nil"/>
                  </w:tcBorders>
                  <w:vAlign w:val="center"/>
                </w:tcPr>
                <w:p w14:paraId="5EE1C70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圆磨废水</w:t>
                  </w:r>
                </w:p>
              </w:tc>
              <w:tc>
                <w:tcPr>
                  <w:tcW w:w="832" w:type="dxa"/>
                  <w:tcBorders>
                    <w:tl2br w:val="nil"/>
                    <w:tr2bl w:val="nil"/>
                  </w:tcBorders>
                  <w:vAlign w:val="center"/>
                </w:tcPr>
                <w:p w14:paraId="3A5FA3C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1</w:t>
                  </w:r>
                  <w:r>
                    <w:rPr>
                      <w:rFonts w:hint="eastAsia" w:ascii="Times New Roman" w:hAnsi="Times New Roman" w:eastAsia="宋体" w:cs="Times New Roman"/>
                      <w:color w:val="auto"/>
                      <w:spacing w:val="4"/>
                      <w:sz w:val="21"/>
                      <w:szCs w:val="21"/>
                      <w:highlight w:val="none"/>
                      <w:lang w:val="en-US" w:eastAsia="zh-CN"/>
                    </w:rPr>
                    <w:t>00</w:t>
                  </w:r>
                </w:p>
              </w:tc>
              <w:tc>
                <w:tcPr>
                  <w:tcW w:w="723" w:type="dxa"/>
                  <w:tcBorders>
                    <w:tl2br w:val="nil"/>
                    <w:tr2bl w:val="nil"/>
                  </w:tcBorders>
                  <w:vAlign w:val="center"/>
                </w:tcPr>
                <w:p w14:paraId="0F82E359">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298</w:t>
                  </w:r>
                </w:p>
              </w:tc>
              <w:tc>
                <w:tcPr>
                  <w:tcW w:w="572" w:type="dxa"/>
                  <w:tcBorders>
                    <w:tl2br w:val="nil"/>
                    <w:tr2bl w:val="nil"/>
                  </w:tcBorders>
                  <w:vAlign w:val="center"/>
                </w:tcPr>
                <w:p w14:paraId="17CCA88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614" w:type="dxa"/>
                  <w:tcBorders>
                    <w:tl2br w:val="nil"/>
                    <w:tr2bl w:val="nil"/>
                  </w:tcBorders>
                  <w:vAlign w:val="center"/>
                </w:tcPr>
                <w:p w14:paraId="74EB6ACD">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668" w:type="dxa"/>
                  <w:tcBorders>
                    <w:tl2br w:val="nil"/>
                    <w:tr2bl w:val="nil"/>
                  </w:tcBorders>
                  <w:vAlign w:val="center"/>
                </w:tcPr>
                <w:p w14:paraId="668D0AC4">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1898F57D">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7290031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425E7D1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7FF8D29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22282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vMerge w:val="continue"/>
                  <w:tcBorders>
                    <w:tl2br w:val="nil"/>
                    <w:tr2bl w:val="nil"/>
                  </w:tcBorders>
                  <w:vAlign w:val="center"/>
                </w:tcPr>
                <w:p w14:paraId="2B6165F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1418" w:type="dxa"/>
                  <w:tcBorders>
                    <w:tl2br w:val="nil"/>
                    <w:tr2bl w:val="nil"/>
                  </w:tcBorders>
                  <w:vAlign w:val="center"/>
                </w:tcPr>
                <w:p w14:paraId="721AB8F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碱洗</w:t>
                  </w:r>
                  <w:r>
                    <w:rPr>
                      <w:rFonts w:hint="eastAsia" w:ascii="Times New Roman" w:hAnsi="Times New Roman" w:eastAsia="宋体" w:cs="Times New Roman"/>
                      <w:color w:val="auto"/>
                      <w:spacing w:val="4"/>
                      <w:sz w:val="21"/>
                      <w:szCs w:val="21"/>
                      <w:highlight w:val="none"/>
                      <w:lang w:val="en-US" w:eastAsia="zh-CN"/>
                    </w:rPr>
                    <w:t>废水</w:t>
                  </w:r>
                </w:p>
              </w:tc>
              <w:tc>
                <w:tcPr>
                  <w:tcW w:w="832" w:type="dxa"/>
                  <w:tcBorders>
                    <w:tl2br w:val="nil"/>
                    <w:tr2bl w:val="nil"/>
                  </w:tcBorders>
                  <w:vAlign w:val="center"/>
                </w:tcPr>
                <w:p w14:paraId="3650F59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5</w:t>
                  </w:r>
                </w:p>
              </w:tc>
              <w:tc>
                <w:tcPr>
                  <w:tcW w:w="723" w:type="dxa"/>
                  <w:tcBorders>
                    <w:tl2br w:val="nil"/>
                    <w:tr2bl w:val="nil"/>
                  </w:tcBorders>
                  <w:vAlign w:val="center"/>
                </w:tcPr>
                <w:p w14:paraId="5353C16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6400</w:t>
                  </w:r>
                </w:p>
              </w:tc>
              <w:tc>
                <w:tcPr>
                  <w:tcW w:w="572" w:type="dxa"/>
                  <w:tcBorders>
                    <w:tl2br w:val="nil"/>
                    <w:tr2bl w:val="nil"/>
                  </w:tcBorders>
                  <w:vAlign w:val="center"/>
                </w:tcPr>
                <w:p w14:paraId="42C88E62">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614" w:type="dxa"/>
                  <w:tcBorders>
                    <w:tl2br w:val="nil"/>
                    <w:tr2bl w:val="nil"/>
                  </w:tcBorders>
                  <w:vAlign w:val="center"/>
                </w:tcPr>
                <w:p w14:paraId="40347311">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668" w:type="dxa"/>
                  <w:tcBorders>
                    <w:tl2br w:val="nil"/>
                    <w:tr2bl w:val="nil"/>
                  </w:tcBorders>
                  <w:vAlign w:val="center"/>
                </w:tcPr>
                <w:p w14:paraId="74330288">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472C3D8E">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6A1A225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120175C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6F48EA7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211BB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vMerge w:val="continue"/>
                  <w:tcBorders>
                    <w:tl2br w:val="nil"/>
                    <w:tr2bl w:val="nil"/>
                  </w:tcBorders>
                  <w:vAlign w:val="center"/>
                </w:tcPr>
                <w:p w14:paraId="7CE1756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1418" w:type="dxa"/>
                  <w:tcBorders>
                    <w:tl2br w:val="nil"/>
                    <w:tr2bl w:val="nil"/>
                  </w:tcBorders>
                  <w:shd w:val="clear" w:color="auto" w:fill="auto"/>
                  <w:vAlign w:val="center"/>
                </w:tcPr>
                <w:p w14:paraId="4E5502A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lang w:val="en-US" w:eastAsia="zh-CN"/>
                    </w:rPr>
                    <w:t>碱洗后清洗用水</w:t>
                  </w:r>
                </w:p>
              </w:tc>
              <w:tc>
                <w:tcPr>
                  <w:tcW w:w="832" w:type="dxa"/>
                  <w:tcBorders>
                    <w:tl2br w:val="nil"/>
                    <w:tr2bl w:val="nil"/>
                  </w:tcBorders>
                  <w:shd w:val="clear" w:color="auto" w:fill="auto"/>
                  <w:vAlign w:val="center"/>
                </w:tcPr>
                <w:p w14:paraId="1720C8C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72</w:t>
                  </w:r>
                </w:p>
              </w:tc>
              <w:tc>
                <w:tcPr>
                  <w:tcW w:w="723" w:type="dxa"/>
                  <w:tcBorders>
                    <w:tl2br w:val="nil"/>
                    <w:tr2bl w:val="nil"/>
                  </w:tcBorders>
                  <w:shd w:val="clear" w:color="auto" w:fill="auto"/>
                  <w:vAlign w:val="center"/>
                </w:tcPr>
                <w:p w14:paraId="03E7B86B">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650</w:t>
                  </w:r>
                </w:p>
              </w:tc>
              <w:tc>
                <w:tcPr>
                  <w:tcW w:w="572" w:type="dxa"/>
                  <w:tcBorders>
                    <w:tl2br w:val="nil"/>
                    <w:tr2bl w:val="nil"/>
                  </w:tcBorders>
                  <w:shd w:val="clear" w:color="auto" w:fill="auto"/>
                  <w:vAlign w:val="center"/>
                </w:tcPr>
                <w:p w14:paraId="5064FB29">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280</w:t>
                  </w:r>
                </w:p>
              </w:tc>
              <w:tc>
                <w:tcPr>
                  <w:tcW w:w="614" w:type="dxa"/>
                  <w:tcBorders>
                    <w:tl2br w:val="nil"/>
                    <w:tr2bl w:val="nil"/>
                  </w:tcBorders>
                  <w:shd w:val="clear" w:color="auto" w:fill="auto"/>
                  <w:vAlign w:val="center"/>
                </w:tcPr>
                <w:p w14:paraId="78645DE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yellow"/>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668" w:type="dxa"/>
                  <w:tcBorders>
                    <w:tl2br w:val="nil"/>
                    <w:tr2bl w:val="nil"/>
                  </w:tcBorders>
                  <w:vAlign w:val="center"/>
                </w:tcPr>
                <w:p w14:paraId="65BF3FEE">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45FFAAD0">
                  <w:pPr>
                    <w:jc w:val="center"/>
                    <w:rPr>
                      <w:rFonts w:hint="default" w:ascii="Times New Roman" w:hAnsi="Times New Roman" w:eastAsia="宋体" w:cs="Times New Roman"/>
                      <w:color w:val="auto"/>
                      <w:spacing w:val="4"/>
                      <w:sz w:val="21"/>
                      <w:szCs w:val="21"/>
                      <w:highlight w:val="none"/>
                      <w:lang w:val="en-US" w:eastAsia="zh-CN"/>
                    </w:rPr>
                  </w:pPr>
                </w:p>
              </w:tc>
              <w:tc>
                <w:tcPr>
                  <w:tcW w:w="682" w:type="dxa"/>
                  <w:tcBorders>
                    <w:tl2br w:val="nil"/>
                    <w:tr2bl w:val="nil"/>
                  </w:tcBorders>
                  <w:vAlign w:val="center"/>
                </w:tcPr>
                <w:p w14:paraId="363897A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1F7792B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703FD36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r>
            <w:tr w14:paraId="3B627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tcBorders>
                    <w:tl2br w:val="nil"/>
                    <w:tr2bl w:val="nil"/>
                  </w:tcBorders>
                  <w:vAlign w:val="center"/>
                </w:tcPr>
                <w:p w14:paraId="200D0E8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生产</w:t>
                  </w:r>
                </w:p>
              </w:tc>
              <w:tc>
                <w:tcPr>
                  <w:tcW w:w="1418" w:type="dxa"/>
                  <w:tcBorders>
                    <w:tl2br w:val="nil"/>
                    <w:tr2bl w:val="nil"/>
                  </w:tcBorders>
                  <w:shd w:val="clear" w:color="auto" w:fill="auto"/>
                  <w:vAlign w:val="center"/>
                </w:tcPr>
                <w:p w14:paraId="7EB2AB8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lang w:val="en-US" w:eastAsia="zh-CN"/>
                    </w:rPr>
                    <w:t>地面清洗废水</w:t>
                  </w:r>
                </w:p>
              </w:tc>
              <w:tc>
                <w:tcPr>
                  <w:tcW w:w="832" w:type="dxa"/>
                  <w:tcBorders>
                    <w:tl2br w:val="nil"/>
                    <w:tr2bl w:val="nil"/>
                  </w:tcBorders>
                  <w:shd w:val="clear" w:color="auto" w:fill="auto"/>
                  <w:vAlign w:val="center"/>
                </w:tcPr>
                <w:p w14:paraId="541D6AA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4.13</w:t>
                  </w:r>
                </w:p>
              </w:tc>
              <w:tc>
                <w:tcPr>
                  <w:tcW w:w="723" w:type="dxa"/>
                  <w:tcBorders>
                    <w:tl2br w:val="nil"/>
                    <w:tr2bl w:val="nil"/>
                  </w:tcBorders>
                  <w:shd w:val="clear" w:color="auto" w:fill="auto"/>
                  <w:vAlign w:val="center"/>
                </w:tcPr>
                <w:p w14:paraId="3A53BBC9">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572" w:type="dxa"/>
                  <w:tcBorders>
                    <w:tl2br w:val="nil"/>
                    <w:tr2bl w:val="nil"/>
                  </w:tcBorders>
                  <w:shd w:val="clear" w:color="auto" w:fill="auto"/>
                  <w:vAlign w:val="center"/>
                </w:tcPr>
                <w:p w14:paraId="4E426D20">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614" w:type="dxa"/>
                  <w:tcBorders>
                    <w:tl2br w:val="nil"/>
                    <w:tr2bl w:val="nil"/>
                  </w:tcBorders>
                  <w:shd w:val="clear" w:color="auto" w:fill="auto"/>
                  <w:vAlign w:val="center"/>
                </w:tcPr>
                <w:p w14:paraId="764E45F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668" w:type="dxa"/>
                  <w:tcBorders>
                    <w:tl2br w:val="nil"/>
                    <w:tr2bl w:val="nil"/>
                  </w:tcBorders>
                  <w:shd w:val="clear" w:color="auto" w:fill="auto"/>
                  <w:vAlign w:val="center"/>
                </w:tcPr>
                <w:p w14:paraId="0940E640">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c>
                <w:tcPr>
                  <w:tcW w:w="682" w:type="dxa"/>
                  <w:tcBorders>
                    <w:tl2br w:val="nil"/>
                    <w:tr2bl w:val="nil"/>
                  </w:tcBorders>
                  <w:shd w:val="clear" w:color="auto" w:fill="auto"/>
                  <w:vAlign w:val="center"/>
                </w:tcPr>
                <w:p w14:paraId="4E2C8CF8">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82" w:type="dxa"/>
                  <w:tcBorders>
                    <w:tl2br w:val="nil"/>
                    <w:tr2bl w:val="nil"/>
                  </w:tcBorders>
                  <w:vAlign w:val="center"/>
                </w:tcPr>
                <w:p w14:paraId="3AAA7E6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68" w:type="dxa"/>
                  <w:tcBorders>
                    <w:tl2br w:val="nil"/>
                    <w:tr2bl w:val="nil"/>
                  </w:tcBorders>
                  <w:vAlign w:val="center"/>
                </w:tcPr>
                <w:p w14:paraId="19240D4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555" w:type="dxa"/>
                  <w:tcBorders>
                    <w:tl2br w:val="nil"/>
                    <w:tr2bl w:val="nil"/>
                  </w:tcBorders>
                  <w:vAlign w:val="center"/>
                </w:tcPr>
                <w:p w14:paraId="106BCC3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10</w:t>
                  </w:r>
                </w:p>
              </w:tc>
            </w:tr>
            <w:tr w14:paraId="44130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1907" w:type="dxa"/>
                  <w:gridSpan w:val="2"/>
                  <w:tcBorders>
                    <w:tl2br w:val="nil"/>
                    <w:tr2bl w:val="nil"/>
                  </w:tcBorders>
                  <w:shd w:val="clear" w:color="auto" w:fill="auto"/>
                  <w:vAlign w:val="center"/>
                </w:tcPr>
                <w:p w14:paraId="69F5B46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综合生产废水进水水质（加权平均）</w:t>
                  </w:r>
                </w:p>
              </w:tc>
              <w:tc>
                <w:tcPr>
                  <w:tcW w:w="832" w:type="dxa"/>
                  <w:tcBorders>
                    <w:tl2br w:val="nil"/>
                    <w:tr2bl w:val="nil"/>
                  </w:tcBorders>
                  <w:vAlign w:val="center"/>
                </w:tcPr>
                <w:p w14:paraId="721FE88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314.33</w:t>
                  </w:r>
                </w:p>
              </w:tc>
              <w:tc>
                <w:tcPr>
                  <w:tcW w:w="723" w:type="dxa"/>
                  <w:tcBorders>
                    <w:tl2br w:val="nil"/>
                    <w:tr2bl w:val="nil"/>
                  </w:tcBorders>
                  <w:shd w:val="clear" w:color="auto" w:fill="auto"/>
                  <w:vAlign w:val="center"/>
                </w:tcPr>
                <w:p w14:paraId="3C168A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529.8</w:t>
                  </w:r>
                </w:p>
              </w:tc>
              <w:tc>
                <w:tcPr>
                  <w:tcW w:w="572" w:type="dxa"/>
                  <w:tcBorders>
                    <w:tl2br w:val="nil"/>
                    <w:tr2bl w:val="nil"/>
                  </w:tcBorders>
                  <w:shd w:val="clear" w:color="auto" w:fill="auto"/>
                  <w:vAlign w:val="center"/>
                </w:tcPr>
                <w:p w14:paraId="2DAB2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614" w:type="dxa"/>
                  <w:tcBorders>
                    <w:tl2br w:val="nil"/>
                    <w:tr2bl w:val="nil"/>
                  </w:tcBorders>
                  <w:shd w:val="clear" w:color="auto" w:fill="auto"/>
                  <w:vAlign w:val="center"/>
                </w:tcPr>
                <w:p w14:paraId="2C7D81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390.1</w:t>
                  </w:r>
                </w:p>
              </w:tc>
              <w:tc>
                <w:tcPr>
                  <w:tcW w:w="668" w:type="dxa"/>
                  <w:tcBorders>
                    <w:tl2br w:val="nil"/>
                    <w:tr2bl w:val="nil"/>
                  </w:tcBorders>
                  <w:vAlign w:val="center"/>
                </w:tcPr>
                <w:p w14:paraId="39B4F5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w:t>
                  </w:r>
                </w:p>
              </w:tc>
              <w:tc>
                <w:tcPr>
                  <w:tcW w:w="682" w:type="dxa"/>
                  <w:tcBorders>
                    <w:tl2br w:val="nil"/>
                    <w:tr2bl w:val="nil"/>
                  </w:tcBorders>
                  <w:vAlign w:val="center"/>
                </w:tcPr>
                <w:p w14:paraId="4E72E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c>
                <w:tcPr>
                  <w:tcW w:w="682" w:type="dxa"/>
                  <w:tcBorders>
                    <w:tl2br w:val="nil"/>
                    <w:tr2bl w:val="nil"/>
                  </w:tcBorders>
                  <w:vAlign w:val="center"/>
                </w:tcPr>
                <w:p w14:paraId="18CEE2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8" w:type="dxa"/>
                  <w:tcBorders>
                    <w:tl2br w:val="nil"/>
                    <w:tr2bl w:val="nil"/>
                  </w:tcBorders>
                  <w:vAlign w:val="center"/>
                </w:tcPr>
                <w:p w14:paraId="614FE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dxa"/>
                  <w:tcBorders>
                    <w:tl2br w:val="nil"/>
                    <w:tr2bl w:val="nil"/>
                  </w:tcBorders>
                  <w:vAlign w:val="center"/>
                </w:tcPr>
                <w:p w14:paraId="611C4C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0.13</w:t>
                  </w:r>
                </w:p>
              </w:tc>
            </w:tr>
            <w:tr w14:paraId="2032A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1907" w:type="dxa"/>
                  <w:gridSpan w:val="2"/>
                  <w:tcBorders>
                    <w:tl2br w:val="nil"/>
                    <w:tr2bl w:val="nil"/>
                  </w:tcBorders>
                  <w:shd w:val="clear" w:color="auto" w:fill="auto"/>
                  <w:vAlign w:val="center"/>
                </w:tcPr>
                <w:p w14:paraId="31297A7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生化污水处理站处理效率</w:t>
                  </w:r>
                </w:p>
              </w:tc>
              <w:tc>
                <w:tcPr>
                  <w:tcW w:w="832" w:type="dxa"/>
                  <w:tcBorders>
                    <w:tl2br w:val="nil"/>
                    <w:tr2bl w:val="nil"/>
                  </w:tcBorders>
                  <w:vAlign w:val="center"/>
                </w:tcPr>
                <w:p w14:paraId="58E9551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w:t>
                  </w:r>
                </w:p>
              </w:tc>
              <w:tc>
                <w:tcPr>
                  <w:tcW w:w="723" w:type="dxa"/>
                  <w:tcBorders>
                    <w:tl2br w:val="nil"/>
                    <w:tr2bl w:val="nil"/>
                  </w:tcBorders>
                  <w:shd w:val="clear" w:color="auto" w:fill="auto"/>
                  <w:vAlign w:val="center"/>
                </w:tcPr>
                <w:p w14:paraId="3852B0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72" w:type="dxa"/>
                  <w:tcBorders>
                    <w:tl2br w:val="nil"/>
                    <w:tr2bl w:val="nil"/>
                  </w:tcBorders>
                  <w:shd w:val="clear" w:color="auto" w:fill="auto"/>
                  <w:vAlign w:val="center"/>
                </w:tcPr>
                <w:p w14:paraId="6C453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14" w:type="dxa"/>
                  <w:tcBorders>
                    <w:tl2br w:val="nil"/>
                    <w:tr2bl w:val="nil"/>
                  </w:tcBorders>
                  <w:shd w:val="clear" w:color="auto" w:fill="auto"/>
                  <w:vAlign w:val="center"/>
                </w:tcPr>
                <w:p w14:paraId="0A2F12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68" w:type="dxa"/>
                  <w:tcBorders>
                    <w:tl2br w:val="nil"/>
                    <w:tr2bl w:val="nil"/>
                  </w:tcBorders>
                  <w:vAlign w:val="center"/>
                </w:tcPr>
                <w:p w14:paraId="07A322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r>
                    <w:rPr>
                      <w:rFonts w:hint="default" w:ascii="Times New Roman" w:hAnsi="Times New Roman" w:eastAsia="宋体" w:cs="Times New Roman"/>
                      <w:i w:val="0"/>
                      <w:iCs w:val="0"/>
                      <w:color w:val="auto"/>
                      <w:kern w:val="0"/>
                      <w:sz w:val="21"/>
                      <w:szCs w:val="21"/>
                      <w:u w:val="none"/>
                      <w:lang w:val="en-US" w:eastAsia="zh-CN" w:bidi="ar"/>
                    </w:rPr>
                    <w:t>%</w:t>
                  </w:r>
                </w:p>
              </w:tc>
              <w:tc>
                <w:tcPr>
                  <w:tcW w:w="682" w:type="dxa"/>
                  <w:tcBorders>
                    <w:tl2br w:val="nil"/>
                    <w:tr2bl w:val="nil"/>
                  </w:tcBorders>
                  <w:vAlign w:val="center"/>
                </w:tcPr>
                <w:p w14:paraId="4192E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82" w:type="dxa"/>
                  <w:tcBorders>
                    <w:tl2br w:val="nil"/>
                    <w:tr2bl w:val="nil"/>
                  </w:tcBorders>
                  <w:vAlign w:val="center"/>
                </w:tcPr>
                <w:p w14:paraId="1AE0F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8" w:type="dxa"/>
                  <w:tcBorders>
                    <w:tl2br w:val="nil"/>
                    <w:tr2bl w:val="nil"/>
                  </w:tcBorders>
                  <w:vAlign w:val="center"/>
                </w:tcPr>
                <w:p w14:paraId="1445F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dxa"/>
                  <w:tcBorders>
                    <w:tl2br w:val="nil"/>
                    <w:tr2bl w:val="nil"/>
                  </w:tcBorders>
                  <w:vAlign w:val="center"/>
                </w:tcPr>
                <w:p w14:paraId="233DA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w:t>
                  </w:r>
                </w:p>
              </w:tc>
            </w:tr>
            <w:tr w14:paraId="5472C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1907" w:type="dxa"/>
                  <w:gridSpan w:val="2"/>
                  <w:tcBorders>
                    <w:tl2br w:val="nil"/>
                    <w:tr2bl w:val="nil"/>
                  </w:tcBorders>
                  <w:shd w:val="clear" w:color="auto" w:fill="auto"/>
                  <w:vAlign w:val="center"/>
                </w:tcPr>
                <w:p w14:paraId="418B92E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生化污水处理站处理后浓度</w:t>
                  </w:r>
                </w:p>
              </w:tc>
              <w:tc>
                <w:tcPr>
                  <w:tcW w:w="832" w:type="dxa"/>
                  <w:tcBorders>
                    <w:tl2br w:val="nil"/>
                    <w:tr2bl w:val="nil"/>
                  </w:tcBorders>
                  <w:vAlign w:val="center"/>
                </w:tcPr>
                <w:p w14:paraId="5A0B077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314.33</w:t>
                  </w:r>
                </w:p>
              </w:tc>
              <w:tc>
                <w:tcPr>
                  <w:tcW w:w="723" w:type="dxa"/>
                  <w:tcBorders>
                    <w:tl2br w:val="nil"/>
                    <w:tr2bl w:val="nil"/>
                  </w:tcBorders>
                  <w:shd w:val="clear" w:color="auto" w:fill="auto"/>
                  <w:vAlign w:val="center"/>
                </w:tcPr>
                <w:p w14:paraId="77ADCE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185.4</w:t>
                  </w:r>
                </w:p>
              </w:tc>
              <w:tc>
                <w:tcPr>
                  <w:tcW w:w="572" w:type="dxa"/>
                  <w:tcBorders>
                    <w:tl2br w:val="nil"/>
                    <w:tr2bl w:val="nil"/>
                  </w:tcBorders>
                  <w:shd w:val="clear" w:color="auto" w:fill="auto"/>
                  <w:vAlign w:val="center"/>
                </w:tcPr>
                <w:p w14:paraId="4391B2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614" w:type="dxa"/>
                  <w:tcBorders>
                    <w:tl2br w:val="nil"/>
                    <w:tr2bl w:val="nil"/>
                  </w:tcBorders>
                  <w:shd w:val="clear" w:color="auto" w:fill="auto"/>
                  <w:vAlign w:val="center"/>
                </w:tcPr>
                <w:p w14:paraId="1C7337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58.5</w:t>
                  </w:r>
                </w:p>
              </w:tc>
              <w:tc>
                <w:tcPr>
                  <w:tcW w:w="668" w:type="dxa"/>
                  <w:tcBorders>
                    <w:tl2br w:val="nil"/>
                    <w:tr2bl w:val="nil"/>
                  </w:tcBorders>
                  <w:vAlign w:val="center"/>
                </w:tcPr>
                <w:p w14:paraId="4FAF5B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w:t>
                  </w:r>
                </w:p>
              </w:tc>
              <w:tc>
                <w:tcPr>
                  <w:tcW w:w="682" w:type="dxa"/>
                  <w:tcBorders>
                    <w:tl2br w:val="nil"/>
                    <w:tr2bl w:val="nil"/>
                  </w:tcBorders>
                  <w:vAlign w:val="center"/>
                </w:tcPr>
                <w:p w14:paraId="0F6BBA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682" w:type="dxa"/>
                  <w:tcBorders>
                    <w:tl2br w:val="nil"/>
                    <w:tr2bl w:val="nil"/>
                  </w:tcBorders>
                  <w:vAlign w:val="center"/>
                </w:tcPr>
                <w:p w14:paraId="42107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8" w:type="dxa"/>
                  <w:tcBorders>
                    <w:tl2br w:val="nil"/>
                    <w:tr2bl w:val="nil"/>
                  </w:tcBorders>
                  <w:vAlign w:val="center"/>
                </w:tcPr>
                <w:p w14:paraId="2286B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dxa"/>
                  <w:tcBorders>
                    <w:tl2br w:val="nil"/>
                    <w:tr2bl w:val="nil"/>
                  </w:tcBorders>
                  <w:vAlign w:val="center"/>
                </w:tcPr>
                <w:p w14:paraId="605B53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w:t>
                  </w:r>
                </w:p>
              </w:tc>
            </w:tr>
            <w:tr w14:paraId="0003A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tcBorders>
                    <w:tl2br w:val="nil"/>
                    <w:tr2bl w:val="nil"/>
                  </w:tcBorders>
                  <w:shd w:val="clear" w:color="auto" w:fill="auto"/>
                  <w:vAlign w:val="center"/>
                </w:tcPr>
                <w:p w14:paraId="6928912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去离子水制备</w:t>
                  </w:r>
                </w:p>
              </w:tc>
              <w:tc>
                <w:tcPr>
                  <w:tcW w:w="1418" w:type="dxa"/>
                  <w:tcBorders>
                    <w:tl2br w:val="nil"/>
                    <w:tr2bl w:val="nil"/>
                  </w:tcBorders>
                  <w:shd w:val="clear" w:color="auto" w:fill="auto"/>
                  <w:vAlign w:val="center"/>
                </w:tcPr>
                <w:p w14:paraId="242E6B2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浓水</w:t>
                  </w:r>
                  <w:r>
                    <w:rPr>
                      <w:rFonts w:hint="default" w:ascii="Times New Roman" w:hAnsi="Times New Roman" w:eastAsia="宋体" w:cs="Times New Roman"/>
                      <w:color w:val="auto"/>
                      <w:spacing w:val="-1"/>
                      <w:sz w:val="21"/>
                      <w:szCs w:val="21"/>
                      <w:highlight w:val="none"/>
                      <w:lang w:val="en-US" w:eastAsia="zh-CN"/>
                    </w:rPr>
                    <w:t>及反冲洗水</w:t>
                  </w:r>
                </w:p>
              </w:tc>
              <w:tc>
                <w:tcPr>
                  <w:tcW w:w="832" w:type="dxa"/>
                  <w:tcBorders>
                    <w:tl2br w:val="nil"/>
                    <w:tr2bl w:val="nil"/>
                  </w:tcBorders>
                  <w:shd w:val="clear" w:color="auto" w:fill="auto"/>
                  <w:vAlign w:val="center"/>
                </w:tcPr>
                <w:p w14:paraId="6CE720D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2.15</w:t>
                  </w:r>
                </w:p>
              </w:tc>
              <w:tc>
                <w:tcPr>
                  <w:tcW w:w="723" w:type="dxa"/>
                  <w:tcBorders>
                    <w:tl2br w:val="nil"/>
                    <w:tr2bl w:val="nil"/>
                  </w:tcBorders>
                  <w:shd w:val="clear" w:color="auto" w:fill="auto"/>
                  <w:vAlign w:val="center"/>
                </w:tcPr>
                <w:p w14:paraId="1AB21C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572" w:type="dxa"/>
                  <w:tcBorders>
                    <w:tl2br w:val="nil"/>
                    <w:tr2bl w:val="nil"/>
                  </w:tcBorders>
                  <w:shd w:val="clear" w:color="auto" w:fill="auto"/>
                  <w:vAlign w:val="center"/>
                </w:tcPr>
                <w:p w14:paraId="4C0DAD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14" w:type="dxa"/>
                  <w:tcBorders>
                    <w:tl2br w:val="nil"/>
                    <w:tr2bl w:val="nil"/>
                  </w:tcBorders>
                  <w:shd w:val="clear" w:color="auto" w:fill="auto"/>
                  <w:vAlign w:val="center"/>
                </w:tcPr>
                <w:p w14:paraId="4CE90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668" w:type="dxa"/>
                  <w:tcBorders>
                    <w:tl2br w:val="nil"/>
                    <w:tr2bl w:val="nil"/>
                  </w:tcBorders>
                  <w:shd w:val="clear" w:color="auto" w:fill="auto"/>
                  <w:vAlign w:val="center"/>
                </w:tcPr>
                <w:p w14:paraId="2A2583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82" w:type="dxa"/>
                  <w:tcBorders>
                    <w:tl2br w:val="nil"/>
                    <w:tr2bl w:val="nil"/>
                  </w:tcBorders>
                  <w:shd w:val="clear" w:color="auto" w:fill="auto"/>
                  <w:vAlign w:val="center"/>
                </w:tcPr>
                <w:p w14:paraId="1B8C7A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82" w:type="dxa"/>
                  <w:tcBorders>
                    <w:tl2br w:val="nil"/>
                    <w:tr2bl w:val="nil"/>
                  </w:tcBorders>
                  <w:shd w:val="clear" w:color="auto" w:fill="auto"/>
                  <w:vAlign w:val="center"/>
                </w:tcPr>
                <w:p w14:paraId="62DF3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580</w:t>
                  </w:r>
                </w:p>
              </w:tc>
              <w:tc>
                <w:tcPr>
                  <w:tcW w:w="668" w:type="dxa"/>
                  <w:tcBorders>
                    <w:tl2br w:val="nil"/>
                    <w:tr2bl w:val="nil"/>
                  </w:tcBorders>
                  <w:shd w:val="clear" w:color="auto" w:fill="auto"/>
                  <w:vAlign w:val="center"/>
                </w:tcPr>
                <w:p w14:paraId="15CB0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55" w:type="dxa"/>
                  <w:tcBorders>
                    <w:tl2br w:val="nil"/>
                    <w:tr2bl w:val="nil"/>
                  </w:tcBorders>
                  <w:shd w:val="clear" w:color="auto" w:fill="auto"/>
                  <w:vAlign w:val="center"/>
                </w:tcPr>
                <w:p w14:paraId="7B957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D24D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489" w:type="dxa"/>
                  <w:tcBorders>
                    <w:tl2br w:val="nil"/>
                    <w:tr2bl w:val="nil"/>
                  </w:tcBorders>
                  <w:shd w:val="clear" w:color="auto" w:fill="auto"/>
                  <w:vAlign w:val="center"/>
                </w:tcPr>
                <w:p w14:paraId="48550DC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办公生活</w:t>
                  </w:r>
                </w:p>
              </w:tc>
              <w:tc>
                <w:tcPr>
                  <w:tcW w:w="1418" w:type="dxa"/>
                  <w:tcBorders>
                    <w:tl2br w:val="nil"/>
                    <w:tr2bl w:val="nil"/>
                  </w:tcBorders>
                  <w:shd w:val="clear" w:color="auto" w:fill="auto"/>
                  <w:vAlign w:val="center"/>
                </w:tcPr>
                <w:p w14:paraId="52A0F8B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食堂、生活废水</w:t>
                  </w:r>
                </w:p>
              </w:tc>
              <w:tc>
                <w:tcPr>
                  <w:tcW w:w="832" w:type="dxa"/>
                  <w:tcBorders>
                    <w:tl2br w:val="nil"/>
                    <w:tr2bl w:val="nil"/>
                  </w:tcBorders>
                  <w:vAlign w:val="center"/>
                </w:tcPr>
                <w:p w14:paraId="6DAC1AF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23.12</w:t>
                  </w:r>
                </w:p>
              </w:tc>
              <w:tc>
                <w:tcPr>
                  <w:tcW w:w="723" w:type="dxa"/>
                  <w:tcBorders>
                    <w:tl2br w:val="nil"/>
                    <w:tr2bl w:val="nil"/>
                  </w:tcBorders>
                  <w:vAlign w:val="center"/>
                </w:tcPr>
                <w:p w14:paraId="798129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298</w:t>
                  </w:r>
                </w:p>
              </w:tc>
              <w:tc>
                <w:tcPr>
                  <w:tcW w:w="572" w:type="dxa"/>
                  <w:tcBorders>
                    <w:tl2br w:val="nil"/>
                    <w:tr2bl w:val="nil"/>
                  </w:tcBorders>
                  <w:vAlign w:val="center"/>
                </w:tcPr>
                <w:p w14:paraId="6B496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614" w:type="dxa"/>
                  <w:tcBorders>
                    <w:tl2br w:val="nil"/>
                    <w:tr2bl w:val="nil"/>
                  </w:tcBorders>
                  <w:vAlign w:val="center"/>
                </w:tcPr>
                <w:p w14:paraId="43DB15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224</w:t>
                  </w:r>
                </w:p>
              </w:tc>
              <w:tc>
                <w:tcPr>
                  <w:tcW w:w="668" w:type="dxa"/>
                  <w:tcBorders>
                    <w:tl2br w:val="nil"/>
                    <w:tr2bl w:val="nil"/>
                  </w:tcBorders>
                  <w:vAlign w:val="center"/>
                </w:tcPr>
                <w:p w14:paraId="1B6775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p>
              </w:tc>
              <w:tc>
                <w:tcPr>
                  <w:tcW w:w="682" w:type="dxa"/>
                  <w:tcBorders>
                    <w:tl2br w:val="nil"/>
                    <w:tr2bl w:val="nil"/>
                  </w:tcBorders>
                  <w:vAlign w:val="center"/>
                </w:tcPr>
                <w:p w14:paraId="575605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82" w:type="dxa"/>
                  <w:tcBorders>
                    <w:tl2br w:val="nil"/>
                    <w:tr2bl w:val="nil"/>
                  </w:tcBorders>
                  <w:vAlign w:val="center"/>
                </w:tcPr>
                <w:p w14:paraId="0650AA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8" w:type="dxa"/>
                  <w:tcBorders>
                    <w:tl2br w:val="nil"/>
                    <w:tr2bl w:val="nil"/>
                  </w:tcBorders>
                  <w:vAlign w:val="center"/>
                </w:tcPr>
                <w:p w14:paraId="77135E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w:t>
                  </w:r>
                </w:p>
              </w:tc>
              <w:tc>
                <w:tcPr>
                  <w:tcW w:w="555" w:type="dxa"/>
                  <w:tcBorders>
                    <w:tl2br w:val="nil"/>
                    <w:tr2bl w:val="nil"/>
                  </w:tcBorders>
                  <w:vAlign w:val="center"/>
                </w:tcPr>
                <w:p w14:paraId="78654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B65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3" w:type="dxa"/>
                <w:trHeight w:val="340" w:hRule="atLeast"/>
                <w:jc w:val="center"/>
              </w:trPr>
              <w:tc>
                <w:tcPr>
                  <w:tcW w:w="1907" w:type="dxa"/>
                  <w:gridSpan w:val="2"/>
                  <w:tcBorders>
                    <w:tl2br w:val="nil"/>
                    <w:tr2bl w:val="nil"/>
                  </w:tcBorders>
                  <w:shd w:val="clear" w:color="auto" w:fill="auto"/>
                  <w:vAlign w:val="center"/>
                </w:tcPr>
                <w:p w14:paraId="40F8837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总排口废水</w:t>
                  </w:r>
                  <w:r>
                    <w:rPr>
                      <w:rFonts w:hint="eastAsia" w:ascii="Times New Roman" w:hAnsi="Times New Roman" w:eastAsia="宋体" w:cs="Times New Roman"/>
                      <w:color w:val="auto"/>
                      <w:spacing w:val="4"/>
                      <w:sz w:val="21"/>
                      <w:szCs w:val="21"/>
                      <w:highlight w:val="none"/>
                      <w:lang w:val="en-US" w:eastAsia="zh-CN"/>
                    </w:rPr>
                    <w:t>排放</w:t>
                  </w:r>
                  <w:r>
                    <w:rPr>
                      <w:rFonts w:hint="default" w:ascii="Times New Roman" w:hAnsi="Times New Roman" w:eastAsia="宋体" w:cs="Times New Roman"/>
                      <w:color w:val="auto"/>
                      <w:spacing w:val="4"/>
                      <w:sz w:val="21"/>
                      <w:szCs w:val="21"/>
                      <w:highlight w:val="none"/>
                      <w:lang w:val="en-US" w:eastAsia="zh-CN"/>
                    </w:rPr>
                    <w:t>浓度</w:t>
                  </w:r>
                </w:p>
              </w:tc>
              <w:tc>
                <w:tcPr>
                  <w:tcW w:w="832" w:type="dxa"/>
                  <w:tcBorders>
                    <w:tl2br w:val="nil"/>
                    <w:tr2bl w:val="nil"/>
                  </w:tcBorders>
                  <w:vAlign w:val="center"/>
                </w:tcPr>
                <w:p w14:paraId="1AF9518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w:t>
                  </w:r>
                  <w:r>
                    <w:rPr>
                      <w:rFonts w:hint="eastAsia" w:ascii="Times New Roman" w:hAnsi="Times New Roman" w:eastAsia="宋体" w:cs="Times New Roman"/>
                      <w:color w:val="auto"/>
                      <w:spacing w:val="4"/>
                      <w:sz w:val="21"/>
                      <w:szCs w:val="21"/>
                      <w:highlight w:val="none"/>
                      <w:lang w:val="en-US" w:eastAsia="zh-CN"/>
                    </w:rPr>
                    <w:t>39.6</w:t>
                  </w:r>
                </w:p>
              </w:tc>
              <w:tc>
                <w:tcPr>
                  <w:tcW w:w="723" w:type="dxa"/>
                  <w:tcBorders>
                    <w:tl2br w:val="nil"/>
                    <w:tr2bl w:val="nil"/>
                  </w:tcBorders>
                  <w:vAlign w:val="center"/>
                </w:tcPr>
                <w:p w14:paraId="78F30E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192.4</w:t>
                  </w:r>
                </w:p>
              </w:tc>
              <w:tc>
                <w:tcPr>
                  <w:tcW w:w="572" w:type="dxa"/>
                  <w:tcBorders>
                    <w:tl2br w:val="nil"/>
                    <w:tr2bl w:val="nil"/>
                  </w:tcBorders>
                  <w:vAlign w:val="center"/>
                </w:tcPr>
                <w:p w14:paraId="59AEC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66.9</w:t>
                  </w:r>
                </w:p>
              </w:tc>
              <w:tc>
                <w:tcPr>
                  <w:tcW w:w="614" w:type="dxa"/>
                  <w:tcBorders>
                    <w:tl2br w:val="nil"/>
                    <w:tr2bl w:val="nil"/>
                  </w:tcBorders>
                  <w:vAlign w:val="center"/>
                </w:tcPr>
                <w:p w14:paraId="4E3D14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70.2</w:t>
                  </w:r>
                </w:p>
              </w:tc>
              <w:tc>
                <w:tcPr>
                  <w:tcW w:w="668" w:type="dxa"/>
                  <w:tcBorders>
                    <w:tl2br w:val="nil"/>
                    <w:tr2bl w:val="nil"/>
                  </w:tcBorders>
                  <w:vAlign w:val="center"/>
                </w:tcPr>
                <w:p w14:paraId="1119E2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r>
                    <w:rPr>
                      <w:rFonts w:hint="eastAsia" w:cs="Times New Roman"/>
                      <w:i w:val="0"/>
                      <w:iCs w:val="0"/>
                      <w:color w:val="auto"/>
                      <w:kern w:val="0"/>
                      <w:sz w:val="21"/>
                      <w:szCs w:val="21"/>
                      <w:u w:val="none"/>
                      <w:lang w:val="en-US" w:eastAsia="zh-CN" w:bidi="ar"/>
                    </w:rPr>
                    <w:t>3</w:t>
                  </w:r>
                </w:p>
              </w:tc>
              <w:tc>
                <w:tcPr>
                  <w:tcW w:w="682" w:type="dxa"/>
                  <w:tcBorders>
                    <w:tl2br w:val="nil"/>
                    <w:tr2bl w:val="nil"/>
                  </w:tcBorders>
                  <w:vAlign w:val="center"/>
                </w:tcPr>
                <w:p w14:paraId="1679CF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c>
                <w:tcPr>
                  <w:tcW w:w="682" w:type="dxa"/>
                  <w:tcBorders>
                    <w:tl2br w:val="nil"/>
                    <w:tr2bl w:val="nil"/>
                  </w:tcBorders>
                  <w:shd w:val="clear" w:color="auto" w:fill="auto"/>
                  <w:vAlign w:val="center"/>
                </w:tcPr>
                <w:p w14:paraId="48A07B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w:t>
                  </w:r>
                </w:p>
              </w:tc>
              <w:tc>
                <w:tcPr>
                  <w:tcW w:w="668" w:type="dxa"/>
                  <w:tcBorders>
                    <w:tl2br w:val="nil"/>
                    <w:tr2bl w:val="nil"/>
                  </w:tcBorders>
                  <w:vAlign w:val="center"/>
                </w:tcPr>
                <w:p w14:paraId="5F99C1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555" w:type="dxa"/>
                  <w:tcBorders>
                    <w:tl2br w:val="nil"/>
                    <w:tr2bl w:val="nil"/>
                  </w:tcBorders>
                  <w:vAlign w:val="center"/>
                </w:tcPr>
                <w:p w14:paraId="628B18E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r>
          </w:tbl>
          <w:p w14:paraId="1CEA6A0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经分析，项目废水污染物产生及排放情况见下表。</w:t>
            </w:r>
          </w:p>
          <w:p w14:paraId="2E61421D">
            <w:pPr>
              <w:keepNext w:val="0"/>
              <w:keepLines w:val="0"/>
              <w:pageBreakBefore w:val="0"/>
              <w:widowControl/>
              <w:kinsoku/>
              <w:wordWrap/>
              <w:overflowPunct/>
              <w:topLinePunct/>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项目废水污染物产生及排放情况一览表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628"/>
              <w:gridCol w:w="696"/>
              <w:gridCol w:w="710"/>
              <w:gridCol w:w="885"/>
              <w:gridCol w:w="610"/>
              <w:gridCol w:w="557"/>
              <w:gridCol w:w="857"/>
              <w:gridCol w:w="750"/>
              <w:gridCol w:w="1727"/>
            </w:tblGrid>
            <w:tr w14:paraId="45F1F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149BE3C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排水</w:t>
                  </w:r>
                  <w:r>
                    <w:rPr>
                      <w:rFonts w:hint="default" w:ascii="Times New Roman" w:hAnsi="Times New Roman" w:eastAsia="宋体" w:cs="Times New Roman"/>
                      <w:b/>
                      <w:bCs/>
                      <w:color w:val="auto"/>
                      <w:spacing w:val="2"/>
                      <w:sz w:val="21"/>
                      <w:szCs w:val="21"/>
                      <w:highlight w:val="none"/>
                    </w:rPr>
                    <w:t>项目</w:t>
                  </w:r>
                </w:p>
              </w:tc>
              <w:tc>
                <w:tcPr>
                  <w:tcW w:w="628" w:type="dxa"/>
                  <w:vMerge w:val="restart"/>
                  <w:tcBorders>
                    <w:tl2br w:val="nil"/>
                    <w:tr2bl w:val="nil"/>
                  </w:tcBorders>
                  <w:vAlign w:val="center"/>
                </w:tcPr>
                <w:p w14:paraId="6F64FC2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产生量</w:t>
                  </w:r>
                  <w:r>
                    <w:rPr>
                      <w:rFonts w:hint="default" w:ascii="Times New Roman" w:hAnsi="Times New Roman" w:eastAsia="宋体" w:cs="Times New Roman"/>
                      <w:b/>
                      <w:bCs/>
                      <w:color w:val="auto"/>
                      <w:spacing w:val="-1"/>
                      <w:sz w:val="21"/>
                      <w:szCs w:val="21"/>
                      <w:highlight w:val="none"/>
                    </w:rPr>
                    <w:t>（m</w:t>
                  </w:r>
                  <w:r>
                    <w:rPr>
                      <w:rFonts w:hint="default" w:ascii="Times New Roman" w:hAnsi="Times New Roman" w:eastAsia="宋体" w:cs="Times New Roman"/>
                      <w:b/>
                      <w:bCs/>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1"/>
                      <w:sz w:val="21"/>
                      <w:szCs w:val="21"/>
                      <w:highlight w:val="none"/>
                    </w:rPr>
                    <w:t>/a）</w:t>
                  </w:r>
                </w:p>
              </w:tc>
              <w:tc>
                <w:tcPr>
                  <w:tcW w:w="2291" w:type="dxa"/>
                  <w:gridSpan w:val="3"/>
                  <w:tcBorders>
                    <w:tl2br w:val="nil"/>
                    <w:tr2bl w:val="nil"/>
                  </w:tcBorders>
                  <w:vAlign w:val="center"/>
                </w:tcPr>
                <w:p w14:paraId="66A1683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主要污染物产生情况</w:t>
                  </w:r>
                </w:p>
              </w:tc>
              <w:tc>
                <w:tcPr>
                  <w:tcW w:w="610" w:type="dxa"/>
                  <w:vMerge w:val="restart"/>
                  <w:tcBorders>
                    <w:tl2br w:val="nil"/>
                    <w:tr2bl w:val="nil"/>
                  </w:tcBorders>
                  <w:vAlign w:val="center"/>
                </w:tcPr>
                <w:p w14:paraId="3E395D8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处理效</w:t>
                  </w:r>
                  <w:r>
                    <w:rPr>
                      <w:rFonts w:hint="default" w:ascii="Times New Roman" w:hAnsi="Times New Roman" w:eastAsia="宋体" w:cs="Times New Roman"/>
                      <w:b/>
                      <w:bCs/>
                      <w:color w:val="auto"/>
                      <w:spacing w:val="1"/>
                      <w:sz w:val="21"/>
                      <w:szCs w:val="21"/>
                      <w:highlight w:val="none"/>
                    </w:rPr>
                    <w:t>率（%）</w:t>
                  </w:r>
                </w:p>
              </w:tc>
              <w:tc>
                <w:tcPr>
                  <w:tcW w:w="557" w:type="dxa"/>
                  <w:vMerge w:val="restart"/>
                  <w:tcBorders>
                    <w:tl2br w:val="nil"/>
                    <w:tr2bl w:val="nil"/>
                  </w:tcBorders>
                  <w:vAlign w:val="center"/>
                </w:tcPr>
                <w:p w14:paraId="06DE6C4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排放量</w:t>
                  </w:r>
                  <w:r>
                    <w:rPr>
                      <w:rFonts w:hint="default" w:ascii="Times New Roman" w:hAnsi="Times New Roman" w:eastAsia="宋体" w:cs="Times New Roman"/>
                      <w:b/>
                      <w:bCs/>
                      <w:color w:val="auto"/>
                      <w:spacing w:val="-1"/>
                      <w:sz w:val="21"/>
                      <w:szCs w:val="21"/>
                      <w:highlight w:val="none"/>
                    </w:rPr>
                    <w:t>（m</w:t>
                  </w:r>
                  <w:r>
                    <w:rPr>
                      <w:rFonts w:hint="default" w:ascii="Times New Roman" w:hAnsi="Times New Roman" w:eastAsia="宋体" w:cs="Times New Roman"/>
                      <w:b/>
                      <w:bCs/>
                      <w:color w:val="auto"/>
                      <w:spacing w:val="-1"/>
                      <w:sz w:val="21"/>
                      <w:szCs w:val="21"/>
                      <w:highlight w:val="none"/>
                      <w:vertAlign w:val="superscript"/>
                      <w:lang w:val="en-US" w:eastAsia="zh-CN"/>
                    </w:rPr>
                    <w:t>3</w:t>
                  </w:r>
                  <w:r>
                    <w:rPr>
                      <w:rFonts w:hint="default" w:ascii="Times New Roman" w:hAnsi="Times New Roman" w:eastAsia="宋体" w:cs="Times New Roman"/>
                      <w:b/>
                      <w:bCs/>
                      <w:color w:val="auto"/>
                      <w:spacing w:val="-1"/>
                      <w:sz w:val="21"/>
                      <w:szCs w:val="21"/>
                      <w:highlight w:val="none"/>
                    </w:rPr>
                    <w:t>/a）</w:t>
                  </w:r>
                </w:p>
              </w:tc>
              <w:tc>
                <w:tcPr>
                  <w:tcW w:w="1607" w:type="dxa"/>
                  <w:gridSpan w:val="2"/>
                  <w:tcBorders>
                    <w:tl2br w:val="nil"/>
                    <w:tr2bl w:val="nil"/>
                  </w:tcBorders>
                  <w:vAlign w:val="center"/>
                </w:tcPr>
                <w:p w14:paraId="005EAFA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排放情况</w:t>
                  </w:r>
                </w:p>
              </w:tc>
              <w:tc>
                <w:tcPr>
                  <w:tcW w:w="1727" w:type="dxa"/>
                  <w:vMerge w:val="restart"/>
                  <w:tcBorders>
                    <w:tl2br w:val="nil"/>
                    <w:tr2bl w:val="nil"/>
                  </w:tcBorders>
                  <w:vAlign w:val="center"/>
                </w:tcPr>
                <w:p w14:paraId="54C10B8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备注</w:t>
                  </w:r>
                </w:p>
              </w:tc>
            </w:tr>
            <w:tr w14:paraId="4D256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1E4C51B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8" w:type="dxa"/>
                  <w:vMerge w:val="continue"/>
                  <w:tcBorders>
                    <w:tl2br w:val="nil"/>
                    <w:tr2bl w:val="nil"/>
                  </w:tcBorders>
                  <w:vAlign w:val="center"/>
                </w:tcPr>
                <w:p w14:paraId="4FD4ED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194D104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污染物</w:t>
                  </w:r>
                </w:p>
              </w:tc>
              <w:tc>
                <w:tcPr>
                  <w:tcW w:w="710" w:type="dxa"/>
                  <w:tcBorders>
                    <w:tl2br w:val="nil"/>
                    <w:tr2bl w:val="nil"/>
                  </w:tcBorders>
                  <w:vAlign w:val="center"/>
                </w:tcPr>
                <w:p w14:paraId="7E519D9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产生浓度</w:t>
                  </w:r>
                  <w:r>
                    <w:rPr>
                      <w:rFonts w:hint="default" w:ascii="Times New Roman" w:hAnsi="Times New Roman" w:eastAsia="宋体" w:cs="Times New Roman"/>
                      <w:b/>
                      <w:bCs/>
                      <w:color w:val="auto"/>
                      <w:spacing w:val="1"/>
                      <w:sz w:val="21"/>
                      <w:szCs w:val="21"/>
                      <w:highlight w:val="none"/>
                    </w:rPr>
                    <w:t>（</w:t>
                  </w:r>
                  <w:r>
                    <w:rPr>
                      <w:rFonts w:hint="default" w:ascii="Times New Roman" w:hAnsi="Times New Roman" w:eastAsia="宋体" w:cs="Times New Roman"/>
                      <w:b/>
                      <w:bCs/>
                      <w:color w:val="auto"/>
                      <w:sz w:val="21"/>
                      <w:szCs w:val="21"/>
                      <w:highlight w:val="none"/>
                    </w:rPr>
                    <w:t>mg</w:t>
                  </w:r>
                  <w:r>
                    <w:rPr>
                      <w:rFonts w:hint="default" w:ascii="Times New Roman" w:hAnsi="Times New Roman" w:eastAsia="宋体" w:cs="Times New Roman"/>
                      <w:b/>
                      <w:bCs/>
                      <w:color w:val="auto"/>
                      <w:spacing w:val="1"/>
                      <w:sz w:val="21"/>
                      <w:szCs w:val="21"/>
                      <w:highlight w:val="none"/>
                    </w:rPr>
                    <w:t>/L）</w:t>
                  </w:r>
                </w:p>
              </w:tc>
              <w:tc>
                <w:tcPr>
                  <w:tcW w:w="885" w:type="dxa"/>
                  <w:tcBorders>
                    <w:tl2br w:val="nil"/>
                    <w:tr2bl w:val="nil"/>
                  </w:tcBorders>
                  <w:vAlign w:val="center"/>
                </w:tcPr>
                <w:p w14:paraId="088282F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产生量</w:t>
                  </w:r>
                  <w:r>
                    <w:rPr>
                      <w:rFonts w:hint="default" w:ascii="Times New Roman" w:hAnsi="Times New Roman" w:eastAsia="宋体" w:cs="Times New Roman"/>
                      <w:b/>
                      <w:bCs/>
                      <w:color w:val="auto"/>
                      <w:spacing w:val="-1"/>
                      <w:sz w:val="21"/>
                      <w:szCs w:val="21"/>
                      <w:highlight w:val="none"/>
                    </w:rPr>
                    <w:t>（t/a）</w:t>
                  </w:r>
                </w:p>
              </w:tc>
              <w:tc>
                <w:tcPr>
                  <w:tcW w:w="610" w:type="dxa"/>
                  <w:vMerge w:val="continue"/>
                  <w:tcBorders>
                    <w:tl2br w:val="nil"/>
                    <w:tr2bl w:val="nil"/>
                  </w:tcBorders>
                  <w:vAlign w:val="center"/>
                </w:tcPr>
                <w:p w14:paraId="2C0524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557" w:type="dxa"/>
                  <w:vMerge w:val="continue"/>
                  <w:tcBorders>
                    <w:tl2br w:val="nil"/>
                    <w:tr2bl w:val="nil"/>
                  </w:tcBorders>
                  <w:vAlign w:val="center"/>
                </w:tcPr>
                <w:p w14:paraId="35B1A1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857" w:type="dxa"/>
                  <w:tcBorders>
                    <w:tl2br w:val="nil"/>
                    <w:tr2bl w:val="nil"/>
                  </w:tcBorders>
                  <w:vAlign w:val="center"/>
                </w:tcPr>
                <w:p w14:paraId="6A02164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排放浓度</w:t>
                  </w:r>
                  <w:r>
                    <w:rPr>
                      <w:rFonts w:hint="default" w:ascii="Times New Roman" w:hAnsi="Times New Roman" w:eastAsia="宋体" w:cs="Times New Roman"/>
                      <w:b/>
                      <w:bCs/>
                      <w:color w:val="auto"/>
                      <w:spacing w:val="2"/>
                      <w:sz w:val="21"/>
                      <w:szCs w:val="21"/>
                      <w:highlight w:val="none"/>
                    </w:rPr>
                    <w:t>（</w:t>
                  </w:r>
                  <w:r>
                    <w:rPr>
                      <w:rFonts w:hint="default" w:ascii="Times New Roman" w:hAnsi="Times New Roman" w:eastAsia="宋体" w:cs="Times New Roman"/>
                      <w:b/>
                      <w:bCs/>
                      <w:color w:val="auto"/>
                      <w:sz w:val="21"/>
                      <w:szCs w:val="21"/>
                      <w:highlight w:val="none"/>
                    </w:rPr>
                    <w:t>mg</w:t>
                  </w:r>
                  <w:r>
                    <w:rPr>
                      <w:rFonts w:hint="default" w:ascii="Times New Roman" w:hAnsi="Times New Roman" w:eastAsia="宋体" w:cs="Times New Roman"/>
                      <w:b/>
                      <w:bCs/>
                      <w:color w:val="auto"/>
                      <w:spacing w:val="2"/>
                      <w:sz w:val="21"/>
                      <w:szCs w:val="21"/>
                      <w:highlight w:val="none"/>
                    </w:rPr>
                    <w:t>/L）</w:t>
                  </w:r>
                </w:p>
              </w:tc>
              <w:tc>
                <w:tcPr>
                  <w:tcW w:w="750" w:type="dxa"/>
                  <w:tcBorders>
                    <w:tl2br w:val="nil"/>
                    <w:tr2bl w:val="nil"/>
                  </w:tcBorders>
                  <w:vAlign w:val="center"/>
                </w:tcPr>
                <w:p w14:paraId="500157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排放量</w:t>
                  </w:r>
                  <w:r>
                    <w:rPr>
                      <w:rFonts w:hint="default" w:ascii="Times New Roman" w:hAnsi="Times New Roman" w:eastAsia="宋体" w:cs="Times New Roman"/>
                      <w:b/>
                      <w:bCs/>
                      <w:color w:val="auto"/>
                      <w:spacing w:val="-1"/>
                      <w:sz w:val="21"/>
                      <w:szCs w:val="21"/>
                      <w:highlight w:val="none"/>
                    </w:rPr>
                    <w:t>（t/a）</w:t>
                  </w:r>
                </w:p>
              </w:tc>
              <w:tc>
                <w:tcPr>
                  <w:tcW w:w="1727" w:type="dxa"/>
                  <w:vMerge w:val="continue"/>
                  <w:tcBorders>
                    <w:tl2br w:val="nil"/>
                    <w:tr2bl w:val="nil"/>
                  </w:tcBorders>
                  <w:vAlign w:val="center"/>
                </w:tcPr>
                <w:p w14:paraId="15FE3B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0F10D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3B27A97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kern w:val="2"/>
                      <w:sz w:val="21"/>
                      <w:szCs w:val="21"/>
                      <w:highlight w:val="none"/>
                      <w:lang w:val="en-US" w:eastAsia="zh-CN" w:bidi="ar-SA"/>
                    </w:rPr>
                    <w:t>珠胚清洗</w:t>
                  </w:r>
                  <w:r>
                    <w:rPr>
                      <w:rFonts w:hint="default" w:ascii="Times New Roman" w:hAnsi="Times New Roman" w:eastAsia="宋体" w:cs="Times New Roman"/>
                      <w:color w:val="auto"/>
                      <w:spacing w:val="4"/>
                      <w:kern w:val="2"/>
                      <w:sz w:val="21"/>
                      <w:szCs w:val="21"/>
                      <w:highlight w:val="none"/>
                      <w:lang w:val="en-US" w:eastAsia="en-US" w:bidi="ar-SA"/>
                    </w:rPr>
                    <w:t>废水</w:t>
                  </w:r>
                </w:p>
              </w:tc>
              <w:tc>
                <w:tcPr>
                  <w:tcW w:w="628" w:type="dxa"/>
                  <w:vMerge w:val="restart"/>
                  <w:tcBorders>
                    <w:tl2br w:val="nil"/>
                    <w:tr2bl w:val="nil"/>
                  </w:tcBorders>
                  <w:vAlign w:val="center"/>
                </w:tcPr>
                <w:p w14:paraId="68667E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24552</w:t>
                  </w:r>
                </w:p>
              </w:tc>
              <w:tc>
                <w:tcPr>
                  <w:tcW w:w="696" w:type="dxa"/>
                  <w:tcBorders>
                    <w:tl2br w:val="nil"/>
                    <w:tr2bl w:val="nil"/>
                  </w:tcBorders>
                  <w:vAlign w:val="center"/>
                </w:tcPr>
                <w:p w14:paraId="12F17FA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CODcr</w:t>
                  </w:r>
                </w:p>
              </w:tc>
              <w:tc>
                <w:tcPr>
                  <w:tcW w:w="710" w:type="dxa"/>
                  <w:tcBorders>
                    <w:tl2br w:val="nil"/>
                    <w:tr2bl w:val="nil"/>
                  </w:tcBorders>
                  <w:vAlign w:val="center"/>
                </w:tcPr>
                <w:p w14:paraId="433789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885" w:type="dxa"/>
                  <w:tcBorders>
                    <w:tl2br w:val="nil"/>
                    <w:tr2bl w:val="nil"/>
                  </w:tcBorders>
                  <w:vAlign w:val="center"/>
                </w:tcPr>
                <w:p w14:paraId="062932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4.91</w:t>
                  </w:r>
                </w:p>
              </w:tc>
              <w:tc>
                <w:tcPr>
                  <w:tcW w:w="610" w:type="dxa"/>
                  <w:tcBorders>
                    <w:tl2br w:val="nil"/>
                    <w:tr2bl w:val="nil"/>
                  </w:tcBorders>
                  <w:shd w:val="clear" w:color="auto" w:fill="auto"/>
                  <w:vAlign w:val="center"/>
                </w:tcPr>
                <w:p w14:paraId="2CE1125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restart"/>
                  <w:tcBorders>
                    <w:tl2br w:val="nil"/>
                    <w:tr2bl w:val="nil"/>
                  </w:tcBorders>
                  <w:vAlign w:val="center"/>
                </w:tcPr>
                <w:p w14:paraId="556398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1056</w:t>
                  </w:r>
                </w:p>
              </w:tc>
              <w:tc>
                <w:tcPr>
                  <w:tcW w:w="857" w:type="dxa"/>
                  <w:tcBorders>
                    <w:tl2br w:val="nil"/>
                    <w:tr2bl w:val="nil"/>
                  </w:tcBorders>
                  <w:vAlign w:val="center"/>
                </w:tcPr>
                <w:p w14:paraId="121208A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50" w:type="dxa"/>
                  <w:tcBorders>
                    <w:tl2br w:val="nil"/>
                    <w:tr2bl w:val="nil"/>
                  </w:tcBorders>
                  <w:vAlign w:val="center"/>
                </w:tcPr>
                <w:p w14:paraId="507E6D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0.18</w:t>
                  </w:r>
                </w:p>
              </w:tc>
              <w:tc>
                <w:tcPr>
                  <w:tcW w:w="1727" w:type="dxa"/>
                  <w:vMerge w:val="restart"/>
                  <w:tcBorders>
                    <w:tl2br w:val="nil"/>
                    <w:tr2bl w:val="nil"/>
                  </w:tcBorders>
                  <w:vAlign w:val="center"/>
                </w:tcPr>
                <w:p w14:paraId="335D530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lang w:eastAsia="zh-CN"/>
                    </w:rPr>
                    <w:t>珠胚循环水池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9"/>
                      <w:sz w:val="21"/>
                      <w:szCs w:val="21"/>
                      <w:highlight w:val="none"/>
                    </w:rPr>
                    <w:t>大部分循环回用，</w:t>
                  </w:r>
                  <w:r>
                    <w:rPr>
                      <w:rFonts w:hint="default" w:ascii="Times New Roman" w:hAnsi="Times New Roman" w:eastAsia="宋体" w:cs="Times New Roman"/>
                      <w:color w:val="auto"/>
                      <w:spacing w:val="4"/>
                      <w:sz w:val="21"/>
                      <w:szCs w:val="21"/>
                      <w:highlight w:val="none"/>
                    </w:rPr>
                    <w:t>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3C0CD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024113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751D3B3A">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1B8753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710" w:type="dxa"/>
                  <w:tcBorders>
                    <w:tl2br w:val="nil"/>
                    <w:tr2bl w:val="nil"/>
                  </w:tcBorders>
                  <w:vAlign w:val="center"/>
                </w:tcPr>
                <w:p w14:paraId="64F801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885" w:type="dxa"/>
                  <w:tcBorders>
                    <w:tl2br w:val="nil"/>
                    <w:tr2bl w:val="nil"/>
                  </w:tcBorders>
                  <w:vAlign w:val="center"/>
                </w:tcPr>
                <w:p w14:paraId="1C175F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610" w:type="dxa"/>
                  <w:tcBorders>
                    <w:tl2br w:val="nil"/>
                    <w:tr2bl w:val="nil"/>
                  </w:tcBorders>
                  <w:shd w:val="clear" w:color="auto" w:fill="auto"/>
                  <w:vAlign w:val="center"/>
                </w:tcPr>
                <w:p w14:paraId="0E7EDD71">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continue"/>
                  <w:tcBorders>
                    <w:tl2br w:val="nil"/>
                    <w:tr2bl w:val="nil"/>
                  </w:tcBorders>
                  <w:vAlign w:val="center"/>
                </w:tcPr>
                <w:p w14:paraId="1A94E8DF">
                  <w:pPr>
                    <w:jc w:val="center"/>
                    <w:rPr>
                      <w:rFonts w:hint="default" w:ascii="Times New Roman" w:hAnsi="Times New Roman" w:eastAsia="宋体" w:cs="Times New Roman"/>
                      <w:color w:val="auto"/>
                      <w:sz w:val="21"/>
                      <w:szCs w:val="21"/>
                      <w:highlight w:val="none"/>
                    </w:rPr>
                  </w:pPr>
                </w:p>
              </w:tc>
              <w:tc>
                <w:tcPr>
                  <w:tcW w:w="857" w:type="dxa"/>
                  <w:tcBorders>
                    <w:tl2br w:val="nil"/>
                    <w:tr2bl w:val="nil"/>
                  </w:tcBorders>
                  <w:vAlign w:val="center"/>
                </w:tcPr>
                <w:p w14:paraId="62D611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50" w:type="dxa"/>
                  <w:tcBorders>
                    <w:tl2br w:val="nil"/>
                    <w:tr2bl w:val="nil"/>
                  </w:tcBorders>
                  <w:vAlign w:val="center"/>
                </w:tcPr>
                <w:p w14:paraId="51F3F1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1727" w:type="dxa"/>
                  <w:vMerge w:val="continue"/>
                  <w:tcBorders>
                    <w:tl2br w:val="nil"/>
                    <w:tr2bl w:val="nil"/>
                  </w:tcBorders>
                  <w:vAlign w:val="center"/>
                </w:tcPr>
                <w:p w14:paraId="541886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41CF1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07E954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37BBF676">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308663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710" w:type="dxa"/>
                  <w:tcBorders>
                    <w:tl2br w:val="nil"/>
                    <w:tr2bl w:val="nil"/>
                  </w:tcBorders>
                  <w:vAlign w:val="center"/>
                </w:tcPr>
                <w:p w14:paraId="69795B6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85" w:type="dxa"/>
                  <w:tcBorders>
                    <w:tl2br w:val="nil"/>
                    <w:tr2bl w:val="nil"/>
                  </w:tcBorders>
                  <w:vAlign w:val="center"/>
                </w:tcPr>
                <w:p w14:paraId="02E9A5A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9.82</w:t>
                  </w:r>
                </w:p>
              </w:tc>
              <w:tc>
                <w:tcPr>
                  <w:tcW w:w="610" w:type="dxa"/>
                  <w:tcBorders>
                    <w:tl2br w:val="nil"/>
                    <w:tr2bl w:val="nil"/>
                  </w:tcBorders>
                  <w:shd w:val="clear" w:color="auto" w:fill="auto"/>
                  <w:vAlign w:val="center"/>
                </w:tcPr>
                <w:p w14:paraId="376184B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57" w:type="dxa"/>
                  <w:vMerge w:val="continue"/>
                  <w:tcBorders>
                    <w:tl2br w:val="nil"/>
                    <w:tr2bl w:val="nil"/>
                  </w:tcBorders>
                  <w:vAlign w:val="center"/>
                </w:tcPr>
                <w:p w14:paraId="71D88626">
                  <w:pPr>
                    <w:jc w:val="center"/>
                    <w:rPr>
                      <w:rFonts w:hint="default" w:ascii="Times New Roman" w:hAnsi="Times New Roman" w:eastAsia="宋体" w:cs="Times New Roman"/>
                      <w:color w:val="auto"/>
                      <w:sz w:val="21"/>
                      <w:szCs w:val="21"/>
                      <w:highlight w:val="none"/>
                    </w:rPr>
                  </w:pPr>
                </w:p>
              </w:tc>
              <w:tc>
                <w:tcPr>
                  <w:tcW w:w="857" w:type="dxa"/>
                  <w:tcBorders>
                    <w:tl2br w:val="nil"/>
                    <w:tr2bl w:val="nil"/>
                  </w:tcBorders>
                  <w:vAlign w:val="center"/>
                </w:tcPr>
                <w:p w14:paraId="2108B90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50" w:type="dxa"/>
                  <w:tcBorders>
                    <w:tl2br w:val="nil"/>
                    <w:tr2bl w:val="nil"/>
                  </w:tcBorders>
                  <w:vAlign w:val="center"/>
                </w:tcPr>
                <w:p w14:paraId="4FFC3E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1727" w:type="dxa"/>
                  <w:vMerge w:val="continue"/>
                  <w:tcBorders>
                    <w:tl2br w:val="nil"/>
                    <w:tr2bl w:val="nil"/>
                  </w:tcBorders>
                  <w:vAlign w:val="center"/>
                </w:tcPr>
                <w:p w14:paraId="5E9149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08A73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7F98026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lang w:eastAsia="zh-CN"/>
                    </w:rPr>
                    <w:t>磨抛</w:t>
                  </w:r>
                  <w:r>
                    <w:rPr>
                      <w:rFonts w:hint="default" w:ascii="Times New Roman" w:hAnsi="Times New Roman" w:eastAsia="宋体" w:cs="Times New Roman"/>
                      <w:color w:val="auto"/>
                      <w:spacing w:val="4"/>
                      <w:sz w:val="21"/>
                      <w:szCs w:val="21"/>
                      <w:highlight w:val="none"/>
                    </w:rPr>
                    <w:t>废水</w:t>
                  </w:r>
                </w:p>
              </w:tc>
              <w:tc>
                <w:tcPr>
                  <w:tcW w:w="628" w:type="dxa"/>
                  <w:vMerge w:val="restart"/>
                  <w:tcBorders>
                    <w:tl2br w:val="nil"/>
                    <w:tr2bl w:val="nil"/>
                  </w:tcBorders>
                  <w:vAlign w:val="center"/>
                </w:tcPr>
                <w:p w14:paraId="51D6CE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3682800</w:t>
                  </w:r>
                </w:p>
              </w:tc>
              <w:tc>
                <w:tcPr>
                  <w:tcW w:w="696" w:type="dxa"/>
                  <w:tcBorders>
                    <w:tl2br w:val="nil"/>
                    <w:tr2bl w:val="nil"/>
                  </w:tcBorders>
                  <w:vAlign w:val="center"/>
                </w:tcPr>
                <w:p w14:paraId="5DBC8D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CODcr</w:t>
                  </w:r>
                </w:p>
              </w:tc>
              <w:tc>
                <w:tcPr>
                  <w:tcW w:w="710" w:type="dxa"/>
                  <w:tcBorders>
                    <w:tl2br w:val="nil"/>
                    <w:tr2bl w:val="nil"/>
                  </w:tcBorders>
                  <w:vAlign w:val="center"/>
                </w:tcPr>
                <w:p w14:paraId="2FB2B16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85" w:type="dxa"/>
                  <w:tcBorders>
                    <w:tl2br w:val="nil"/>
                    <w:tr2bl w:val="nil"/>
                  </w:tcBorders>
                  <w:vAlign w:val="center"/>
                </w:tcPr>
                <w:p w14:paraId="358D6112">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1841.40</w:t>
                  </w:r>
                </w:p>
              </w:tc>
              <w:tc>
                <w:tcPr>
                  <w:tcW w:w="610" w:type="dxa"/>
                  <w:tcBorders>
                    <w:tl2br w:val="nil"/>
                    <w:tr2bl w:val="nil"/>
                  </w:tcBorders>
                  <w:shd w:val="clear" w:color="auto" w:fill="auto"/>
                  <w:vAlign w:val="center"/>
                </w:tcPr>
                <w:p w14:paraId="5AC29FB5">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restart"/>
                  <w:tcBorders>
                    <w:tl2br w:val="nil"/>
                    <w:tr2bl w:val="nil"/>
                  </w:tcBorders>
                  <w:vAlign w:val="center"/>
                </w:tcPr>
                <w:p w14:paraId="74946A8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42900</w:t>
                  </w:r>
                </w:p>
              </w:tc>
              <w:tc>
                <w:tcPr>
                  <w:tcW w:w="857" w:type="dxa"/>
                  <w:tcBorders>
                    <w:tl2br w:val="nil"/>
                    <w:tr2bl w:val="nil"/>
                  </w:tcBorders>
                  <w:vAlign w:val="center"/>
                </w:tcPr>
                <w:p w14:paraId="7DAB094E">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750" w:type="dxa"/>
                  <w:tcBorders>
                    <w:tl2br w:val="nil"/>
                    <w:tr2bl w:val="nil"/>
                  </w:tcBorders>
                  <w:vAlign w:val="center"/>
                </w:tcPr>
                <w:p w14:paraId="59A7C5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1727" w:type="dxa"/>
                  <w:vMerge w:val="restart"/>
                  <w:tcBorders>
                    <w:tl2br w:val="nil"/>
                    <w:tr2bl w:val="nil"/>
                  </w:tcBorders>
                  <w:vAlign w:val="center"/>
                </w:tcPr>
                <w:p w14:paraId="281507A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lang w:eastAsia="zh-CN"/>
                    </w:rPr>
                    <w:t>磨抛</w:t>
                  </w:r>
                  <w:r>
                    <w:rPr>
                      <w:rFonts w:hint="default" w:ascii="Times New Roman" w:hAnsi="Times New Roman" w:eastAsia="宋体" w:cs="Times New Roman"/>
                      <w:color w:val="auto"/>
                      <w:spacing w:val="7"/>
                      <w:sz w:val="21"/>
                      <w:szCs w:val="21"/>
                      <w:highlight w:val="none"/>
                    </w:rPr>
                    <w:t>循环</w:t>
                  </w:r>
                  <w:r>
                    <w:rPr>
                      <w:rFonts w:hint="default" w:ascii="Times New Roman" w:hAnsi="Times New Roman" w:eastAsia="宋体" w:cs="Times New Roman"/>
                      <w:color w:val="auto"/>
                      <w:spacing w:val="7"/>
                      <w:sz w:val="21"/>
                      <w:szCs w:val="21"/>
                      <w:highlight w:val="none"/>
                      <w:lang w:val="en-US" w:eastAsia="zh-CN"/>
                    </w:rPr>
                    <w:t>水</w:t>
                  </w:r>
                  <w:r>
                    <w:rPr>
                      <w:rFonts w:hint="default" w:ascii="Times New Roman" w:hAnsi="Times New Roman" w:eastAsia="宋体" w:cs="Times New Roman"/>
                      <w:color w:val="auto"/>
                      <w:sz w:val="21"/>
                      <w:szCs w:val="21"/>
                      <w:highlight w:val="none"/>
                    </w:rPr>
                    <w:t>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9"/>
                      <w:sz w:val="21"/>
                      <w:szCs w:val="21"/>
                      <w:highlight w:val="none"/>
                    </w:rPr>
                    <w:t>大部分循环回用，</w:t>
                  </w:r>
                  <w:r>
                    <w:rPr>
                      <w:rFonts w:hint="default" w:ascii="Times New Roman" w:hAnsi="Times New Roman" w:eastAsia="宋体" w:cs="Times New Roman"/>
                      <w:color w:val="auto"/>
                      <w:spacing w:val="4"/>
                      <w:sz w:val="21"/>
                      <w:szCs w:val="21"/>
                      <w:highlight w:val="none"/>
                    </w:rPr>
                    <w:t>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6BC5E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5C3911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8" w:type="dxa"/>
                  <w:vMerge w:val="continue"/>
                  <w:tcBorders>
                    <w:tl2br w:val="nil"/>
                    <w:tr2bl w:val="nil"/>
                  </w:tcBorders>
                  <w:vAlign w:val="center"/>
                </w:tcPr>
                <w:p w14:paraId="716D58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040C04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710" w:type="dxa"/>
                  <w:tcBorders>
                    <w:tl2br w:val="nil"/>
                    <w:tr2bl w:val="nil"/>
                  </w:tcBorders>
                  <w:vAlign w:val="center"/>
                </w:tcPr>
                <w:p w14:paraId="5D38858D">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885" w:type="dxa"/>
                  <w:tcBorders>
                    <w:tl2br w:val="nil"/>
                    <w:tr2bl w:val="nil"/>
                  </w:tcBorders>
                  <w:vAlign w:val="center"/>
                </w:tcPr>
                <w:p w14:paraId="7ED8FD4B">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552.42</w:t>
                  </w:r>
                </w:p>
              </w:tc>
              <w:tc>
                <w:tcPr>
                  <w:tcW w:w="610" w:type="dxa"/>
                  <w:tcBorders>
                    <w:tl2br w:val="nil"/>
                    <w:tr2bl w:val="nil"/>
                  </w:tcBorders>
                  <w:shd w:val="clear" w:color="auto" w:fill="auto"/>
                  <w:vAlign w:val="center"/>
                </w:tcPr>
                <w:p w14:paraId="025916F0">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continue"/>
                  <w:tcBorders>
                    <w:tl2br w:val="nil"/>
                    <w:tr2bl w:val="nil"/>
                  </w:tcBorders>
                  <w:vAlign w:val="center"/>
                </w:tcPr>
                <w:p w14:paraId="4811EE5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5D1E941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750" w:type="dxa"/>
                  <w:tcBorders>
                    <w:tl2br w:val="nil"/>
                    <w:tr2bl w:val="nil"/>
                  </w:tcBorders>
                  <w:vAlign w:val="center"/>
                </w:tcPr>
                <w:p w14:paraId="3FA02C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1727" w:type="dxa"/>
                  <w:vMerge w:val="continue"/>
                  <w:tcBorders>
                    <w:tl2br w:val="nil"/>
                    <w:tr2bl w:val="nil"/>
                  </w:tcBorders>
                  <w:vAlign w:val="center"/>
                </w:tcPr>
                <w:p w14:paraId="5A008F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79449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370DC2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28" w:type="dxa"/>
                  <w:vMerge w:val="continue"/>
                  <w:tcBorders>
                    <w:tl2br w:val="nil"/>
                    <w:tr2bl w:val="nil"/>
                  </w:tcBorders>
                  <w:vAlign w:val="center"/>
                </w:tcPr>
                <w:p w14:paraId="108441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1F96F3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710" w:type="dxa"/>
                  <w:tcBorders>
                    <w:tl2br w:val="nil"/>
                    <w:tr2bl w:val="nil"/>
                  </w:tcBorders>
                  <w:vAlign w:val="center"/>
                </w:tcPr>
                <w:p w14:paraId="4F41D940">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880</w:t>
                  </w:r>
                </w:p>
              </w:tc>
              <w:tc>
                <w:tcPr>
                  <w:tcW w:w="885" w:type="dxa"/>
                  <w:tcBorders>
                    <w:tl2br w:val="nil"/>
                    <w:tr2bl w:val="nil"/>
                  </w:tcBorders>
                  <w:vAlign w:val="center"/>
                </w:tcPr>
                <w:p w14:paraId="5EB752CE">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3240.86</w:t>
                  </w:r>
                </w:p>
              </w:tc>
              <w:tc>
                <w:tcPr>
                  <w:tcW w:w="610" w:type="dxa"/>
                  <w:tcBorders>
                    <w:tl2br w:val="nil"/>
                    <w:tr2bl w:val="nil"/>
                  </w:tcBorders>
                  <w:shd w:val="clear" w:color="auto" w:fill="auto"/>
                  <w:vAlign w:val="center"/>
                </w:tcPr>
                <w:p w14:paraId="357337B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57" w:type="dxa"/>
                  <w:vMerge w:val="continue"/>
                  <w:tcBorders>
                    <w:tl2br w:val="nil"/>
                    <w:tr2bl w:val="nil"/>
                  </w:tcBorders>
                  <w:vAlign w:val="center"/>
                </w:tcPr>
                <w:p w14:paraId="0DCDD5B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6BA98A9D">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750" w:type="dxa"/>
                  <w:tcBorders>
                    <w:tl2br w:val="nil"/>
                    <w:tr2bl w:val="nil"/>
                  </w:tcBorders>
                  <w:vAlign w:val="center"/>
                </w:tcPr>
                <w:p w14:paraId="692AFF8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18.88</w:t>
                  </w:r>
                </w:p>
              </w:tc>
              <w:tc>
                <w:tcPr>
                  <w:tcW w:w="1727" w:type="dxa"/>
                  <w:vMerge w:val="continue"/>
                  <w:tcBorders>
                    <w:tl2br w:val="nil"/>
                    <w:tr2bl w:val="nil"/>
                  </w:tcBorders>
                  <w:vAlign w:val="center"/>
                </w:tcPr>
                <w:p w14:paraId="230EC3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3718B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76495AE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kern w:val="2"/>
                      <w:sz w:val="21"/>
                      <w:szCs w:val="21"/>
                      <w:highlight w:val="none"/>
                      <w:lang w:val="en-US" w:eastAsia="en-US" w:bidi="ar-SA"/>
                    </w:rPr>
                    <w:t>圆磨废水</w:t>
                  </w:r>
                </w:p>
              </w:tc>
              <w:tc>
                <w:tcPr>
                  <w:tcW w:w="628" w:type="dxa"/>
                  <w:vMerge w:val="restart"/>
                  <w:tcBorders>
                    <w:tl2br w:val="nil"/>
                    <w:tr2bl w:val="nil"/>
                  </w:tcBorders>
                  <w:vAlign w:val="center"/>
                </w:tcPr>
                <w:p w14:paraId="4FB7F7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5155920</w:t>
                  </w:r>
                </w:p>
              </w:tc>
              <w:tc>
                <w:tcPr>
                  <w:tcW w:w="696" w:type="dxa"/>
                  <w:tcBorders>
                    <w:tl2br w:val="nil"/>
                    <w:tr2bl w:val="nil"/>
                  </w:tcBorders>
                  <w:vAlign w:val="center"/>
                </w:tcPr>
                <w:p w14:paraId="7CB332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CODcr</w:t>
                  </w:r>
                </w:p>
              </w:tc>
              <w:tc>
                <w:tcPr>
                  <w:tcW w:w="710" w:type="dxa"/>
                  <w:tcBorders>
                    <w:tl2br w:val="nil"/>
                    <w:tr2bl w:val="nil"/>
                  </w:tcBorders>
                  <w:vAlign w:val="center"/>
                </w:tcPr>
                <w:p w14:paraId="3888C9A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85" w:type="dxa"/>
                  <w:tcBorders>
                    <w:tl2br w:val="nil"/>
                    <w:tr2bl w:val="nil"/>
                  </w:tcBorders>
                  <w:vAlign w:val="center"/>
                </w:tcPr>
                <w:p w14:paraId="5655A9B8">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1804.57</w:t>
                  </w:r>
                </w:p>
              </w:tc>
              <w:tc>
                <w:tcPr>
                  <w:tcW w:w="610" w:type="dxa"/>
                  <w:tcBorders>
                    <w:tl2br w:val="nil"/>
                    <w:tr2bl w:val="nil"/>
                  </w:tcBorders>
                  <w:shd w:val="clear" w:color="auto" w:fill="auto"/>
                  <w:vAlign w:val="center"/>
                </w:tcPr>
                <w:p w14:paraId="454B98A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restart"/>
                  <w:tcBorders>
                    <w:tl2br w:val="nil"/>
                    <w:tr2bl w:val="nil"/>
                  </w:tcBorders>
                  <w:vAlign w:val="center"/>
                </w:tcPr>
                <w:p w14:paraId="0E14661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33000</w:t>
                  </w:r>
                </w:p>
              </w:tc>
              <w:tc>
                <w:tcPr>
                  <w:tcW w:w="857" w:type="dxa"/>
                  <w:tcBorders>
                    <w:tl2br w:val="nil"/>
                    <w:tr2bl w:val="nil"/>
                  </w:tcBorders>
                  <w:vAlign w:val="center"/>
                </w:tcPr>
                <w:p w14:paraId="7BA75FDC">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298</w:t>
                  </w:r>
                </w:p>
              </w:tc>
              <w:tc>
                <w:tcPr>
                  <w:tcW w:w="750" w:type="dxa"/>
                  <w:tcBorders>
                    <w:tl2br w:val="nil"/>
                    <w:tr2bl w:val="nil"/>
                  </w:tcBorders>
                  <w:vAlign w:val="center"/>
                </w:tcPr>
                <w:p w14:paraId="156B90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9.82</w:t>
                  </w:r>
                </w:p>
              </w:tc>
              <w:tc>
                <w:tcPr>
                  <w:tcW w:w="1727" w:type="dxa"/>
                  <w:vMerge w:val="restart"/>
                  <w:tcBorders>
                    <w:tl2br w:val="nil"/>
                    <w:tr2bl w:val="nil"/>
                  </w:tcBorders>
                  <w:vAlign w:val="center"/>
                </w:tcPr>
                <w:p w14:paraId="58F36A5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9"/>
                      <w:sz w:val="21"/>
                      <w:szCs w:val="21"/>
                      <w:highlight w:val="none"/>
                      <w:lang w:val="en-US" w:eastAsia="zh-CN"/>
                    </w:rPr>
                    <w:t>经</w:t>
                  </w:r>
                  <w:r>
                    <w:rPr>
                      <w:rFonts w:hint="default" w:ascii="Times New Roman" w:hAnsi="Times New Roman" w:eastAsia="宋体" w:cs="Times New Roman"/>
                      <w:color w:val="auto"/>
                      <w:spacing w:val="4"/>
                      <w:sz w:val="21"/>
                      <w:szCs w:val="21"/>
                      <w:highlight w:val="none"/>
                    </w:rPr>
                    <w:t>圆磨循环水池</w:t>
                  </w:r>
                  <w:r>
                    <w:rPr>
                      <w:rFonts w:hint="default" w:ascii="Times New Roman" w:hAnsi="Times New Roman" w:eastAsia="宋体" w:cs="Times New Roman"/>
                      <w:color w:val="auto"/>
                      <w:spacing w:val="4"/>
                      <w:sz w:val="21"/>
                      <w:szCs w:val="21"/>
                      <w:highlight w:val="none"/>
                      <w:lang w:val="en-US" w:eastAsia="zh-CN"/>
                    </w:rPr>
                    <w:t>处理后</w:t>
                  </w:r>
                  <w:r>
                    <w:rPr>
                      <w:rFonts w:hint="default" w:ascii="Times New Roman" w:hAnsi="Times New Roman" w:eastAsia="宋体" w:cs="Times New Roman"/>
                      <w:color w:val="auto"/>
                      <w:spacing w:val="4"/>
                      <w:sz w:val="21"/>
                      <w:szCs w:val="21"/>
                      <w:highlight w:val="none"/>
                    </w:rPr>
                    <w:t>大部分循环回用，小部分</w:t>
                  </w:r>
                  <w:r>
                    <w:rPr>
                      <w:rFonts w:hint="default" w:ascii="Times New Roman" w:hAnsi="Times New Roman" w:eastAsia="宋体" w:cs="Times New Roman"/>
                      <w:color w:val="auto"/>
                      <w:spacing w:val="4"/>
                      <w:sz w:val="21"/>
                      <w:szCs w:val="21"/>
                      <w:highlight w:val="none"/>
                      <w:lang w:val="en-US" w:eastAsia="zh-CN"/>
                    </w:rPr>
                    <w:t>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37A8B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1517E06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2306BD20">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4BD4BE7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710" w:type="dxa"/>
                  <w:tcBorders>
                    <w:tl2br w:val="nil"/>
                    <w:tr2bl w:val="nil"/>
                  </w:tcBorders>
                  <w:vAlign w:val="center"/>
                </w:tcPr>
                <w:p w14:paraId="0FBF5A0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885" w:type="dxa"/>
                  <w:tcBorders>
                    <w:tl2br w:val="nil"/>
                    <w:tr2bl w:val="nil"/>
                  </w:tcBorders>
                  <w:vAlign w:val="center"/>
                </w:tcPr>
                <w:p w14:paraId="66DBB411">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567.15</w:t>
                  </w:r>
                </w:p>
              </w:tc>
              <w:tc>
                <w:tcPr>
                  <w:tcW w:w="610" w:type="dxa"/>
                  <w:tcBorders>
                    <w:tl2br w:val="nil"/>
                    <w:tr2bl w:val="nil"/>
                  </w:tcBorders>
                  <w:shd w:val="clear" w:color="auto" w:fill="auto"/>
                  <w:vAlign w:val="center"/>
                </w:tcPr>
                <w:p w14:paraId="3405C95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57" w:type="dxa"/>
                  <w:vMerge w:val="continue"/>
                  <w:tcBorders>
                    <w:tl2br w:val="nil"/>
                    <w:tr2bl w:val="nil"/>
                  </w:tcBorders>
                  <w:vAlign w:val="center"/>
                </w:tcPr>
                <w:p w14:paraId="0ACAC4E9">
                  <w:pPr>
                    <w:jc w:val="center"/>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0BCB8F9E">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750" w:type="dxa"/>
                  <w:tcBorders>
                    <w:tl2br w:val="nil"/>
                    <w:tr2bl w:val="nil"/>
                  </w:tcBorders>
                  <w:vAlign w:val="center"/>
                </w:tcPr>
                <w:p w14:paraId="52FA12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727" w:type="dxa"/>
                  <w:vMerge w:val="continue"/>
                  <w:tcBorders>
                    <w:tl2br w:val="nil"/>
                    <w:tr2bl w:val="nil"/>
                  </w:tcBorders>
                  <w:vAlign w:val="center"/>
                </w:tcPr>
                <w:p w14:paraId="6ACCB5C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71328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70DEBD8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1146678E">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545F2EE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710" w:type="dxa"/>
                  <w:tcBorders>
                    <w:tl2br w:val="nil"/>
                    <w:tr2bl w:val="nil"/>
                  </w:tcBorders>
                  <w:vAlign w:val="center"/>
                </w:tcPr>
                <w:p w14:paraId="6D967856">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750</w:t>
                  </w:r>
                </w:p>
              </w:tc>
              <w:tc>
                <w:tcPr>
                  <w:tcW w:w="885" w:type="dxa"/>
                  <w:tcBorders>
                    <w:tl2br w:val="nil"/>
                    <w:tr2bl w:val="nil"/>
                  </w:tcBorders>
                  <w:vAlign w:val="center"/>
                </w:tcPr>
                <w:p w14:paraId="2007152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3866.94</w:t>
                  </w:r>
                </w:p>
              </w:tc>
              <w:tc>
                <w:tcPr>
                  <w:tcW w:w="610" w:type="dxa"/>
                  <w:tcBorders>
                    <w:tl2br w:val="nil"/>
                    <w:tr2bl w:val="nil"/>
                  </w:tcBorders>
                  <w:shd w:val="clear" w:color="auto" w:fill="auto"/>
                  <w:vAlign w:val="center"/>
                </w:tcPr>
                <w:p w14:paraId="2B86D26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57" w:type="dxa"/>
                  <w:vMerge w:val="continue"/>
                  <w:tcBorders>
                    <w:tl2br w:val="nil"/>
                    <w:tr2bl w:val="nil"/>
                  </w:tcBorders>
                  <w:vAlign w:val="center"/>
                </w:tcPr>
                <w:p w14:paraId="7C1F03E5">
                  <w:pPr>
                    <w:jc w:val="center"/>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0273E3FD">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750" w:type="dxa"/>
                  <w:tcBorders>
                    <w:tl2br w:val="nil"/>
                    <w:tr2bl w:val="nil"/>
                  </w:tcBorders>
                  <w:vAlign w:val="center"/>
                </w:tcPr>
                <w:p w14:paraId="16A77E5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12.38</w:t>
                  </w:r>
                </w:p>
              </w:tc>
              <w:tc>
                <w:tcPr>
                  <w:tcW w:w="1727" w:type="dxa"/>
                  <w:vMerge w:val="continue"/>
                  <w:tcBorders>
                    <w:tl2br w:val="nil"/>
                    <w:tr2bl w:val="nil"/>
                  </w:tcBorders>
                  <w:vAlign w:val="center"/>
                </w:tcPr>
                <w:p w14:paraId="67417E7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4EC12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tcBorders>
                    <w:tl2br w:val="nil"/>
                    <w:tr2bl w:val="nil"/>
                  </w:tcBorders>
                  <w:vAlign w:val="center"/>
                </w:tcPr>
                <w:p w14:paraId="4D75CF5A">
                  <w:pPr>
                    <w:keepNext w:val="0"/>
                    <w:keepLines w:val="0"/>
                    <w:widowControl/>
                    <w:suppressLineNumbers w:val="0"/>
                    <w:jc w:val="center"/>
                    <w:textAlignment w:val="center"/>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碱洗废水</w:t>
                  </w:r>
                </w:p>
              </w:tc>
              <w:tc>
                <w:tcPr>
                  <w:tcW w:w="628" w:type="dxa"/>
                  <w:vMerge w:val="restart"/>
                  <w:tcBorders>
                    <w:tl2br w:val="nil"/>
                    <w:tr2bl w:val="nil"/>
                  </w:tcBorders>
                  <w:vAlign w:val="center"/>
                </w:tcPr>
                <w:p w14:paraId="76C9CF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3300</w:t>
                  </w:r>
                </w:p>
              </w:tc>
              <w:tc>
                <w:tcPr>
                  <w:tcW w:w="696" w:type="dxa"/>
                  <w:tcBorders>
                    <w:tl2br w:val="nil"/>
                    <w:tr2bl w:val="nil"/>
                  </w:tcBorders>
                  <w:vAlign w:val="center"/>
                </w:tcPr>
                <w:p w14:paraId="6C6A0722">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CODcr</w:t>
                  </w:r>
                </w:p>
              </w:tc>
              <w:tc>
                <w:tcPr>
                  <w:tcW w:w="710" w:type="dxa"/>
                  <w:tcBorders>
                    <w:tl2br w:val="nil"/>
                    <w:tr2bl w:val="nil"/>
                  </w:tcBorders>
                  <w:vAlign w:val="center"/>
                </w:tcPr>
                <w:p w14:paraId="1EA276A5">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885" w:type="dxa"/>
                  <w:tcBorders>
                    <w:tl2br w:val="nil"/>
                    <w:tr2bl w:val="nil"/>
                  </w:tcBorders>
                  <w:vAlign w:val="center"/>
                </w:tcPr>
                <w:p w14:paraId="7A4A5C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26.40</w:t>
                  </w:r>
                </w:p>
              </w:tc>
              <w:tc>
                <w:tcPr>
                  <w:tcW w:w="610" w:type="dxa"/>
                  <w:tcBorders>
                    <w:tl2br w:val="nil"/>
                    <w:tr2bl w:val="nil"/>
                  </w:tcBorders>
                  <w:shd w:val="clear" w:color="auto" w:fill="auto"/>
                  <w:vAlign w:val="center"/>
                </w:tcPr>
                <w:p w14:paraId="0442938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57" w:type="dxa"/>
                  <w:vMerge w:val="restart"/>
                  <w:tcBorders>
                    <w:tl2br w:val="nil"/>
                    <w:tr2bl w:val="nil"/>
                  </w:tcBorders>
                  <w:vAlign w:val="center"/>
                </w:tcPr>
                <w:p w14:paraId="5518339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1650</w:t>
                  </w:r>
                </w:p>
              </w:tc>
              <w:tc>
                <w:tcPr>
                  <w:tcW w:w="857" w:type="dxa"/>
                  <w:tcBorders>
                    <w:tl2br w:val="nil"/>
                    <w:tr2bl w:val="nil"/>
                  </w:tcBorders>
                  <w:vAlign w:val="center"/>
                </w:tcPr>
                <w:p w14:paraId="195B081B">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6400</w:t>
                  </w:r>
                </w:p>
              </w:tc>
              <w:tc>
                <w:tcPr>
                  <w:tcW w:w="750" w:type="dxa"/>
                  <w:tcBorders>
                    <w:tl2br w:val="nil"/>
                    <w:tr2bl w:val="nil"/>
                  </w:tcBorders>
                  <w:vAlign w:val="center"/>
                </w:tcPr>
                <w:p w14:paraId="0A1C4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10.56</w:t>
                  </w:r>
                </w:p>
              </w:tc>
              <w:tc>
                <w:tcPr>
                  <w:tcW w:w="1727" w:type="dxa"/>
                  <w:vMerge w:val="restart"/>
                  <w:tcBorders>
                    <w:tl2br w:val="nil"/>
                    <w:tr2bl w:val="nil"/>
                  </w:tcBorders>
                  <w:vAlign w:val="center"/>
                </w:tcPr>
                <w:p w14:paraId="12DC2CD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lang w:val="en-US" w:eastAsia="zh-CN"/>
                    </w:rPr>
                    <w:t>经碱液收集池处理，上清液</w:t>
                  </w:r>
                  <w:r>
                    <w:rPr>
                      <w:rFonts w:hint="default" w:ascii="Times New Roman" w:hAnsi="Times New Roman" w:eastAsia="宋体" w:cs="Times New Roman"/>
                      <w:color w:val="auto"/>
                      <w:spacing w:val="4"/>
                      <w:sz w:val="21"/>
                      <w:szCs w:val="21"/>
                      <w:highlight w:val="none"/>
                    </w:rPr>
                    <w:t>循环回用，</w:t>
                  </w:r>
                  <w:r>
                    <w:rPr>
                      <w:rFonts w:hint="default" w:ascii="Times New Roman" w:hAnsi="Times New Roman" w:eastAsia="宋体" w:cs="Times New Roman"/>
                      <w:color w:val="auto"/>
                      <w:spacing w:val="4"/>
                      <w:sz w:val="21"/>
                      <w:szCs w:val="21"/>
                      <w:highlight w:val="none"/>
                      <w:lang w:val="en-US" w:eastAsia="zh-CN"/>
                    </w:rPr>
                    <w:t>其余经</w:t>
                  </w:r>
                  <w:r>
                    <w:rPr>
                      <w:rFonts w:hint="default" w:ascii="Times New Roman" w:hAnsi="Times New Roman" w:eastAsia="宋体" w:cs="Times New Roman"/>
                      <w:color w:val="auto"/>
                      <w:spacing w:val="8"/>
                      <w:sz w:val="21"/>
                      <w:szCs w:val="21"/>
                      <w:highlight w:val="none"/>
                      <w:lang w:val="en-US" w:eastAsia="zh-CN"/>
                    </w:rPr>
                    <w:t>综合废水调节池</w:t>
                  </w:r>
                  <w:r>
                    <w:rPr>
                      <w:rFonts w:hint="default" w:ascii="Times New Roman" w:hAnsi="Times New Roman" w:eastAsia="宋体" w:cs="Times New Roman"/>
                      <w:color w:val="auto"/>
                      <w:spacing w:val="4"/>
                      <w:sz w:val="21"/>
                      <w:szCs w:val="21"/>
                      <w:highlight w:val="none"/>
                    </w:rPr>
                    <w:t>进入生化污水处理站</w:t>
                  </w:r>
                </w:p>
              </w:tc>
            </w:tr>
            <w:tr w14:paraId="30B6F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3D22FFF0">
                  <w:pPr>
                    <w:jc w:val="center"/>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4D1B0EA5">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26AAD79F">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710" w:type="dxa"/>
                  <w:tcBorders>
                    <w:tl2br w:val="nil"/>
                    <w:tr2bl w:val="nil"/>
                  </w:tcBorders>
                  <w:vAlign w:val="center"/>
                </w:tcPr>
                <w:p w14:paraId="250CAF18">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885" w:type="dxa"/>
                  <w:tcBorders>
                    <w:tl2br w:val="nil"/>
                    <w:tr2bl w:val="nil"/>
                  </w:tcBorders>
                  <w:vAlign w:val="center"/>
                </w:tcPr>
                <w:p w14:paraId="2F335D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9.90</w:t>
                  </w:r>
                </w:p>
              </w:tc>
              <w:tc>
                <w:tcPr>
                  <w:tcW w:w="610" w:type="dxa"/>
                  <w:tcBorders>
                    <w:tl2br w:val="nil"/>
                    <w:tr2bl w:val="nil"/>
                  </w:tcBorders>
                  <w:shd w:val="clear" w:color="auto" w:fill="auto"/>
                  <w:vAlign w:val="center"/>
                </w:tcPr>
                <w:p w14:paraId="35A80922">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57" w:type="dxa"/>
                  <w:vMerge w:val="continue"/>
                  <w:tcBorders>
                    <w:tl2br w:val="nil"/>
                    <w:tr2bl w:val="nil"/>
                  </w:tcBorders>
                  <w:vAlign w:val="center"/>
                </w:tcPr>
                <w:p w14:paraId="05BC348A">
                  <w:pPr>
                    <w:jc w:val="center"/>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0AA82A5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750" w:type="dxa"/>
                  <w:tcBorders>
                    <w:tl2br w:val="nil"/>
                    <w:tr2bl w:val="nil"/>
                  </w:tcBorders>
                  <w:vAlign w:val="center"/>
                </w:tcPr>
                <w:p w14:paraId="32AE58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3.96</w:t>
                  </w:r>
                </w:p>
              </w:tc>
              <w:tc>
                <w:tcPr>
                  <w:tcW w:w="1727" w:type="dxa"/>
                  <w:vMerge w:val="continue"/>
                  <w:tcBorders>
                    <w:tl2br w:val="nil"/>
                    <w:tr2bl w:val="nil"/>
                  </w:tcBorders>
                  <w:vAlign w:val="center"/>
                </w:tcPr>
                <w:p w14:paraId="391C481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2FFE4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tcBorders>
                    <w:tl2br w:val="nil"/>
                    <w:tr2bl w:val="nil"/>
                  </w:tcBorders>
                  <w:vAlign w:val="center"/>
                </w:tcPr>
                <w:p w14:paraId="4342FAA2">
                  <w:pPr>
                    <w:jc w:val="center"/>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tcBorders>
                    <w:tl2br w:val="nil"/>
                    <w:tr2bl w:val="nil"/>
                  </w:tcBorders>
                  <w:vAlign w:val="center"/>
                </w:tcPr>
                <w:p w14:paraId="168C6E47">
                  <w:pPr>
                    <w:jc w:val="center"/>
                    <w:rPr>
                      <w:rFonts w:hint="default" w:ascii="Times New Roman" w:hAnsi="Times New Roman" w:eastAsia="宋体" w:cs="Times New Roman"/>
                      <w:color w:val="auto"/>
                      <w:sz w:val="21"/>
                      <w:szCs w:val="21"/>
                      <w:highlight w:val="none"/>
                    </w:rPr>
                  </w:pPr>
                </w:p>
              </w:tc>
              <w:tc>
                <w:tcPr>
                  <w:tcW w:w="696" w:type="dxa"/>
                  <w:tcBorders>
                    <w:tl2br w:val="nil"/>
                    <w:tr2bl w:val="nil"/>
                  </w:tcBorders>
                  <w:vAlign w:val="center"/>
                </w:tcPr>
                <w:p w14:paraId="3929FBD7">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710" w:type="dxa"/>
                  <w:tcBorders>
                    <w:tl2br w:val="nil"/>
                    <w:tr2bl w:val="nil"/>
                  </w:tcBorders>
                  <w:vAlign w:val="center"/>
                </w:tcPr>
                <w:p w14:paraId="1E06D22A">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85" w:type="dxa"/>
                  <w:tcBorders>
                    <w:tl2br w:val="nil"/>
                    <w:tr2bl w:val="nil"/>
                  </w:tcBorders>
                  <w:vAlign w:val="center"/>
                </w:tcPr>
                <w:p w14:paraId="6AA70A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6.60</w:t>
                  </w:r>
                </w:p>
              </w:tc>
              <w:tc>
                <w:tcPr>
                  <w:tcW w:w="610" w:type="dxa"/>
                  <w:tcBorders>
                    <w:tl2br w:val="nil"/>
                    <w:tr2bl w:val="nil"/>
                  </w:tcBorders>
                  <w:shd w:val="clear" w:color="auto" w:fill="auto"/>
                  <w:vAlign w:val="center"/>
                </w:tcPr>
                <w:p w14:paraId="2F1AE0E2">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57" w:type="dxa"/>
                  <w:vMerge w:val="continue"/>
                  <w:tcBorders>
                    <w:tl2br w:val="nil"/>
                    <w:tr2bl w:val="nil"/>
                  </w:tcBorders>
                  <w:vAlign w:val="center"/>
                </w:tcPr>
                <w:p w14:paraId="0CCA6301">
                  <w:pPr>
                    <w:jc w:val="center"/>
                    <w:rPr>
                      <w:rFonts w:hint="default" w:ascii="Times New Roman" w:hAnsi="Times New Roman" w:eastAsia="宋体" w:cs="Times New Roman"/>
                      <w:color w:val="auto"/>
                      <w:spacing w:val="4"/>
                      <w:sz w:val="21"/>
                      <w:szCs w:val="21"/>
                      <w:highlight w:val="none"/>
                      <w:lang w:val="en-US" w:eastAsia="zh-CN"/>
                    </w:rPr>
                  </w:pPr>
                </w:p>
              </w:tc>
              <w:tc>
                <w:tcPr>
                  <w:tcW w:w="857" w:type="dxa"/>
                  <w:tcBorders>
                    <w:tl2br w:val="nil"/>
                    <w:tr2bl w:val="nil"/>
                  </w:tcBorders>
                  <w:vAlign w:val="center"/>
                </w:tcPr>
                <w:p w14:paraId="35D0A917">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750" w:type="dxa"/>
                  <w:tcBorders>
                    <w:tl2br w:val="nil"/>
                    <w:tr2bl w:val="nil"/>
                  </w:tcBorders>
                  <w:vAlign w:val="center"/>
                </w:tcPr>
                <w:p w14:paraId="239CDB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727" w:type="dxa"/>
                  <w:vMerge w:val="continue"/>
                  <w:tcBorders>
                    <w:tl2br w:val="nil"/>
                    <w:tr2bl w:val="nil"/>
                  </w:tcBorders>
                  <w:vAlign w:val="center"/>
                </w:tcPr>
                <w:p w14:paraId="306786C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2C67F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shd w:val="clear" w:color="auto" w:fill="auto"/>
                  <w:vAlign w:val="center"/>
                </w:tcPr>
                <w:p w14:paraId="32ED77B7">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生产综合废水</w:t>
                  </w:r>
                </w:p>
              </w:tc>
              <w:tc>
                <w:tcPr>
                  <w:tcW w:w="628" w:type="dxa"/>
                  <w:vMerge w:val="restart"/>
                  <w:vAlign w:val="center"/>
                </w:tcPr>
                <w:p w14:paraId="1E5FDF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103728.9</w:t>
                  </w:r>
                </w:p>
              </w:tc>
              <w:tc>
                <w:tcPr>
                  <w:tcW w:w="696" w:type="dxa"/>
                  <w:shd w:val="clear" w:color="auto" w:fill="auto"/>
                  <w:vAlign w:val="center"/>
                </w:tcPr>
                <w:p w14:paraId="063255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CODcr</w:t>
                  </w:r>
                </w:p>
              </w:tc>
              <w:tc>
                <w:tcPr>
                  <w:tcW w:w="710" w:type="dxa"/>
                  <w:vAlign w:val="center"/>
                </w:tcPr>
                <w:p w14:paraId="2CB89F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529.8 </w:t>
                  </w:r>
                </w:p>
              </w:tc>
              <w:tc>
                <w:tcPr>
                  <w:tcW w:w="885" w:type="dxa"/>
                  <w:vAlign w:val="center"/>
                </w:tcPr>
                <w:p w14:paraId="316C37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54.96</w:t>
                  </w:r>
                </w:p>
              </w:tc>
              <w:tc>
                <w:tcPr>
                  <w:tcW w:w="610" w:type="dxa"/>
                  <w:vAlign w:val="center"/>
                </w:tcPr>
                <w:p w14:paraId="22C6C1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57" w:type="dxa"/>
                  <w:vMerge w:val="restart"/>
                  <w:shd w:val="clear" w:color="auto" w:fill="auto"/>
                  <w:vAlign w:val="center"/>
                </w:tcPr>
                <w:p w14:paraId="1BB884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103728.9</w:t>
                  </w:r>
                </w:p>
              </w:tc>
              <w:tc>
                <w:tcPr>
                  <w:tcW w:w="857" w:type="dxa"/>
                  <w:vAlign w:val="center"/>
                </w:tcPr>
                <w:p w14:paraId="0C92C8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185.4</w:t>
                  </w:r>
                </w:p>
              </w:tc>
              <w:tc>
                <w:tcPr>
                  <w:tcW w:w="750" w:type="dxa"/>
                  <w:vAlign w:val="center"/>
                </w:tcPr>
                <w:p w14:paraId="08A82B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21.81</w:t>
                  </w:r>
                </w:p>
              </w:tc>
              <w:tc>
                <w:tcPr>
                  <w:tcW w:w="1727" w:type="dxa"/>
                  <w:vMerge w:val="restart"/>
                  <w:vAlign w:val="center"/>
                </w:tcPr>
                <w:p w14:paraId="07876FC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废水经收集后进入生化污水处理站处理达标后，通过废水排口进入废水接纳管网排放至</w:t>
                  </w:r>
                  <w:r>
                    <w:rPr>
                      <w:rFonts w:hint="default" w:ascii="Times New Roman" w:hAnsi="Times New Roman" w:eastAsia="宋体" w:cs="Times New Roman"/>
                      <w:color w:val="auto"/>
                      <w:spacing w:val="4"/>
                      <w:sz w:val="21"/>
                      <w:szCs w:val="21"/>
                      <w:highlight w:val="none"/>
                      <w:lang w:val="en-US" w:eastAsia="zh-CN"/>
                    </w:rPr>
                    <w:t>云南易门产业园区六街和麦子田片区集中式生活污水处理厂</w:t>
                  </w:r>
                  <w:r>
                    <w:rPr>
                      <w:rFonts w:hint="default" w:ascii="Times New Roman" w:hAnsi="Times New Roman" w:eastAsia="宋体" w:cs="Times New Roman"/>
                      <w:color w:val="auto"/>
                      <w:spacing w:val="4"/>
                      <w:sz w:val="21"/>
                      <w:szCs w:val="21"/>
                      <w:highlight w:val="none"/>
                    </w:rPr>
                    <w:t>处理</w:t>
                  </w:r>
                </w:p>
              </w:tc>
            </w:tr>
            <w:tr w14:paraId="3B154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210D8906">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vAlign w:val="center"/>
                </w:tcPr>
                <w:p w14:paraId="37CE91C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166994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BOD</w:t>
                  </w:r>
                  <w:r>
                    <w:rPr>
                      <w:rFonts w:hint="default" w:ascii="Times New Roman" w:hAnsi="Times New Roman" w:eastAsia="宋体" w:cs="Times New Roman"/>
                      <w:color w:val="auto"/>
                      <w:spacing w:val="4"/>
                      <w:sz w:val="21"/>
                      <w:szCs w:val="21"/>
                      <w:highlight w:val="none"/>
                      <w:vertAlign w:val="subscript"/>
                    </w:rPr>
                    <w:t>5</w:t>
                  </w:r>
                </w:p>
              </w:tc>
              <w:tc>
                <w:tcPr>
                  <w:tcW w:w="710" w:type="dxa"/>
                  <w:vAlign w:val="center"/>
                </w:tcPr>
                <w:p w14:paraId="2941F4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150.0 </w:t>
                  </w:r>
                </w:p>
              </w:tc>
              <w:tc>
                <w:tcPr>
                  <w:tcW w:w="885" w:type="dxa"/>
                  <w:vAlign w:val="center"/>
                </w:tcPr>
                <w:p w14:paraId="6FDF1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15.55</w:t>
                  </w:r>
                </w:p>
              </w:tc>
              <w:tc>
                <w:tcPr>
                  <w:tcW w:w="610" w:type="dxa"/>
                  <w:vAlign w:val="center"/>
                </w:tcPr>
                <w:p w14:paraId="3450B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57" w:type="dxa"/>
                  <w:vMerge w:val="continue"/>
                  <w:vAlign w:val="center"/>
                </w:tcPr>
                <w:p w14:paraId="54EB59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57" w:type="dxa"/>
                  <w:vAlign w:val="center"/>
                </w:tcPr>
                <w:p w14:paraId="65AA84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50" w:type="dxa"/>
                  <w:vAlign w:val="center"/>
                </w:tcPr>
                <w:p w14:paraId="1AC71F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7.06</w:t>
                  </w:r>
                </w:p>
              </w:tc>
              <w:tc>
                <w:tcPr>
                  <w:tcW w:w="1727" w:type="dxa"/>
                  <w:vMerge w:val="continue"/>
                  <w:vAlign w:val="center"/>
                </w:tcPr>
                <w:p w14:paraId="3D17BCD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66F79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1DDBE2F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vAlign w:val="center"/>
                </w:tcPr>
                <w:p w14:paraId="4F315A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2E3397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rPr>
                    <w:t>SS</w:t>
                  </w:r>
                </w:p>
              </w:tc>
              <w:tc>
                <w:tcPr>
                  <w:tcW w:w="710" w:type="dxa"/>
                  <w:vAlign w:val="center"/>
                </w:tcPr>
                <w:p w14:paraId="5D8BFD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390.1 </w:t>
                  </w:r>
                </w:p>
              </w:tc>
              <w:tc>
                <w:tcPr>
                  <w:tcW w:w="885" w:type="dxa"/>
                  <w:vAlign w:val="center"/>
                </w:tcPr>
                <w:p w14:paraId="52924B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40.46</w:t>
                  </w:r>
                </w:p>
              </w:tc>
              <w:tc>
                <w:tcPr>
                  <w:tcW w:w="610" w:type="dxa"/>
                  <w:vAlign w:val="center"/>
                </w:tcPr>
                <w:p w14:paraId="1068DF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557" w:type="dxa"/>
                  <w:vMerge w:val="continue"/>
                  <w:vAlign w:val="center"/>
                </w:tcPr>
                <w:p w14:paraId="709BC6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57" w:type="dxa"/>
                  <w:vAlign w:val="center"/>
                </w:tcPr>
                <w:p w14:paraId="3D2B3F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58.5</w:t>
                  </w:r>
                </w:p>
              </w:tc>
              <w:tc>
                <w:tcPr>
                  <w:tcW w:w="750" w:type="dxa"/>
                  <w:vAlign w:val="center"/>
                </w:tcPr>
                <w:p w14:paraId="14914F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6.88</w:t>
                  </w:r>
                </w:p>
              </w:tc>
              <w:tc>
                <w:tcPr>
                  <w:tcW w:w="1727" w:type="dxa"/>
                  <w:vMerge w:val="continue"/>
                  <w:vAlign w:val="center"/>
                </w:tcPr>
                <w:p w14:paraId="166775E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77445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36404F1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vAlign w:val="center"/>
                </w:tcPr>
                <w:p w14:paraId="6FAFD5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6B830A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en-US"/>
                    </w:rPr>
                  </w:pPr>
                  <w:r>
                    <w:rPr>
                      <w:rFonts w:hint="default" w:ascii="Times New Roman" w:hAnsi="Times New Roman" w:eastAsia="宋体" w:cs="Times New Roman"/>
                      <w:color w:val="auto"/>
                      <w:spacing w:val="4"/>
                      <w:sz w:val="21"/>
                      <w:szCs w:val="21"/>
                      <w:highlight w:val="none"/>
                    </w:rPr>
                    <w:t>氨氮</w:t>
                  </w:r>
                </w:p>
              </w:tc>
              <w:tc>
                <w:tcPr>
                  <w:tcW w:w="710" w:type="dxa"/>
                  <w:vAlign w:val="center"/>
                </w:tcPr>
                <w:p w14:paraId="091DA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0.6 </w:t>
                  </w:r>
                </w:p>
              </w:tc>
              <w:tc>
                <w:tcPr>
                  <w:tcW w:w="885" w:type="dxa"/>
                  <w:vAlign w:val="center"/>
                </w:tcPr>
                <w:p w14:paraId="17502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610" w:type="dxa"/>
                  <w:vAlign w:val="center"/>
                </w:tcPr>
                <w:p w14:paraId="607A69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57" w:type="dxa"/>
                  <w:vMerge w:val="continue"/>
                  <w:vAlign w:val="center"/>
                </w:tcPr>
                <w:p w14:paraId="573016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57" w:type="dxa"/>
                  <w:vAlign w:val="center"/>
                </w:tcPr>
                <w:p w14:paraId="0E4507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w:t>
                  </w:r>
                </w:p>
              </w:tc>
              <w:tc>
                <w:tcPr>
                  <w:tcW w:w="750" w:type="dxa"/>
                  <w:vAlign w:val="center"/>
                </w:tcPr>
                <w:p w14:paraId="52F503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727" w:type="dxa"/>
                  <w:vMerge w:val="continue"/>
                  <w:vAlign w:val="center"/>
                </w:tcPr>
                <w:p w14:paraId="4CA362A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6DF8A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797A9E8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vAlign w:val="center"/>
                </w:tcPr>
                <w:p w14:paraId="5AA4D4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4066B0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总磷</w:t>
                  </w:r>
                </w:p>
              </w:tc>
              <w:tc>
                <w:tcPr>
                  <w:tcW w:w="710" w:type="dxa"/>
                  <w:shd w:val="clear" w:color="auto" w:fill="auto"/>
                  <w:vAlign w:val="center"/>
                </w:tcPr>
                <w:p w14:paraId="1E947B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 </w:t>
                  </w:r>
                </w:p>
              </w:tc>
              <w:tc>
                <w:tcPr>
                  <w:tcW w:w="885" w:type="dxa"/>
                  <w:shd w:val="clear" w:color="auto" w:fill="auto"/>
                  <w:vAlign w:val="center"/>
                </w:tcPr>
                <w:p w14:paraId="70350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10" w:type="dxa"/>
                  <w:shd w:val="clear" w:color="auto" w:fill="auto"/>
                  <w:vAlign w:val="center"/>
                </w:tcPr>
                <w:p w14:paraId="2AC7A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57" w:type="dxa"/>
                  <w:vMerge w:val="continue"/>
                  <w:shd w:val="clear" w:color="auto" w:fill="auto"/>
                  <w:vAlign w:val="center"/>
                </w:tcPr>
                <w:p w14:paraId="4C9E37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57" w:type="dxa"/>
                  <w:shd w:val="clear" w:color="auto" w:fill="auto"/>
                  <w:vAlign w:val="center"/>
                </w:tcPr>
                <w:p w14:paraId="1D27A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p>
              </w:tc>
              <w:tc>
                <w:tcPr>
                  <w:tcW w:w="750" w:type="dxa"/>
                  <w:shd w:val="clear" w:color="auto" w:fill="auto"/>
                  <w:vAlign w:val="center"/>
                </w:tcPr>
                <w:p w14:paraId="2C1A10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27" w:type="dxa"/>
                  <w:vMerge w:val="continue"/>
                  <w:vAlign w:val="center"/>
                </w:tcPr>
                <w:p w14:paraId="7D7A13CE">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22C2C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517018E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kern w:val="2"/>
                      <w:sz w:val="21"/>
                      <w:szCs w:val="21"/>
                      <w:highlight w:val="none"/>
                      <w:lang w:val="en-US" w:eastAsia="en-US" w:bidi="ar-SA"/>
                    </w:rPr>
                  </w:pPr>
                </w:p>
              </w:tc>
              <w:tc>
                <w:tcPr>
                  <w:tcW w:w="628" w:type="dxa"/>
                  <w:vMerge w:val="continue"/>
                  <w:vAlign w:val="center"/>
                </w:tcPr>
                <w:p w14:paraId="08D8A5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48BC4E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4"/>
                      <w:sz w:val="21"/>
                      <w:szCs w:val="21"/>
                      <w:highlight w:val="none"/>
                      <w:lang w:val="en-US" w:eastAsia="zh-CN"/>
                    </w:rPr>
                  </w:pPr>
                  <w:r>
                    <w:rPr>
                      <w:rFonts w:hint="eastAsia" w:cs="Times New Roman"/>
                      <w:color w:val="auto"/>
                      <w:spacing w:val="4"/>
                      <w:sz w:val="21"/>
                      <w:szCs w:val="21"/>
                      <w:highlight w:val="none"/>
                      <w:lang w:val="en-US" w:eastAsia="zh-CN"/>
                    </w:rPr>
                    <w:t>石油类</w:t>
                  </w:r>
                </w:p>
              </w:tc>
              <w:tc>
                <w:tcPr>
                  <w:tcW w:w="710" w:type="dxa"/>
                  <w:vAlign w:val="center"/>
                </w:tcPr>
                <w:p w14:paraId="18D00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0.13</w:t>
                  </w:r>
                </w:p>
              </w:tc>
              <w:tc>
                <w:tcPr>
                  <w:tcW w:w="885" w:type="dxa"/>
                  <w:vAlign w:val="center"/>
                </w:tcPr>
                <w:p w14:paraId="598833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610" w:type="dxa"/>
                  <w:vAlign w:val="center"/>
                </w:tcPr>
                <w:p w14:paraId="686B1A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557" w:type="dxa"/>
                  <w:vMerge w:val="continue"/>
                  <w:vAlign w:val="center"/>
                </w:tcPr>
                <w:p w14:paraId="48FB37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57" w:type="dxa"/>
                  <w:vAlign w:val="center"/>
                </w:tcPr>
                <w:p w14:paraId="599768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w:t>
                  </w:r>
                </w:p>
              </w:tc>
              <w:tc>
                <w:tcPr>
                  <w:tcW w:w="750" w:type="dxa"/>
                  <w:vAlign w:val="center"/>
                </w:tcPr>
                <w:p w14:paraId="70141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1727" w:type="dxa"/>
                  <w:vMerge w:val="continue"/>
                  <w:vAlign w:val="center"/>
                </w:tcPr>
                <w:p w14:paraId="7776434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p>
              </w:tc>
            </w:tr>
            <w:tr w14:paraId="2D82E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restart"/>
                  <w:shd w:val="clear" w:color="auto" w:fill="auto"/>
                  <w:vAlign w:val="center"/>
                </w:tcPr>
                <w:p w14:paraId="21A9AFB6">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办公生活污水</w:t>
                  </w:r>
                </w:p>
              </w:tc>
              <w:tc>
                <w:tcPr>
                  <w:tcW w:w="628" w:type="dxa"/>
                  <w:vMerge w:val="restart"/>
                  <w:vAlign w:val="center"/>
                </w:tcPr>
                <w:p w14:paraId="122200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7629.6</w:t>
                  </w:r>
                </w:p>
              </w:tc>
              <w:tc>
                <w:tcPr>
                  <w:tcW w:w="696" w:type="dxa"/>
                  <w:shd w:val="clear" w:color="auto" w:fill="auto"/>
                  <w:vAlign w:val="center"/>
                </w:tcPr>
                <w:p w14:paraId="78B48372">
                  <w:pPr>
                    <w:keepNext w:val="0"/>
                    <w:keepLines w:val="0"/>
                    <w:pageBreakBefore w:val="0"/>
                    <w:widowControl w:val="0"/>
                    <w:kinsoku/>
                    <w:wordWrap/>
                    <w:overflowPunct/>
                    <w:topLinePunct w:val="0"/>
                    <w:autoSpaceDE/>
                    <w:autoSpaceDN/>
                    <w:bidi w:val="0"/>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cr</w:t>
                  </w:r>
                </w:p>
              </w:tc>
              <w:tc>
                <w:tcPr>
                  <w:tcW w:w="710" w:type="dxa"/>
                  <w:shd w:val="clear" w:color="auto" w:fill="auto"/>
                  <w:vAlign w:val="center"/>
                </w:tcPr>
                <w:p w14:paraId="71424A3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350</w:t>
                  </w:r>
                </w:p>
              </w:tc>
              <w:tc>
                <w:tcPr>
                  <w:tcW w:w="885" w:type="dxa"/>
                  <w:vAlign w:val="center"/>
                </w:tcPr>
                <w:p w14:paraId="47268CEC">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2.67</w:t>
                  </w:r>
                </w:p>
              </w:tc>
              <w:tc>
                <w:tcPr>
                  <w:tcW w:w="610" w:type="dxa"/>
                  <w:shd w:val="clear" w:color="auto" w:fill="auto"/>
                  <w:vAlign w:val="center"/>
                </w:tcPr>
                <w:p w14:paraId="4DD72E7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15%</w:t>
                  </w:r>
                </w:p>
              </w:tc>
              <w:tc>
                <w:tcPr>
                  <w:tcW w:w="557" w:type="dxa"/>
                  <w:vMerge w:val="restart"/>
                  <w:shd w:val="clear" w:color="auto" w:fill="auto"/>
                  <w:vAlign w:val="center"/>
                </w:tcPr>
                <w:p w14:paraId="0CE7EEA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7629.6</w:t>
                  </w:r>
                </w:p>
              </w:tc>
              <w:tc>
                <w:tcPr>
                  <w:tcW w:w="857" w:type="dxa"/>
                  <w:shd w:val="clear" w:color="auto" w:fill="auto"/>
                  <w:vAlign w:val="center"/>
                </w:tcPr>
                <w:p w14:paraId="267C6DF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298</w:t>
                  </w:r>
                </w:p>
              </w:tc>
              <w:tc>
                <w:tcPr>
                  <w:tcW w:w="750" w:type="dxa"/>
                  <w:vAlign w:val="center"/>
                </w:tcPr>
                <w:p w14:paraId="51AD01D8">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2.27</w:t>
                  </w:r>
                </w:p>
              </w:tc>
              <w:tc>
                <w:tcPr>
                  <w:tcW w:w="1727" w:type="dxa"/>
                  <w:vMerge w:val="restart"/>
                  <w:vAlign w:val="center"/>
                </w:tcPr>
                <w:p w14:paraId="59B40FF9">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经</w:t>
                  </w:r>
                  <w:r>
                    <w:rPr>
                      <w:rFonts w:hint="default" w:ascii="Times New Roman" w:hAnsi="Times New Roman" w:eastAsia="宋体" w:cs="Times New Roman"/>
                      <w:color w:val="auto"/>
                      <w:spacing w:val="4"/>
                      <w:sz w:val="21"/>
                      <w:szCs w:val="21"/>
                      <w:highlight w:val="none"/>
                      <w:lang w:val="en-US" w:eastAsia="zh-CN"/>
                    </w:rPr>
                    <w:t>隔油池、化粪池</w:t>
                  </w:r>
                  <w:r>
                    <w:rPr>
                      <w:rFonts w:hint="default" w:ascii="Times New Roman" w:hAnsi="Times New Roman" w:eastAsia="宋体" w:cs="Times New Roman"/>
                      <w:color w:val="auto"/>
                      <w:spacing w:val="4"/>
                      <w:sz w:val="21"/>
                      <w:szCs w:val="21"/>
                      <w:highlight w:val="none"/>
                    </w:rPr>
                    <w:t>收集</w:t>
                  </w:r>
                  <w:r>
                    <w:rPr>
                      <w:rFonts w:hint="default" w:ascii="Times New Roman" w:hAnsi="Times New Roman" w:eastAsia="宋体" w:cs="Times New Roman"/>
                      <w:color w:val="auto"/>
                      <w:spacing w:val="4"/>
                      <w:sz w:val="21"/>
                      <w:szCs w:val="21"/>
                      <w:highlight w:val="none"/>
                      <w:lang w:val="en-US" w:eastAsia="zh-CN"/>
                    </w:rPr>
                    <w:t>预处理后进入总排口</w:t>
                  </w:r>
                </w:p>
              </w:tc>
            </w:tr>
            <w:tr w14:paraId="5AE10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5CB6311C">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28" w:type="dxa"/>
                  <w:vMerge w:val="continue"/>
                  <w:vAlign w:val="center"/>
                </w:tcPr>
                <w:p w14:paraId="07B207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06B8C13A">
                  <w:pPr>
                    <w:pStyle w:val="23"/>
                    <w:keepNext w:val="0"/>
                    <w:keepLines w:val="0"/>
                    <w:pageBreakBefore w:val="0"/>
                    <w:widowControl w:val="0"/>
                    <w:kinsoku/>
                    <w:wordWrap/>
                    <w:overflowPunct/>
                    <w:topLinePunct w:val="0"/>
                    <w:autoSpaceDE/>
                    <w:autoSpaceDN/>
                    <w:bidi w:val="0"/>
                    <w:ind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BOD</w:t>
                  </w:r>
                  <w:r>
                    <w:rPr>
                      <w:rFonts w:hint="default" w:ascii="Times New Roman" w:hAnsi="Times New Roman" w:eastAsia="宋体" w:cs="Times New Roman"/>
                      <w:color w:val="auto"/>
                      <w:kern w:val="2"/>
                      <w:sz w:val="21"/>
                      <w:szCs w:val="21"/>
                      <w:highlight w:val="none"/>
                      <w:vertAlign w:val="subscript"/>
                      <w:lang w:val="en-US" w:eastAsia="zh-CN" w:bidi="ar-SA"/>
                    </w:rPr>
                    <w:t>5</w:t>
                  </w:r>
                </w:p>
              </w:tc>
              <w:tc>
                <w:tcPr>
                  <w:tcW w:w="710" w:type="dxa"/>
                  <w:shd w:val="clear" w:color="auto" w:fill="auto"/>
                  <w:vAlign w:val="center"/>
                </w:tcPr>
                <w:p w14:paraId="6503CCA5">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180</w:t>
                  </w:r>
                </w:p>
              </w:tc>
              <w:tc>
                <w:tcPr>
                  <w:tcW w:w="885" w:type="dxa"/>
                  <w:vAlign w:val="center"/>
                </w:tcPr>
                <w:p w14:paraId="2D95D5E3">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610" w:type="dxa"/>
                  <w:shd w:val="clear" w:color="auto" w:fill="auto"/>
                  <w:vAlign w:val="center"/>
                </w:tcPr>
                <w:p w14:paraId="45C749B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9%</w:t>
                  </w:r>
                </w:p>
              </w:tc>
              <w:tc>
                <w:tcPr>
                  <w:tcW w:w="557" w:type="dxa"/>
                  <w:vMerge w:val="continue"/>
                  <w:shd w:val="clear" w:color="auto" w:fill="auto"/>
                  <w:vAlign w:val="center"/>
                </w:tcPr>
                <w:p w14:paraId="4B63E4F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shd w:val="clear" w:color="auto" w:fill="auto"/>
                  <w:vAlign w:val="center"/>
                </w:tcPr>
                <w:p w14:paraId="759A85A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164</w:t>
                  </w:r>
                </w:p>
              </w:tc>
              <w:tc>
                <w:tcPr>
                  <w:tcW w:w="750" w:type="dxa"/>
                  <w:vAlign w:val="center"/>
                </w:tcPr>
                <w:p w14:paraId="2D8BFD90">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1727" w:type="dxa"/>
                  <w:vMerge w:val="continue"/>
                  <w:vAlign w:val="center"/>
                </w:tcPr>
                <w:p w14:paraId="11113B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7A73F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shd w:val="clear" w:color="auto" w:fill="auto"/>
                  <w:vAlign w:val="center"/>
                </w:tcPr>
                <w:p w14:paraId="07994179">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628" w:type="dxa"/>
                  <w:vMerge w:val="continue"/>
                  <w:vAlign w:val="center"/>
                </w:tcPr>
                <w:p w14:paraId="08C227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5FC98DAC">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氨氮</w:t>
                  </w:r>
                </w:p>
              </w:tc>
              <w:tc>
                <w:tcPr>
                  <w:tcW w:w="710" w:type="dxa"/>
                  <w:shd w:val="clear" w:color="auto" w:fill="auto"/>
                  <w:vAlign w:val="center"/>
                </w:tcPr>
                <w:p w14:paraId="3D18A6D7">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30</w:t>
                  </w:r>
                </w:p>
              </w:tc>
              <w:tc>
                <w:tcPr>
                  <w:tcW w:w="885" w:type="dxa"/>
                  <w:vAlign w:val="center"/>
                </w:tcPr>
                <w:p w14:paraId="00B3AD0F">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c>
                <w:tcPr>
                  <w:tcW w:w="610" w:type="dxa"/>
                  <w:shd w:val="clear" w:color="auto" w:fill="auto"/>
                  <w:vAlign w:val="center"/>
                </w:tcPr>
                <w:p w14:paraId="02AA3D5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w:t>
                  </w:r>
                </w:p>
              </w:tc>
              <w:tc>
                <w:tcPr>
                  <w:tcW w:w="557" w:type="dxa"/>
                  <w:vMerge w:val="continue"/>
                  <w:shd w:val="clear" w:color="auto" w:fill="auto"/>
                  <w:vAlign w:val="center"/>
                </w:tcPr>
                <w:p w14:paraId="68657CC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shd w:val="clear" w:color="auto" w:fill="auto"/>
                  <w:vAlign w:val="center"/>
                </w:tcPr>
                <w:p w14:paraId="270D2D7C">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29</w:t>
                  </w:r>
                </w:p>
              </w:tc>
              <w:tc>
                <w:tcPr>
                  <w:tcW w:w="750" w:type="dxa"/>
                  <w:vAlign w:val="center"/>
                </w:tcPr>
                <w:p w14:paraId="10AC7068">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1727" w:type="dxa"/>
                  <w:vMerge w:val="continue"/>
                  <w:vAlign w:val="center"/>
                </w:tcPr>
                <w:p w14:paraId="785374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53C0A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vAlign w:val="center"/>
                </w:tcPr>
                <w:p w14:paraId="1DDF740C">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p>
              </w:tc>
              <w:tc>
                <w:tcPr>
                  <w:tcW w:w="628" w:type="dxa"/>
                  <w:vMerge w:val="continue"/>
                  <w:vAlign w:val="center"/>
                </w:tcPr>
                <w:p w14:paraId="0B7ECD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396ADE6C">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总磷</w:t>
                  </w:r>
                </w:p>
              </w:tc>
              <w:tc>
                <w:tcPr>
                  <w:tcW w:w="710" w:type="dxa"/>
                  <w:shd w:val="clear" w:color="auto" w:fill="auto"/>
                  <w:vAlign w:val="center"/>
                </w:tcPr>
                <w:p w14:paraId="4F4698F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6</w:t>
                  </w:r>
                </w:p>
              </w:tc>
              <w:tc>
                <w:tcPr>
                  <w:tcW w:w="885" w:type="dxa"/>
                  <w:vAlign w:val="center"/>
                </w:tcPr>
                <w:p w14:paraId="6B5DE554">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610" w:type="dxa"/>
                  <w:shd w:val="clear" w:color="auto" w:fill="auto"/>
                  <w:vAlign w:val="center"/>
                </w:tcPr>
                <w:p w14:paraId="0640E91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0%</w:t>
                  </w:r>
                </w:p>
              </w:tc>
              <w:tc>
                <w:tcPr>
                  <w:tcW w:w="557" w:type="dxa"/>
                  <w:vMerge w:val="continue"/>
                  <w:shd w:val="clear" w:color="auto" w:fill="auto"/>
                  <w:vAlign w:val="center"/>
                </w:tcPr>
                <w:p w14:paraId="61F8D7D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shd w:val="clear" w:color="auto" w:fill="auto"/>
                  <w:vAlign w:val="center"/>
                </w:tcPr>
                <w:p w14:paraId="5291A7FA">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6</w:t>
                  </w:r>
                </w:p>
              </w:tc>
              <w:tc>
                <w:tcPr>
                  <w:tcW w:w="750" w:type="dxa"/>
                  <w:vAlign w:val="center"/>
                </w:tcPr>
                <w:p w14:paraId="0874A678">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727" w:type="dxa"/>
                  <w:vMerge w:val="continue"/>
                  <w:vAlign w:val="center"/>
                </w:tcPr>
                <w:p w14:paraId="0655D7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573D2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vAlign w:val="center"/>
                </w:tcPr>
                <w:p w14:paraId="1E08B72C">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p>
              </w:tc>
              <w:tc>
                <w:tcPr>
                  <w:tcW w:w="628" w:type="dxa"/>
                  <w:vMerge w:val="continue"/>
                  <w:vAlign w:val="center"/>
                </w:tcPr>
                <w:p w14:paraId="506C0B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602FAF84">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动植物油</w:t>
                  </w:r>
                </w:p>
              </w:tc>
              <w:tc>
                <w:tcPr>
                  <w:tcW w:w="710" w:type="dxa"/>
                  <w:shd w:val="clear" w:color="auto" w:fill="auto"/>
                  <w:vAlign w:val="center"/>
                </w:tcPr>
                <w:p w14:paraId="30E3BEB2">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80</w:t>
                  </w:r>
                </w:p>
              </w:tc>
              <w:tc>
                <w:tcPr>
                  <w:tcW w:w="885" w:type="dxa"/>
                  <w:vAlign w:val="center"/>
                </w:tcPr>
                <w:p w14:paraId="55ECF39B">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610" w:type="dxa"/>
                  <w:shd w:val="clear" w:color="auto" w:fill="auto"/>
                  <w:vAlign w:val="center"/>
                </w:tcPr>
                <w:p w14:paraId="66EB204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45%</w:t>
                  </w:r>
                </w:p>
              </w:tc>
              <w:tc>
                <w:tcPr>
                  <w:tcW w:w="557" w:type="dxa"/>
                  <w:vMerge w:val="continue"/>
                  <w:shd w:val="clear" w:color="auto" w:fill="auto"/>
                  <w:vAlign w:val="center"/>
                </w:tcPr>
                <w:p w14:paraId="5E95EA0B">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p>
              </w:tc>
              <w:tc>
                <w:tcPr>
                  <w:tcW w:w="857" w:type="dxa"/>
                  <w:shd w:val="clear" w:color="auto" w:fill="auto"/>
                  <w:vAlign w:val="center"/>
                </w:tcPr>
                <w:p w14:paraId="7273BECD">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44</w:t>
                  </w:r>
                </w:p>
              </w:tc>
              <w:tc>
                <w:tcPr>
                  <w:tcW w:w="750" w:type="dxa"/>
                  <w:vAlign w:val="center"/>
                </w:tcPr>
                <w:p w14:paraId="5283CA8E">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0.34</w:t>
                  </w:r>
                </w:p>
              </w:tc>
              <w:tc>
                <w:tcPr>
                  <w:tcW w:w="1727" w:type="dxa"/>
                  <w:vMerge w:val="continue"/>
                  <w:vAlign w:val="center"/>
                </w:tcPr>
                <w:p w14:paraId="411E1C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16143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6" w:type="dxa"/>
                  <w:vMerge w:val="continue"/>
                  <w:vAlign w:val="center"/>
                </w:tcPr>
                <w:p w14:paraId="46DE6076">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p>
              </w:tc>
              <w:tc>
                <w:tcPr>
                  <w:tcW w:w="628" w:type="dxa"/>
                  <w:vMerge w:val="continue"/>
                  <w:vAlign w:val="center"/>
                </w:tcPr>
                <w:p w14:paraId="21ED0C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696" w:type="dxa"/>
                  <w:shd w:val="clear" w:color="auto" w:fill="auto"/>
                  <w:vAlign w:val="center"/>
                </w:tcPr>
                <w:p w14:paraId="6004AC0D">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悬浮物</w:t>
                  </w:r>
                </w:p>
              </w:tc>
              <w:tc>
                <w:tcPr>
                  <w:tcW w:w="710" w:type="dxa"/>
                  <w:shd w:val="clear" w:color="auto" w:fill="auto"/>
                  <w:vAlign w:val="center"/>
                </w:tcPr>
                <w:p w14:paraId="04E45E23">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320</w:t>
                  </w:r>
                </w:p>
              </w:tc>
              <w:tc>
                <w:tcPr>
                  <w:tcW w:w="885" w:type="dxa"/>
                  <w:vAlign w:val="center"/>
                </w:tcPr>
                <w:p w14:paraId="11E758A5">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2.44</w:t>
                  </w:r>
                </w:p>
              </w:tc>
              <w:tc>
                <w:tcPr>
                  <w:tcW w:w="610" w:type="dxa"/>
                  <w:shd w:val="clear" w:color="auto" w:fill="auto"/>
                  <w:vAlign w:val="center"/>
                </w:tcPr>
                <w:p w14:paraId="683F6D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557" w:type="dxa"/>
                  <w:vMerge w:val="continue"/>
                  <w:shd w:val="clear" w:color="auto" w:fill="auto"/>
                  <w:vAlign w:val="center"/>
                </w:tcPr>
                <w:p w14:paraId="5C97C5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857" w:type="dxa"/>
                  <w:shd w:val="clear" w:color="auto" w:fill="auto"/>
                  <w:vAlign w:val="center"/>
                </w:tcPr>
                <w:p w14:paraId="50410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224</w:t>
                  </w:r>
                </w:p>
              </w:tc>
              <w:tc>
                <w:tcPr>
                  <w:tcW w:w="750" w:type="dxa"/>
                  <w:vAlign w:val="center"/>
                </w:tcPr>
                <w:p w14:paraId="2DB10F1B">
                  <w:pPr>
                    <w:keepNext w:val="0"/>
                    <w:keepLines w:val="0"/>
                    <w:widowControl/>
                    <w:suppressLineNumbers w:val="0"/>
                    <w:jc w:val="center"/>
                    <w:textAlignment w:val="center"/>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1727" w:type="dxa"/>
                  <w:vMerge w:val="continue"/>
                  <w:vAlign w:val="center"/>
                </w:tcPr>
                <w:p w14:paraId="7FFB74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bl>
          <w:p w14:paraId="6BBDF071">
            <w:pPr>
              <w:keepNext w:val="0"/>
              <w:keepLines w:val="0"/>
              <w:pageBreakBefore w:val="0"/>
              <w:widowControl/>
              <w:kinsoku/>
              <w:wordWrap/>
              <w:overflowPunct/>
              <w:topLinePunct/>
              <w:autoSpaceDE w:val="0"/>
              <w:autoSpaceDN/>
              <w:bidi w:val="0"/>
              <w:adjustRightInd w:val="0"/>
              <w:snapToGrid w:val="0"/>
              <w:spacing w:before="157" w:beforeLines="5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项目废水污染物排放情况一览表</w:t>
            </w:r>
          </w:p>
          <w:tbl>
            <w:tblPr>
              <w:tblStyle w:val="6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7"/>
              <w:gridCol w:w="1338"/>
              <w:gridCol w:w="872"/>
              <w:gridCol w:w="747"/>
              <w:gridCol w:w="695"/>
              <w:gridCol w:w="744"/>
              <w:gridCol w:w="677"/>
              <w:gridCol w:w="619"/>
              <w:gridCol w:w="587"/>
              <w:gridCol w:w="510"/>
            </w:tblGrid>
            <w:tr w14:paraId="63DF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55" w:type="dxa"/>
                  <w:gridSpan w:val="2"/>
                  <w:tcBorders>
                    <w:tl2br w:val="nil"/>
                    <w:tr2bl w:val="nil"/>
                  </w:tcBorders>
                  <w:vAlign w:val="center"/>
                </w:tcPr>
                <w:p w14:paraId="2FEB1DDF">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872" w:type="dxa"/>
                  <w:tcBorders>
                    <w:tl2br w:val="nil"/>
                    <w:tr2bl w:val="nil"/>
                  </w:tcBorders>
                  <w:shd w:val="clear" w:color="auto" w:fill="auto"/>
                  <w:vAlign w:val="center"/>
                </w:tcPr>
                <w:p w14:paraId="1BB609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3"/>
                      <w:sz w:val="21"/>
                      <w:szCs w:val="21"/>
                      <w:highlight w:val="none"/>
                    </w:rPr>
                    <w:t>COD</w:t>
                  </w:r>
                  <w:r>
                    <w:rPr>
                      <w:rFonts w:hint="default" w:ascii="Times New Roman" w:hAnsi="Times New Roman" w:eastAsia="宋体" w:cs="Times New Roman"/>
                      <w:b/>
                      <w:bCs/>
                      <w:color w:val="auto"/>
                      <w:spacing w:val="3"/>
                      <w:position w:val="-1"/>
                      <w:sz w:val="21"/>
                      <w:szCs w:val="21"/>
                      <w:highlight w:val="none"/>
                    </w:rPr>
                    <w:t>cr</w:t>
                  </w:r>
                </w:p>
              </w:tc>
              <w:tc>
                <w:tcPr>
                  <w:tcW w:w="747" w:type="dxa"/>
                  <w:tcBorders>
                    <w:tl2br w:val="nil"/>
                    <w:tr2bl w:val="nil"/>
                  </w:tcBorders>
                  <w:shd w:val="clear" w:color="auto" w:fill="auto"/>
                  <w:vAlign w:val="center"/>
                </w:tcPr>
                <w:p w14:paraId="73357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pacing w:val="19"/>
                      <w:position w:val="-1"/>
                      <w:sz w:val="21"/>
                      <w:szCs w:val="21"/>
                      <w:highlight w:val="none"/>
                      <w:vertAlign w:val="subscript"/>
                    </w:rPr>
                    <w:t>5</w:t>
                  </w:r>
                </w:p>
              </w:tc>
              <w:tc>
                <w:tcPr>
                  <w:tcW w:w="695" w:type="dxa"/>
                  <w:tcBorders>
                    <w:tl2br w:val="nil"/>
                    <w:tr2bl w:val="nil"/>
                  </w:tcBorders>
                  <w:shd w:val="clear" w:color="auto" w:fill="auto"/>
                  <w:vAlign w:val="center"/>
                </w:tcPr>
                <w:p w14:paraId="74020C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pacing w:val="-1"/>
                      <w:sz w:val="21"/>
                      <w:szCs w:val="21"/>
                      <w:highlight w:val="none"/>
                    </w:rPr>
                    <w:t>SS</w:t>
                  </w:r>
                </w:p>
              </w:tc>
              <w:tc>
                <w:tcPr>
                  <w:tcW w:w="744" w:type="dxa"/>
                  <w:tcBorders>
                    <w:tl2br w:val="nil"/>
                    <w:tr2bl w:val="nil"/>
                  </w:tcBorders>
                  <w:shd w:val="clear" w:color="auto" w:fill="auto"/>
                  <w:vAlign w:val="center"/>
                </w:tcPr>
                <w:p w14:paraId="441981FC">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b/>
                      <w:bCs/>
                      <w:color w:val="auto"/>
                      <w:spacing w:val="3"/>
                      <w:sz w:val="21"/>
                      <w:szCs w:val="21"/>
                      <w:highlight w:val="none"/>
                    </w:rPr>
                    <w:t>氨氮</w:t>
                  </w:r>
                </w:p>
              </w:tc>
              <w:tc>
                <w:tcPr>
                  <w:tcW w:w="677" w:type="dxa"/>
                  <w:tcBorders>
                    <w:tl2br w:val="nil"/>
                    <w:tr2bl w:val="nil"/>
                  </w:tcBorders>
                  <w:shd w:val="clear" w:color="auto" w:fill="auto"/>
                  <w:vAlign w:val="center"/>
                </w:tcPr>
                <w:p w14:paraId="03B64F01">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b/>
                      <w:bCs/>
                      <w:color w:val="auto"/>
                      <w:spacing w:val="1"/>
                      <w:sz w:val="21"/>
                      <w:szCs w:val="21"/>
                      <w:highlight w:val="none"/>
                    </w:rPr>
                    <w:t>总磷</w:t>
                  </w:r>
                </w:p>
              </w:tc>
              <w:tc>
                <w:tcPr>
                  <w:tcW w:w="619" w:type="dxa"/>
                  <w:tcBorders>
                    <w:tl2br w:val="nil"/>
                    <w:tr2bl w:val="nil"/>
                  </w:tcBorders>
                  <w:shd w:val="clear" w:color="auto" w:fill="auto"/>
                  <w:vAlign w:val="center"/>
                </w:tcPr>
                <w:p w14:paraId="591FACD1">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pacing w:val="5"/>
                      <w:sz w:val="21"/>
                      <w:szCs w:val="21"/>
                      <w:highlight w:val="none"/>
                      <w:lang w:val="en-US" w:eastAsia="zh-CN"/>
                    </w:rPr>
                    <w:t>TSD</w:t>
                  </w:r>
                </w:p>
              </w:tc>
              <w:tc>
                <w:tcPr>
                  <w:tcW w:w="587" w:type="dxa"/>
                  <w:tcBorders>
                    <w:tl2br w:val="nil"/>
                    <w:tr2bl w:val="nil"/>
                  </w:tcBorders>
                  <w:shd w:val="clear" w:color="auto" w:fill="auto"/>
                  <w:vAlign w:val="center"/>
                </w:tcPr>
                <w:p w14:paraId="3D380F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动植物油</w:t>
                  </w:r>
                </w:p>
              </w:tc>
              <w:tc>
                <w:tcPr>
                  <w:tcW w:w="510" w:type="dxa"/>
                  <w:tcBorders>
                    <w:tl2br w:val="nil"/>
                    <w:tr2bl w:val="nil"/>
                  </w:tcBorders>
                  <w:shd w:val="clear" w:color="auto" w:fill="auto"/>
                  <w:vAlign w:val="center"/>
                </w:tcPr>
                <w:p w14:paraId="47A2AE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石油类</w:t>
                  </w:r>
                </w:p>
              </w:tc>
            </w:tr>
            <w:tr w14:paraId="48CBB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7" w:type="dxa"/>
                  <w:vMerge w:val="restart"/>
                  <w:tcBorders>
                    <w:tl2br w:val="nil"/>
                    <w:tr2bl w:val="nil"/>
                  </w:tcBorders>
                  <w:vAlign w:val="center"/>
                </w:tcPr>
                <w:p w14:paraId="48A395E0">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val="en-US" w:eastAsia="zh-CN"/>
                    </w:rPr>
                    <w:t>总排口</w:t>
                  </w:r>
                  <w:r>
                    <w:rPr>
                      <w:rFonts w:hint="default" w:ascii="Times New Roman" w:hAnsi="Times New Roman" w:eastAsia="宋体" w:cs="Times New Roman"/>
                      <w:color w:val="auto"/>
                      <w:spacing w:val="6"/>
                      <w:sz w:val="21"/>
                      <w:szCs w:val="21"/>
                      <w:highlight w:val="none"/>
                    </w:rPr>
                    <w:t>综合废水</w:t>
                  </w:r>
                  <w:r>
                    <w:rPr>
                      <w:rFonts w:hint="default" w:ascii="Times New Roman" w:hAnsi="Times New Roman" w:eastAsia="宋体" w:cs="Times New Roman"/>
                      <w:color w:val="auto"/>
                      <w:spacing w:val="3"/>
                      <w:sz w:val="21"/>
                      <w:szCs w:val="21"/>
                      <w:highlight w:val="none"/>
                      <w:lang w:val="en-US" w:eastAsia="zh-CN"/>
                    </w:rPr>
                    <w:t>112068</w:t>
                  </w:r>
                  <w:r>
                    <w:rPr>
                      <w:rFonts w:hint="default" w:ascii="Times New Roman" w:hAnsi="Times New Roman" w:eastAsia="宋体" w:cs="Times New Roman"/>
                      <w:color w:val="auto"/>
                      <w:spacing w:val="3"/>
                      <w:sz w:val="21"/>
                      <w:szCs w:val="21"/>
                      <w:highlight w:val="none"/>
                    </w:rPr>
                    <w:t>m</w:t>
                  </w:r>
                  <w:r>
                    <w:rPr>
                      <w:rFonts w:hint="default"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宋体" w:cs="Times New Roman"/>
                      <w:color w:val="auto"/>
                      <w:spacing w:val="3"/>
                      <w:sz w:val="21"/>
                      <w:szCs w:val="21"/>
                      <w:highlight w:val="none"/>
                    </w:rPr>
                    <w:t>/a</w:t>
                  </w:r>
                </w:p>
              </w:tc>
              <w:tc>
                <w:tcPr>
                  <w:tcW w:w="1338" w:type="dxa"/>
                  <w:tcBorders>
                    <w:tl2br w:val="nil"/>
                    <w:tr2bl w:val="nil"/>
                  </w:tcBorders>
                  <w:vAlign w:val="center"/>
                </w:tcPr>
                <w:p w14:paraId="79BBF5C8">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lang w:val="en-US" w:eastAsia="zh-CN"/>
                    </w:rPr>
                    <w:t>排放</w:t>
                  </w:r>
                  <w:r>
                    <w:rPr>
                      <w:rFonts w:hint="default" w:ascii="Times New Roman" w:hAnsi="Times New Roman" w:eastAsia="宋体" w:cs="Times New Roman"/>
                      <w:color w:val="auto"/>
                      <w:spacing w:val="7"/>
                      <w:sz w:val="21"/>
                      <w:szCs w:val="21"/>
                      <w:highlight w:val="none"/>
                    </w:rPr>
                    <w:t>浓度（</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7"/>
                      <w:sz w:val="21"/>
                      <w:szCs w:val="21"/>
                      <w:highlight w:val="none"/>
                    </w:rPr>
                    <w:t>/L）</w:t>
                  </w:r>
                </w:p>
              </w:tc>
              <w:tc>
                <w:tcPr>
                  <w:tcW w:w="872" w:type="dxa"/>
                  <w:tcBorders>
                    <w:tl2br w:val="nil"/>
                    <w:tr2bl w:val="nil"/>
                  </w:tcBorders>
                  <w:vAlign w:val="center"/>
                </w:tcPr>
                <w:p w14:paraId="21ACAC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192.4</w:t>
                  </w:r>
                </w:p>
              </w:tc>
              <w:tc>
                <w:tcPr>
                  <w:tcW w:w="747" w:type="dxa"/>
                  <w:tcBorders>
                    <w:tl2br w:val="nil"/>
                    <w:tr2bl w:val="nil"/>
                  </w:tcBorders>
                  <w:vAlign w:val="center"/>
                </w:tcPr>
                <w:p w14:paraId="366740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66.9</w:t>
                  </w:r>
                </w:p>
              </w:tc>
              <w:tc>
                <w:tcPr>
                  <w:tcW w:w="695" w:type="dxa"/>
                  <w:tcBorders>
                    <w:tl2br w:val="nil"/>
                    <w:tr2bl w:val="nil"/>
                  </w:tcBorders>
                  <w:vAlign w:val="center"/>
                </w:tcPr>
                <w:p w14:paraId="1424DE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70.2</w:t>
                  </w:r>
                </w:p>
              </w:tc>
              <w:tc>
                <w:tcPr>
                  <w:tcW w:w="744" w:type="dxa"/>
                  <w:tcBorders>
                    <w:tl2br w:val="nil"/>
                    <w:tr2bl w:val="nil"/>
                  </w:tcBorders>
                  <w:vAlign w:val="center"/>
                </w:tcPr>
                <w:p w14:paraId="50DDDA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677" w:type="dxa"/>
                  <w:tcBorders>
                    <w:tl2br w:val="nil"/>
                    <w:tr2bl w:val="nil"/>
                  </w:tcBorders>
                  <w:vAlign w:val="center"/>
                </w:tcPr>
                <w:p w14:paraId="0422FA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619" w:type="dxa"/>
                  <w:tcBorders>
                    <w:tl2br w:val="nil"/>
                    <w:tr2bl w:val="nil"/>
                  </w:tcBorders>
                  <w:vAlign w:val="center"/>
                </w:tcPr>
                <w:p w14:paraId="67943B6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587" w:type="dxa"/>
                  <w:tcBorders>
                    <w:tl2br w:val="nil"/>
                    <w:tr2bl w:val="nil"/>
                  </w:tcBorders>
                  <w:vAlign w:val="center"/>
                </w:tcPr>
                <w:p w14:paraId="0657AB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10" w:type="dxa"/>
                  <w:tcBorders>
                    <w:tl2br w:val="nil"/>
                    <w:tr2bl w:val="nil"/>
                  </w:tcBorders>
                  <w:vAlign w:val="center"/>
                </w:tcPr>
                <w:p w14:paraId="54768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r>
            <w:tr w14:paraId="0DE89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7" w:type="dxa"/>
                  <w:vMerge w:val="continue"/>
                  <w:tcBorders>
                    <w:tl2br w:val="nil"/>
                    <w:tr2bl w:val="nil"/>
                  </w:tcBorders>
                  <w:vAlign w:val="center"/>
                </w:tcPr>
                <w:p w14:paraId="1299A4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338" w:type="dxa"/>
                  <w:tcBorders>
                    <w:tl2br w:val="nil"/>
                    <w:tr2bl w:val="nil"/>
                  </w:tcBorders>
                  <w:vAlign w:val="center"/>
                </w:tcPr>
                <w:p w14:paraId="799D3D34">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lang w:val="en-US" w:eastAsia="zh-CN"/>
                    </w:rPr>
                    <w:t>排放量</w:t>
                  </w:r>
                  <w:r>
                    <w:rPr>
                      <w:rFonts w:hint="default" w:ascii="Times New Roman" w:hAnsi="Times New Roman" w:eastAsia="宋体" w:cs="Times New Roman"/>
                      <w:color w:val="auto"/>
                      <w:spacing w:val="4"/>
                      <w:sz w:val="21"/>
                      <w:szCs w:val="21"/>
                      <w:highlight w:val="none"/>
                    </w:rPr>
                    <w:t>（t/a）</w:t>
                  </w:r>
                </w:p>
              </w:tc>
              <w:tc>
                <w:tcPr>
                  <w:tcW w:w="872" w:type="dxa"/>
                  <w:tcBorders>
                    <w:tl2br w:val="nil"/>
                    <w:tr2bl w:val="nil"/>
                  </w:tcBorders>
                  <w:vAlign w:val="center"/>
                </w:tcPr>
                <w:p w14:paraId="37B598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21.56</w:t>
                  </w:r>
                </w:p>
              </w:tc>
              <w:tc>
                <w:tcPr>
                  <w:tcW w:w="747" w:type="dxa"/>
                  <w:tcBorders>
                    <w:tl2br w:val="nil"/>
                    <w:tr2bl w:val="nil"/>
                  </w:tcBorders>
                  <w:vAlign w:val="center"/>
                </w:tcPr>
                <w:p w14:paraId="179277E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8.43</w:t>
                  </w:r>
                </w:p>
              </w:tc>
              <w:tc>
                <w:tcPr>
                  <w:tcW w:w="695" w:type="dxa"/>
                  <w:tcBorders>
                    <w:tl2br w:val="nil"/>
                    <w:tr2bl w:val="nil"/>
                  </w:tcBorders>
                  <w:vAlign w:val="center"/>
                </w:tcPr>
                <w:p w14:paraId="3C795A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8.84</w:t>
                  </w:r>
                </w:p>
              </w:tc>
              <w:tc>
                <w:tcPr>
                  <w:tcW w:w="744" w:type="dxa"/>
                  <w:tcBorders>
                    <w:tl2br w:val="nil"/>
                    <w:tr2bl w:val="nil"/>
                  </w:tcBorders>
                  <w:vAlign w:val="center"/>
                </w:tcPr>
                <w:p w14:paraId="06238C4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0.29</w:t>
                  </w:r>
                </w:p>
              </w:tc>
              <w:tc>
                <w:tcPr>
                  <w:tcW w:w="677" w:type="dxa"/>
                  <w:tcBorders>
                    <w:tl2br w:val="nil"/>
                    <w:tr2bl w:val="nil"/>
                  </w:tcBorders>
                  <w:vAlign w:val="center"/>
                </w:tcPr>
                <w:p w14:paraId="62CA492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619" w:type="dxa"/>
                  <w:tcBorders>
                    <w:tl2br w:val="nil"/>
                    <w:tr2bl w:val="nil"/>
                  </w:tcBorders>
                  <w:vAlign w:val="center"/>
                </w:tcPr>
                <w:p w14:paraId="5BB30B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0.46</w:t>
                  </w:r>
                </w:p>
              </w:tc>
              <w:tc>
                <w:tcPr>
                  <w:tcW w:w="587" w:type="dxa"/>
                  <w:tcBorders>
                    <w:tl2br w:val="nil"/>
                    <w:tr2bl w:val="nil"/>
                  </w:tcBorders>
                  <w:vAlign w:val="center"/>
                </w:tcPr>
                <w:p w14:paraId="470F5A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510" w:type="dxa"/>
                  <w:tcBorders>
                    <w:tl2br w:val="nil"/>
                    <w:tr2bl w:val="nil"/>
                  </w:tcBorders>
                  <w:vAlign w:val="center"/>
                </w:tcPr>
                <w:p w14:paraId="1ACB64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r>
            <w:tr w14:paraId="1726A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7" w:type="dxa"/>
                  <w:vMerge w:val="continue"/>
                  <w:tcBorders>
                    <w:tl2br w:val="nil"/>
                    <w:tr2bl w:val="nil"/>
                  </w:tcBorders>
                  <w:vAlign w:val="center"/>
                </w:tcPr>
                <w:p w14:paraId="117D11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338" w:type="dxa"/>
                  <w:tcBorders>
                    <w:tl2br w:val="nil"/>
                    <w:tr2bl w:val="nil"/>
                  </w:tcBorders>
                  <w:vAlign w:val="center"/>
                </w:tcPr>
                <w:p w14:paraId="02EFAEE1">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排放标准</w:t>
                  </w:r>
                  <w:r>
                    <w:rPr>
                      <w:rFonts w:hint="default" w:ascii="Times New Roman" w:hAnsi="Times New Roman" w:eastAsia="宋体" w:cs="Times New Roman"/>
                      <w:color w:val="auto"/>
                      <w:spacing w:val="7"/>
                      <w:sz w:val="21"/>
                      <w:szCs w:val="21"/>
                      <w:highlight w:val="none"/>
                    </w:rPr>
                    <w:t>（</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pacing w:val="7"/>
                      <w:sz w:val="21"/>
                      <w:szCs w:val="21"/>
                      <w:highlight w:val="none"/>
                    </w:rPr>
                    <w:t>/L）</w:t>
                  </w:r>
                </w:p>
              </w:tc>
              <w:tc>
                <w:tcPr>
                  <w:tcW w:w="872" w:type="dxa"/>
                  <w:tcBorders>
                    <w:tl2br w:val="nil"/>
                    <w:tr2bl w:val="nil"/>
                  </w:tcBorders>
                  <w:vAlign w:val="center"/>
                </w:tcPr>
                <w:p w14:paraId="022A32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380</w:t>
                  </w:r>
                </w:p>
              </w:tc>
              <w:tc>
                <w:tcPr>
                  <w:tcW w:w="747" w:type="dxa"/>
                  <w:tcBorders>
                    <w:tl2br w:val="nil"/>
                    <w:tr2bl w:val="nil"/>
                  </w:tcBorders>
                  <w:vAlign w:val="center"/>
                </w:tcPr>
                <w:p w14:paraId="71EAE4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210</w:t>
                  </w:r>
                </w:p>
              </w:tc>
              <w:tc>
                <w:tcPr>
                  <w:tcW w:w="695" w:type="dxa"/>
                  <w:tcBorders>
                    <w:tl2br w:val="nil"/>
                    <w:tr2bl w:val="nil"/>
                  </w:tcBorders>
                  <w:vAlign w:val="center"/>
                </w:tcPr>
                <w:p w14:paraId="25572A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744" w:type="dxa"/>
                  <w:tcBorders>
                    <w:tl2br w:val="nil"/>
                    <w:tr2bl w:val="nil"/>
                  </w:tcBorders>
                  <w:vAlign w:val="center"/>
                </w:tcPr>
                <w:p w14:paraId="246D6C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35</w:t>
                  </w:r>
                </w:p>
              </w:tc>
              <w:tc>
                <w:tcPr>
                  <w:tcW w:w="677" w:type="dxa"/>
                  <w:tcBorders>
                    <w:tl2br w:val="nil"/>
                    <w:tr2bl w:val="nil"/>
                  </w:tcBorders>
                  <w:vAlign w:val="center"/>
                </w:tcPr>
                <w:p w14:paraId="5CE919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4</w:t>
                  </w:r>
                </w:p>
              </w:tc>
              <w:tc>
                <w:tcPr>
                  <w:tcW w:w="619" w:type="dxa"/>
                  <w:tcBorders>
                    <w:tl2br w:val="nil"/>
                    <w:tr2bl w:val="nil"/>
                  </w:tcBorders>
                  <w:vAlign w:val="center"/>
                </w:tcPr>
                <w:p w14:paraId="24048E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w:t>
                  </w:r>
                </w:p>
              </w:tc>
              <w:tc>
                <w:tcPr>
                  <w:tcW w:w="587" w:type="dxa"/>
                  <w:tcBorders>
                    <w:tl2br w:val="nil"/>
                    <w:tr2bl w:val="nil"/>
                  </w:tcBorders>
                  <w:vAlign w:val="center"/>
                </w:tcPr>
                <w:p w14:paraId="35C9EF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100</w:t>
                  </w:r>
                </w:p>
              </w:tc>
              <w:tc>
                <w:tcPr>
                  <w:tcW w:w="510" w:type="dxa"/>
                  <w:tcBorders>
                    <w:tl2br w:val="nil"/>
                    <w:tr2bl w:val="nil"/>
                  </w:tcBorders>
                  <w:vAlign w:val="center"/>
                </w:tcPr>
                <w:p w14:paraId="0780B2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15</w:t>
                  </w:r>
                </w:p>
              </w:tc>
            </w:tr>
            <w:tr w14:paraId="5449D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17" w:type="dxa"/>
                  <w:vMerge w:val="continue"/>
                  <w:tcBorders>
                    <w:tl2br w:val="nil"/>
                    <w:tr2bl w:val="nil"/>
                  </w:tcBorders>
                  <w:vAlign w:val="center"/>
                </w:tcPr>
                <w:p w14:paraId="70FD59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338" w:type="dxa"/>
                  <w:tcBorders>
                    <w:tl2br w:val="nil"/>
                    <w:tr2bl w:val="nil"/>
                  </w:tcBorders>
                  <w:vAlign w:val="center"/>
                </w:tcPr>
                <w:p w14:paraId="1A2F5E33">
                  <w:pPr>
                    <w:pStyle w:val="5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val="en-US" w:eastAsia="zh-CN"/>
                    </w:rPr>
                    <w:t>达标情况</w:t>
                  </w:r>
                </w:p>
              </w:tc>
              <w:tc>
                <w:tcPr>
                  <w:tcW w:w="872" w:type="dxa"/>
                  <w:tcBorders>
                    <w:tl2br w:val="nil"/>
                    <w:tr2bl w:val="nil"/>
                  </w:tcBorders>
                  <w:vAlign w:val="center"/>
                </w:tcPr>
                <w:p w14:paraId="7D1F1DA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747" w:type="dxa"/>
                  <w:tcBorders>
                    <w:tl2br w:val="nil"/>
                    <w:tr2bl w:val="nil"/>
                  </w:tcBorders>
                  <w:vAlign w:val="center"/>
                </w:tcPr>
                <w:p w14:paraId="31AB70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695" w:type="dxa"/>
                  <w:tcBorders>
                    <w:tl2br w:val="nil"/>
                    <w:tr2bl w:val="nil"/>
                  </w:tcBorders>
                  <w:vAlign w:val="center"/>
                </w:tcPr>
                <w:p w14:paraId="610033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744" w:type="dxa"/>
                  <w:tcBorders>
                    <w:tl2br w:val="nil"/>
                    <w:tr2bl w:val="nil"/>
                  </w:tcBorders>
                  <w:vAlign w:val="center"/>
                </w:tcPr>
                <w:p w14:paraId="68FFDF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677" w:type="dxa"/>
                  <w:tcBorders>
                    <w:tl2br w:val="nil"/>
                    <w:tr2bl w:val="nil"/>
                  </w:tcBorders>
                  <w:vAlign w:val="center"/>
                </w:tcPr>
                <w:p w14:paraId="18C6B0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619" w:type="dxa"/>
                  <w:tcBorders>
                    <w:tl2br w:val="nil"/>
                    <w:tr2bl w:val="nil"/>
                  </w:tcBorders>
                  <w:vAlign w:val="center"/>
                </w:tcPr>
                <w:p w14:paraId="0B7C30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w:t>
                  </w:r>
                </w:p>
              </w:tc>
              <w:tc>
                <w:tcPr>
                  <w:tcW w:w="587" w:type="dxa"/>
                  <w:tcBorders>
                    <w:tl2br w:val="nil"/>
                    <w:tr2bl w:val="nil"/>
                  </w:tcBorders>
                  <w:vAlign w:val="center"/>
                </w:tcPr>
                <w:p w14:paraId="4F93CA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510" w:type="dxa"/>
                  <w:tcBorders>
                    <w:tl2br w:val="nil"/>
                    <w:tr2bl w:val="nil"/>
                  </w:tcBorders>
                  <w:vAlign w:val="center"/>
                </w:tcPr>
                <w:p w14:paraId="71C22F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0C24736B">
            <w:pPr>
              <w:pStyle w:val="19"/>
              <w:keepNext w:val="0"/>
              <w:keepLines w:val="0"/>
              <w:pageBreakBefore w:val="0"/>
              <w:widowControl w:val="0"/>
              <w:numPr>
                <w:ilvl w:val="0"/>
                <w:numId w:val="0"/>
              </w:numPr>
              <w:kinsoku/>
              <w:wordWrap/>
              <w:overflowPunct/>
              <w:topLinePunct/>
              <w:autoSpaceDE w:val="0"/>
              <w:autoSpaceDN/>
              <w:bidi w:val="0"/>
              <w:adjustRightInd/>
              <w:snapToGrid/>
              <w:spacing w:before="0" w:after="0" w:line="360" w:lineRule="auto"/>
              <w:ind w:left="0" w:left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highlight w:val="none"/>
                <w:lang w:val="en-US" w:eastAsia="zh-CN"/>
              </w:rPr>
              <w:t>废水处理设施处置可行性分析</w:t>
            </w:r>
          </w:p>
          <w:p w14:paraId="70FA16CF">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隔油池</w:t>
            </w:r>
          </w:p>
          <w:p w14:paraId="35226D91">
            <w:pPr>
              <w:keepNext w:val="0"/>
              <w:keepLines w:val="0"/>
              <w:pageBreakBefore w:val="0"/>
              <w:kinsoku/>
              <w:overflowPunct/>
              <w:topLinePunct/>
              <w:autoSpaceDE w:val="0"/>
              <w:bidi w:val="0"/>
              <w:spacing w:line="360" w:lineRule="auto"/>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设置情况：</w:t>
            </w:r>
            <w:r>
              <w:rPr>
                <w:rFonts w:hint="default" w:ascii="Times New Roman" w:hAnsi="Times New Roman" w:eastAsia="宋体" w:cs="Times New Roman"/>
                <w:color w:val="auto"/>
                <w:sz w:val="24"/>
                <w:highlight w:val="none"/>
              </w:rPr>
              <w:t>本项目设置1座容积为</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的隔油池。</w:t>
            </w:r>
          </w:p>
          <w:p w14:paraId="1964F875">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可行性分析：</w:t>
            </w:r>
            <w:r>
              <w:rPr>
                <w:rFonts w:hint="default" w:ascii="Times New Roman" w:hAnsi="Times New Roman" w:eastAsia="宋体" w:cs="Times New Roman"/>
                <w:color w:val="auto"/>
                <w:sz w:val="24"/>
                <w:szCs w:val="24"/>
                <w:highlight w:val="none"/>
              </w:rPr>
              <w:t>根据水平衡分析，本项目食堂废水产生量为</w:t>
            </w:r>
            <w:r>
              <w:rPr>
                <w:rFonts w:hint="default" w:ascii="Times New Roman" w:hAnsi="Times New Roman" w:eastAsia="宋体" w:cs="Times New Roman"/>
                <w:color w:val="auto"/>
                <w:sz w:val="24"/>
                <w:szCs w:val="24"/>
                <w:highlight w:val="none"/>
                <w:lang w:val="en-US" w:eastAsia="zh-CN"/>
              </w:rPr>
              <w:t>5.1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bidi="ar"/>
              </w:rPr>
              <w:t>根据《饮食业环境保护设计规程》（DGJ08-110-2004）中6.2隔油处理设计的水力停留要求，含油废水的水力停留时间不得小于0.5h，人工除油的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bidi="ar"/>
              </w:rPr>
              <w:t>池内存油部分的容积不得小于该池有效容积的25%，项目隔油池容积</w:t>
            </w:r>
            <w:r>
              <w:rPr>
                <w:rFonts w:hint="default" w:ascii="Times New Roman" w:hAnsi="Times New Roman" w:eastAsia="宋体" w:cs="Times New Roman"/>
                <w:color w:val="auto"/>
                <w:sz w:val="24"/>
                <w:szCs w:val="24"/>
                <w:highlight w:val="none"/>
              </w:rPr>
              <w:t>不小于</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，可满足食堂废水处置要求。</w:t>
            </w:r>
          </w:p>
          <w:p w14:paraId="5456912D">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化粪池</w:t>
            </w:r>
          </w:p>
          <w:p w14:paraId="44B5FA30">
            <w:pPr>
              <w:keepNext w:val="0"/>
              <w:keepLines w:val="0"/>
              <w:pageBreakBefore w:val="0"/>
              <w:kinsoku/>
              <w:overflowPunct/>
              <w:topLinePunct/>
              <w:autoSpaceDE w:val="0"/>
              <w:bidi w:val="0"/>
              <w:spacing w:line="360" w:lineRule="auto"/>
              <w:ind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设置情况：</w:t>
            </w:r>
            <w:r>
              <w:rPr>
                <w:rFonts w:hint="default" w:ascii="Times New Roman" w:hAnsi="Times New Roman" w:eastAsia="宋体" w:cs="Times New Roman"/>
                <w:color w:val="auto"/>
                <w:sz w:val="24"/>
                <w:highlight w:val="none"/>
              </w:rPr>
              <w:t>本项目设置1座容积为30m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的化粪池。</w:t>
            </w:r>
          </w:p>
          <w:p w14:paraId="1F486364">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可行性分析：</w:t>
            </w:r>
            <w:r>
              <w:rPr>
                <w:rFonts w:hint="default" w:ascii="Times New Roman" w:hAnsi="Times New Roman" w:eastAsia="宋体" w:cs="Times New Roman"/>
                <w:color w:val="auto"/>
                <w:sz w:val="24"/>
                <w:szCs w:val="24"/>
                <w:highlight w:val="none"/>
              </w:rPr>
              <w:t>根据水平衡分析，本项目生活污水产生量为</w:t>
            </w:r>
            <w:r>
              <w:rPr>
                <w:rFonts w:hint="default" w:ascii="Times New Roman" w:hAnsi="Times New Roman" w:eastAsia="宋体" w:cs="Times New Roman"/>
                <w:color w:val="auto"/>
                <w:sz w:val="24"/>
                <w:szCs w:val="24"/>
                <w:highlight w:val="none"/>
                <w:lang w:val="en-US" w:eastAsia="zh-CN"/>
              </w:rPr>
              <w:t>23.12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，根据《建筑给水排水设计规范》（GB50015-2009）污水在化粪池中停留时间应满足12-24h；项目化粪池的容积不小于30m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，可以满足12-24h停留时间，保证废水处理效果及处理量，满足生活污水的处理要求。</w:t>
            </w:r>
          </w:p>
          <w:p w14:paraId="44E03DBF">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4"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pacing w:val="1"/>
                <w:sz w:val="24"/>
                <w:szCs w:val="24"/>
                <w:highlight w:val="none"/>
              </w:rPr>
              <w:t>根据《排污许可证申请与核发技术规范  总则》（</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pacing w:val="1"/>
                <w:sz w:val="24"/>
                <w:szCs w:val="24"/>
                <w:highlight w:val="none"/>
              </w:rPr>
              <w:t>942-20</w:t>
            </w:r>
            <w:r>
              <w:rPr>
                <w:rFonts w:hint="default" w:ascii="Times New Roman" w:hAnsi="Times New Roman" w:eastAsia="宋体" w:cs="Times New Roman"/>
                <w:color w:val="auto"/>
                <w:sz w:val="24"/>
                <w:szCs w:val="24"/>
                <w:highlight w:val="none"/>
              </w:rPr>
              <w:t>18）中</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"4.5.3.1"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sz w:val="24"/>
                <w:szCs w:val="24"/>
                <w:highlight w:val="none"/>
              </w:rPr>
              <w:t>4.5.3.1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2"/>
                <w:sz w:val="24"/>
                <w:szCs w:val="24"/>
                <w:highlight w:val="none"/>
              </w:rPr>
              <w:t>生活污水防治工艺为“过滤、沉淀-活性污泥法、生物接触氧化、其他”等处</w:t>
            </w:r>
            <w:r>
              <w:rPr>
                <w:rFonts w:hint="default" w:ascii="Times New Roman" w:hAnsi="Times New Roman" w:eastAsia="宋体" w:cs="Times New Roman"/>
                <w:color w:val="auto"/>
                <w:spacing w:val="1"/>
                <w:sz w:val="24"/>
                <w:szCs w:val="24"/>
                <w:highlight w:val="none"/>
              </w:rPr>
              <w:t>理技术</w:t>
            </w:r>
            <w:r>
              <w:rPr>
                <w:rFonts w:hint="default" w:ascii="Times New Roman" w:hAnsi="Times New Roman" w:eastAsia="宋体" w:cs="Times New Roman"/>
                <w:color w:val="auto"/>
                <w:spacing w:val="-2"/>
                <w:sz w:val="24"/>
                <w:szCs w:val="24"/>
                <w:highlight w:val="none"/>
              </w:rPr>
              <w:t>或其他。生活污水处理工艺为化粪池，化粪池是一种利用沉淀和厌氧发酵的原理</w:t>
            </w:r>
            <w:r>
              <w:rPr>
                <w:rFonts w:hint="default" w:ascii="Times New Roman" w:hAnsi="Times New Roman" w:eastAsia="宋体" w:cs="Times New Roman"/>
                <w:color w:val="auto"/>
                <w:spacing w:val="-3"/>
                <w:sz w:val="24"/>
                <w:szCs w:val="24"/>
                <w:highlight w:val="none"/>
              </w:rPr>
              <w:t>去除生活污水中悬浮性有机物的处理设施，属于初级的过渡</w:t>
            </w:r>
            <w:r>
              <w:rPr>
                <w:rFonts w:hint="default" w:ascii="Times New Roman" w:hAnsi="Times New Roman" w:eastAsia="宋体" w:cs="Times New Roman"/>
                <w:color w:val="auto"/>
                <w:spacing w:val="-4"/>
                <w:sz w:val="24"/>
                <w:szCs w:val="24"/>
                <w:highlight w:val="none"/>
              </w:rPr>
              <w:t>性生活处理构筑物，可</w:t>
            </w:r>
            <w:r>
              <w:rPr>
                <w:rFonts w:hint="default" w:ascii="Times New Roman" w:hAnsi="Times New Roman" w:eastAsia="宋体" w:cs="Times New Roman"/>
                <w:color w:val="auto"/>
                <w:spacing w:val="-1"/>
                <w:sz w:val="24"/>
                <w:szCs w:val="24"/>
                <w:highlight w:val="none"/>
              </w:rPr>
              <w:t>有效处理粪便等，属于可行性技术。</w:t>
            </w:r>
          </w:p>
          <w:p w14:paraId="6B1C1B3A">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2" w:firstLineChars="200"/>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strike w:val="0"/>
                <w:dstrike w:val="0"/>
                <w:color w:val="auto"/>
                <w:sz w:val="24"/>
                <w:szCs w:val="24"/>
                <w:highlight w:val="none"/>
                <w:lang w:val="en-US" w:eastAsia="zh-CN"/>
              </w:rPr>
              <w:t>生产废水处理系统处理规模及工艺设置可行性分析</w:t>
            </w:r>
          </w:p>
          <w:p w14:paraId="670BF260">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74" w:firstLineChars="200"/>
              <w:textAlignment w:val="auto"/>
              <w:rPr>
                <w:rFonts w:hint="default" w:ascii="Times New Roman" w:hAnsi="Times New Roman" w:eastAsia="宋体" w:cs="Times New Roman"/>
                <w:b/>
                <w:bCs/>
                <w:strike w:val="0"/>
                <w:dstrike w:val="0"/>
                <w:color w:val="auto"/>
                <w:kern w:val="2"/>
                <w:sz w:val="24"/>
                <w:szCs w:val="24"/>
                <w:highlight w:val="none"/>
                <w:lang w:val="en-US" w:eastAsia="zh-CN" w:bidi="ar-SA"/>
              </w:rPr>
            </w:pPr>
            <w:r>
              <w:rPr>
                <w:rFonts w:hint="eastAsia" w:cs="Times New Roman"/>
                <w:b/>
                <w:bCs/>
                <w:color w:val="auto"/>
                <w:spacing w:val="-2"/>
                <w:sz w:val="24"/>
                <w:szCs w:val="24"/>
                <w:highlight w:val="none"/>
                <w:lang w:val="en-US" w:eastAsia="zh-CN"/>
              </w:rPr>
              <w:t>1</w:t>
            </w:r>
            <w:r>
              <w:rPr>
                <w:rFonts w:hint="eastAsia" w:cs="Times New Roman"/>
                <w:b/>
                <w:bCs/>
                <w:color w:val="auto"/>
                <w:spacing w:val="-2"/>
                <w:sz w:val="24"/>
                <w:szCs w:val="24"/>
                <w:highlight w:val="none"/>
                <w:lang w:eastAsia="zh-CN"/>
              </w:rPr>
              <w:t>）</w:t>
            </w:r>
            <w:r>
              <w:rPr>
                <w:rFonts w:hint="eastAsia" w:cs="Times New Roman"/>
                <w:b/>
                <w:bCs/>
                <w:strike w:val="0"/>
                <w:dstrike w:val="0"/>
                <w:color w:val="auto"/>
                <w:kern w:val="2"/>
                <w:sz w:val="24"/>
                <w:szCs w:val="24"/>
                <w:highlight w:val="none"/>
                <w:lang w:val="en-US" w:eastAsia="zh-CN" w:bidi="ar-SA"/>
              </w:rPr>
              <w:t>循环水池</w:t>
            </w:r>
          </w:p>
          <w:p w14:paraId="7EF5A743">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default" w:ascii="Times New Roman" w:hAnsi="Times New Roman" w:eastAsia="宋体" w:cs="Times New Roman"/>
                <w:b w:val="0"/>
                <w:bCs w:val="0"/>
                <w:strike w:val="0"/>
                <w:dstrike w:val="0"/>
                <w:color w:val="auto"/>
                <w:kern w:val="2"/>
                <w:sz w:val="24"/>
                <w:szCs w:val="24"/>
                <w:highlight w:val="none"/>
                <w:lang w:val="en-US" w:eastAsia="zh-CN" w:bidi="ar-SA"/>
              </w:rPr>
            </w:pPr>
            <w:r>
              <w:rPr>
                <w:rFonts w:hint="default" w:ascii="Times New Roman" w:hAnsi="Times New Roman" w:eastAsia="宋体" w:cs="Times New Roman"/>
                <w:b w:val="0"/>
                <w:bCs w:val="0"/>
                <w:strike w:val="0"/>
                <w:dstrike w:val="0"/>
                <w:color w:val="auto"/>
                <w:kern w:val="2"/>
                <w:sz w:val="24"/>
                <w:szCs w:val="24"/>
                <w:highlight w:val="none"/>
                <w:lang w:val="en-US" w:eastAsia="zh-CN" w:bidi="ar-SA"/>
              </w:rPr>
              <w:t>①</w:t>
            </w:r>
            <w:r>
              <w:rPr>
                <w:rFonts w:hint="eastAsia" w:ascii="宋体" w:hAnsi="宋体"/>
                <w:b w:val="0"/>
                <w:bCs w:val="0"/>
                <w:color w:val="auto"/>
                <w:sz w:val="24"/>
                <w:szCs w:val="24"/>
              </w:rPr>
              <w:t>磨抛废水、圆磨废水</w:t>
            </w:r>
          </w:p>
          <w:p w14:paraId="183ACA53">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72" w:firstLineChars="200"/>
              <w:jc w:val="both"/>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2"/>
                <w:sz w:val="24"/>
                <w:szCs w:val="24"/>
                <w:highlight w:val="none"/>
              </w:rPr>
              <w:t>本项目</w:t>
            </w:r>
            <w:r>
              <w:rPr>
                <w:rFonts w:hint="eastAsia" w:ascii="宋体" w:hAnsi="宋体"/>
                <w:color w:val="auto"/>
                <w:sz w:val="24"/>
                <w:szCs w:val="24"/>
              </w:rPr>
              <w:t>磨抛废水、圆磨废水</w:t>
            </w:r>
            <w:r>
              <w:rPr>
                <w:rFonts w:hint="default" w:ascii="Times New Roman" w:hAnsi="Times New Roman" w:eastAsia="宋体" w:cs="Times New Roman"/>
                <w:color w:val="auto"/>
                <w:spacing w:val="-2"/>
                <w:sz w:val="24"/>
                <w:szCs w:val="24"/>
                <w:highlight w:val="none"/>
              </w:rPr>
              <w:t>主要污染物主要为SS的含尘</w:t>
            </w:r>
            <w:r>
              <w:rPr>
                <w:rFonts w:hint="default" w:ascii="Times New Roman" w:hAnsi="Times New Roman" w:eastAsia="宋体" w:cs="Times New Roman"/>
                <w:color w:val="auto"/>
                <w:spacing w:val="-3"/>
                <w:sz w:val="24"/>
                <w:szCs w:val="24"/>
                <w:highlight w:val="none"/>
              </w:rPr>
              <w:t>废水经</w:t>
            </w:r>
            <w:r>
              <w:rPr>
                <w:rFonts w:hint="default" w:ascii="Times New Roman" w:hAnsi="Times New Roman" w:eastAsia="宋体" w:cs="Times New Roman"/>
                <w:color w:val="auto"/>
                <w:spacing w:val="-4"/>
                <w:sz w:val="24"/>
                <w:szCs w:val="24"/>
                <w:highlight w:val="none"/>
              </w:rPr>
              <w:t>对应</w:t>
            </w:r>
            <w:r>
              <w:rPr>
                <w:rFonts w:hint="default" w:ascii="Times New Roman" w:hAnsi="Times New Roman" w:eastAsia="宋体" w:cs="Times New Roman"/>
                <w:color w:val="auto"/>
                <w:spacing w:val="-3"/>
                <w:sz w:val="24"/>
                <w:szCs w:val="24"/>
                <w:highlight w:val="none"/>
              </w:rPr>
              <w:t>沉淀池，絮凝沉淀后大部分循环回用。根据</w:t>
            </w:r>
            <w:r>
              <w:rPr>
                <w:rFonts w:hint="default" w:ascii="Times New Roman" w:hAnsi="Times New Roman" w:eastAsia="宋体" w:cs="Times New Roman"/>
                <w:color w:val="auto"/>
                <w:spacing w:val="-3"/>
                <w:sz w:val="24"/>
                <w:szCs w:val="24"/>
                <w:highlight w:val="none"/>
                <w:lang w:val="en-US" w:eastAsia="zh-CN"/>
              </w:rPr>
              <w:t>废水</w:t>
            </w:r>
            <w:r>
              <w:rPr>
                <w:rFonts w:hint="default" w:ascii="Times New Roman" w:hAnsi="Times New Roman" w:eastAsia="宋体" w:cs="Times New Roman"/>
                <w:color w:val="auto"/>
                <w:spacing w:val="-3"/>
                <w:sz w:val="24"/>
                <w:szCs w:val="24"/>
                <w:highlight w:val="none"/>
              </w:rPr>
              <w:t>设计</w:t>
            </w:r>
            <w:r>
              <w:rPr>
                <w:rFonts w:hint="default" w:ascii="Times New Roman" w:hAnsi="Times New Roman" w:eastAsia="宋体" w:cs="Times New Roman"/>
                <w:color w:val="auto"/>
                <w:spacing w:val="-3"/>
                <w:sz w:val="24"/>
                <w:szCs w:val="24"/>
                <w:highlight w:val="none"/>
                <w:lang w:val="en-US" w:eastAsia="zh-CN"/>
              </w:rPr>
              <w:t>方案</w:t>
            </w:r>
            <w:r>
              <w:rPr>
                <w:rFonts w:hint="eastAsia" w:ascii="Times New Roman" w:hAnsi="Times New Roman" w:eastAsia="宋体" w:cs="Times New Roman"/>
                <w:color w:val="auto"/>
                <w:spacing w:val="-3"/>
                <w:sz w:val="24"/>
                <w:szCs w:val="24"/>
                <w:highlight w:val="none"/>
                <w:lang w:val="en-US" w:eastAsia="zh-CN"/>
              </w:rPr>
              <w:t>，设计</w:t>
            </w:r>
            <w:r>
              <w:rPr>
                <w:rFonts w:hint="eastAsia" w:ascii="Times New Roman" w:hAnsi="Times New Roman" w:eastAsia="宋体" w:cs="Times New Roman"/>
                <w:color w:val="auto"/>
                <w:spacing w:val="-3"/>
                <w:sz w:val="24"/>
                <w:szCs w:val="24"/>
                <w:highlight w:val="none"/>
              </w:rPr>
              <w:t>磨抛废水、圆磨废水</w:t>
            </w:r>
            <w:r>
              <w:rPr>
                <w:rFonts w:hint="eastAsia" w:ascii="Times New Roman" w:hAnsi="Times New Roman" w:eastAsia="宋体" w:cs="Times New Roman"/>
                <w:color w:val="auto"/>
                <w:spacing w:val="-3"/>
                <w:sz w:val="24"/>
                <w:szCs w:val="24"/>
                <w:highlight w:val="none"/>
                <w:lang w:val="en-US" w:eastAsia="zh-CN"/>
              </w:rPr>
              <w:t>处理规模50000</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sz w:val="24"/>
                <w:szCs w:val="24"/>
                <w:highlight w:val="none"/>
                <w:vertAlign w:val="superscript"/>
              </w:rPr>
              <w:t>3</w:t>
            </w:r>
            <w:r>
              <w:rPr>
                <w:rFonts w:hint="default" w:ascii="Times New Roman" w:hAnsi="Times New Roman" w:eastAsia="宋体" w:cs="Times New Roman"/>
                <w:color w:val="auto"/>
                <w:spacing w:val="-3"/>
                <w:sz w:val="24"/>
                <w:szCs w:val="24"/>
                <w:highlight w:val="none"/>
              </w:rPr>
              <w:t>/d</w:t>
            </w:r>
            <w:r>
              <w:rPr>
                <w:rFonts w:hint="eastAsia" w:ascii="Times New Roman" w:hAnsi="Times New Roman" w:eastAsia="宋体"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工作原理</w:t>
            </w:r>
            <w:r>
              <w:rPr>
                <w:rFonts w:hint="eastAsia" w:ascii="宋体" w:hAnsi="宋体"/>
                <w:color w:val="auto"/>
                <w:sz w:val="24"/>
                <w:szCs w:val="24"/>
              </w:rPr>
              <w:t>是在高效絮凝沉淀池净水工艺中引入磁性微粒，通过絮凝、吸引吸附、电荷吸附、架桥、网捕等作用将水体中的藻类、微小悬浮物、胶体、细菌等不溶性污染物与微粒磁粉（磁粉比重5.2）有效结合，形成更大体积和密度的磁性絮体，强化了絮凝效果，能够捕捉凝聚更微小粒径的污染物，絮体沉降快，水体净化效果优异，出水清澈透明。其沉淀池污泥由回流泵送至磁粉污泥分离系统回收磁粉循环使用，分离出的污泥排入污泥池进行脱水处理</w:t>
            </w:r>
            <w:r>
              <w:rPr>
                <w:rFonts w:hint="default" w:ascii="Times New Roman" w:hAnsi="Times New Roman" w:eastAsia="宋体" w:cs="Times New Roman"/>
                <w:color w:val="auto"/>
                <w:spacing w:val="-1"/>
                <w:sz w:val="24"/>
                <w:szCs w:val="24"/>
                <w:highlight w:val="none"/>
              </w:rPr>
              <w:t>，其处理工艺可行。</w:t>
            </w:r>
          </w:p>
          <w:p w14:paraId="1F7C0CA0">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eastAsia" w:ascii="宋体" w:hAnsi="宋体" w:cs="Times New Roman"/>
                <w:color w:val="auto"/>
                <w:kern w:val="1"/>
                <w:sz w:val="24"/>
                <w:szCs w:val="24"/>
                <w:lang w:val="en-US" w:eastAsia="zh-CN" w:bidi="ar-SA"/>
              </w:rPr>
            </w:pPr>
            <w:r>
              <w:rPr>
                <w:rFonts w:hint="eastAsia" w:ascii="宋体" w:hAnsi="宋体" w:eastAsia="宋体" w:cs="Times New Roman"/>
                <w:color w:val="auto"/>
                <w:kern w:val="1"/>
                <w:sz w:val="24"/>
                <w:szCs w:val="24"/>
                <w:lang w:val="en-US" w:eastAsia="zh-CN" w:bidi="ar-SA"/>
              </w:rPr>
              <w:t>具体工艺流程见下图</w:t>
            </w:r>
            <w:r>
              <w:rPr>
                <w:rFonts w:hint="eastAsia" w:ascii="宋体" w:hAnsi="宋体" w:cs="Times New Roman"/>
                <w:color w:val="auto"/>
                <w:kern w:val="1"/>
                <w:sz w:val="24"/>
                <w:szCs w:val="24"/>
                <w:lang w:val="en-US" w:eastAsia="zh-CN" w:bidi="ar-SA"/>
              </w:rPr>
              <w:t>所示。</w:t>
            </w:r>
          </w:p>
          <w:tbl>
            <w:tblPr>
              <w:tblStyle w:val="30"/>
              <w:tblW w:w="791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16"/>
            </w:tblGrid>
            <w:tr w14:paraId="39A0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16" w:type="dxa"/>
                </w:tcPr>
                <w:p w14:paraId="780BE6DD">
                  <w:pPr>
                    <w:jc w:val="center"/>
                    <w:rPr>
                      <w:rFonts w:hint="eastAsia" w:ascii="宋体" w:hAnsi="宋体" w:cs="Times New Roman"/>
                      <w:color w:val="auto"/>
                      <w:kern w:val="1"/>
                      <w:sz w:val="24"/>
                      <w:szCs w:val="24"/>
                      <w:vertAlign w:val="baseli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图4-</w:t>
                  </w:r>
                  <w:r>
                    <w:rPr>
                      <w:rFonts w:hint="eastAsia" w:cs="Times New Roman"/>
                      <w:b/>
                      <w:bCs/>
                      <w:color w:val="auto"/>
                      <w:kern w:val="0"/>
                      <w:sz w:val="24"/>
                      <w:szCs w:val="24"/>
                      <w:highlight w:val="none"/>
                      <w:lang w:val="en-US" w:eastAsia="zh-CN" w:bidi="ar-SA"/>
                    </w:rPr>
                    <w:t>1</w:t>
                  </w:r>
                  <w:r>
                    <w:rPr>
                      <w:rFonts w:hint="default" w:ascii="Times New Roman" w:hAnsi="Times New Roman" w:eastAsia="宋体" w:cs="Times New Roman"/>
                      <w:b/>
                      <w:bCs/>
                      <w:color w:val="auto"/>
                      <w:kern w:val="0"/>
                      <w:sz w:val="24"/>
                      <w:szCs w:val="24"/>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 xml:space="preserve"> 磨抛废水、圆磨废水处理工艺流程</w:t>
                  </w:r>
                  <w:r>
                    <w:rPr>
                      <w:rFonts w:hint="eastAsia" w:cs="Times New Roman"/>
                      <w:b/>
                      <w:bCs/>
                      <w:color w:val="auto"/>
                      <w:kern w:val="0"/>
                      <w:sz w:val="24"/>
                      <w:szCs w:val="24"/>
                      <w:highlight w:val="none"/>
                      <w:lang w:val="en-US" w:eastAsia="zh-CN" w:bidi="ar-SA"/>
                    </w:rPr>
                    <w:t>示意</w:t>
                  </w:r>
                  <w:r>
                    <w:rPr>
                      <w:rFonts w:hint="eastAsia" w:ascii="Times New Roman" w:hAnsi="Times New Roman" w:eastAsia="宋体" w:cs="Times New Roman"/>
                      <w:b/>
                      <w:bCs/>
                      <w:color w:val="auto"/>
                      <w:kern w:val="0"/>
                      <w:sz w:val="24"/>
                      <w:szCs w:val="24"/>
                      <w:highlight w:val="none"/>
                      <w:lang w:val="en-US" w:eastAsia="zh-CN" w:bidi="ar-SA"/>
                    </w:rPr>
                    <w:t>图</w:t>
                  </w:r>
                  <w:r>
                    <w:rPr>
                      <w:rFonts w:hint="eastAsia" w:ascii="宋体" w:hAnsi="宋体" w:eastAsia="宋体" w:cs="Times New Roman"/>
                      <w:color w:val="auto"/>
                      <w:kern w:val="1"/>
                      <w:sz w:val="24"/>
                      <w:szCs w:val="24"/>
                      <w:lang w:val="en-US" w:eastAsia="zh-CN" w:bidi="ar-SA"/>
                    </w:rPr>
                    <w:drawing>
                      <wp:anchor distT="0" distB="0" distL="114300" distR="114300" simplePos="0" relativeHeight="251682816" behindDoc="0" locked="0" layoutInCell="1" allowOverlap="1">
                        <wp:simplePos x="0" y="0"/>
                        <wp:positionH relativeFrom="column">
                          <wp:posOffset>5080</wp:posOffset>
                        </wp:positionH>
                        <wp:positionV relativeFrom="paragraph">
                          <wp:posOffset>-3175</wp:posOffset>
                        </wp:positionV>
                        <wp:extent cx="4895850" cy="2242185"/>
                        <wp:effectExtent l="9525" t="9525" r="9525" b="1524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4895850" cy="2242185"/>
                                </a:xfrm>
                                <a:prstGeom prst="rect">
                                  <a:avLst/>
                                </a:prstGeom>
                                <a:noFill/>
                                <a:ln>
                                  <a:solidFill>
                                    <a:schemeClr val="tx1"/>
                                  </a:solidFill>
                                </a:ln>
                              </pic:spPr>
                            </pic:pic>
                          </a:graphicData>
                        </a:graphic>
                      </wp:anchor>
                    </w:drawing>
                  </w:r>
                </w:p>
              </w:tc>
            </w:tr>
          </w:tbl>
          <w:p w14:paraId="34B54E29">
            <w:pPr>
              <w:pStyle w:val="28"/>
              <w:keepNext w:val="0"/>
              <w:keepLines w:val="0"/>
              <w:pageBreakBefore w:val="0"/>
              <w:widowControl w:val="0"/>
              <w:kinsoku/>
              <w:wordWrap/>
              <w:overflowPunct/>
              <w:topLinePunct/>
              <w:autoSpaceDE w:val="0"/>
              <w:autoSpaceDN/>
              <w:bidi w:val="0"/>
              <w:adjustRightInd/>
              <w:snapToGrid/>
              <w:spacing w:before="157" w:beforeLines="50" w:after="0" w:line="360" w:lineRule="auto"/>
              <w:ind w:left="0" w:firstLine="468" w:firstLineChars="200"/>
              <w:jc w:val="both"/>
              <w:textAlignment w:val="auto"/>
              <w:rPr>
                <w:rFonts w:hint="default" w:ascii="Times New Roman" w:hAnsi="Times New Roman" w:cs="Times New Roman"/>
                <w:color w:val="auto"/>
                <w:spacing w:val="-8"/>
                <w:sz w:val="24"/>
                <w:szCs w:val="24"/>
                <w:highlight w:val="none"/>
                <w:lang w:val="en-US" w:eastAsia="zh-CN"/>
              </w:rPr>
            </w:pPr>
            <w:r>
              <w:rPr>
                <w:rFonts w:hint="default" w:ascii="Times New Roman" w:hAnsi="Times New Roman" w:eastAsia="宋体" w:cs="Times New Roman"/>
                <w:color w:val="auto"/>
                <w:spacing w:val="-3"/>
                <w:sz w:val="24"/>
                <w:szCs w:val="24"/>
                <w:highlight w:val="none"/>
                <w:lang w:val="en-US" w:eastAsia="zh-CN"/>
              </w:rPr>
              <w:t>根据</w:t>
            </w:r>
            <w:r>
              <w:rPr>
                <w:rFonts w:hint="default" w:ascii="Times New Roman" w:hAnsi="Times New Roman" w:eastAsia="宋体" w:cs="Times New Roman"/>
                <w:color w:val="auto"/>
                <w:spacing w:val="-4"/>
                <w:sz w:val="24"/>
                <w:szCs w:val="24"/>
                <w:highlight w:val="none"/>
              </w:rPr>
              <w:t>工程分析，项目</w:t>
            </w:r>
            <w:r>
              <w:rPr>
                <w:rFonts w:hint="default" w:ascii="Times New Roman" w:hAnsi="Times New Roman" w:eastAsia="宋体" w:cs="Times New Roman"/>
                <w:color w:val="auto"/>
                <w:spacing w:val="-1"/>
                <w:sz w:val="24"/>
                <w:szCs w:val="24"/>
                <w:highlight w:val="none"/>
                <w:lang w:eastAsia="zh-CN"/>
              </w:rPr>
              <w:t>磨抛</w:t>
            </w:r>
            <w:r>
              <w:rPr>
                <w:rFonts w:hint="default" w:ascii="Times New Roman" w:hAnsi="Times New Roman" w:eastAsia="宋体" w:cs="Times New Roman"/>
                <w:color w:val="auto"/>
                <w:spacing w:val="-1"/>
                <w:sz w:val="24"/>
                <w:szCs w:val="24"/>
                <w:highlight w:val="none"/>
              </w:rPr>
              <w:t>废水产生量为</w:t>
            </w:r>
            <w:r>
              <w:rPr>
                <w:rFonts w:hint="default" w:ascii="Times New Roman" w:hAnsi="Times New Roman" w:eastAsia="宋体" w:cs="Times New Roman"/>
                <w:color w:val="auto"/>
                <w:spacing w:val="-1"/>
                <w:sz w:val="24"/>
                <w:szCs w:val="24"/>
                <w:highlight w:val="none"/>
                <w:lang w:val="en-US" w:eastAsia="zh-CN"/>
              </w:rPr>
              <w:t>11</w:t>
            </w:r>
            <w:r>
              <w:rPr>
                <w:rFonts w:hint="eastAsia" w:cs="Times New Roman"/>
                <w:color w:val="auto"/>
                <w:spacing w:val="-1"/>
                <w:sz w:val="24"/>
                <w:szCs w:val="24"/>
                <w:highlight w:val="none"/>
                <w:lang w:val="en-US" w:eastAsia="zh-CN"/>
              </w:rPr>
              <w:t>16</w:t>
            </w:r>
            <w:r>
              <w:rPr>
                <w:rFonts w:hint="default" w:ascii="Times New Roman" w:hAnsi="Times New Roman" w:eastAsia="宋体" w:cs="Times New Roman"/>
                <w:color w:val="auto"/>
                <w:spacing w:val="-1"/>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eastAsia" w:cs="Times New Roman"/>
                <w:color w:val="auto"/>
                <w:spacing w:val="-2"/>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1"/>
                <w:sz w:val="24"/>
                <w:szCs w:val="24"/>
                <w:highlight w:val="none"/>
              </w:rPr>
              <w:t>圆磨</w:t>
            </w:r>
            <w:r>
              <w:rPr>
                <w:rFonts w:hint="default" w:ascii="Times New Roman" w:hAnsi="Times New Roman" w:eastAsia="宋体" w:cs="Times New Roman"/>
                <w:color w:val="auto"/>
                <w:spacing w:val="-2"/>
                <w:sz w:val="24"/>
                <w:szCs w:val="24"/>
                <w:highlight w:val="none"/>
              </w:rPr>
              <w:t>废水量为</w:t>
            </w:r>
            <w:r>
              <w:rPr>
                <w:rFonts w:hint="default" w:ascii="Times New Roman" w:hAnsi="Times New Roman" w:eastAsia="宋体" w:cs="Times New Roman"/>
                <w:color w:val="auto"/>
                <w:spacing w:val="-2"/>
                <w:sz w:val="24"/>
                <w:szCs w:val="24"/>
                <w:highlight w:val="none"/>
                <w:lang w:val="en-US" w:eastAsia="zh-CN"/>
              </w:rPr>
              <w:t>15</w:t>
            </w:r>
            <w:r>
              <w:rPr>
                <w:rFonts w:hint="default" w:ascii="Times New Roman" w:hAnsi="Times New Roman" w:cs="Times New Roman"/>
                <w:color w:val="auto"/>
                <w:spacing w:val="-2"/>
                <w:sz w:val="24"/>
                <w:szCs w:val="24"/>
                <w:highlight w:val="none"/>
                <w:lang w:val="en-US" w:eastAsia="zh-CN"/>
              </w:rPr>
              <w:t>624</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2"/>
                <w:position w:val="7"/>
                <w:sz w:val="15"/>
                <w:szCs w:val="15"/>
                <w:highlight w:val="none"/>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3"/>
                <w:sz w:val="24"/>
                <w:szCs w:val="24"/>
                <w:highlight w:val="none"/>
              </w:rPr>
              <w:t>根据</w:t>
            </w:r>
            <w:r>
              <w:rPr>
                <w:rFonts w:hint="default" w:ascii="Times New Roman" w:hAnsi="Times New Roman" w:eastAsia="宋体" w:cs="Times New Roman"/>
                <w:color w:val="auto"/>
                <w:spacing w:val="-3"/>
                <w:sz w:val="24"/>
                <w:szCs w:val="24"/>
                <w:highlight w:val="none"/>
                <w:lang w:val="en-US" w:eastAsia="zh-CN"/>
              </w:rPr>
              <w:t>废水</w:t>
            </w:r>
            <w:r>
              <w:rPr>
                <w:rFonts w:hint="default" w:ascii="Times New Roman" w:hAnsi="Times New Roman" w:eastAsia="宋体" w:cs="Times New Roman"/>
                <w:color w:val="auto"/>
                <w:spacing w:val="-3"/>
                <w:sz w:val="24"/>
                <w:szCs w:val="24"/>
                <w:highlight w:val="none"/>
              </w:rPr>
              <w:t>设计</w:t>
            </w:r>
            <w:r>
              <w:rPr>
                <w:rFonts w:hint="default" w:ascii="Times New Roman" w:hAnsi="Times New Roman" w:eastAsia="宋体" w:cs="Times New Roman"/>
                <w:color w:val="auto"/>
                <w:spacing w:val="-3"/>
                <w:sz w:val="24"/>
                <w:szCs w:val="24"/>
                <w:highlight w:val="none"/>
                <w:lang w:val="en-US" w:eastAsia="zh-CN"/>
              </w:rPr>
              <w:t>方案</w:t>
            </w:r>
            <w:r>
              <w:rPr>
                <w:rFonts w:hint="eastAsia" w:cs="Times New Roman"/>
                <w:color w:val="auto"/>
                <w:spacing w:val="-3"/>
                <w:sz w:val="24"/>
                <w:szCs w:val="24"/>
                <w:highlight w:val="none"/>
                <w:lang w:val="en-US" w:eastAsia="zh-CN"/>
              </w:rPr>
              <w:t>，</w:t>
            </w:r>
            <w:r>
              <w:rPr>
                <w:rFonts w:hint="eastAsia" w:ascii="Times New Roman" w:hAnsi="Times New Roman" w:eastAsia="宋体" w:cs="Times New Roman"/>
                <w:color w:val="auto"/>
                <w:spacing w:val="-3"/>
                <w:sz w:val="24"/>
                <w:szCs w:val="24"/>
                <w:highlight w:val="none"/>
              </w:rPr>
              <w:t>磨抛废水、圆磨废水</w:t>
            </w:r>
            <w:r>
              <w:rPr>
                <w:rFonts w:hint="eastAsia" w:ascii="Times New Roman" w:hAnsi="Times New Roman" w:eastAsia="宋体" w:cs="Times New Roman"/>
                <w:color w:val="auto"/>
                <w:spacing w:val="-3"/>
                <w:sz w:val="24"/>
                <w:szCs w:val="24"/>
                <w:highlight w:val="none"/>
                <w:lang w:val="en-US" w:eastAsia="zh-CN"/>
              </w:rPr>
              <w:t>处理规模50000</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sz w:val="24"/>
                <w:szCs w:val="24"/>
                <w:highlight w:val="none"/>
                <w:vertAlign w:val="superscript"/>
              </w:rPr>
              <w:t>3</w:t>
            </w:r>
            <w:r>
              <w:rPr>
                <w:rFonts w:hint="default" w:ascii="Times New Roman" w:hAnsi="Times New Roman" w:eastAsia="宋体" w:cs="Times New Roman"/>
                <w:color w:val="auto"/>
                <w:spacing w:val="-3"/>
                <w:sz w:val="24"/>
                <w:szCs w:val="24"/>
                <w:highlight w:val="none"/>
              </w:rPr>
              <w:t>/d</w:t>
            </w:r>
            <w:r>
              <w:rPr>
                <w:rFonts w:hint="eastAsia"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废水</w:t>
            </w:r>
            <w:r>
              <w:rPr>
                <w:rFonts w:hint="eastAsia" w:cs="Times New Roman"/>
                <w:color w:val="auto"/>
                <w:spacing w:val="-3"/>
                <w:sz w:val="24"/>
                <w:szCs w:val="24"/>
                <w:highlight w:val="none"/>
                <w:lang w:val="en-US" w:eastAsia="zh-CN"/>
              </w:rPr>
              <w:t>约</w:t>
            </w:r>
            <w:r>
              <w:rPr>
                <w:rFonts w:hint="default" w:ascii="Times New Roman" w:hAnsi="Times New Roman" w:eastAsia="宋体" w:cs="Times New Roman"/>
                <w:color w:val="auto"/>
                <w:spacing w:val="-3"/>
                <w:sz w:val="24"/>
                <w:szCs w:val="24"/>
                <w:highlight w:val="none"/>
                <w:lang w:val="en-US" w:eastAsia="zh-CN"/>
              </w:rPr>
              <w:t>停留1</w:t>
            </w:r>
            <w:r>
              <w:rPr>
                <w:rFonts w:hint="default" w:ascii="Times New Roman" w:hAnsi="Times New Roman" w:cs="Times New Roman"/>
                <w:color w:val="auto"/>
                <w:spacing w:val="-3"/>
                <w:sz w:val="24"/>
                <w:szCs w:val="24"/>
                <w:highlight w:val="none"/>
                <w:lang w:val="en-US" w:eastAsia="zh-CN"/>
              </w:rPr>
              <w:t>0min</w:t>
            </w:r>
            <w:r>
              <w:rPr>
                <w:rFonts w:hint="default" w:ascii="Times New Roman" w:hAnsi="Times New Roman" w:eastAsia="宋体" w:cs="Times New Roman"/>
                <w:color w:val="auto"/>
                <w:spacing w:val="-3"/>
                <w:sz w:val="24"/>
                <w:szCs w:val="24"/>
                <w:highlight w:val="none"/>
                <w:lang w:val="en-US" w:eastAsia="zh-CN"/>
              </w:rPr>
              <w:t>计</w:t>
            </w:r>
            <w:r>
              <w:rPr>
                <w:rFonts w:hint="default" w:ascii="Times New Roman" w:hAnsi="Times New Roman" w:eastAsia="宋体" w:cs="Times New Roman"/>
                <w:color w:val="auto"/>
                <w:spacing w:val="-3"/>
                <w:sz w:val="24"/>
                <w:szCs w:val="24"/>
                <w:highlight w:val="none"/>
              </w:rPr>
              <w:t>，项目</w:t>
            </w:r>
            <w:r>
              <w:rPr>
                <w:rFonts w:hint="default" w:ascii="Times New Roman" w:hAnsi="Times New Roman" w:eastAsia="宋体" w:cs="Times New Roman"/>
                <w:color w:val="auto"/>
                <w:spacing w:val="-3"/>
                <w:sz w:val="24"/>
                <w:szCs w:val="24"/>
                <w:highlight w:val="none"/>
                <w:lang w:val="en-US" w:eastAsia="zh-CN"/>
              </w:rPr>
              <w:t>拟</w:t>
            </w:r>
            <w:r>
              <w:rPr>
                <w:rFonts w:hint="default" w:ascii="Times New Roman" w:hAnsi="Times New Roman" w:eastAsia="宋体" w:cs="Times New Roman"/>
                <w:color w:val="auto"/>
                <w:spacing w:val="-3"/>
                <w:sz w:val="24"/>
                <w:szCs w:val="24"/>
                <w:highlight w:val="none"/>
              </w:rPr>
              <w:t>设置</w:t>
            </w:r>
            <w:r>
              <w:rPr>
                <w:rFonts w:hint="default" w:ascii="Times New Roman" w:hAnsi="Times New Roman"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rPr>
              <w:t>座磨抛循环水池</w:t>
            </w:r>
            <w:r>
              <w:rPr>
                <w:rFonts w:hint="default" w:ascii="Times New Roman" w:hAnsi="Times New Roman" w:eastAsia="宋体" w:cs="Times New Roman"/>
                <w:color w:val="auto"/>
                <w:spacing w:val="-8"/>
                <w:sz w:val="24"/>
                <w:szCs w:val="24"/>
                <w:highlight w:val="none"/>
              </w:rPr>
              <w:t>（</w:t>
            </w:r>
            <w:r>
              <w:rPr>
                <w:rFonts w:hint="default" w:ascii="Times New Roman" w:hAnsi="Times New Roman" w:cs="Times New Roman"/>
                <w:color w:val="auto"/>
                <w:spacing w:val="-8"/>
                <w:sz w:val="24"/>
                <w:szCs w:val="24"/>
                <w:highlight w:val="none"/>
                <w:lang w:val="en-US" w:eastAsia="zh-CN"/>
              </w:rPr>
              <w:t>主要由</w:t>
            </w:r>
            <w:r>
              <w:rPr>
                <w:rFonts w:hint="default" w:ascii="Times New Roman" w:hAnsi="Times New Roman" w:cs="Times New Roman"/>
                <w:color w:val="auto"/>
                <w:sz w:val="24"/>
                <w:szCs w:val="24"/>
              </w:rPr>
              <w:t>T1快混池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val="en-US" w:eastAsia="zh-CN"/>
              </w:rPr>
              <w:t>2磁加载</w:t>
            </w:r>
            <w:r>
              <w:rPr>
                <w:rFonts w:hint="default" w:ascii="Times New Roman" w:hAnsi="Times New Roman" w:cs="Times New Roman"/>
                <w:color w:val="auto"/>
                <w:sz w:val="24"/>
                <w:szCs w:val="24"/>
              </w:rPr>
              <w:t>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絮凝反应池</w:t>
            </w:r>
            <w:r>
              <w:rPr>
                <w:rFonts w:hint="default" w:ascii="Times New Roman" w:hAnsi="Times New Roman" w:cs="Times New Roman"/>
                <w:color w:val="auto"/>
                <w:sz w:val="24"/>
                <w:szCs w:val="24"/>
                <w:lang w:val="en-US" w:eastAsia="zh-CN"/>
              </w:rPr>
              <w:t>构成</w:t>
            </w:r>
            <w:r>
              <w:rPr>
                <w:rFonts w:hint="default" w:ascii="Times New Roman" w:hAnsi="Times New Roman" w:eastAsia="宋体" w:cs="Times New Roman"/>
                <w:color w:val="auto"/>
                <w:spacing w:val="-8"/>
                <w:sz w:val="24"/>
                <w:szCs w:val="24"/>
                <w:highlight w:val="none"/>
              </w:rPr>
              <w:t>）处理磨抛废水</w:t>
            </w:r>
            <w:r>
              <w:rPr>
                <w:rFonts w:hint="default" w:ascii="Times New Roman" w:hAnsi="Times New Roman" w:cs="Times New Roman"/>
                <w:color w:val="auto"/>
                <w:spacing w:val="-8"/>
                <w:sz w:val="24"/>
                <w:szCs w:val="24"/>
                <w:highlight w:val="none"/>
                <w:lang w:eastAsia="zh-CN"/>
              </w:rPr>
              <w:t>，</w:t>
            </w:r>
            <w:r>
              <w:rPr>
                <w:rFonts w:hint="default" w:ascii="Times New Roman" w:hAnsi="Times New Roman" w:cs="Times New Roman"/>
                <w:color w:val="auto"/>
                <w:spacing w:val="-8"/>
                <w:sz w:val="24"/>
                <w:szCs w:val="24"/>
                <w:highlight w:val="none"/>
                <w:lang w:val="en-US" w:eastAsia="zh-CN"/>
              </w:rPr>
              <w:t>总</w:t>
            </w:r>
            <w:r>
              <w:rPr>
                <w:rFonts w:hint="default" w:ascii="Times New Roman" w:hAnsi="Times New Roman" w:eastAsia="宋体" w:cs="Times New Roman"/>
                <w:color w:val="auto"/>
                <w:spacing w:val="-8"/>
                <w:sz w:val="24"/>
                <w:szCs w:val="24"/>
                <w:highlight w:val="none"/>
                <w:lang w:val="en-US" w:eastAsia="zh-CN"/>
              </w:rPr>
              <w:t>容积不小于</w:t>
            </w:r>
            <w:r>
              <w:rPr>
                <w:rFonts w:hint="default" w:ascii="Times New Roman" w:hAnsi="Times New Roman" w:cs="Times New Roman"/>
                <w:color w:val="auto"/>
                <w:spacing w:val="-8"/>
                <w:sz w:val="24"/>
                <w:szCs w:val="24"/>
                <w:highlight w:val="none"/>
                <w:lang w:val="en-US" w:eastAsia="zh-CN"/>
              </w:rPr>
              <w:t>12</w:t>
            </w:r>
            <w:r>
              <w:rPr>
                <w:rFonts w:hint="default" w:ascii="Times New Roman" w:hAnsi="Times New Roman" w:eastAsia="宋体" w:cs="Times New Roman"/>
                <w:color w:val="auto"/>
                <w:spacing w:val="-8"/>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default" w:ascii="Times New Roman" w:hAnsi="Times New Roman" w:cs="Times New Roman"/>
                <w:color w:val="auto"/>
                <w:spacing w:val="-2"/>
                <w:sz w:val="24"/>
                <w:szCs w:val="24"/>
                <w:highlight w:val="none"/>
                <w:vertAlign w:val="superscript"/>
                <w:lang w:val="en-US" w:eastAsia="zh-CN"/>
              </w:rPr>
              <w:t>3</w:t>
            </w:r>
            <w:r>
              <w:rPr>
                <w:rFonts w:hint="eastAsia" w:ascii="Times New Roman" w:hAnsi="Times New Roman" w:cs="Times New Roman"/>
                <w:color w:val="auto"/>
                <w:spacing w:val="-8"/>
                <w:sz w:val="24"/>
                <w:szCs w:val="24"/>
                <w:highlight w:val="none"/>
                <w:lang w:val="en-US" w:eastAsia="zh-CN"/>
              </w:rPr>
              <w:t>，</w:t>
            </w:r>
            <w:r>
              <w:rPr>
                <w:rFonts w:hint="default" w:ascii="Times New Roman" w:hAnsi="Times New Roman" w:eastAsia="宋体" w:cs="Times New Roman"/>
                <w:color w:val="auto"/>
                <w:spacing w:val="-3"/>
                <w:sz w:val="24"/>
                <w:szCs w:val="24"/>
                <w:highlight w:val="none"/>
              </w:rPr>
              <w:t>设置</w:t>
            </w:r>
            <w:r>
              <w:rPr>
                <w:rFonts w:hint="default" w:ascii="Times New Roman" w:hAnsi="Times New Roman"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rPr>
              <w:t>座</w:t>
            </w:r>
            <w:r>
              <w:rPr>
                <w:rFonts w:hint="eastAsia" w:ascii="Times New Roman" w:hAnsi="Times New Roman" w:cs="Times New Roman"/>
                <w:color w:val="auto"/>
                <w:spacing w:val="-2"/>
                <w:sz w:val="24"/>
                <w:szCs w:val="24"/>
                <w:highlight w:val="none"/>
                <w:lang w:val="en-US" w:eastAsia="zh-CN"/>
              </w:rPr>
              <w:t>圆磨</w:t>
            </w:r>
            <w:r>
              <w:rPr>
                <w:rFonts w:hint="default" w:ascii="Times New Roman" w:hAnsi="Times New Roman" w:eastAsia="宋体" w:cs="Times New Roman"/>
                <w:color w:val="auto"/>
                <w:spacing w:val="-2"/>
                <w:sz w:val="24"/>
                <w:szCs w:val="24"/>
                <w:highlight w:val="none"/>
              </w:rPr>
              <w:t>循环水池</w:t>
            </w:r>
            <w:r>
              <w:rPr>
                <w:rFonts w:hint="default" w:ascii="Times New Roman" w:hAnsi="Times New Roman" w:eastAsia="宋体" w:cs="Times New Roman"/>
                <w:color w:val="auto"/>
                <w:spacing w:val="-8"/>
                <w:sz w:val="24"/>
                <w:szCs w:val="24"/>
                <w:highlight w:val="none"/>
              </w:rPr>
              <w:t>（</w:t>
            </w:r>
            <w:r>
              <w:rPr>
                <w:rFonts w:hint="default" w:ascii="Times New Roman" w:hAnsi="Times New Roman" w:cs="Times New Roman"/>
                <w:color w:val="auto"/>
                <w:spacing w:val="-8"/>
                <w:sz w:val="24"/>
                <w:szCs w:val="24"/>
                <w:highlight w:val="none"/>
                <w:lang w:val="en-US" w:eastAsia="zh-CN"/>
              </w:rPr>
              <w:t>主要由</w:t>
            </w:r>
            <w:r>
              <w:rPr>
                <w:rFonts w:hint="default" w:ascii="Times New Roman" w:hAnsi="Times New Roman" w:cs="Times New Roman"/>
                <w:color w:val="auto"/>
                <w:sz w:val="24"/>
                <w:szCs w:val="24"/>
              </w:rPr>
              <w:t>T1快混池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val="en-US" w:eastAsia="zh-CN"/>
              </w:rPr>
              <w:t>2磁加载</w:t>
            </w:r>
            <w:r>
              <w:rPr>
                <w:rFonts w:hint="default" w:ascii="Times New Roman" w:hAnsi="Times New Roman" w:cs="Times New Roman"/>
                <w:color w:val="auto"/>
                <w:sz w:val="24"/>
                <w:szCs w:val="24"/>
              </w:rPr>
              <w:t>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絮凝反应池</w:t>
            </w:r>
            <w:r>
              <w:rPr>
                <w:rFonts w:hint="default" w:ascii="Times New Roman" w:hAnsi="Times New Roman" w:cs="Times New Roman"/>
                <w:color w:val="auto"/>
                <w:sz w:val="24"/>
                <w:szCs w:val="24"/>
                <w:lang w:val="en-US" w:eastAsia="zh-CN"/>
              </w:rPr>
              <w:t>构成</w:t>
            </w:r>
            <w:r>
              <w:rPr>
                <w:rFonts w:hint="default" w:ascii="Times New Roman" w:hAnsi="Times New Roman" w:eastAsia="宋体" w:cs="Times New Roman"/>
                <w:color w:val="auto"/>
                <w:spacing w:val="-8"/>
                <w:sz w:val="24"/>
                <w:szCs w:val="24"/>
                <w:highlight w:val="none"/>
              </w:rPr>
              <w:t>）处理</w:t>
            </w:r>
            <w:r>
              <w:rPr>
                <w:rFonts w:hint="eastAsia" w:ascii="Times New Roman" w:hAnsi="Times New Roman" w:cs="Times New Roman"/>
                <w:color w:val="auto"/>
                <w:spacing w:val="-2"/>
                <w:sz w:val="24"/>
                <w:szCs w:val="24"/>
                <w:highlight w:val="none"/>
                <w:lang w:val="en-US" w:eastAsia="zh-CN"/>
              </w:rPr>
              <w:t>圆磨</w:t>
            </w:r>
            <w:r>
              <w:rPr>
                <w:rFonts w:hint="default" w:ascii="Times New Roman" w:hAnsi="Times New Roman" w:eastAsia="宋体" w:cs="Times New Roman"/>
                <w:color w:val="auto"/>
                <w:spacing w:val="-8"/>
                <w:sz w:val="24"/>
                <w:szCs w:val="24"/>
                <w:highlight w:val="none"/>
              </w:rPr>
              <w:t>废水</w:t>
            </w:r>
            <w:r>
              <w:rPr>
                <w:rFonts w:hint="default" w:ascii="Times New Roman" w:hAnsi="Times New Roman" w:cs="Times New Roman"/>
                <w:color w:val="auto"/>
                <w:spacing w:val="-8"/>
                <w:sz w:val="24"/>
                <w:szCs w:val="24"/>
                <w:highlight w:val="none"/>
                <w:lang w:eastAsia="zh-CN"/>
              </w:rPr>
              <w:t>，</w:t>
            </w:r>
            <w:r>
              <w:rPr>
                <w:rFonts w:hint="default" w:ascii="Times New Roman" w:hAnsi="Times New Roman" w:cs="Times New Roman"/>
                <w:color w:val="auto"/>
                <w:spacing w:val="-8"/>
                <w:sz w:val="24"/>
                <w:szCs w:val="24"/>
                <w:highlight w:val="none"/>
                <w:lang w:val="en-US" w:eastAsia="zh-CN"/>
              </w:rPr>
              <w:t>总</w:t>
            </w:r>
            <w:r>
              <w:rPr>
                <w:rFonts w:hint="default" w:ascii="Times New Roman" w:hAnsi="Times New Roman" w:eastAsia="宋体" w:cs="Times New Roman"/>
                <w:color w:val="auto"/>
                <w:spacing w:val="-8"/>
                <w:sz w:val="24"/>
                <w:szCs w:val="24"/>
                <w:highlight w:val="none"/>
                <w:lang w:val="en-US" w:eastAsia="zh-CN"/>
              </w:rPr>
              <w:t>容积不小于</w:t>
            </w:r>
            <w:r>
              <w:rPr>
                <w:rFonts w:hint="default" w:ascii="Times New Roman" w:hAnsi="Times New Roman" w:cs="Times New Roman"/>
                <w:color w:val="auto"/>
                <w:spacing w:val="-8"/>
                <w:sz w:val="24"/>
                <w:szCs w:val="24"/>
                <w:highlight w:val="none"/>
                <w:lang w:val="en-US" w:eastAsia="zh-CN"/>
              </w:rPr>
              <w:t>12</w:t>
            </w:r>
            <w:r>
              <w:rPr>
                <w:rFonts w:hint="default" w:ascii="Times New Roman" w:hAnsi="Times New Roman" w:eastAsia="宋体" w:cs="Times New Roman"/>
                <w:color w:val="auto"/>
                <w:spacing w:val="-8"/>
                <w:sz w:val="24"/>
                <w:szCs w:val="24"/>
                <w:highlight w:val="none"/>
                <w:lang w:val="en-US" w:eastAsia="zh-CN"/>
              </w:rPr>
              <w:t>0</w:t>
            </w:r>
            <w:r>
              <w:rPr>
                <w:rFonts w:hint="default" w:ascii="Times New Roman" w:hAnsi="Times New Roman" w:eastAsia="宋体" w:cs="Times New Roman"/>
                <w:color w:val="auto"/>
                <w:spacing w:val="-2"/>
                <w:sz w:val="24"/>
                <w:szCs w:val="24"/>
                <w:highlight w:val="none"/>
              </w:rPr>
              <w:t>m</w:t>
            </w:r>
            <w:r>
              <w:rPr>
                <w:rFonts w:hint="default" w:ascii="Times New Roman" w:hAnsi="Times New Roman" w:cs="Times New Roman"/>
                <w:color w:val="auto"/>
                <w:spacing w:val="-2"/>
                <w:sz w:val="24"/>
                <w:szCs w:val="24"/>
                <w:highlight w:val="none"/>
                <w:vertAlign w:val="superscript"/>
                <w:lang w:val="en-US" w:eastAsia="zh-CN"/>
              </w:rPr>
              <w:t>3</w:t>
            </w:r>
            <w:r>
              <w:rPr>
                <w:rFonts w:hint="default" w:ascii="Times New Roman" w:hAnsi="Times New Roman" w:cs="Times New Roman"/>
                <w:color w:val="auto"/>
                <w:spacing w:val="-8"/>
                <w:sz w:val="24"/>
                <w:szCs w:val="24"/>
                <w:highlight w:val="none"/>
                <w:lang w:val="en-US" w:eastAsia="zh-CN"/>
              </w:rPr>
              <w:t>。</w:t>
            </w:r>
          </w:p>
          <w:p w14:paraId="491B120E">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9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废水排入</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循环水池进行混凝沉淀处理后大部分循环回用，小部分</w:t>
            </w:r>
            <w:r>
              <w:rPr>
                <w:rFonts w:hint="default" w:ascii="Times New Roman" w:hAnsi="Times New Roman" w:eastAsia="宋体" w:cs="Times New Roman"/>
                <w:color w:val="auto"/>
                <w:spacing w:val="-2"/>
                <w:sz w:val="24"/>
                <w:szCs w:val="24"/>
                <w:highlight w:val="none"/>
                <w:lang w:val="en-US" w:eastAsia="zh-CN"/>
              </w:rPr>
              <w:t>压滤后</w:t>
            </w:r>
            <w:r>
              <w:rPr>
                <w:rFonts w:hint="default" w:ascii="Times New Roman" w:hAnsi="Times New Roman" w:eastAsia="宋体" w:cs="Times New Roman"/>
                <w:color w:val="auto"/>
                <w:spacing w:val="3"/>
                <w:sz w:val="24"/>
                <w:szCs w:val="24"/>
                <w:highlight w:val="none"/>
              </w:rPr>
              <w:t>排至生化污水处理站；圆磨废水排入厂区圆磨循环水池进行混凝沉淀处理</w:t>
            </w:r>
            <w:r>
              <w:rPr>
                <w:rFonts w:hint="default" w:ascii="Times New Roman" w:hAnsi="Times New Roman" w:eastAsia="宋体" w:cs="Times New Roman"/>
                <w:color w:val="auto"/>
                <w:spacing w:val="2"/>
                <w:sz w:val="24"/>
                <w:szCs w:val="24"/>
                <w:highlight w:val="none"/>
              </w:rPr>
              <w:t>后大部分循环回用，小部</w:t>
            </w:r>
            <w:r>
              <w:rPr>
                <w:rFonts w:hint="default" w:ascii="Times New Roman" w:hAnsi="Times New Roman" w:eastAsia="宋体" w:cs="Times New Roman"/>
                <w:color w:val="auto"/>
                <w:spacing w:val="3"/>
                <w:sz w:val="24"/>
                <w:szCs w:val="24"/>
                <w:highlight w:val="none"/>
              </w:rPr>
              <w:t>分</w:t>
            </w:r>
            <w:r>
              <w:rPr>
                <w:rFonts w:hint="default" w:ascii="Times New Roman" w:hAnsi="Times New Roman" w:eastAsia="宋体" w:cs="Times New Roman"/>
                <w:color w:val="auto"/>
                <w:spacing w:val="-2"/>
                <w:sz w:val="24"/>
                <w:szCs w:val="24"/>
                <w:highlight w:val="none"/>
                <w:lang w:val="en-US" w:eastAsia="zh-CN"/>
              </w:rPr>
              <w:t>压滤后</w:t>
            </w:r>
            <w:r>
              <w:rPr>
                <w:rFonts w:hint="default" w:ascii="Times New Roman" w:hAnsi="Times New Roman" w:eastAsia="宋体" w:cs="Times New Roman"/>
                <w:color w:val="auto"/>
                <w:spacing w:val="3"/>
                <w:sz w:val="24"/>
                <w:szCs w:val="24"/>
                <w:highlight w:val="none"/>
              </w:rPr>
              <w:t>排至生化污水处理站</w:t>
            </w:r>
            <w:r>
              <w:rPr>
                <w:rFonts w:hint="default" w:ascii="Times New Roman" w:hAnsi="Times New Roman" w:eastAsia="宋体" w:cs="Times New Roman"/>
                <w:color w:val="auto"/>
                <w:spacing w:val="-2"/>
                <w:sz w:val="24"/>
                <w:szCs w:val="24"/>
                <w:highlight w:val="none"/>
              </w:rPr>
              <w:t>。因</w:t>
            </w:r>
            <w:r>
              <w:rPr>
                <w:rFonts w:hint="default" w:ascii="Times New Roman" w:hAnsi="Times New Roman" w:eastAsia="宋体" w:cs="Times New Roman"/>
                <w:color w:val="auto"/>
                <w:spacing w:val="-3"/>
                <w:sz w:val="24"/>
                <w:szCs w:val="24"/>
                <w:highlight w:val="none"/>
              </w:rPr>
              <w:t>此，</w:t>
            </w:r>
            <w:r>
              <w:rPr>
                <w:rFonts w:hint="default" w:ascii="Times New Roman" w:hAnsi="Times New Roman" w:eastAsia="宋体" w:cs="Times New Roman"/>
                <w:color w:val="auto"/>
                <w:spacing w:val="-2"/>
                <w:sz w:val="24"/>
                <w:szCs w:val="24"/>
                <w:highlight w:val="none"/>
              </w:rPr>
              <w:t>磨抛循环水池</w:t>
            </w:r>
            <w:r>
              <w:rPr>
                <w:rFonts w:hint="eastAsia" w:cs="Times New Roman"/>
                <w:color w:val="auto"/>
                <w:spacing w:val="-2"/>
                <w:sz w:val="24"/>
                <w:szCs w:val="24"/>
                <w:highlight w:val="none"/>
                <w:lang w:eastAsia="zh-CN"/>
              </w:rPr>
              <w:t>、</w:t>
            </w:r>
            <w:r>
              <w:rPr>
                <w:rFonts w:hint="eastAsia" w:cs="Times New Roman"/>
                <w:color w:val="auto"/>
                <w:spacing w:val="-2"/>
                <w:sz w:val="24"/>
                <w:szCs w:val="24"/>
                <w:highlight w:val="none"/>
                <w:lang w:val="en-US" w:eastAsia="zh-CN"/>
              </w:rPr>
              <w:t>圆磨</w:t>
            </w:r>
            <w:r>
              <w:rPr>
                <w:rFonts w:hint="default" w:ascii="Times New Roman" w:hAnsi="Times New Roman" w:eastAsia="宋体" w:cs="Times New Roman"/>
                <w:color w:val="auto"/>
                <w:spacing w:val="-2"/>
                <w:sz w:val="24"/>
                <w:szCs w:val="24"/>
                <w:highlight w:val="none"/>
              </w:rPr>
              <w:t>循环水池</w:t>
            </w:r>
            <w:r>
              <w:rPr>
                <w:rFonts w:hint="default" w:ascii="Times New Roman" w:hAnsi="Times New Roman" w:eastAsia="宋体" w:cs="Times New Roman"/>
                <w:color w:val="auto"/>
                <w:spacing w:val="-2"/>
                <w:sz w:val="24"/>
                <w:szCs w:val="24"/>
                <w:highlight w:val="none"/>
                <w:lang w:val="en-US" w:eastAsia="zh-CN"/>
              </w:rPr>
              <w:t>容积</w:t>
            </w:r>
            <w:r>
              <w:rPr>
                <w:rFonts w:hint="eastAsia" w:cs="Times New Roman"/>
                <w:color w:val="auto"/>
                <w:spacing w:val="-2"/>
                <w:sz w:val="24"/>
                <w:szCs w:val="24"/>
                <w:highlight w:val="none"/>
                <w:lang w:val="en-US" w:eastAsia="zh-CN"/>
              </w:rPr>
              <w:t>及处理规模</w:t>
            </w:r>
            <w:r>
              <w:rPr>
                <w:rFonts w:hint="default" w:ascii="Times New Roman" w:hAnsi="Times New Roman" w:eastAsia="宋体" w:cs="Times New Roman"/>
                <w:color w:val="auto"/>
                <w:spacing w:val="-3"/>
                <w:sz w:val="24"/>
                <w:szCs w:val="24"/>
                <w:highlight w:val="none"/>
              </w:rPr>
              <w:t>满足</w:t>
            </w:r>
            <w:r>
              <w:rPr>
                <w:rFonts w:hint="eastAsia" w:cs="Times New Roman"/>
                <w:color w:val="auto"/>
                <w:spacing w:val="-3"/>
                <w:sz w:val="24"/>
                <w:szCs w:val="24"/>
                <w:highlight w:val="none"/>
                <w:lang w:val="en-US" w:eastAsia="zh-CN"/>
              </w:rPr>
              <w:t>相关</w:t>
            </w:r>
            <w:r>
              <w:rPr>
                <w:rFonts w:hint="default" w:ascii="Times New Roman" w:hAnsi="Times New Roman" w:eastAsia="宋体" w:cs="Times New Roman"/>
                <w:color w:val="auto"/>
                <w:spacing w:val="-3"/>
                <w:sz w:val="24"/>
                <w:szCs w:val="24"/>
                <w:highlight w:val="none"/>
              </w:rPr>
              <w:t>废水处理</w:t>
            </w:r>
            <w:r>
              <w:rPr>
                <w:rFonts w:hint="default" w:ascii="Times New Roman" w:hAnsi="Times New Roman" w:eastAsia="宋体" w:cs="Times New Roman"/>
                <w:color w:val="auto"/>
                <w:spacing w:val="-4"/>
                <w:sz w:val="24"/>
                <w:szCs w:val="24"/>
                <w:highlight w:val="none"/>
              </w:rPr>
              <w:t>要求。</w:t>
            </w:r>
          </w:p>
          <w:p w14:paraId="59356E97">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0" w:firstLineChars="200"/>
              <w:jc w:val="both"/>
              <w:textAlignment w:val="auto"/>
              <w:rPr>
                <w:rFonts w:hint="default" w:ascii="Times New Roman" w:hAnsi="Times New Roman" w:eastAsia="宋体" w:cs="Times New Roman"/>
                <w:b w:val="0"/>
                <w:bCs w:val="0"/>
                <w:strike w:val="0"/>
                <w:dstrike w:val="0"/>
                <w:color w:val="auto"/>
                <w:kern w:val="2"/>
                <w:sz w:val="24"/>
                <w:szCs w:val="24"/>
                <w:highlight w:val="none"/>
                <w:lang w:val="en-US" w:eastAsia="zh-CN" w:bidi="ar-SA"/>
              </w:rPr>
            </w:pPr>
            <w:r>
              <w:rPr>
                <w:rFonts w:hint="eastAsia" w:cs="Times New Roman"/>
                <w:b w:val="0"/>
                <w:bCs w:val="0"/>
                <w:strike w:val="0"/>
                <w:dstrike w:val="0"/>
                <w:color w:val="auto"/>
                <w:kern w:val="2"/>
                <w:sz w:val="24"/>
                <w:szCs w:val="24"/>
                <w:highlight w:val="none"/>
                <w:lang w:val="en-US" w:eastAsia="zh-CN" w:bidi="ar-SA"/>
              </w:rPr>
              <w:t>②</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p>
          <w:p w14:paraId="13571C0F">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64"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根据工程分析，项目</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废水量为</w:t>
            </w:r>
            <w:r>
              <w:rPr>
                <w:rFonts w:hint="default" w:ascii="Times New Roman" w:hAnsi="Times New Roman" w:eastAsia="宋体" w:cs="Times New Roman"/>
                <w:color w:val="auto"/>
                <w:spacing w:val="-3"/>
                <w:sz w:val="24"/>
                <w:szCs w:val="24"/>
                <w:highlight w:val="none"/>
                <w:lang w:val="en-US" w:eastAsia="zh-CN"/>
              </w:rPr>
              <w:t>7</w:t>
            </w:r>
            <w:r>
              <w:rPr>
                <w:rFonts w:hint="eastAsia" w:cs="Times New Roman"/>
                <w:color w:val="auto"/>
                <w:spacing w:val="-3"/>
                <w:sz w:val="24"/>
                <w:szCs w:val="24"/>
                <w:highlight w:val="none"/>
                <w:lang w:val="en-US" w:eastAsia="zh-CN"/>
              </w:rPr>
              <w:t>4.4</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position w:val="7"/>
                <w:sz w:val="15"/>
                <w:szCs w:val="15"/>
                <w:highlight w:val="none"/>
              </w:rPr>
              <w:t>3</w:t>
            </w:r>
            <w:r>
              <w:rPr>
                <w:rFonts w:hint="default" w:ascii="Times New Roman" w:hAnsi="Times New Roman" w:eastAsia="宋体" w:cs="Times New Roman"/>
                <w:color w:val="auto"/>
                <w:spacing w:val="-3"/>
                <w:sz w:val="24"/>
                <w:szCs w:val="24"/>
                <w:highlight w:val="none"/>
              </w:rPr>
              <w:t>/d</w:t>
            </w:r>
            <w:r>
              <w:rPr>
                <w:rFonts w:hint="default" w:ascii="Times New Roman" w:hAnsi="Times New Roman" w:eastAsia="宋体" w:cs="Times New Roman"/>
                <w:color w:val="auto"/>
                <w:spacing w:val="-37"/>
                <w:sz w:val="24"/>
                <w:szCs w:val="24"/>
                <w:highlight w:val="none"/>
              </w:rPr>
              <w:t>，</w:t>
            </w:r>
            <w:r>
              <w:rPr>
                <w:rFonts w:hint="default" w:ascii="Times New Roman" w:hAnsi="Times New Roman" w:eastAsia="宋体" w:cs="Times New Roman"/>
                <w:color w:val="auto"/>
                <w:spacing w:val="-3"/>
                <w:sz w:val="24"/>
                <w:szCs w:val="24"/>
                <w:highlight w:val="none"/>
              </w:rPr>
              <w:t>根据设计</w:t>
            </w:r>
            <w:r>
              <w:rPr>
                <w:rFonts w:hint="eastAsia" w:cs="Times New Roman"/>
                <w:color w:val="auto"/>
                <w:spacing w:val="-3"/>
                <w:sz w:val="24"/>
                <w:szCs w:val="24"/>
                <w:highlight w:val="none"/>
                <w:lang w:val="en-US" w:eastAsia="zh-CN"/>
              </w:rPr>
              <w:t>方案</w:t>
            </w:r>
            <w:r>
              <w:rPr>
                <w:rFonts w:hint="default" w:ascii="Times New Roman" w:hAnsi="Times New Roman" w:eastAsia="宋体" w:cs="Times New Roman"/>
                <w:color w:val="auto"/>
                <w:spacing w:val="-3"/>
                <w:sz w:val="24"/>
                <w:szCs w:val="24"/>
                <w:highlight w:val="none"/>
              </w:rPr>
              <w:t>，项目</w:t>
            </w:r>
            <w:r>
              <w:rPr>
                <w:rFonts w:hint="default" w:ascii="Times New Roman" w:hAnsi="Times New Roman" w:eastAsia="宋体" w:cs="Times New Roman"/>
                <w:color w:val="auto"/>
                <w:spacing w:val="-3"/>
                <w:sz w:val="24"/>
                <w:szCs w:val="24"/>
                <w:highlight w:val="none"/>
                <w:lang w:val="en-US" w:eastAsia="zh-CN"/>
              </w:rPr>
              <w:t>拟</w:t>
            </w:r>
            <w:r>
              <w:rPr>
                <w:rFonts w:hint="eastAsia" w:cs="Times New Roman"/>
                <w:color w:val="auto"/>
                <w:spacing w:val="-3"/>
                <w:sz w:val="24"/>
                <w:szCs w:val="24"/>
                <w:highlight w:val="none"/>
                <w:lang w:val="en-US" w:eastAsia="zh-CN"/>
              </w:rPr>
              <w:t>于1#生产车间</w:t>
            </w:r>
            <w:r>
              <w:rPr>
                <w:rFonts w:hint="default" w:ascii="Times New Roman" w:hAnsi="Times New Roman" w:eastAsia="宋体" w:cs="Times New Roman"/>
                <w:color w:val="auto"/>
                <w:spacing w:val="-3"/>
                <w:sz w:val="24"/>
                <w:szCs w:val="24"/>
                <w:highlight w:val="none"/>
              </w:rPr>
              <w:t>设置1座</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废水循环</w:t>
            </w:r>
            <w:r>
              <w:rPr>
                <w:rFonts w:hint="default" w:ascii="Times New Roman" w:hAnsi="Times New Roman" w:eastAsia="宋体" w:cs="Times New Roman"/>
                <w:color w:val="auto"/>
                <w:spacing w:val="-4"/>
                <w:sz w:val="24"/>
                <w:szCs w:val="24"/>
                <w:highlight w:val="none"/>
              </w:rPr>
              <w:t>池（</w:t>
            </w:r>
            <w:r>
              <w:rPr>
                <w:rFonts w:hint="default" w:ascii="Times New Roman" w:hAnsi="Times New Roman" w:eastAsia="宋体" w:cs="Times New Roman"/>
                <w:color w:val="auto"/>
                <w:spacing w:val="-3"/>
                <w:sz w:val="24"/>
                <w:szCs w:val="24"/>
                <w:highlight w:val="none"/>
                <w:lang w:val="en-US" w:eastAsia="zh-CN"/>
              </w:rPr>
              <w:t>容积不小于</w:t>
            </w:r>
            <w:r>
              <w:rPr>
                <w:rFonts w:hint="eastAsia" w:cs="Times New Roman"/>
                <w:color w:val="auto"/>
                <w:spacing w:val="-3"/>
                <w:sz w:val="24"/>
                <w:szCs w:val="24"/>
                <w:highlight w:val="none"/>
                <w:lang w:val="en-US" w:eastAsia="zh-CN"/>
              </w:rPr>
              <w:t>8</w:t>
            </w:r>
            <w:r>
              <w:rPr>
                <w:rFonts w:hint="default" w:ascii="Times New Roman" w:hAnsi="Times New Roman" w:eastAsia="宋体" w:cs="Times New Roman"/>
                <w:color w:val="auto"/>
                <w:spacing w:val="-3"/>
                <w:sz w:val="24"/>
                <w:szCs w:val="24"/>
                <w:highlight w:val="none"/>
                <w:lang w:val="en-US" w:eastAsia="zh-CN"/>
              </w:rPr>
              <w:t>0</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position w:val="8"/>
                <w:sz w:val="15"/>
                <w:szCs w:val="15"/>
                <w:highlight w:val="none"/>
              </w:rPr>
              <w:t>3</w:t>
            </w:r>
            <w:r>
              <w:rPr>
                <w:rFonts w:hint="default" w:ascii="Times New Roman" w:hAnsi="Times New Roman" w:eastAsia="宋体" w:cs="Times New Roman"/>
                <w:color w:val="auto"/>
                <w:spacing w:val="-3"/>
                <w:sz w:val="24"/>
                <w:szCs w:val="24"/>
                <w:highlight w:val="none"/>
              </w:rPr>
              <w:t>）处理</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1"/>
                <w:sz w:val="24"/>
                <w:szCs w:val="24"/>
                <w:highlight w:val="none"/>
              </w:rPr>
              <w:t>因此</w:t>
            </w:r>
            <w:r>
              <w:rPr>
                <w:rFonts w:hint="default" w:ascii="Times New Roman" w:hAnsi="Times New Roman" w:eastAsia="宋体" w:cs="Times New Roman"/>
                <w:color w:val="auto"/>
                <w:spacing w:val="-1"/>
                <w:sz w:val="24"/>
                <w:szCs w:val="24"/>
                <w:highlight w:val="none"/>
                <w:lang w:eastAsia="zh-CN"/>
              </w:rPr>
              <w:t>，</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废水循环</w:t>
            </w:r>
            <w:r>
              <w:rPr>
                <w:rFonts w:hint="default" w:ascii="Times New Roman" w:hAnsi="Times New Roman" w:eastAsia="宋体" w:cs="Times New Roman"/>
                <w:color w:val="auto"/>
                <w:spacing w:val="-4"/>
                <w:sz w:val="24"/>
                <w:szCs w:val="24"/>
                <w:highlight w:val="none"/>
              </w:rPr>
              <w:t>池</w:t>
            </w:r>
            <w:r>
              <w:rPr>
                <w:rFonts w:hint="default" w:ascii="Times New Roman" w:hAnsi="Times New Roman" w:eastAsia="宋体" w:cs="Times New Roman"/>
                <w:color w:val="auto"/>
                <w:spacing w:val="-4"/>
                <w:sz w:val="24"/>
                <w:szCs w:val="24"/>
                <w:highlight w:val="none"/>
                <w:lang w:val="en-US" w:eastAsia="zh-CN"/>
              </w:rPr>
              <w:t>容积</w:t>
            </w:r>
            <w:r>
              <w:rPr>
                <w:rFonts w:hint="default" w:ascii="Times New Roman" w:hAnsi="Times New Roman" w:eastAsia="宋体" w:cs="Times New Roman"/>
                <w:color w:val="auto"/>
                <w:spacing w:val="-1"/>
                <w:sz w:val="24"/>
                <w:szCs w:val="24"/>
                <w:highlight w:val="none"/>
              </w:rPr>
              <w:t>满足</w:t>
            </w:r>
            <w:r>
              <w:rPr>
                <w:rFonts w:hint="eastAsia" w:cs="Times New Roman"/>
                <w:color w:val="auto"/>
                <w:spacing w:val="-2"/>
                <w:sz w:val="24"/>
                <w:szCs w:val="24"/>
                <w:highlight w:val="none"/>
                <w:lang w:eastAsia="zh-CN"/>
              </w:rPr>
              <w:t>珠胚清洗</w:t>
            </w:r>
            <w:r>
              <w:rPr>
                <w:rFonts w:hint="default" w:ascii="Times New Roman" w:hAnsi="Times New Roman" w:eastAsia="宋体" w:cs="Times New Roman"/>
                <w:color w:val="auto"/>
                <w:spacing w:val="-2"/>
                <w:sz w:val="24"/>
                <w:szCs w:val="24"/>
                <w:highlight w:val="none"/>
              </w:rPr>
              <w:t>废水处理要求。</w:t>
            </w:r>
          </w:p>
          <w:p w14:paraId="3415ED59">
            <w:pPr>
              <w:keepNext w:val="0"/>
              <w:keepLines w:val="0"/>
              <w:pageBreakBefore w:val="0"/>
              <w:kinsoku/>
              <w:overflowPunct/>
              <w:topLinePunct/>
              <w:autoSpaceDE w:val="0"/>
              <w:bidi w:val="0"/>
              <w:spacing w:before="1" w:line="338" w:lineRule="auto"/>
              <w:ind w:left="13" w:right="99" w:firstLine="477"/>
              <w:jc w:val="both"/>
              <w:rPr>
                <w:rFonts w:hint="default" w:ascii="Times New Roman" w:hAnsi="Times New Roman" w:eastAsia="宋体" w:cs="Times New Roman"/>
                <w:color w:val="auto"/>
                <w:spacing w:val="-2"/>
                <w:sz w:val="24"/>
                <w:szCs w:val="24"/>
                <w:highlight w:val="none"/>
              </w:rPr>
            </w:pP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废水经</w:t>
            </w:r>
            <w:r>
              <w:rPr>
                <w:rFonts w:hint="eastAsia" w:cs="Times New Roman"/>
                <w:color w:val="auto"/>
                <w:spacing w:val="3"/>
                <w:sz w:val="24"/>
                <w:szCs w:val="24"/>
                <w:highlight w:val="none"/>
                <w:lang w:eastAsia="zh-CN"/>
              </w:rPr>
              <w:t>珠胚</w:t>
            </w:r>
            <w:r>
              <w:rPr>
                <w:rFonts w:hint="default" w:ascii="Times New Roman" w:hAnsi="Times New Roman" w:eastAsia="宋体" w:cs="Times New Roman"/>
                <w:color w:val="auto"/>
                <w:spacing w:val="3"/>
                <w:sz w:val="24"/>
                <w:szCs w:val="24"/>
                <w:highlight w:val="none"/>
              </w:rPr>
              <w:t>循环池收集处理</w:t>
            </w:r>
            <w:r>
              <w:rPr>
                <w:rFonts w:hint="default" w:ascii="Times New Roman" w:hAnsi="Times New Roman" w:eastAsia="宋体" w:cs="Times New Roman"/>
                <w:color w:val="auto"/>
                <w:spacing w:val="2"/>
                <w:sz w:val="24"/>
                <w:szCs w:val="24"/>
                <w:highlight w:val="none"/>
              </w:rPr>
              <w:t>后大部分循环回用</w:t>
            </w:r>
            <w:r>
              <w:rPr>
                <w:rFonts w:hint="eastAsia" w:cs="Times New Roman"/>
                <w:color w:val="auto"/>
                <w:spacing w:val="2"/>
                <w:sz w:val="24"/>
                <w:szCs w:val="24"/>
                <w:highlight w:val="none"/>
                <w:lang w:val="en-US" w:eastAsia="zh-CN"/>
              </w:rPr>
              <w:t>至</w:t>
            </w:r>
            <w:r>
              <w:rPr>
                <w:rFonts w:hint="eastAsia" w:cs="Times New Roman"/>
                <w:color w:val="auto"/>
                <w:spacing w:val="-3"/>
                <w:sz w:val="24"/>
                <w:szCs w:val="24"/>
                <w:highlight w:val="none"/>
                <w:lang w:val="en-US" w:eastAsia="zh-CN"/>
              </w:rPr>
              <w:t>1#生产车间</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2"/>
                <w:sz w:val="24"/>
                <w:szCs w:val="24"/>
                <w:highlight w:val="none"/>
              </w:rPr>
              <w:t>，小部</w:t>
            </w:r>
            <w:r>
              <w:rPr>
                <w:rFonts w:hint="default" w:ascii="Times New Roman" w:hAnsi="Times New Roman" w:eastAsia="宋体" w:cs="Times New Roman"/>
                <w:color w:val="auto"/>
                <w:spacing w:val="-2"/>
                <w:sz w:val="24"/>
                <w:szCs w:val="24"/>
                <w:highlight w:val="none"/>
              </w:rPr>
              <w:t>分</w:t>
            </w:r>
            <w:r>
              <w:rPr>
                <w:rFonts w:hint="eastAsia" w:cs="Times New Roman"/>
                <w:color w:val="auto"/>
                <w:spacing w:val="-2"/>
                <w:sz w:val="24"/>
                <w:szCs w:val="24"/>
                <w:highlight w:val="none"/>
                <w:lang w:val="en-US" w:eastAsia="zh-CN"/>
              </w:rPr>
              <w:t>压滤后与</w:t>
            </w:r>
            <w:r>
              <w:rPr>
                <w:rFonts w:hint="eastAsia" w:ascii="宋体" w:hAnsi="宋体"/>
                <w:b w:val="0"/>
                <w:bCs w:val="0"/>
                <w:color w:val="auto"/>
                <w:sz w:val="24"/>
                <w:szCs w:val="24"/>
              </w:rPr>
              <w:t>磨抛废水、圆磨废水</w:t>
            </w:r>
            <w:r>
              <w:rPr>
                <w:rFonts w:hint="eastAsia" w:ascii="宋体" w:hAnsi="宋体"/>
                <w:b w:val="0"/>
                <w:bCs w:val="0"/>
                <w:color w:val="auto"/>
                <w:sz w:val="24"/>
                <w:szCs w:val="24"/>
                <w:lang w:val="en-US" w:eastAsia="zh-CN"/>
              </w:rPr>
              <w:t>混合</w:t>
            </w:r>
            <w:r>
              <w:rPr>
                <w:rFonts w:hint="default" w:ascii="Times New Roman" w:hAnsi="Times New Roman" w:eastAsia="宋体" w:cs="Times New Roman"/>
                <w:color w:val="auto"/>
                <w:spacing w:val="-2"/>
                <w:sz w:val="24"/>
                <w:szCs w:val="24"/>
                <w:highlight w:val="none"/>
              </w:rPr>
              <w:t>排至生化污水处理站。</w:t>
            </w:r>
          </w:p>
          <w:p w14:paraId="5DE7AC3B">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2" w:firstLineChars="200"/>
              <w:textAlignment w:val="auto"/>
              <w:rPr>
                <w:rFonts w:hint="default" w:ascii="Times New Roman" w:hAnsi="Times New Roman" w:eastAsia="宋体" w:cs="Times New Roman"/>
                <w:b/>
                <w:bCs/>
                <w:strike w:val="0"/>
                <w:dstrike w:val="0"/>
                <w:color w:val="auto"/>
                <w:kern w:val="2"/>
                <w:sz w:val="24"/>
                <w:szCs w:val="24"/>
                <w:highlight w:val="none"/>
                <w:lang w:val="en-US" w:eastAsia="zh-CN" w:bidi="ar-SA"/>
              </w:rPr>
            </w:pPr>
            <w:r>
              <w:rPr>
                <w:rFonts w:hint="eastAsia" w:cs="Times New Roman"/>
                <w:b/>
                <w:bCs/>
                <w:strike w:val="0"/>
                <w:dstrike w:val="0"/>
                <w:color w:val="auto"/>
                <w:kern w:val="2"/>
                <w:sz w:val="24"/>
                <w:szCs w:val="24"/>
                <w:highlight w:val="none"/>
                <w:lang w:val="en-US" w:eastAsia="zh-CN" w:bidi="ar-SA"/>
              </w:rPr>
              <w:t>3）</w:t>
            </w:r>
            <w:r>
              <w:rPr>
                <w:rFonts w:hint="default" w:ascii="Times New Roman" w:hAnsi="Times New Roman" w:eastAsia="宋体" w:cs="Times New Roman"/>
                <w:b/>
                <w:bCs/>
                <w:color w:val="auto"/>
                <w:spacing w:val="-2"/>
                <w:sz w:val="24"/>
                <w:szCs w:val="24"/>
                <w:highlight w:val="none"/>
              </w:rPr>
              <w:t>污水处理站</w:t>
            </w:r>
          </w:p>
          <w:p w14:paraId="4B858AC9">
            <w:pPr>
              <w:keepNext w:val="0"/>
              <w:keepLines w:val="0"/>
              <w:pageBreakBefore w:val="0"/>
              <w:kinsoku/>
              <w:overflowPunct/>
              <w:topLinePunct/>
              <w:autoSpaceDE w:val="0"/>
              <w:bidi w:val="0"/>
              <w:spacing w:before="1" w:line="338" w:lineRule="auto"/>
              <w:ind w:left="13" w:right="99" w:firstLine="477"/>
              <w:jc w:val="both"/>
              <w:rPr>
                <w:rFonts w:hint="eastAsia" w:ascii="Times New Roman" w:hAnsi="Times New Roman" w:eastAsia="宋体" w:cs="Times New Roman"/>
                <w:color w:val="auto"/>
                <w:sz w:val="24"/>
                <w:szCs w:val="24"/>
                <w:highlight w:val="none"/>
                <w:lang w:eastAsia="zh-CN"/>
              </w:rPr>
            </w:pPr>
            <w:r>
              <w:rPr>
                <w:rFonts w:hint="eastAsia" w:cs="Times New Roman"/>
                <w:color w:val="auto"/>
                <w:spacing w:val="-3"/>
                <w:sz w:val="24"/>
                <w:szCs w:val="24"/>
                <w:highlight w:val="none"/>
                <w:lang w:val="en-US" w:eastAsia="zh-CN"/>
              </w:rPr>
              <w:t>①污水处理站设计方案</w:t>
            </w:r>
          </w:p>
          <w:p w14:paraId="25F7C6DA">
            <w:pPr>
              <w:adjustRightInd w:val="0"/>
              <w:snapToGrid w:val="0"/>
              <w:spacing w:line="360" w:lineRule="auto"/>
              <w:ind w:firstLine="482"/>
              <w:rPr>
                <w:rFonts w:hint="default" w:ascii="宋体" w:hAnsi="宋体"/>
                <w:color w:val="auto"/>
                <w:sz w:val="24"/>
                <w:lang w:val="en-US"/>
              </w:rPr>
            </w:pPr>
            <w:r>
              <w:rPr>
                <w:rFonts w:hint="eastAsia" w:cs="Times New Roman"/>
                <w:color w:val="auto"/>
                <w:spacing w:val="-3"/>
                <w:sz w:val="24"/>
                <w:szCs w:val="24"/>
                <w:highlight w:val="none"/>
                <w:lang w:val="en-US" w:eastAsia="zh-CN"/>
              </w:rPr>
              <w:t>根据项目废水设计方案，</w:t>
            </w:r>
            <w:r>
              <w:rPr>
                <w:rFonts w:hint="default" w:ascii="Times New Roman" w:hAnsi="Times New Roman" w:eastAsia="宋体" w:cs="Times New Roman"/>
                <w:color w:val="auto"/>
                <w:spacing w:val="-3"/>
                <w:sz w:val="24"/>
                <w:szCs w:val="24"/>
                <w:highlight w:val="none"/>
              </w:rPr>
              <w:t>项目污水处理站设计处理规模为</w:t>
            </w:r>
            <w:r>
              <w:rPr>
                <w:rFonts w:hint="eastAsia" w:cs="Times New Roman"/>
                <w:color w:val="auto"/>
                <w:spacing w:val="-3"/>
                <w:sz w:val="24"/>
                <w:szCs w:val="24"/>
                <w:highlight w:val="none"/>
                <w:lang w:val="en-US" w:eastAsia="zh-CN"/>
              </w:rPr>
              <w:t>360</w:t>
            </w:r>
            <w:r>
              <w:rPr>
                <w:rFonts w:hint="default" w:ascii="Times New Roman" w:hAnsi="Times New Roman" w:eastAsia="宋体" w:cs="Times New Roman"/>
                <w:color w:val="auto"/>
                <w:spacing w:val="-3"/>
                <w:sz w:val="24"/>
                <w:szCs w:val="24"/>
                <w:highlight w:val="none"/>
              </w:rPr>
              <w:t>m</w:t>
            </w:r>
            <w:r>
              <w:rPr>
                <w:rFonts w:hint="eastAsia"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/d，拟采用“</w:t>
            </w:r>
            <w:r>
              <w:rPr>
                <w:rFonts w:hint="default" w:ascii="Times New Roman" w:hAnsi="Times New Roman" w:eastAsia="宋体" w:cs="Times New Roman"/>
                <w:color w:val="auto"/>
                <w:spacing w:val="-3"/>
                <w:sz w:val="24"/>
                <w:szCs w:val="24"/>
                <w:highlight w:val="none"/>
                <w:lang w:val="en-US" w:eastAsia="zh-CN"/>
              </w:rPr>
              <w:t>调节池+</w:t>
            </w:r>
            <w:r>
              <w:rPr>
                <w:rFonts w:hint="eastAsia" w:cs="Times New Roman"/>
                <w:color w:val="auto"/>
                <w:spacing w:val="-3"/>
                <w:sz w:val="24"/>
                <w:szCs w:val="24"/>
                <w:highlight w:val="none"/>
                <w:lang w:val="en-US" w:eastAsia="zh-CN"/>
              </w:rPr>
              <w:t>混凝沉淀</w:t>
            </w:r>
            <w:r>
              <w:rPr>
                <w:rFonts w:hint="default" w:ascii="Times New Roman" w:hAnsi="Times New Roman" w:eastAsia="宋体" w:cs="Times New Roman"/>
                <w:color w:val="auto"/>
                <w:spacing w:val="-3"/>
                <w:sz w:val="24"/>
                <w:szCs w:val="24"/>
                <w:highlight w:val="none"/>
                <w:lang w:val="en-US" w:eastAsia="zh-CN"/>
              </w:rPr>
              <w:t>+A/O</w:t>
            </w:r>
            <w:r>
              <w:rPr>
                <w:rFonts w:hint="eastAsia" w:cs="Times New Roman"/>
                <w:color w:val="auto"/>
                <w:spacing w:val="-3"/>
                <w:sz w:val="24"/>
                <w:szCs w:val="24"/>
                <w:highlight w:val="none"/>
                <w:lang w:val="en-US" w:eastAsia="zh-CN"/>
              </w:rPr>
              <w:t>接触氧化</w:t>
            </w:r>
            <w:r>
              <w:rPr>
                <w:rFonts w:hint="default" w:ascii="Times New Roman" w:hAnsi="Times New Roman" w:eastAsia="宋体" w:cs="Times New Roman"/>
                <w:color w:val="auto"/>
                <w:spacing w:val="-3"/>
                <w:sz w:val="24"/>
                <w:szCs w:val="24"/>
                <w:highlight w:val="none"/>
                <w:lang w:val="en-US" w:eastAsia="zh-CN"/>
              </w:rPr>
              <w:t>池</w:t>
            </w:r>
            <w:r>
              <w:rPr>
                <w:rFonts w:hint="eastAsia" w:cs="Times New Roman"/>
                <w:color w:val="auto"/>
                <w:spacing w:val="-3"/>
                <w:sz w:val="24"/>
                <w:szCs w:val="24"/>
                <w:highlight w:val="none"/>
                <w:lang w:val="en-US" w:eastAsia="zh-CN"/>
              </w:rPr>
              <w:t>+斜板沉淀</w:t>
            </w:r>
            <w:r>
              <w:rPr>
                <w:rFonts w:hint="default" w:ascii="Times New Roman" w:hAnsi="Times New Roman" w:eastAsia="宋体" w:cs="Times New Roman"/>
                <w:color w:val="auto"/>
                <w:spacing w:val="-3"/>
                <w:sz w:val="24"/>
                <w:szCs w:val="24"/>
                <w:highlight w:val="none"/>
              </w:rPr>
              <w:t>”处理工艺</w:t>
            </w:r>
            <w:r>
              <w:rPr>
                <w:rFonts w:hint="default" w:ascii="Times New Roman" w:hAnsi="Times New Roman" w:eastAsia="宋体" w:cs="Times New Roman"/>
                <w:color w:val="auto"/>
                <w:kern w:val="0"/>
                <w:sz w:val="24"/>
                <w:szCs w:val="24"/>
                <w:highlight w:val="none"/>
                <w:lang w:eastAsia="zh-CN"/>
              </w:rPr>
              <w:t>。</w:t>
            </w:r>
            <w:r>
              <w:rPr>
                <w:rFonts w:hint="eastAsia" w:ascii="宋体" w:hAnsi="宋体"/>
                <w:color w:val="auto"/>
                <w:sz w:val="24"/>
                <w:lang w:val="en-US" w:eastAsia="zh-CN"/>
              </w:rPr>
              <w:t>工艺单元包括前预处理、碱洗废水叠罗脱水、综合调节池、混凝初沉池、缺氧生化池、好氧池、斜板沉淀池、加药系统等。具体工艺流程如下：</w:t>
            </w:r>
          </w:p>
          <w:p w14:paraId="361BD70E">
            <w:pPr>
              <w:pStyle w:val="27"/>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color w:val="auto"/>
              </w:rPr>
              <w:drawing>
                <wp:inline distT="0" distB="0" distL="114300" distR="114300">
                  <wp:extent cx="5024120" cy="3385820"/>
                  <wp:effectExtent l="0" t="0" r="5080" b="508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28"/>
                          <a:stretch>
                            <a:fillRect/>
                          </a:stretch>
                        </pic:blipFill>
                        <pic:spPr>
                          <a:xfrm>
                            <a:off x="0" y="0"/>
                            <a:ext cx="5024120" cy="3385820"/>
                          </a:xfrm>
                          <a:prstGeom prst="rect">
                            <a:avLst/>
                          </a:prstGeom>
                          <a:noFill/>
                          <a:ln>
                            <a:noFill/>
                          </a:ln>
                        </pic:spPr>
                      </pic:pic>
                    </a:graphicData>
                  </a:graphic>
                </wp:inline>
              </w:drawing>
            </w:r>
          </w:p>
          <w:p w14:paraId="032C86AF">
            <w:pPr>
              <w:pStyle w:val="27"/>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宋体" w:hAnsi="宋体" w:eastAsia="宋体" w:cs="Times New Roman"/>
                <w:color w:val="auto"/>
                <w:kern w:val="1"/>
                <w:sz w:val="24"/>
                <w:szCs w:val="24"/>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图4-</w:t>
            </w:r>
            <w:r>
              <w:rPr>
                <w:rFonts w:hint="eastAsia" w:ascii="Times New Roman" w:hAnsi="Times New Roman" w:eastAsia="宋体" w:cs="Times New Roman"/>
                <w:b/>
                <w:bCs/>
                <w:color w:val="auto"/>
                <w:kern w:val="0"/>
                <w:sz w:val="24"/>
                <w:szCs w:val="24"/>
                <w:highlight w:val="none"/>
                <w:lang w:val="en-US" w:eastAsia="zh-CN" w:bidi="ar-SA"/>
              </w:rPr>
              <w:t>2</w:t>
            </w:r>
            <w:r>
              <w:rPr>
                <w:rFonts w:hint="default" w:ascii="Times New Roman" w:hAnsi="Times New Roman" w:eastAsia="宋体" w:cs="Times New Roman"/>
                <w:b/>
                <w:bCs/>
                <w:color w:val="auto"/>
                <w:kern w:val="0"/>
                <w:sz w:val="24"/>
                <w:szCs w:val="24"/>
                <w:highlight w:val="none"/>
                <w:lang w:val="en-US" w:eastAsia="zh-CN" w:bidi="ar-SA"/>
              </w:rPr>
              <w:t xml:space="preserve"> </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eastAsia" w:cs="Times New Roman"/>
                <w:b/>
                <w:bCs/>
                <w:color w:val="auto"/>
                <w:kern w:val="0"/>
                <w:sz w:val="24"/>
                <w:szCs w:val="24"/>
                <w:highlight w:val="none"/>
                <w:lang w:val="en-US" w:eastAsia="zh-CN" w:bidi="ar-SA"/>
              </w:rPr>
              <w:t>污水处理站</w:t>
            </w:r>
            <w:r>
              <w:rPr>
                <w:rFonts w:hint="eastAsia" w:ascii="Times New Roman" w:hAnsi="Times New Roman" w:eastAsia="宋体" w:cs="Times New Roman"/>
                <w:b/>
                <w:bCs/>
                <w:color w:val="auto"/>
                <w:kern w:val="0"/>
                <w:sz w:val="24"/>
                <w:szCs w:val="24"/>
                <w:highlight w:val="none"/>
                <w:lang w:val="en-US" w:eastAsia="zh-CN" w:bidi="ar-SA"/>
              </w:rPr>
              <w:t>工艺流程</w:t>
            </w:r>
            <w:r>
              <w:rPr>
                <w:rFonts w:hint="eastAsia" w:cs="Times New Roman"/>
                <w:b/>
                <w:bCs/>
                <w:color w:val="auto"/>
                <w:kern w:val="0"/>
                <w:sz w:val="24"/>
                <w:szCs w:val="24"/>
                <w:highlight w:val="none"/>
                <w:lang w:val="en-US" w:eastAsia="zh-CN" w:bidi="ar-SA"/>
              </w:rPr>
              <w:t>示意</w:t>
            </w:r>
            <w:r>
              <w:rPr>
                <w:rFonts w:hint="eastAsia" w:ascii="Times New Roman" w:hAnsi="Times New Roman" w:eastAsia="宋体" w:cs="Times New Roman"/>
                <w:b/>
                <w:bCs/>
                <w:color w:val="auto"/>
                <w:kern w:val="0"/>
                <w:sz w:val="24"/>
                <w:szCs w:val="24"/>
                <w:highlight w:val="none"/>
                <w:lang w:val="en-US" w:eastAsia="zh-CN" w:bidi="ar-SA"/>
              </w:rPr>
              <w:t>图</w:t>
            </w:r>
          </w:p>
          <w:p w14:paraId="44D03E8C">
            <w:pPr>
              <w:adjustRightInd w:val="0"/>
              <w:snapToGrid w:val="0"/>
              <w:spacing w:line="360" w:lineRule="auto"/>
              <w:ind w:firstLine="482"/>
              <w:rPr>
                <w:rFonts w:ascii="宋体" w:hAnsi="宋体"/>
                <w:color w:val="auto"/>
                <w:sz w:val="24"/>
              </w:rPr>
            </w:pPr>
            <w:r>
              <w:rPr>
                <w:rFonts w:hint="eastAsia" w:cs="Times New Roman"/>
                <w:color w:val="auto"/>
                <w:kern w:val="0"/>
                <w:sz w:val="24"/>
                <w:szCs w:val="24"/>
                <w:highlight w:val="none"/>
                <w:lang w:val="en-US" w:eastAsia="zh-CN"/>
              </w:rPr>
              <w:t>根据工艺设计，项目</w:t>
            </w:r>
            <w:r>
              <w:rPr>
                <w:rFonts w:hint="eastAsia" w:ascii="宋体" w:hAnsi="宋体" w:cs="Arial"/>
                <w:color w:val="auto"/>
                <w:sz w:val="24"/>
                <w:szCs w:val="24"/>
                <w:lang w:val="en-US" w:eastAsia="zh-CN"/>
              </w:rPr>
              <w:t>碱洗废水通过提升至叠罗脱水机进行预处理直流至调节池内，其余废水同时输送至调节池，进水水质水量的调节，</w:t>
            </w:r>
            <w:r>
              <w:rPr>
                <w:rFonts w:ascii="宋体" w:hAnsi="宋体" w:cs="Arial"/>
                <w:color w:val="auto"/>
                <w:sz w:val="24"/>
                <w:szCs w:val="24"/>
              </w:rPr>
              <w:t>再经液位控制仪传递信号，由污水提升泵送至</w:t>
            </w:r>
            <w:r>
              <w:rPr>
                <w:rFonts w:hint="eastAsia" w:ascii="宋体" w:hAnsi="宋体" w:cs="Arial"/>
                <w:color w:val="auto"/>
                <w:sz w:val="24"/>
                <w:szCs w:val="24"/>
                <w:lang w:val="en-US" w:eastAsia="zh-CN"/>
              </w:rPr>
              <w:t>混凝沉淀池，首先进行</w:t>
            </w:r>
            <w:r>
              <w:rPr>
                <w:rFonts w:hint="eastAsia" w:cs="Times New Roman"/>
                <w:color w:val="auto"/>
                <w:sz w:val="24"/>
                <w:szCs w:val="24"/>
                <w:highlight w:val="none"/>
                <w:lang w:val="en-US" w:eastAsia="zh-CN"/>
              </w:rPr>
              <w:t>p</w:t>
            </w:r>
            <w:r>
              <w:rPr>
                <w:rFonts w:hint="eastAsia" w:ascii="Times New Roman" w:hAnsi="Times New Roman" w:eastAsia="宋体" w:cs="Times New Roman"/>
                <w:color w:val="auto"/>
                <w:sz w:val="24"/>
                <w:szCs w:val="24"/>
                <w:highlight w:val="none"/>
                <w:lang w:val="en-US" w:eastAsia="zh-CN"/>
              </w:rPr>
              <w:t>H</w:t>
            </w:r>
            <w:r>
              <w:rPr>
                <w:rFonts w:hint="eastAsia" w:ascii="宋体" w:hAnsi="宋体" w:cs="Arial"/>
                <w:color w:val="auto"/>
                <w:sz w:val="24"/>
                <w:szCs w:val="24"/>
                <w:lang w:val="en-US" w:eastAsia="zh-CN"/>
              </w:rPr>
              <w:t>调节，在投加混凝、絮凝剂去除水质的细小杂质及颗粒物，减少对后续系统的负荷，沉淀池出水直流至生化段</w:t>
            </w:r>
            <w:r>
              <w:rPr>
                <w:rFonts w:hint="eastAsia" w:ascii="宋体" w:hAnsi="宋体" w:cs="Arial"/>
                <w:color w:val="auto"/>
                <w:sz w:val="24"/>
                <w:szCs w:val="24"/>
                <w:lang w:eastAsia="zh-CN"/>
              </w:rPr>
              <w:t>，</w:t>
            </w:r>
            <w:r>
              <w:rPr>
                <w:rFonts w:ascii="宋体" w:hAnsi="宋体" w:cs="Arial"/>
                <w:color w:val="auto"/>
                <w:sz w:val="24"/>
                <w:szCs w:val="24"/>
              </w:rPr>
              <w:t>A级生物接触氧化池，进行酸化水解和硝化反硝化，降低有机物浓度，去除部分氨氮，然后流入O级生物接触氧化池进行好氧生化反应，在此绝大部分有机污染物通过生物氧化、吸附得以降解，出水自流至</w:t>
            </w:r>
            <w:r>
              <w:rPr>
                <w:rFonts w:hint="eastAsia" w:ascii="宋体" w:hAnsi="宋体"/>
                <w:color w:val="auto"/>
                <w:sz w:val="24"/>
                <w:lang w:val="en-US" w:eastAsia="zh-CN"/>
              </w:rPr>
              <w:t>斜板</w:t>
            </w:r>
            <w:r>
              <w:rPr>
                <w:rFonts w:hint="eastAsia" w:ascii="宋体" w:hAnsi="宋体"/>
                <w:color w:val="auto"/>
                <w:sz w:val="24"/>
              </w:rPr>
              <w:t>沉淀池，</w:t>
            </w:r>
            <w:r>
              <w:rPr>
                <w:rFonts w:hint="eastAsia" w:ascii="宋体" w:hAnsi="宋体"/>
                <w:color w:val="auto"/>
                <w:sz w:val="24"/>
                <w:lang w:val="en-US" w:eastAsia="zh-CN"/>
              </w:rPr>
              <w:t>进行固液分类</w:t>
            </w:r>
            <w:r>
              <w:rPr>
                <w:rFonts w:hint="eastAsia" w:ascii="宋体" w:hAnsi="宋体"/>
                <w:color w:val="auto"/>
                <w:sz w:val="24"/>
              </w:rPr>
              <w:t>，达到排放要求，出水直流至</w:t>
            </w:r>
            <w:r>
              <w:rPr>
                <w:rFonts w:hint="eastAsia" w:ascii="宋体" w:hAnsi="宋体"/>
                <w:color w:val="auto"/>
                <w:sz w:val="24"/>
                <w:lang w:val="en-US" w:eastAsia="zh-CN"/>
              </w:rPr>
              <w:t>市政排放口</w:t>
            </w:r>
            <w:r>
              <w:rPr>
                <w:rFonts w:hint="eastAsia" w:ascii="宋体" w:hAnsi="宋体"/>
                <w:color w:val="auto"/>
                <w:sz w:val="24"/>
              </w:rPr>
              <w:t>。</w:t>
            </w:r>
          </w:p>
          <w:p w14:paraId="4C5F4699">
            <w:pPr>
              <w:keepNext w:val="0"/>
              <w:keepLines w:val="0"/>
              <w:pageBreakBefore w:val="0"/>
              <w:kinsoku/>
              <w:wordWrap/>
              <w:overflowPunct/>
              <w:topLinePunct w:val="0"/>
              <w:bidi w:val="0"/>
              <w:spacing w:line="360" w:lineRule="auto"/>
              <w:ind w:right="0" w:firstLine="480" w:firstLineChars="200"/>
              <w:rPr>
                <w:rFonts w:hint="default" w:ascii="宋体" w:hAnsi="宋体"/>
                <w:color w:val="auto"/>
                <w:sz w:val="24"/>
                <w:lang w:val="en-US" w:eastAsia="zh-CN"/>
              </w:rPr>
            </w:pPr>
            <w:r>
              <w:rPr>
                <w:rFonts w:hint="eastAsia" w:ascii="宋体" w:hAnsi="宋体"/>
                <w:color w:val="auto"/>
                <w:sz w:val="24"/>
                <w:lang w:val="en-US" w:eastAsia="zh-CN"/>
              </w:rPr>
              <w:t>②污水处理站可行性分析</w:t>
            </w:r>
          </w:p>
          <w:p w14:paraId="757796EA">
            <w:pPr>
              <w:keepNext w:val="0"/>
              <w:keepLines w:val="0"/>
              <w:pageBreakBefore w:val="0"/>
              <w:kinsoku/>
              <w:wordWrap/>
              <w:overflowPunct/>
              <w:topLinePunct w:val="0"/>
              <w:bidi w:val="0"/>
              <w:spacing w:line="360" w:lineRule="auto"/>
              <w:ind w:right="0" w:firstLine="468"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pacing w:val="-3"/>
                <w:sz w:val="24"/>
                <w:szCs w:val="24"/>
                <w:highlight w:val="none"/>
              </w:rPr>
              <w:t>根据工程分析，</w:t>
            </w:r>
            <w:r>
              <w:rPr>
                <w:rFonts w:hint="eastAsia" w:cs="Times New Roman"/>
                <w:color w:val="auto"/>
                <w:spacing w:val="-3"/>
                <w:sz w:val="24"/>
                <w:szCs w:val="24"/>
                <w:highlight w:val="none"/>
                <w:lang w:val="en-US" w:eastAsia="zh-CN"/>
              </w:rPr>
              <w:t>项目</w:t>
            </w:r>
            <w:r>
              <w:rPr>
                <w:rFonts w:hint="eastAsia" w:ascii="宋体" w:hAnsi="宋体"/>
                <w:color w:val="auto"/>
                <w:sz w:val="24"/>
                <w:szCs w:val="24"/>
              </w:rPr>
              <w:t>区</w:t>
            </w:r>
            <w:r>
              <w:rPr>
                <w:rFonts w:hint="eastAsia" w:ascii="宋体" w:hAnsi="宋体"/>
                <w:color w:val="auto"/>
                <w:sz w:val="24"/>
                <w:szCs w:val="24"/>
                <w:lang w:val="en-US" w:eastAsia="zh-CN"/>
              </w:rPr>
              <w:t>部分</w:t>
            </w:r>
            <w:r>
              <w:rPr>
                <w:rFonts w:hint="eastAsia" w:ascii="宋体" w:hAnsi="宋体"/>
                <w:color w:val="auto"/>
                <w:sz w:val="24"/>
                <w:szCs w:val="24"/>
                <w:lang w:eastAsia="zh-CN"/>
              </w:rPr>
              <w:t>珠胚</w:t>
            </w:r>
            <w:r>
              <w:rPr>
                <w:rFonts w:hint="eastAsia" w:ascii="宋体" w:hAnsi="宋体"/>
                <w:color w:val="auto"/>
                <w:sz w:val="24"/>
                <w:szCs w:val="24"/>
              </w:rPr>
              <w:t>清洗废水、</w:t>
            </w:r>
            <w:r>
              <w:rPr>
                <w:rFonts w:hint="eastAsia" w:ascii="宋体" w:hAnsi="宋体"/>
                <w:color w:val="auto"/>
                <w:sz w:val="24"/>
                <w:szCs w:val="24"/>
                <w:lang w:val="en-US" w:eastAsia="zh-CN"/>
              </w:rPr>
              <w:t>部分</w:t>
            </w:r>
            <w:r>
              <w:rPr>
                <w:rFonts w:hint="eastAsia" w:ascii="宋体" w:hAnsi="宋体"/>
                <w:color w:val="auto"/>
                <w:sz w:val="24"/>
                <w:szCs w:val="24"/>
              </w:rPr>
              <w:t>磨抛废水、</w:t>
            </w:r>
            <w:r>
              <w:rPr>
                <w:rFonts w:hint="eastAsia" w:ascii="宋体" w:hAnsi="宋体"/>
                <w:color w:val="auto"/>
                <w:sz w:val="24"/>
                <w:szCs w:val="24"/>
                <w:lang w:val="en-US" w:eastAsia="zh-CN"/>
              </w:rPr>
              <w:t>部分</w:t>
            </w:r>
            <w:r>
              <w:rPr>
                <w:rFonts w:hint="eastAsia" w:ascii="宋体" w:hAnsi="宋体"/>
                <w:color w:val="auto"/>
                <w:sz w:val="24"/>
                <w:szCs w:val="24"/>
              </w:rPr>
              <w:t>圆磨废水</w:t>
            </w:r>
            <w:r>
              <w:rPr>
                <w:rFonts w:hint="eastAsia"/>
                <w:color w:val="auto"/>
                <w:sz w:val="24"/>
                <w:szCs w:val="24"/>
                <w:lang w:eastAsia="zh-CN"/>
              </w:rPr>
              <w:t>、</w:t>
            </w:r>
            <w:r>
              <w:rPr>
                <w:rFonts w:hint="eastAsia" w:ascii="宋体" w:hAnsi="宋体"/>
                <w:color w:val="auto"/>
                <w:sz w:val="24"/>
                <w:szCs w:val="24"/>
                <w:lang w:val="en-US" w:eastAsia="zh-CN"/>
              </w:rPr>
              <w:t>部分</w:t>
            </w:r>
            <w:r>
              <w:rPr>
                <w:rFonts w:hint="eastAsia"/>
                <w:color w:val="auto"/>
                <w:sz w:val="24"/>
                <w:szCs w:val="24"/>
                <w:lang w:val="en-US" w:eastAsia="zh-CN"/>
              </w:rPr>
              <w:t>碱洗废水、碱洗后清洗废水及地面清洗废水经处理后均进入</w:t>
            </w:r>
            <w:r>
              <w:rPr>
                <w:rFonts w:hint="default" w:ascii="Times New Roman" w:hAnsi="Times New Roman" w:eastAsia="宋体" w:cs="Times New Roman"/>
                <w:color w:val="auto"/>
                <w:spacing w:val="-3"/>
                <w:sz w:val="24"/>
                <w:szCs w:val="24"/>
                <w:highlight w:val="none"/>
                <w:lang w:val="en-US" w:eastAsia="zh-CN"/>
              </w:rPr>
              <w:t>生化污水处理站</w:t>
            </w:r>
            <w:r>
              <w:rPr>
                <w:rFonts w:hint="eastAsia"/>
                <w:color w:val="auto"/>
                <w:sz w:val="24"/>
                <w:szCs w:val="24"/>
                <w:lang w:val="en-US" w:eastAsia="zh-CN"/>
              </w:rPr>
              <w:t>，</w:t>
            </w:r>
            <w:r>
              <w:rPr>
                <w:rFonts w:hint="default" w:ascii="Times New Roman" w:hAnsi="Times New Roman" w:eastAsia="宋体" w:cs="Times New Roman"/>
                <w:color w:val="auto"/>
                <w:spacing w:val="-3"/>
                <w:sz w:val="24"/>
                <w:szCs w:val="24"/>
                <w:highlight w:val="none"/>
              </w:rPr>
              <w:t>项目</w:t>
            </w:r>
            <w:r>
              <w:rPr>
                <w:rFonts w:hint="eastAsia" w:cs="Times New Roman"/>
                <w:color w:val="auto"/>
                <w:spacing w:val="-3"/>
                <w:sz w:val="24"/>
                <w:szCs w:val="24"/>
                <w:highlight w:val="none"/>
                <w:lang w:val="en-US" w:eastAsia="zh-CN"/>
              </w:rPr>
              <w:t>进入污水处理站综合废水量为314.33</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position w:val="8"/>
                <w:sz w:val="15"/>
                <w:szCs w:val="15"/>
                <w:highlight w:val="none"/>
              </w:rPr>
              <w:t>3</w:t>
            </w:r>
            <w:r>
              <w:rPr>
                <w:rFonts w:hint="default" w:ascii="Times New Roman" w:hAnsi="Times New Roman" w:eastAsia="宋体" w:cs="Times New Roman"/>
                <w:color w:val="auto"/>
                <w:spacing w:val="-3"/>
                <w:sz w:val="24"/>
                <w:szCs w:val="24"/>
                <w:highlight w:val="none"/>
              </w:rPr>
              <w:t>/d，</w:t>
            </w:r>
            <w:r>
              <w:rPr>
                <w:rFonts w:hint="eastAsia" w:cs="Times New Roman"/>
                <w:color w:val="auto"/>
                <w:spacing w:val="-3"/>
                <w:sz w:val="24"/>
                <w:szCs w:val="24"/>
                <w:highlight w:val="none"/>
                <w:lang w:val="en-US" w:eastAsia="zh-CN"/>
              </w:rPr>
              <w:t>考虑后期发展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rPr>
              <w:t>项目</w:t>
            </w:r>
            <w:r>
              <w:rPr>
                <w:rFonts w:hint="eastAsia" w:cs="Times New Roman"/>
                <w:color w:val="auto"/>
                <w:spacing w:val="-1"/>
                <w:sz w:val="24"/>
                <w:szCs w:val="24"/>
                <w:highlight w:val="none"/>
                <w:lang w:val="en-US" w:eastAsia="zh-CN"/>
              </w:rPr>
              <w:t>拟</w:t>
            </w:r>
            <w:r>
              <w:rPr>
                <w:rFonts w:hint="default" w:ascii="Times New Roman" w:hAnsi="Times New Roman" w:eastAsia="宋体" w:cs="Times New Roman"/>
                <w:color w:val="auto"/>
                <w:spacing w:val="-1"/>
                <w:sz w:val="24"/>
                <w:szCs w:val="24"/>
                <w:highlight w:val="none"/>
              </w:rPr>
              <w:t>设置1座</w:t>
            </w:r>
            <w:r>
              <w:rPr>
                <w:rFonts w:hint="eastAsia" w:cs="Times New Roman"/>
                <w:color w:val="auto"/>
                <w:spacing w:val="-1"/>
                <w:sz w:val="24"/>
                <w:szCs w:val="24"/>
                <w:highlight w:val="none"/>
                <w:lang w:val="en-US" w:eastAsia="zh-CN"/>
              </w:rPr>
              <w:t>规模为</w:t>
            </w:r>
            <w:r>
              <w:rPr>
                <w:rFonts w:hint="eastAsia" w:cs="Times New Roman"/>
                <w:color w:val="auto"/>
                <w:spacing w:val="-2"/>
                <w:sz w:val="24"/>
                <w:szCs w:val="24"/>
                <w:highlight w:val="none"/>
                <w:lang w:val="en-US" w:eastAsia="zh-CN"/>
              </w:rPr>
              <w:t>360</w:t>
            </w:r>
            <w:r>
              <w:rPr>
                <w:rFonts w:hint="default" w:ascii="Times New Roman" w:hAnsi="Times New Roman" w:eastAsia="宋体" w:cs="Times New Roman"/>
                <w:color w:val="auto"/>
                <w:spacing w:val="-2"/>
                <w:sz w:val="24"/>
                <w:szCs w:val="24"/>
                <w:highlight w:val="none"/>
              </w:rPr>
              <w:t>m</w:t>
            </w:r>
            <w:r>
              <w:rPr>
                <w:rFonts w:hint="default" w:ascii="Times New Roman" w:hAnsi="Times New Roman" w:eastAsia="宋体" w:cs="Times New Roman"/>
                <w:color w:val="auto"/>
                <w:spacing w:val="-2"/>
                <w:position w:val="7"/>
                <w:sz w:val="15"/>
                <w:szCs w:val="15"/>
                <w:highlight w:val="none"/>
              </w:rPr>
              <w:t>3</w:t>
            </w:r>
            <w:r>
              <w:rPr>
                <w:rFonts w:hint="default" w:ascii="Times New Roman" w:hAnsi="Times New Roman" w:eastAsia="宋体" w:cs="Times New Roman"/>
                <w:color w:val="auto"/>
                <w:spacing w:val="-2"/>
                <w:sz w:val="24"/>
                <w:szCs w:val="24"/>
                <w:highlight w:val="none"/>
              </w:rPr>
              <w:t>/d</w:t>
            </w:r>
            <w:r>
              <w:rPr>
                <w:rFonts w:hint="default" w:ascii="Times New Roman" w:hAnsi="Times New Roman" w:eastAsia="宋体" w:cs="Times New Roman"/>
                <w:color w:val="auto"/>
                <w:spacing w:val="-1"/>
                <w:sz w:val="24"/>
                <w:szCs w:val="24"/>
                <w:highlight w:val="none"/>
              </w:rPr>
              <w:t>生化</w:t>
            </w:r>
            <w:r>
              <w:rPr>
                <w:rFonts w:hint="default" w:ascii="Times New Roman" w:hAnsi="Times New Roman" w:eastAsia="宋体" w:cs="Times New Roman"/>
                <w:color w:val="auto"/>
                <w:spacing w:val="-2"/>
                <w:sz w:val="24"/>
                <w:szCs w:val="24"/>
                <w:highlight w:val="none"/>
              </w:rPr>
              <w:t>污水处理站处理</w:t>
            </w:r>
            <w:r>
              <w:rPr>
                <w:rFonts w:hint="eastAsia" w:cs="Times New Roman"/>
                <w:color w:val="auto"/>
                <w:spacing w:val="-2"/>
                <w:sz w:val="24"/>
                <w:szCs w:val="24"/>
                <w:highlight w:val="none"/>
                <w:lang w:val="en-US" w:eastAsia="zh-CN"/>
              </w:rPr>
              <w:t>综合</w:t>
            </w:r>
            <w:r>
              <w:rPr>
                <w:rFonts w:hint="default" w:ascii="Times New Roman" w:hAnsi="Times New Roman" w:eastAsia="宋体" w:cs="Times New Roman"/>
                <w:color w:val="auto"/>
                <w:spacing w:val="-2"/>
                <w:sz w:val="24"/>
                <w:szCs w:val="24"/>
                <w:highlight w:val="none"/>
              </w:rPr>
              <w:t>废水</w:t>
            </w:r>
            <w:r>
              <w:rPr>
                <w:rFonts w:hint="eastAsia" w:cs="Times New Roman"/>
                <w:color w:val="auto"/>
                <w:spacing w:val="-2"/>
                <w:sz w:val="24"/>
                <w:szCs w:val="24"/>
                <w:highlight w:val="none"/>
                <w:lang w:eastAsia="zh-CN"/>
              </w:rPr>
              <w:t>。</w:t>
            </w:r>
            <w:r>
              <w:rPr>
                <w:rFonts w:hint="eastAsia" w:cs="Times New Roman"/>
                <w:color w:val="auto"/>
                <w:sz w:val="24"/>
                <w:szCs w:val="24"/>
                <w:highlight w:val="none"/>
                <w:lang w:val="en-US" w:eastAsia="zh-CN"/>
              </w:rPr>
              <w:t>污水处理站</w:t>
            </w:r>
            <w:r>
              <w:rPr>
                <w:rFonts w:hint="default" w:ascii="Times New Roman" w:hAnsi="Times New Roman" w:eastAsia="宋体" w:cs="Times New Roman"/>
                <w:b w:val="0"/>
                <w:bCs w:val="0"/>
                <w:color w:val="auto"/>
                <w:sz w:val="24"/>
                <w:szCs w:val="24"/>
                <w:highlight w:val="none"/>
                <w:lang w:val="en-US" w:eastAsia="zh-CN"/>
              </w:rPr>
              <w:t>对各污染物</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去除效率分别为CODcr</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5%、BOD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SS</w:t>
            </w:r>
            <w:r>
              <w:rPr>
                <w:rFonts w:hint="eastAsia" w:cs="Times New Roman"/>
                <w:b w:val="0"/>
                <w:bCs w:val="0"/>
                <w:color w:val="auto"/>
                <w:sz w:val="24"/>
                <w:szCs w:val="24"/>
                <w:highlight w:val="none"/>
                <w:lang w:val="en-US" w:eastAsia="zh-CN"/>
              </w:rPr>
              <w:t>≥/85</w:t>
            </w:r>
            <w:r>
              <w:rPr>
                <w:rFonts w:hint="default" w:ascii="Times New Roman" w:hAnsi="Times New Roman" w:eastAsia="宋体" w:cs="Times New Roman"/>
                <w:b w:val="0"/>
                <w:bCs w:val="0"/>
                <w:color w:val="auto"/>
                <w:sz w:val="24"/>
                <w:szCs w:val="24"/>
                <w:highlight w:val="none"/>
                <w:lang w:val="en-US" w:eastAsia="zh-CN"/>
              </w:rPr>
              <w:t>%，氨氮</w:t>
            </w:r>
            <w:r>
              <w:rPr>
                <w:rFonts w:hint="eastAsia" w:cs="Times New Roman"/>
                <w:b w:val="0"/>
                <w:bCs w:val="0"/>
                <w:color w:val="auto"/>
                <w:sz w:val="24"/>
                <w:szCs w:val="24"/>
                <w:highlight w:val="none"/>
                <w:lang w:val="en-US" w:eastAsia="zh-CN"/>
              </w:rPr>
              <w:t>≥50</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、总磷≥25%</w:t>
            </w:r>
            <w:r>
              <w:rPr>
                <w:rFonts w:hint="default" w:ascii="Times New Roman" w:hAnsi="Times New Roman" w:eastAsia="宋体" w:cs="Times New Roman"/>
                <w:color w:val="auto"/>
                <w:kern w:val="0"/>
                <w:sz w:val="24"/>
                <w:szCs w:val="24"/>
                <w:highlight w:val="none"/>
                <w:lang w:eastAsia="zh-CN"/>
              </w:rPr>
              <w:t>。</w:t>
            </w:r>
          </w:p>
          <w:p w14:paraId="48CA6946">
            <w:pPr>
              <w:keepNext w:val="0"/>
              <w:keepLines w:val="0"/>
              <w:pageBreakBefore w:val="0"/>
              <w:kinsoku/>
              <w:overflowPunct/>
              <w:topLinePunct/>
              <w:autoSpaceDE w:val="0"/>
              <w:bidi w:val="0"/>
              <w:spacing w:before="1" w:line="338" w:lineRule="auto"/>
              <w:ind w:left="13" w:right="99" w:firstLine="477"/>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根据</w:t>
            </w:r>
            <w:r>
              <w:rPr>
                <w:rFonts w:hint="default" w:ascii="Times New Roman" w:hAnsi="Times New Roman" w:eastAsia="宋体" w:cs="Times New Roman"/>
                <w:color w:val="auto"/>
                <w:spacing w:val="-2"/>
                <w:sz w:val="24"/>
                <w:szCs w:val="24"/>
                <w:highlight w:val="none"/>
                <w:lang w:val="en-US" w:eastAsia="zh-CN"/>
              </w:rPr>
              <w:t>工程分析</w:t>
            </w:r>
            <w:r>
              <w:rPr>
                <w:rFonts w:hint="default" w:ascii="Times New Roman" w:hAnsi="Times New Roman" w:eastAsia="宋体" w:cs="Times New Roman"/>
                <w:color w:val="auto"/>
                <w:spacing w:val="-16"/>
                <w:sz w:val="24"/>
                <w:szCs w:val="24"/>
                <w:highlight w:val="none"/>
              </w:rPr>
              <w:t>，</w:t>
            </w:r>
            <w:r>
              <w:rPr>
                <w:rFonts w:hint="default" w:ascii="Times New Roman" w:hAnsi="Times New Roman" w:eastAsia="宋体" w:cs="Times New Roman"/>
                <w:color w:val="auto"/>
                <w:spacing w:val="3"/>
                <w:sz w:val="24"/>
                <w:szCs w:val="24"/>
                <w:highlight w:val="none"/>
              </w:rPr>
              <w:t>各指标在满</w:t>
            </w:r>
            <w:r>
              <w:rPr>
                <w:rFonts w:hint="default" w:ascii="Times New Roman" w:hAnsi="Times New Roman" w:eastAsia="宋体" w:cs="Times New Roman"/>
                <w:color w:val="auto"/>
                <w:spacing w:val="2"/>
                <w:sz w:val="24"/>
                <w:szCs w:val="24"/>
                <w:highlight w:val="none"/>
              </w:rPr>
              <w:t>足</w:t>
            </w:r>
            <w:r>
              <w:rPr>
                <w:rFonts w:hint="default" w:ascii="Times New Roman" w:hAnsi="Times New Roman" w:eastAsia="宋体" w:cs="Times New Roman"/>
                <w:color w:val="auto"/>
                <w:spacing w:val="4"/>
                <w:sz w:val="24"/>
                <w:szCs w:val="24"/>
                <w:highlight w:val="none"/>
                <w:lang w:eastAsia="zh-CN"/>
              </w:rPr>
              <w:t>《污</w:t>
            </w:r>
            <w:r>
              <w:rPr>
                <w:rFonts w:hint="default" w:ascii="Times New Roman" w:hAnsi="Times New Roman" w:eastAsia="宋体" w:cs="Times New Roman"/>
                <w:color w:val="auto"/>
                <w:spacing w:val="3"/>
                <w:sz w:val="24"/>
                <w:szCs w:val="24"/>
                <w:highlight w:val="none"/>
                <w:lang w:eastAsia="zh-CN"/>
              </w:rPr>
              <w:t>水综合排放标准》（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3"/>
                <w:sz w:val="24"/>
                <w:szCs w:val="24"/>
                <w:highlight w:val="none"/>
                <w:lang w:eastAsia="zh-CN"/>
              </w:rPr>
              <w:t>8978-1996）</w:t>
            </w:r>
            <w:r>
              <w:rPr>
                <w:rFonts w:hint="default" w:ascii="Times New Roman" w:hAnsi="Times New Roman" w:eastAsia="宋体" w:cs="Times New Roman"/>
                <w:color w:val="auto"/>
                <w:spacing w:val="8"/>
                <w:sz w:val="24"/>
                <w:szCs w:val="24"/>
                <w:highlight w:val="none"/>
                <w:lang w:eastAsia="zh-CN"/>
              </w:rPr>
              <w:t>表4中三级标准限值、</w:t>
            </w:r>
            <w:r>
              <w:rPr>
                <w:rFonts w:hint="default" w:ascii="Times New Roman" w:hAnsi="Times New Roman" w:eastAsia="宋体" w:cs="Times New Roman"/>
                <w:color w:val="auto"/>
                <w:spacing w:val="6"/>
                <w:sz w:val="24"/>
                <w:szCs w:val="24"/>
                <w:highlight w:val="none"/>
                <w:lang w:eastAsia="zh-CN"/>
              </w:rPr>
              <w:t>《污水排入城</w:t>
            </w:r>
            <w:r>
              <w:rPr>
                <w:rFonts w:hint="default" w:ascii="Times New Roman" w:hAnsi="Times New Roman" w:eastAsia="宋体" w:cs="Times New Roman"/>
                <w:color w:val="auto"/>
                <w:spacing w:val="9"/>
                <w:sz w:val="24"/>
                <w:szCs w:val="24"/>
                <w:highlight w:val="none"/>
                <w:lang w:eastAsia="zh-CN"/>
              </w:rPr>
              <w:t>镇下水道水质标准》（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9"/>
                <w:sz w:val="24"/>
                <w:szCs w:val="24"/>
                <w:highlight w:val="none"/>
                <w:lang w:eastAsia="zh-CN"/>
              </w:rPr>
              <w:t>/T31962-2015）中A级标准</w:t>
            </w:r>
            <w:r>
              <w:rPr>
                <w:rFonts w:hint="default" w:ascii="Times New Roman" w:hAnsi="Times New Roman" w:eastAsia="宋体" w:cs="Times New Roman"/>
                <w:color w:val="auto"/>
                <w:spacing w:val="-3"/>
                <w:sz w:val="24"/>
                <w:szCs w:val="24"/>
                <w:highlight w:val="none"/>
              </w:rPr>
              <w:t>及</w:t>
            </w:r>
            <w:r>
              <w:rPr>
                <w:rFonts w:hint="default" w:ascii="Times New Roman" w:hAnsi="Times New Roman" w:eastAsia="宋体" w:cs="Times New Roman"/>
                <w:color w:val="auto"/>
                <w:spacing w:val="-3"/>
                <w:sz w:val="24"/>
                <w:szCs w:val="24"/>
                <w:highlight w:val="none"/>
                <w:lang w:val="en-US" w:eastAsia="zh-CN"/>
              </w:rPr>
              <w:t>污水处理厂进水水质要求</w:t>
            </w:r>
            <w:r>
              <w:rPr>
                <w:rFonts w:hint="eastAsia" w:cs="Times New Roman"/>
                <w:color w:val="auto"/>
                <w:spacing w:val="-3"/>
                <w:sz w:val="24"/>
                <w:szCs w:val="24"/>
                <w:highlight w:val="none"/>
                <w:lang w:val="en-US" w:eastAsia="zh-CN"/>
              </w:rPr>
              <w:t>（即</w:t>
            </w:r>
            <w:r>
              <w:rPr>
                <w:rFonts w:hint="default" w:ascii="Times New Roman" w:hAnsi="Times New Roman" w:eastAsia="宋体" w:cs="Times New Roman"/>
                <w:color w:val="auto"/>
                <w:sz w:val="24"/>
                <w:szCs w:val="24"/>
                <w:highlight w:val="none"/>
                <w:u w:val="none"/>
                <w:lang w:val="en-US" w:eastAsia="zh-CN"/>
              </w:rPr>
              <w:t>7≤pH≤8、COD</w:t>
            </w:r>
            <w:r>
              <w:rPr>
                <w:rFonts w:hint="default" w:ascii="Times New Roman" w:hAnsi="Times New Roman" w:eastAsia="宋体" w:cs="Times New Roman"/>
                <w:color w:val="auto"/>
                <w:sz w:val="24"/>
                <w:szCs w:val="24"/>
                <w:highlight w:val="none"/>
                <w:u w:val="none"/>
                <w:vertAlign w:val="subscript"/>
                <w:lang w:val="en-US" w:eastAsia="zh-CN"/>
              </w:rPr>
              <w:t>Cr</w:t>
            </w:r>
            <w:r>
              <w:rPr>
                <w:rFonts w:hint="default" w:ascii="Times New Roman" w:hAnsi="Times New Roman" w:eastAsia="宋体" w:cs="Times New Roman"/>
                <w:color w:val="auto"/>
                <w:sz w:val="24"/>
                <w:szCs w:val="24"/>
                <w:highlight w:val="none"/>
                <w:u w:val="none"/>
                <w:lang w:val="en-US" w:eastAsia="zh-CN"/>
              </w:rPr>
              <w:t>≤380mg/L、BOD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≤210mg/L、SS≤200mg/L、氨氮≤35mg/L、总氮≤45mg/L、总磷≤4mg/L</w:t>
            </w:r>
            <w:r>
              <w:rPr>
                <w:rFonts w:hint="eastAsia" w:cs="Times New Roman"/>
                <w:color w:val="auto"/>
                <w:spacing w:val="-3"/>
                <w:sz w:val="24"/>
                <w:szCs w:val="24"/>
                <w:highlight w:val="none"/>
                <w:lang w:val="en-US" w:eastAsia="zh-CN"/>
              </w:rPr>
              <w:t>）</w:t>
            </w:r>
            <w:r>
              <w:rPr>
                <w:rFonts w:hint="default" w:ascii="Times New Roman" w:hAnsi="Times New Roman" w:eastAsia="宋体" w:cs="Times New Roman"/>
                <w:color w:val="auto"/>
                <w:spacing w:val="-3"/>
                <w:sz w:val="24"/>
                <w:szCs w:val="24"/>
                <w:highlight w:val="none"/>
                <w:lang w:val="en-US" w:eastAsia="zh-CN"/>
              </w:rPr>
              <w:t>后</w:t>
            </w:r>
            <w:r>
              <w:rPr>
                <w:rFonts w:hint="default" w:ascii="Times New Roman" w:hAnsi="Times New Roman" w:eastAsia="宋体"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经项目总</w:t>
            </w:r>
            <w:r>
              <w:rPr>
                <w:rFonts w:hint="default" w:ascii="Times New Roman" w:hAnsi="Times New Roman" w:eastAsia="宋体" w:cs="Times New Roman"/>
                <w:color w:val="auto"/>
                <w:spacing w:val="-3"/>
                <w:sz w:val="24"/>
                <w:szCs w:val="24"/>
                <w:highlight w:val="none"/>
              </w:rPr>
              <w:t>排口</w:t>
            </w:r>
            <w:r>
              <w:rPr>
                <w:rFonts w:hint="eastAsia" w:cs="Times New Roman"/>
                <w:color w:val="auto"/>
                <w:spacing w:val="-3"/>
                <w:sz w:val="24"/>
                <w:szCs w:val="24"/>
                <w:highlight w:val="none"/>
                <w:lang w:val="en-US" w:eastAsia="zh-CN"/>
              </w:rPr>
              <w:t>排入市政管网</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最终进入</w:t>
            </w:r>
            <w:r>
              <w:rPr>
                <w:rFonts w:hint="default" w:ascii="Times New Roman" w:hAnsi="Times New Roman" w:eastAsia="宋体" w:cs="Times New Roman"/>
                <w:color w:val="auto"/>
                <w:spacing w:val="-3"/>
                <w:sz w:val="24"/>
                <w:szCs w:val="24"/>
                <w:highlight w:val="none"/>
              </w:rPr>
              <w:t>云南易门产业园区六街和麦子田片区集中式生活污水处理厂处理</w:t>
            </w:r>
            <w:r>
              <w:rPr>
                <w:rFonts w:hint="default" w:ascii="Times New Roman" w:hAnsi="Times New Roman" w:eastAsia="宋体" w:cs="Times New Roman"/>
                <w:color w:val="auto"/>
                <w:spacing w:val="3"/>
                <w:sz w:val="24"/>
                <w:szCs w:val="24"/>
                <w:highlight w:val="none"/>
              </w:rPr>
              <w:t>。因此，项目新建生</w:t>
            </w:r>
            <w:r>
              <w:rPr>
                <w:rFonts w:hint="default" w:ascii="Times New Roman" w:hAnsi="Times New Roman" w:eastAsia="宋体" w:cs="Times New Roman"/>
                <w:color w:val="auto"/>
                <w:spacing w:val="2"/>
                <w:sz w:val="24"/>
                <w:szCs w:val="24"/>
                <w:highlight w:val="none"/>
              </w:rPr>
              <w:t>化污水处理站处理</w:t>
            </w:r>
            <w:r>
              <w:rPr>
                <w:rFonts w:hint="default" w:ascii="Times New Roman" w:hAnsi="Times New Roman" w:eastAsia="宋体" w:cs="Times New Roman"/>
                <w:color w:val="auto"/>
                <w:spacing w:val="-3"/>
                <w:sz w:val="24"/>
                <w:szCs w:val="24"/>
                <w:highlight w:val="none"/>
              </w:rPr>
              <w:t>工艺可行。</w:t>
            </w:r>
          </w:p>
          <w:p w14:paraId="44A634C7">
            <w:pPr>
              <w:keepNext w:val="0"/>
              <w:keepLines w:val="0"/>
              <w:pageBreakBefore w:val="0"/>
              <w:widowControl w:val="0"/>
              <w:kinsoku/>
              <w:wordWrap/>
              <w:overflowPunct/>
              <w:topLinePunct/>
              <w:autoSpaceDE w:val="0"/>
              <w:autoSpaceDN/>
              <w:bidi w:val="0"/>
              <w:adjustRightInd/>
              <w:snapToGrid/>
              <w:spacing w:line="360" w:lineRule="auto"/>
              <w:ind w:firstLine="492" w:firstLineChars="200"/>
              <w:textAlignment w:val="auto"/>
              <w:rPr>
                <w:rFonts w:hint="default" w:ascii="Times New Roman" w:hAnsi="Times New Roman" w:eastAsia="宋体" w:cs="Times New Roman"/>
                <w:snapToGrid w:val="0"/>
                <w:color w:val="auto"/>
                <w:kern w:val="0"/>
                <w:sz w:val="24"/>
                <w:szCs w:val="20"/>
                <w:highlight w:val="none"/>
                <w:lang w:val="en-US" w:eastAsia="zh-CN" w:bidi="ar-SA"/>
              </w:rPr>
            </w:pPr>
            <w:r>
              <w:rPr>
                <w:rFonts w:hint="default" w:ascii="Times New Roman" w:hAnsi="Times New Roman" w:eastAsia="宋体" w:cs="Times New Roman"/>
                <w:color w:val="auto"/>
                <w:spacing w:val="3"/>
                <w:sz w:val="24"/>
                <w:szCs w:val="24"/>
                <w:highlight w:val="none"/>
              </w:rPr>
              <w:t>为保障项目污水处理站出水水质达标，建设单位</w:t>
            </w:r>
            <w:r>
              <w:rPr>
                <w:rFonts w:hint="eastAsia" w:cs="Times New Roman"/>
                <w:color w:val="auto"/>
                <w:spacing w:val="3"/>
                <w:sz w:val="24"/>
                <w:szCs w:val="24"/>
                <w:highlight w:val="none"/>
                <w:lang w:val="en-US" w:eastAsia="zh-CN"/>
              </w:rPr>
              <w:t>已</w:t>
            </w:r>
            <w:r>
              <w:rPr>
                <w:rFonts w:hint="default" w:ascii="Times New Roman" w:hAnsi="Times New Roman" w:eastAsia="宋体" w:cs="Times New Roman"/>
                <w:color w:val="auto"/>
                <w:spacing w:val="3"/>
                <w:sz w:val="24"/>
                <w:szCs w:val="24"/>
                <w:highlight w:val="none"/>
              </w:rPr>
              <w:t>委托有资质的单位</w:t>
            </w:r>
            <w:r>
              <w:rPr>
                <w:rFonts w:hint="default" w:ascii="Times New Roman" w:hAnsi="Times New Roman" w:eastAsia="宋体" w:cs="Times New Roman"/>
                <w:color w:val="auto"/>
                <w:spacing w:val="2"/>
                <w:sz w:val="24"/>
                <w:szCs w:val="24"/>
                <w:highlight w:val="none"/>
              </w:rPr>
              <w:t>对</w:t>
            </w:r>
            <w:r>
              <w:rPr>
                <w:rFonts w:hint="default" w:ascii="Times New Roman" w:hAnsi="Times New Roman" w:eastAsia="宋体" w:cs="Times New Roman"/>
                <w:color w:val="auto"/>
                <w:spacing w:val="2"/>
                <w:sz w:val="24"/>
                <w:szCs w:val="24"/>
                <w:highlight w:val="none"/>
                <w:lang w:val="en-US" w:eastAsia="zh-CN"/>
              </w:rPr>
              <w:t>碱洗废水处理、</w:t>
            </w:r>
            <w:r>
              <w:rPr>
                <w:rFonts w:hint="default" w:ascii="Times New Roman" w:hAnsi="Times New Roman" w:eastAsia="宋体" w:cs="Times New Roman"/>
                <w:color w:val="auto"/>
                <w:spacing w:val="2"/>
                <w:sz w:val="24"/>
                <w:szCs w:val="24"/>
                <w:highlight w:val="none"/>
              </w:rPr>
              <w:t>污水</w:t>
            </w:r>
            <w:r>
              <w:rPr>
                <w:rFonts w:hint="default" w:ascii="Times New Roman" w:hAnsi="Times New Roman" w:eastAsia="宋体" w:cs="Times New Roman"/>
                <w:color w:val="auto"/>
                <w:spacing w:val="-1"/>
                <w:sz w:val="24"/>
                <w:szCs w:val="24"/>
                <w:highlight w:val="none"/>
              </w:rPr>
              <w:t>处理站进行设计，并委托有资质的单位严格进行施工及环境监理</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snapToGrid w:val="0"/>
                <w:color w:val="auto"/>
                <w:kern w:val="0"/>
                <w:sz w:val="24"/>
                <w:szCs w:val="20"/>
                <w:highlight w:val="none"/>
                <w:lang w:val="en-US" w:eastAsia="zh-CN" w:bidi="ar-SA"/>
              </w:rPr>
              <w:t>后续运营过程中建设单位加强项目废水处理站运维管理，最大程度减轻项目运营期废水对周边水环境的影响。</w:t>
            </w:r>
          </w:p>
          <w:p w14:paraId="24C5073B">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b/>
                <w:bCs/>
                <w:strike w:val="0"/>
                <w:dstrike w:val="0"/>
                <w:color w:val="auto"/>
                <w:sz w:val="24"/>
                <w:szCs w:val="24"/>
                <w:highlight w:val="none"/>
                <w:lang w:val="en-US" w:eastAsia="zh-CN"/>
              </w:rPr>
              <w:t>（4）项目废水排入云南易门产业园区六街和麦子田片区集中式生活污水处理厂可行性分析</w:t>
            </w:r>
          </w:p>
          <w:p w14:paraId="021C5CBD">
            <w:pPr>
              <w:pStyle w:val="28"/>
              <w:keepNext w:val="0"/>
              <w:keepLines w:val="0"/>
              <w:pageBreakBefore w:val="0"/>
              <w:widowControl w:val="0"/>
              <w:kinsoku/>
              <w:wordWrap/>
              <w:overflowPunct/>
              <w:topLinePunct/>
              <w:autoSpaceDE w:val="0"/>
              <w:autoSpaceDN/>
              <w:bidi w:val="0"/>
              <w:adjustRightInd/>
              <w:snapToGrid/>
              <w:spacing w:after="0" w:line="360" w:lineRule="auto"/>
              <w:ind w:left="0" w:firstLine="482" w:firstLineChars="200"/>
              <w:textAlignment w:val="auto"/>
              <w:rPr>
                <w:rFonts w:hint="default" w:ascii="Times New Roman" w:hAnsi="Times New Roman" w:eastAsia="宋体" w:cs="Times New Roman"/>
                <w:b/>
                <w:bCs/>
                <w:strike w:val="0"/>
                <w:dstrike w:val="0"/>
                <w:color w:val="auto"/>
                <w:kern w:val="2"/>
                <w:sz w:val="24"/>
                <w:szCs w:val="24"/>
                <w:highlight w:val="none"/>
                <w:lang w:val="en-US" w:eastAsia="zh-CN" w:bidi="ar-SA"/>
              </w:rPr>
            </w:pPr>
            <w:r>
              <w:rPr>
                <w:rFonts w:hint="eastAsia" w:ascii="Times New Roman" w:hAnsi="Times New Roman" w:eastAsia="宋体" w:cs="Times New Roman"/>
                <w:b/>
                <w:bCs/>
                <w:strike w:val="0"/>
                <w:dstrike w:val="0"/>
                <w:color w:val="auto"/>
                <w:kern w:val="2"/>
                <w:sz w:val="24"/>
                <w:szCs w:val="24"/>
                <w:highlight w:val="none"/>
                <w:lang w:val="en-US" w:eastAsia="zh-CN" w:bidi="ar-SA"/>
              </w:rPr>
              <w:t>①污水处理厂概况</w:t>
            </w:r>
          </w:p>
          <w:p w14:paraId="770BD7E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sz w:val="24"/>
                <w:highlight w:val="none"/>
                <w:lang w:val="en-US" w:eastAsia="zh-CN"/>
              </w:rPr>
              <w:t>云南</w:t>
            </w:r>
            <w:r>
              <w:rPr>
                <w:rFonts w:hint="default" w:ascii="Times New Roman" w:hAnsi="Times New Roman" w:eastAsia="宋体" w:cs="Times New Roman"/>
                <w:color w:val="auto"/>
                <w:sz w:val="24"/>
                <w:highlight w:val="none"/>
              </w:rPr>
              <w:t>易门产业园区六街和麦子</w:t>
            </w:r>
            <w:r>
              <w:rPr>
                <w:rFonts w:hint="default" w:ascii="Times New Roman" w:hAnsi="Times New Roman" w:eastAsia="宋体" w:cs="Times New Roman"/>
                <w:color w:val="auto"/>
                <w:sz w:val="24"/>
                <w:highlight w:val="none"/>
                <w:lang w:val="en-US" w:eastAsia="zh-CN"/>
              </w:rPr>
              <w:t>田片区集中式生活污水处理厂</w:t>
            </w:r>
            <w:r>
              <w:rPr>
                <w:rFonts w:hint="default" w:ascii="Times New Roman" w:hAnsi="Times New Roman" w:eastAsia="宋体" w:cs="Times New Roman"/>
                <w:color w:val="auto"/>
                <w:sz w:val="24"/>
                <w:highlight w:val="none"/>
              </w:rPr>
              <w:t>近期处理规模为</w:t>
            </w:r>
            <w:r>
              <w:rPr>
                <w:rFonts w:hint="default" w:ascii="Times New Roman" w:hAnsi="Times New Roman" w:eastAsia="宋体" w:cs="Times New Roman"/>
                <w:color w:val="auto"/>
                <w:kern w:val="0"/>
                <w:sz w:val="24"/>
                <w:highlight w:val="none"/>
              </w:rPr>
              <w:t>2000m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远</w:t>
            </w:r>
            <w:r>
              <w:rPr>
                <w:rFonts w:hint="default" w:ascii="Times New Roman" w:hAnsi="Times New Roman" w:eastAsia="宋体" w:cs="Times New Roman"/>
                <w:color w:val="auto"/>
                <w:sz w:val="24"/>
                <w:highlight w:val="none"/>
              </w:rPr>
              <w:t>期处理规模为</w:t>
            </w:r>
            <w:r>
              <w:rPr>
                <w:rFonts w:hint="default" w:ascii="Times New Roman" w:hAnsi="Times New Roman" w:eastAsia="宋体"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rPr>
              <w:t>000m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目前污水处理厂</w:t>
            </w:r>
            <w:r>
              <w:rPr>
                <w:rFonts w:hint="default" w:ascii="Times New Roman" w:hAnsi="Times New Roman" w:eastAsia="宋体" w:cs="Times New Roman"/>
                <w:b w:val="0"/>
                <w:bCs w:val="0"/>
                <w:strike w:val="0"/>
                <w:dstrike w:val="0"/>
                <w:color w:val="auto"/>
                <w:spacing w:val="-3"/>
                <w:sz w:val="24"/>
                <w:szCs w:val="24"/>
                <w:highlight w:val="none"/>
                <w:lang w:eastAsia="zh-CN"/>
              </w:rPr>
              <w:t>设备按近期</w:t>
            </w:r>
            <w:r>
              <w:rPr>
                <w:rFonts w:hint="default" w:ascii="Times New Roman" w:hAnsi="Times New Roman" w:eastAsia="宋体" w:cs="Times New Roman"/>
                <w:b w:val="0"/>
                <w:bCs w:val="0"/>
                <w:strike w:val="0"/>
                <w:dstrike w:val="0"/>
                <w:color w:val="auto"/>
                <w:spacing w:val="-3"/>
                <w:sz w:val="24"/>
                <w:szCs w:val="24"/>
                <w:highlight w:val="none"/>
                <w:lang w:val="en-US" w:eastAsia="zh-CN"/>
              </w:rPr>
              <w:t>2000m</w:t>
            </w:r>
            <w:r>
              <w:rPr>
                <w:rFonts w:hint="default" w:ascii="Times New Roman" w:hAnsi="Times New Roman" w:eastAsia="宋体" w:cs="Times New Roman"/>
                <w:b w:val="0"/>
                <w:bCs w:val="0"/>
                <w:strike w:val="0"/>
                <w:dstrike w:val="0"/>
                <w:color w:val="auto"/>
                <w:spacing w:val="-3"/>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pacing w:val="-3"/>
                <w:sz w:val="24"/>
                <w:szCs w:val="24"/>
                <w:highlight w:val="none"/>
                <w:lang w:val="en-US" w:eastAsia="zh-CN"/>
              </w:rPr>
              <w:t>/d规模安装，</w:t>
            </w:r>
            <w:r>
              <w:rPr>
                <w:rFonts w:hint="default" w:ascii="Times New Roman" w:hAnsi="Times New Roman" w:eastAsia="宋体" w:cs="Times New Roman"/>
                <w:color w:val="auto"/>
                <w:kern w:val="0"/>
                <w:sz w:val="24"/>
                <w:highlight w:val="none"/>
                <w:lang w:val="zh-CN"/>
              </w:rPr>
              <w:t>污水处理工艺采取“粗格栅+提升泵房+细格栅+曝气沉砂池+A</w:t>
            </w:r>
            <w:r>
              <w:rPr>
                <w:rFonts w:hint="default" w:ascii="Times New Roman" w:hAnsi="Times New Roman" w:eastAsia="宋体" w:cs="Times New Roman"/>
                <w:color w:val="auto"/>
                <w:kern w:val="0"/>
                <w:sz w:val="24"/>
                <w:highlight w:val="none"/>
                <w:vertAlign w:val="superscript"/>
                <w:lang w:val="en-US" w:eastAsia="zh-CN"/>
              </w:rPr>
              <w:t>2</w:t>
            </w:r>
            <w:r>
              <w:rPr>
                <w:rFonts w:hint="default" w:ascii="Times New Roman" w:hAnsi="Times New Roman" w:eastAsia="宋体" w:cs="Times New Roman"/>
                <w:color w:val="auto"/>
                <w:kern w:val="0"/>
                <w:sz w:val="24"/>
                <w:highlight w:val="none"/>
                <w:lang w:val="zh-CN"/>
              </w:rPr>
              <w:t>O+二沉池+高效沉淀池+滤布滤池+紫外线消毒”</w:t>
            </w:r>
            <w:r>
              <w:rPr>
                <w:rFonts w:hint="default" w:ascii="Times New Roman" w:hAnsi="Times New Roman" w:eastAsia="宋体" w:cs="Times New Roman"/>
                <w:color w:val="auto"/>
                <w:sz w:val="24"/>
                <w:highlight w:val="none"/>
              </w:rPr>
              <w:t>工艺</w:t>
            </w:r>
            <w:r>
              <w:rPr>
                <w:rFonts w:hint="eastAsia" w:cs="Times New Roman"/>
                <w:color w:val="auto"/>
                <w:sz w:val="24"/>
                <w:highlight w:val="none"/>
                <w:lang w:eastAsia="zh-CN"/>
              </w:rPr>
              <w:t>；</w:t>
            </w:r>
            <w:r>
              <w:rPr>
                <w:rFonts w:hint="eastAsia" w:cs="Times New Roman"/>
                <w:color w:val="auto"/>
                <w:sz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污水处理厂</w:t>
            </w:r>
            <w:r>
              <w:rPr>
                <w:rFonts w:hint="eastAsia" w:cs="Times New Roman"/>
                <w:color w:val="auto"/>
                <w:sz w:val="24"/>
                <w:szCs w:val="24"/>
                <w:highlight w:val="none"/>
                <w:lang w:val="en-US" w:eastAsia="zh-CN"/>
              </w:rPr>
              <w:t>可研设计资料，污水处理厂</w:t>
            </w:r>
            <w:r>
              <w:rPr>
                <w:rFonts w:hint="default" w:ascii="Times New Roman" w:hAnsi="Times New Roman" w:eastAsia="宋体" w:cs="Times New Roman"/>
                <w:color w:val="auto"/>
                <w:sz w:val="24"/>
                <w:szCs w:val="24"/>
                <w:highlight w:val="none"/>
                <w:lang w:val="en-US" w:eastAsia="zh-CN"/>
              </w:rPr>
              <w:t>进水水质要求为</w:t>
            </w:r>
            <w:r>
              <w:rPr>
                <w:rFonts w:hint="default" w:ascii="Times New Roman" w:hAnsi="Times New Roman" w:eastAsia="宋体" w:cs="Times New Roman"/>
                <w:color w:val="auto"/>
                <w:sz w:val="24"/>
                <w:szCs w:val="24"/>
                <w:highlight w:val="none"/>
                <w:u w:val="none"/>
                <w:lang w:val="en-US" w:eastAsia="zh-CN"/>
              </w:rPr>
              <w:t>7≤pH≤8、COD</w:t>
            </w:r>
            <w:r>
              <w:rPr>
                <w:rFonts w:hint="default" w:ascii="Times New Roman" w:hAnsi="Times New Roman" w:eastAsia="宋体" w:cs="Times New Roman"/>
                <w:color w:val="auto"/>
                <w:sz w:val="24"/>
                <w:szCs w:val="24"/>
                <w:highlight w:val="none"/>
                <w:u w:val="none"/>
                <w:vertAlign w:val="subscript"/>
                <w:lang w:val="en-US" w:eastAsia="zh-CN"/>
              </w:rPr>
              <w:t>Cr</w:t>
            </w:r>
            <w:r>
              <w:rPr>
                <w:rFonts w:hint="default" w:ascii="Times New Roman" w:hAnsi="Times New Roman" w:eastAsia="宋体" w:cs="Times New Roman"/>
                <w:color w:val="auto"/>
                <w:sz w:val="24"/>
                <w:szCs w:val="24"/>
                <w:highlight w:val="none"/>
                <w:u w:val="none"/>
                <w:lang w:val="en-US" w:eastAsia="zh-CN"/>
              </w:rPr>
              <w:t>≤380mg/L、BOD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≤210mg/L、SS≤200mg/L、氨氮≤35mg/L、总氮≤45mg/L、总磷≤4mg/L，</w:t>
            </w:r>
            <w:r>
              <w:rPr>
                <w:rFonts w:hint="default" w:ascii="Times New Roman" w:hAnsi="Times New Roman" w:eastAsia="宋体" w:cs="Times New Roman"/>
                <w:color w:val="auto"/>
                <w:sz w:val="24"/>
                <w:highlight w:val="none"/>
              </w:rPr>
              <w:t>设计出水水质</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达到</w:t>
            </w:r>
            <w:r>
              <w:rPr>
                <w:rFonts w:hint="default" w:ascii="Times New Roman" w:hAnsi="Times New Roman" w:eastAsia="宋体" w:cs="Times New Roman"/>
                <w:color w:val="auto"/>
                <w:kern w:val="0"/>
                <w:sz w:val="24"/>
                <w:highlight w:val="none"/>
                <w:lang w:val="zh-CN"/>
              </w:rPr>
              <w:t>《城镇污水处理厂污染物排放标准》一级A标准值。</w:t>
            </w:r>
          </w:p>
          <w:p w14:paraId="5583AF71">
            <w:pPr>
              <w:pStyle w:val="27"/>
              <w:keepNext w:val="0"/>
              <w:keepLines w:val="0"/>
              <w:pageBreakBefore w:val="0"/>
              <w:widowControl w:val="0"/>
              <w:kinsoku/>
              <w:wordWrap/>
              <w:overflowPunct/>
              <w:topLinePunct/>
              <w:autoSpaceDE w:val="0"/>
              <w:autoSpaceDN/>
              <w:bidi w:val="0"/>
              <w:adjustRightInd/>
              <w:snapToGrid/>
              <w:ind w:firstLine="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kern w:val="0"/>
                <w:sz w:val="24"/>
                <w:szCs w:val="24"/>
                <w:highlight w:val="none"/>
                <w:lang w:val="en-US" w:eastAsia="zh-CN" w:bidi="ar-SA"/>
              </w:rPr>
              <w:object>
                <v:shape id="_x0000_i1032" o:spt="75" type="#_x0000_t75" style="height:178pt;width:397.2pt;" o:ole="t" filled="f" o:preferrelative="t" stroked="f" coordsize="21600,21600">
                  <v:path/>
                  <v:fill on="f" focussize="0,0"/>
                  <v:stroke on="f"/>
                  <v:imagedata r:id="rId30" o:title=""/>
                  <o:lock v:ext="edit" aspectratio="f"/>
                  <w10:wrap type="none"/>
                  <w10:anchorlock/>
                </v:shape>
                <o:OLEObject Type="Embed" ProgID="Visio.Drawing.15" ShapeID="_x0000_i1032" DrawAspect="Content" ObjectID="_1468075732" r:id="rId29">
                  <o:LockedField>false</o:LockedField>
                </o:OLEObject>
              </w:object>
            </w:r>
            <w:r>
              <w:rPr>
                <w:rFonts w:hint="default" w:ascii="Times New Roman" w:hAnsi="Times New Roman" w:eastAsia="宋体" w:cs="Times New Roman"/>
                <w:b/>
                <w:bCs/>
                <w:color w:val="auto"/>
                <w:kern w:val="0"/>
                <w:sz w:val="24"/>
                <w:szCs w:val="24"/>
                <w:highlight w:val="none"/>
                <w:lang w:val="en-US" w:eastAsia="zh-CN" w:bidi="ar-SA"/>
              </w:rPr>
              <w:t>图4-</w:t>
            </w:r>
            <w:r>
              <w:rPr>
                <w:rFonts w:hint="eastAsia" w:cs="Times New Roman"/>
                <w:b/>
                <w:bCs/>
                <w:color w:val="auto"/>
                <w:kern w:val="0"/>
                <w:sz w:val="24"/>
                <w:szCs w:val="24"/>
                <w:highlight w:val="none"/>
                <w:lang w:val="en-US" w:eastAsia="zh-CN" w:bidi="ar-SA"/>
              </w:rPr>
              <w:t>3</w:t>
            </w:r>
            <w:r>
              <w:rPr>
                <w:rFonts w:hint="default" w:ascii="Times New Roman" w:hAnsi="Times New Roman" w:eastAsia="宋体" w:cs="Times New Roman"/>
                <w:b/>
                <w:bCs/>
                <w:color w:val="auto"/>
                <w:kern w:val="0"/>
                <w:sz w:val="24"/>
                <w:szCs w:val="24"/>
                <w:highlight w:val="none"/>
                <w:lang w:val="en-US" w:eastAsia="zh-CN" w:bidi="ar-SA"/>
              </w:rPr>
              <w:t xml:space="preserve">  污水处理工艺流程</w:t>
            </w:r>
          </w:p>
          <w:p w14:paraId="0402E206">
            <w:pPr>
              <w:keepNext w:val="0"/>
              <w:keepLines w:val="0"/>
              <w:pageBreakBefore w:val="0"/>
              <w:widowControl w:val="0"/>
              <w:kinsoku/>
              <w:wordWrap/>
              <w:overflowPunct/>
              <w:topLinePunct/>
              <w:autoSpaceDE w:val="0"/>
              <w:autoSpaceDN w:val="0"/>
              <w:bidi w:val="0"/>
              <w:adjustRightInd w:val="0"/>
              <w:snapToGrid w:val="0"/>
              <w:spacing w:before="157" w:beforeLines="50" w:line="360" w:lineRule="auto"/>
              <w:ind w:firstLine="468" w:firstLineChars="200"/>
              <w:jc w:val="both"/>
              <w:textAlignment w:val="auto"/>
              <w:rPr>
                <w:rFonts w:hint="default" w:ascii="Times New Roman" w:hAnsi="Times New Roman" w:eastAsia="宋体" w:cs="Times New Roman"/>
                <w:b w:val="0"/>
                <w:bCs w:val="0"/>
                <w:strike w:val="0"/>
                <w:dstrike w:val="0"/>
                <w:color w:val="auto"/>
                <w:spacing w:val="-3"/>
                <w:sz w:val="24"/>
                <w:szCs w:val="24"/>
                <w:highlight w:val="none"/>
                <w:lang w:val="en-US" w:eastAsia="zh-CN"/>
              </w:rPr>
            </w:pPr>
            <w:r>
              <w:rPr>
                <w:rFonts w:hint="default" w:ascii="Times New Roman" w:hAnsi="Times New Roman" w:eastAsia="宋体" w:cs="Times New Roman"/>
                <w:b w:val="0"/>
                <w:bCs w:val="0"/>
                <w:strike w:val="0"/>
                <w:dstrike w:val="0"/>
                <w:color w:val="auto"/>
                <w:spacing w:val="-3"/>
                <w:sz w:val="24"/>
                <w:szCs w:val="24"/>
                <w:highlight w:val="none"/>
                <w:lang w:val="en-US" w:eastAsia="zh-CN"/>
              </w:rPr>
              <w:t>根据调查，云南易门产业园区六街和麦子田片区集中式生活污水处理厂于2024年3月开工建设，</w:t>
            </w:r>
            <w:r>
              <w:rPr>
                <w:rFonts w:hint="eastAsia" w:cs="Times New Roman"/>
                <w:b w:val="0"/>
                <w:bCs w:val="0"/>
                <w:strike w:val="0"/>
                <w:dstrike w:val="0"/>
                <w:color w:val="auto"/>
                <w:spacing w:val="-3"/>
                <w:sz w:val="24"/>
                <w:szCs w:val="24"/>
                <w:highlight w:val="none"/>
                <w:lang w:val="en-US" w:eastAsia="zh-CN"/>
              </w:rPr>
              <w:t>于</w:t>
            </w:r>
            <w:r>
              <w:rPr>
                <w:rFonts w:hint="default" w:ascii="Times New Roman" w:hAnsi="Times New Roman" w:eastAsia="宋体" w:cs="Times New Roman"/>
                <w:b w:val="0"/>
                <w:bCs w:val="0"/>
                <w:strike w:val="0"/>
                <w:dstrike w:val="0"/>
                <w:color w:val="auto"/>
                <w:spacing w:val="-3"/>
                <w:sz w:val="24"/>
                <w:szCs w:val="24"/>
                <w:highlight w:val="none"/>
                <w:lang w:val="en-US" w:eastAsia="zh-CN"/>
              </w:rPr>
              <w:t>2025年5月建成</w:t>
            </w:r>
            <w:r>
              <w:rPr>
                <w:rFonts w:hint="eastAsia" w:cs="Times New Roman"/>
                <w:b w:val="0"/>
                <w:bCs w:val="0"/>
                <w:strike w:val="0"/>
                <w:dstrike w:val="0"/>
                <w:color w:val="auto"/>
                <w:spacing w:val="-3"/>
                <w:sz w:val="24"/>
                <w:szCs w:val="24"/>
                <w:highlight w:val="none"/>
                <w:lang w:val="en-US" w:eastAsia="zh-CN"/>
              </w:rPr>
              <w:t>；建成后由</w:t>
            </w:r>
            <w:r>
              <w:rPr>
                <w:rFonts w:hint="default" w:ascii="Times New Roman" w:hAnsi="Times New Roman" w:eastAsia="宋体" w:cs="Times New Roman"/>
                <w:b w:val="0"/>
                <w:bCs w:val="0"/>
                <w:strike w:val="0"/>
                <w:dstrike w:val="0"/>
                <w:color w:val="auto"/>
                <w:spacing w:val="-3"/>
                <w:sz w:val="24"/>
                <w:szCs w:val="24"/>
                <w:highlight w:val="none"/>
                <w:lang w:val="en-US" w:eastAsia="zh-CN"/>
              </w:rPr>
              <w:t>于园区各企业污水已设置污水处理设施等原因导致排水量较小、无法全部收集至污水处理厂，经园区管委会多方协调，</w:t>
            </w:r>
            <w:r>
              <w:rPr>
                <w:rFonts w:hint="default" w:ascii="Times New Roman" w:hAnsi="Times New Roman" w:eastAsia="宋体" w:cs="Times New Roman"/>
                <w:color w:val="auto"/>
                <w:sz w:val="24"/>
                <w:highlight w:val="none"/>
              </w:rPr>
              <w:t>污水处理厂</w:t>
            </w:r>
            <w:r>
              <w:rPr>
                <w:rFonts w:hint="default" w:ascii="Times New Roman" w:hAnsi="Times New Roman" w:eastAsia="宋体" w:cs="Times New Roman"/>
                <w:b w:val="0"/>
                <w:bCs w:val="0"/>
                <w:strike w:val="0"/>
                <w:dstrike w:val="0"/>
                <w:color w:val="auto"/>
                <w:spacing w:val="-3"/>
                <w:sz w:val="24"/>
                <w:szCs w:val="24"/>
                <w:highlight w:val="none"/>
                <w:lang w:val="en-US" w:eastAsia="zh-CN"/>
              </w:rPr>
              <w:t>至2026年</w:t>
            </w:r>
            <w:r>
              <w:rPr>
                <w:rFonts w:hint="eastAsia" w:cs="Times New Roman"/>
                <w:b w:val="0"/>
                <w:bCs w:val="0"/>
                <w:strike w:val="0"/>
                <w:dstrike w:val="0"/>
                <w:color w:val="auto"/>
                <w:spacing w:val="-3"/>
                <w:sz w:val="24"/>
                <w:szCs w:val="24"/>
                <w:highlight w:val="none"/>
                <w:lang w:val="en-US" w:eastAsia="zh-CN"/>
              </w:rPr>
              <w:t>2</w:t>
            </w:r>
            <w:r>
              <w:rPr>
                <w:rFonts w:hint="default" w:ascii="Times New Roman" w:hAnsi="Times New Roman" w:eastAsia="宋体" w:cs="Times New Roman"/>
                <w:b w:val="0"/>
                <w:bCs w:val="0"/>
                <w:strike w:val="0"/>
                <w:dstrike w:val="0"/>
                <w:color w:val="auto"/>
                <w:spacing w:val="-3"/>
                <w:sz w:val="24"/>
                <w:szCs w:val="24"/>
                <w:highlight w:val="none"/>
                <w:lang w:val="en-US" w:eastAsia="zh-CN"/>
              </w:rPr>
              <w:t>月进行投产调试，正在开展竣工环境保护验收工作</w:t>
            </w:r>
            <w:r>
              <w:rPr>
                <w:rFonts w:hint="eastAsia" w:cs="Times New Roman"/>
                <w:b w:val="0"/>
                <w:bCs w:val="0"/>
                <w:strike w:val="0"/>
                <w:dstrike w:val="0"/>
                <w:color w:val="auto"/>
                <w:spacing w:val="-3"/>
                <w:sz w:val="24"/>
                <w:szCs w:val="24"/>
                <w:highlight w:val="none"/>
                <w:lang w:val="en-US" w:eastAsia="zh-CN"/>
              </w:rPr>
              <w:t>，</w:t>
            </w:r>
            <w:r>
              <w:rPr>
                <w:rFonts w:hint="default" w:ascii="Times New Roman" w:hAnsi="Times New Roman" w:eastAsia="宋体" w:cs="Times New Roman"/>
                <w:b w:val="0"/>
                <w:bCs w:val="0"/>
                <w:strike w:val="0"/>
                <w:dstrike w:val="0"/>
                <w:color w:val="auto"/>
                <w:spacing w:val="-3"/>
                <w:sz w:val="24"/>
                <w:szCs w:val="24"/>
                <w:highlight w:val="none"/>
                <w:lang w:val="en-US" w:eastAsia="zh-CN"/>
              </w:rPr>
              <w:t>现阶段污水处理厂</w:t>
            </w:r>
            <w:r>
              <w:rPr>
                <w:rFonts w:hint="default" w:ascii="Times New Roman" w:hAnsi="Times New Roman" w:eastAsia="宋体" w:cs="Times New Roman"/>
                <w:b w:val="0"/>
                <w:bCs w:val="0"/>
                <w:strike w:val="0"/>
                <w:dstrike w:val="0"/>
                <w:color w:val="auto"/>
                <w:spacing w:val="-3"/>
                <w:sz w:val="24"/>
                <w:szCs w:val="24"/>
                <w:lang w:val="en-US" w:eastAsia="zh-CN"/>
              </w:rPr>
              <w:t>运行负荷约为</w:t>
            </w:r>
            <w:r>
              <w:rPr>
                <w:rFonts w:hint="eastAsia" w:cs="Times New Roman"/>
                <w:b w:val="0"/>
                <w:bCs w:val="0"/>
                <w:strike w:val="0"/>
                <w:dstrike w:val="0"/>
                <w:color w:val="auto"/>
                <w:spacing w:val="-3"/>
                <w:sz w:val="24"/>
                <w:szCs w:val="24"/>
                <w:highlight w:val="none"/>
                <w:lang w:val="en-US" w:eastAsia="zh-CN"/>
              </w:rPr>
              <w:t>450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b w:val="0"/>
                <w:bCs w:val="0"/>
                <w:strike w:val="0"/>
                <w:dstrike w:val="0"/>
                <w:color w:val="auto"/>
                <w:spacing w:val="-3"/>
                <w:sz w:val="24"/>
                <w:szCs w:val="24"/>
                <w:lang w:val="en-US" w:eastAsia="zh-CN"/>
              </w:rPr>
              <w:t>日处理污水量</w:t>
            </w:r>
            <w:r>
              <w:rPr>
                <w:rFonts w:hint="eastAsia" w:cs="Times New Roman"/>
                <w:color w:val="auto"/>
                <w:kern w:val="0"/>
                <w:sz w:val="24"/>
                <w:highlight w:val="none"/>
                <w:lang w:val="en-US" w:eastAsia="zh-CN"/>
              </w:rPr>
              <w:t>余量为1550</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eastAsia" w:cs="Times New Roman"/>
                <w:color w:val="auto"/>
                <w:kern w:val="0"/>
                <w:sz w:val="24"/>
                <w:highlight w:val="none"/>
                <w:lang w:val="en-US" w:eastAsia="zh-CN"/>
              </w:rPr>
              <w:t>，本项目总外排水量为339.6</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eastAsia" w:cs="Times New Roman"/>
                <w:color w:val="auto"/>
                <w:kern w:val="0"/>
                <w:sz w:val="24"/>
                <w:highlight w:val="none"/>
                <w:lang w:val="en-US" w:eastAsia="zh-CN"/>
              </w:rPr>
              <w:t>，污水处理厂</w:t>
            </w:r>
            <w:r>
              <w:rPr>
                <w:rFonts w:hint="default" w:ascii="Times New Roman" w:hAnsi="Times New Roman" w:eastAsia="宋体" w:cs="Times New Roman"/>
                <w:b w:val="0"/>
                <w:bCs w:val="0"/>
                <w:strike w:val="0"/>
                <w:dstrike w:val="0"/>
                <w:color w:val="auto"/>
                <w:spacing w:val="-3"/>
                <w:sz w:val="24"/>
                <w:szCs w:val="24"/>
                <w:lang w:val="en-US" w:eastAsia="zh-CN"/>
              </w:rPr>
              <w:t>尚有能力接纳本项目区污水</w:t>
            </w:r>
            <w:r>
              <w:rPr>
                <w:rFonts w:hint="default" w:ascii="Times New Roman" w:hAnsi="Times New Roman" w:eastAsia="宋体" w:cs="Times New Roman"/>
                <w:b w:val="0"/>
                <w:bCs w:val="0"/>
                <w:strike w:val="0"/>
                <w:dstrike w:val="0"/>
                <w:color w:val="auto"/>
                <w:spacing w:val="-3"/>
                <w:sz w:val="24"/>
                <w:szCs w:val="24"/>
                <w:highlight w:val="none"/>
                <w:lang w:val="en-US" w:eastAsia="zh-CN"/>
              </w:rPr>
              <w:t>。</w:t>
            </w:r>
          </w:p>
          <w:p w14:paraId="76B3B4BE">
            <w:pPr>
              <w:keepNext w:val="0"/>
              <w:keepLines w:val="0"/>
              <w:pageBreakBefore w:val="0"/>
              <w:widowControl w:val="0"/>
              <w:kinsoku/>
              <w:wordWrap/>
              <w:overflowPunct/>
              <w:topLinePunct/>
              <w:autoSpaceDE w:val="0"/>
              <w:autoSpaceDN w:val="0"/>
              <w:bidi w:val="0"/>
              <w:adjustRightInd w:val="0"/>
              <w:snapToGrid w:val="0"/>
              <w:spacing w:line="360" w:lineRule="auto"/>
              <w:ind w:firstLine="470" w:firstLineChars="200"/>
              <w:jc w:val="both"/>
              <w:textAlignment w:val="auto"/>
              <w:rPr>
                <w:rFonts w:hint="default" w:ascii="Times New Roman" w:hAnsi="Times New Roman" w:eastAsia="宋体" w:cs="Times New Roman"/>
                <w:b/>
                <w:bCs/>
                <w:strike w:val="0"/>
                <w:dstrike w:val="0"/>
                <w:color w:val="auto"/>
                <w:spacing w:val="-3"/>
                <w:sz w:val="24"/>
                <w:szCs w:val="24"/>
                <w:highlight w:val="none"/>
                <w:lang w:val="en-US" w:eastAsia="zh-CN"/>
              </w:rPr>
            </w:pPr>
            <w:r>
              <w:rPr>
                <w:rFonts w:hint="eastAsia" w:cs="Times New Roman"/>
                <w:b/>
                <w:bCs/>
                <w:strike w:val="0"/>
                <w:dstrike w:val="0"/>
                <w:color w:val="auto"/>
                <w:spacing w:val="-3"/>
                <w:sz w:val="24"/>
                <w:szCs w:val="24"/>
                <w:highlight w:val="none"/>
                <w:lang w:val="en-US" w:eastAsia="zh-CN"/>
              </w:rPr>
              <w:t>②项目周边污水管网概况</w:t>
            </w:r>
          </w:p>
          <w:p w14:paraId="742CE80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根据调查，</w:t>
            </w:r>
            <w:r>
              <w:rPr>
                <w:rFonts w:hint="default" w:ascii="Times New Roman" w:hAnsi="Times New Roman" w:eastAsia="宋体" w:cs="Times New Roman"/>
                <w:color w:val="auto"/>
                <w:sz w:val="24"/>
                <w:highlight w:val="none"/>
              </w:rPr>
              <w:t>云南易门产业园区六街和麦子</w:t>
            </w:r>
            <w:r>
              <w:rPr>
                <w:rFonts w:hint="default" w:ascii="Times New Roman" w:hAnsi="Times New Roman" w:eastAsia="宋体" w:cs="Times New Roman"/>
                <w:color w:val="auto"/>
                <w:sz w:val="24"/>
                <w:highlight w:val="none"/>
                <w:lang w:val="en-US" w:eastAsia="zh-CN"/>
              </w:rPr>
              <w:t>田片区集中式生活污水处理厂位于易门县铁厂三家村南侧扒河与六街河交叉点西侧，</w:t>
            </w:r>
            <w:r>
              <w:rPr>
                <w:rFonts w:hint="default" w:ascii="Times New Roman" w:hAnsi="Times New Roman" w:eastAsia="宋体" w:cs="Times New Roman"/>
                <w:b w:val="0"/>
                <w:bCs w:val="0"/>
                <w:strike w:val="0"/>
                <w:dstrike w:val="0"/>
                <w:color w:val="auto"/>
                <w:spacing w:val="-3"/>
                <w:sz w:val="24"/>
                <w:szCs w:val="24"/>
                <w:highlight w:val="none"/>
                <w:lang w:val="en-US" w:eastAsia="zh-CN"/>
              </w:rPr>
              <w:t>中心地理坐标为东经</w:t>
            </w:r>
            <w:r>
              <w:rPr>
                <w:rFonts w:hint="default" w:ascii="Times New Roman" w:hAnsi="Times New Roman" w:eastAsia="宋体" w:cs="Times New Roman"/>
                <w:color w:val="auto"/>
                <w:sz w:val="24"/>
                <w:highlight w:val="none"/>
                <w:lang w:val="en-US" w:eastAsia="zh-CN"/>
              </w:rPr>
              <w:t>102°14′1.6872″，北纬24°48′26.9208″；项目污水处理厂近期服务范围12.18平方公里，</w:t>
            </w:r>
            <w:r>
              <w:rPr>
                <w:rFonts w:hint="default" w:ascii="Times New Roman" w:hAnsi="Times New Roman" w:eastAsia="宋体" w:cs="Times New Roman"/>
                <w:color w:val="auto"/>
                <w:sz w:val="24"/>
                <w:highlight w:val="none"/>
                <w:lang w:val="zh-CN" w:eastAsia="zh-CN"/>
              </w:rPr>
              <w:t>主要</w:t>
            </w:r>
            <w:r>
              <w:rPr>
                <w:rFonts w:hint="default" w:ascii="Times New Roman" w:hAnsi="Times New Roman" w:eastAsia="宋体" w:cs="Times New Roman"/>
                <w:color w:val="auto"/>
                <w:sz w:val="24"/>
                <w:highlight w:val="none"/>
                <w:lang w:val="en-US" w:eastAsia="zh-CN"/>
              </w:rPr>
              <w:t>覆盖</w:t>
            </w:r>
            <w:r>
              <w:rPr>
                <w:rFonts w:hint="default" w:ascii="Times New Roman" w:hAnsi="Times New Roman" w:eastAsia="宋体" w:cs="Times New Roman"/>
                <w:color w:val="auto"/>
                <w:sz w:val="24"/>
                <w:highlight w:val="none"/>
                <w:lang w:val="zh-CN" w:eastAsia="zh-CN"/>
              </w:rPr>
              <w:t>麦子田产业区、村东、大山凹村铁厂三家村、六街集镇、柏树村、六街产业区、脿乐村</w:t>
            </w:r>
            <w:r>
              <w:rPr>
                <w:rFonts w:hint="default"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b w:val="0"/>
                <w:bCs w:val="0"/>
                <w:strike w:val="0"/>
                <w:dstrike w:val="0"/>
                <w:color w:val="auto"/>
                <w:spacing w:val="-3"/>
                <w:sz w:val="24"/>
                <w:szCs w:val="24"/>
                <w:highlight w:val="none"/>
                <w:lang w:val="en-US" w:eastAsia="zh-CN"/>
              </w:rPr>
              <w:t>近期规划</w:t>
            </w:r>
            <w:r>
              <w:rPr>
                <w:rFonts w:hint="default" w:ascii="Times New Roman" w:hAnsi="Times New Roman" w:eastAsia="宋体" w:cs="Times New Roman"/>
                <w:b w:val="0"/>
                <w:bCs w:val="0"/>
                <w:strike w:val="0"/>
                <w:dstrike w:val="0"/>
                <w:color w:val="auto"/>
                <w:spacing w:val="-3"/>
                <w:sz w:val="24"/>
                <w:szCs w:val="24"/>
                <w:highlight w:val="none"/>
                <w:lang w:val="en-US" w:eastAsia="zh-CN"/>
              </w:rPr>
              <w:t>在麦子田片区云南鑫易金属结构工程有限公司东侧拟建污水提升泵房一座，近期设置两台潜污泵，将范围内污水提升到园区西侧高处污水收集管网内，继而运输至污水处理厂进行处理</w:t>
            </w:r>
            <w:r>
              <w:rPr>
                <w:rFonts w:hint="eastAsia" w:ascii="Times New Roman" w:hAnsi="Times New Roman" w:eastAsia="宋体" w:cs="Times New Roman"/>
                <w:b w:val="0"/>
                <w:bCs w:val="0"/>
                <w:strike w:val="0"/>
                <w:dstrike w:val="0"/>
                <w:color w:val="auto"/>
                <w:spacing w:val="-3"/>
                <w:sz w:val="24"/>
                <w:szCs w:val="24"/>
                <w:highlight w:val="none"/>
                <w:lang w:val="en-US" w:eastAsia="zh-CN"/>
              </w:rPr>
              <w:t>。</w:t>
            </w:r>
          </w:p>
          <w:p w14:paraId="4454EA03">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en-US" w:eastAsia="zh-CN"/>
              </w:rPr>
              <w:t>本项目位于云南鑫易金属结构工程有限公司南侧，位于</w:t>
            </w:r>
            <w:r>
              <w:rPr>
                <w:rFonts w:hint="default" w:ascii="Times New Roman" w:hAnsi="Times New Roman" w:eastAsia="宋体" w:cs="Times New Roman"/>
                <w:color w:val="auto"/>
                <w:sz w:val="24"/>
                <w:highlight w:val="none"/>
              </w:rPr>
              <w:t>污水处理厂</w:t>
            </w:r>
            <w:r>
              <w:rPr>
                <w:rFonts w:hint="default" w:ascii="Times New Roman" w:hAnsi="Times New Roman" w:eastAsia="宋体" w:cs="Times New Roman"/>
                <w:color w:val="auto"/>
                <w:kern w:val="0"/>
                <w:sz w:val="24"/>
                <w:highlight w:val="none"/>
              </w:rPr>
              <w:t>污水收集管网</w:t>
            </w:r>
            <w:r>
              <w:rPr>
                <w:rFonts w:hint="default" w:ascii="Times New Roman" w:hAnsi="Times New Roman" w:eastAsia="宋体" w:cs="Times New Roman"/>
                <w:color w:val="auto"/>
                <w:kern w:val="0"/>
                <w:sz w:val="24"/>
                <w:highlight w:val="none"/>
                <w:lang w:val="en-US" w:eastAsia="zh-CN"/>
              </w:rPr>
              <w:t>范围内。</w:t>
            </w:r>
          </w:p>
          <w:p w14:paraId="0CD6129C">
            <w:pPr>
              <w:pStyle w:val="27"/>
              <w:keepNext w:val="0"/>
              <w:keepLines w:val="0"/>
              <w:pageBreakBefore w:val="0"/>
              <w:widowControl w:val="0"/>
              <w:kinsoku/>
              <w:wordWrap/>
              <w:overflowPunct/>
              <w:topLinePunct/>
              <w:autoSpaceDE w:val="0"/>
              <w:autoSpaceDN/>
              <w:bidi w:val="0"/>
              <w:adjustRightInd/>
              <w:snapToGrid/>
              <w:spacing w:line="240" w:lineRule="auto"/>
              <w:ind w:firstLine="0"/>
              <w:jc w:val="center"/>
              <w:textAlignment w:val="auto"/>
              <w:rPr>
                <w:rFonts w:hint="default" w:ascii="Times New Roman" w:hAnsi="Times New Roman" w:eastAsia="宋体" w:cs="Times New Roman"/>
                <w:color w:val="auto"/>
                <w:highlight w:val="none"/>
                <w:lang w:val="en-US" w:eastAsia="zh-CN"/>
              </w:rPr>
            </w:pPr>
            <w:r>
              <w:rPr>
                <w:color w:val="auto"/>
                <w:sz w:val="28"/>
              </w:rPr>
              <mc:AlternateContent>
                <mc:Choice Requires="wps">
                  <w:drawing>
                    <wp:anchor distT="0" distB="0" distL="114300" distR="114300" simplePos="0" relativeHeight="251681792" behindDoc="0" locked="0" layoutInCell="1" allowOverlap="1">
                      <wp:simplePos x="0" y="0"/>
                      <wp:positionH relativeFrom="column">
                        <wp:posOffset>3642995</wp:posOffset>
                      </wp:positionH>
                      <wp:positionV relativeFrom="paragraph">
                        <wp:posOffset>551815</wp:posOffset>
                      </wp:positionV>
                      <wp:extent cx="278130" cy="3175"/>
                      <wp:effectExtent l="0" t="0" r="0" b="0"/>
                      <wp:wrapNone/>
                      <wp:docPr id="31" name="直接连接符 31"/>
                      <wp:cNvGraphicFramePr/>
                      <a:graphic xmlns:a="http://schemas.openxmlformats.org/drawingml/2006/main">
                        <a:graphicData uri="http://schemas.microsoft.com/office/word/2010/wordprocessingShape">
                          <wps:wsp>
                            <wps:cNvCnPr/>
                            <wps:spPr>
                              <a:xfrm>
                                <a:off x="0" y="0"/>
                                <a:ext cx="278130" cy="3175"/>
                              </a:xfrm>
                              <a:prstGeom prst="line">
                                <a:avLst/>
                              </a:prstGeom>
                              <a:ln w="19050">
                                <a:solidFill>
                                  <a:srgbClr val="00B05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6.85pt;margin-top:43.45pt;height:0.25pt;width:21.9pt;z-index:251681792;mso-width-relative:page;mso-height-relative:page;" filled="f" stroked="t" coordsize="21600,21600" o:gfxdata="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7ynl2wAAAAkBAAAPAAAAAAAAAAEAIAAAACIAAABkcnMvZG93bnJldi54bWxQSwECFAAUAAAA&#10;CACHTuJA7K+88OsBAAC2AwAADgAAAAAAAAABACAAAAAqAQAAZHJzL2Uyb0RvYy54bWxQSwUGAAAA&#10;AAYABgBZAQAAhwUAAAAA&#10;">
                      <v:fill on="f" focussize="0,0"/>
                      <v:stroke weight="1.5pt" color="#00B050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80768" behindDoc="0" locked="0" layoutInCell="1" allowOverlap="1">
                      <wp:simplePos x="0" y="0"/>
                      <wp:positionH relativeFrom="column">
                        <wp:posOffset>3645535</wp:posOffset>
                      </wp:positionH>
                      <wp:positionV relativeFrom="paragraph">
                        <wp:posOffset>384175</wp:posOffset>
                      </wp:positionV>
                      <wp:extent cx="278130" cy="3175"/>
                      <wp:effectExtent l="0" t="0" r="0" b="0"/>
                      <wp:wrapNone/>
                      <wp:docPr id="30" name="直接连接符 30"/>
                      <wp:cNvGraphicFramePr/>
                      <a:graphic xmlns:a="http://schemas.openxmlformats.org/drawingml/2006/main">
                        <a:graphicData uri="http://schemas.microsoft.com/office/word/2010/wordprocessingShape">
                          <wps:wsp>
                            <wps:cNvCnPr/>
                            <wps:spPr>
                              <a:xfrm>
                                <a:off x="0" y="0"/>
                                <a:ext cx="278130" cy="3175"/>
                              </a:xfrm>
                              <a:prstGeom prst="line">
                                <a:avLst/>
                              </a:prstGeom>
                              <a:ln w="1905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7.05pt;margin-top:30.25pt;height:0.25pt;width:21.9pt;z-index:251680768;mso-width-relative:page;mso-height-relative:page;" filled="f" stroked="t" coordsize="21600,21600" o:gfxdata="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auvgdgAAAAJAQAADwAAAAAAAAABACAAAAAiAAAAZHJzL2Rvd25yZXYueG1sUEsBAhQAFAAAAAgA&#10;h07iQFU9dzLsAQAAtgMAAA4AAAAAAAAAAQAgAAAAJwEAAGRycy9lMm9Eb2MueG1sUEsFBgAAAAAG&#10;AAYAWQEAAIUFAAAAAA==&#10;">
                      <v:fill on="f" focussize="0,0"/>
                      <v:stroke weight="1.5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9744" behindDoc="0" locked="0" layoutInCell="1" allowOverlap="1">
                      <wp:simplePos x="0" y="0"/>
                      <wp:positionH relativeFrom="column">
                        <wp:posOffset>3584575</wp:posOffset>
                      </wp:positionH>
                      <wp:positionV relativeFrom="paragraph">
                        <wp:posOffset>235585</wp:posOffset>
                      </wp:positionV>
                      <wp:extent cx="1189990" cy="514350"/>
                      <wp:effectExtent l="0" t="0" r="0" b="0"/>
                      <wp:wrapNone/>
                      <wp:docPr id="29" name="文本框 29"/>
                      <wp:cNvGraphicFramePr/>
                      <a:graphic xmlns:a="http://schemas.openxmlformats.org/drawingml/2006/main">
                        <a:graphicData uri="http://schemas.microsoft.com/office/word/2010/wordprocessingShape">
                          <wps:wsp>
                            <wps:cNvSpPr txBox="1"/>
                            <wps:spPr>
                              <a:xfrm>
                                <a:off x="5363845" y="5603240"/>
                                <a:ext cx="118999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73B8B">
                                  <w:pPr>
                                    <w:jc w:val="right"/>
                                    <w:rPr>
                                      <w:rFonts w:hint="eastAsia"/>
                                      <w:b/>
                                      <w:bCs/>
                                      <w:color w:val="FFFF00"/>
                                      <w:lang w:val="en-US" w:eastAsia="zh-CN"/>
                                    </w:rPr>
                                  </w:pPr>
                                  <w:r>
                                    <w:rPr>
                                      <w:rFonts w:hint="eastAsia"/>
                                      <w:b/>
                                      <w:bCs/>
                                      <w:color w:val="FFFF00"/>
                                      <w:lang w:val="en-US" w:eastAsia="zh-CN"/>
                                    </w:rPr>
                                    <w:t>近期污水管</w:t>
                                  </w:r>
                                </w:p>
                                <w:p w14:paraId="18DC77DC">
                                  <w:pPr>
                                    <w:pStyle w:val="2"/>
                                    <w:jc w:val="right"/>
                                    <w:rPr>
                                      <w:rFonts w:hint="default"/>
                                      <w:b/>
                                      <w:bCs/>
                                      <w:color w:val="FFFF00"/>
                                      <w:lang w:val="en-US" w:eastAsia="zh-CN"/>
                                    </w:rPr>
                                  </w:pPr>
                                  <w:r>
                                    <w:rPr>
                                      <w:rFonts w:hint="eastAsia"/>
                                      <w:b/>
                                      <w:bCs/>
                                      <w:color w:val="FFFF00"/>
                                      <w:lang w:val="en-US" w:eastAsia="zh-CN"/>
                                    </w:rPr>
                                    <w:t>远期污水管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25pt;margin-top:18.55pt;height:40.5pt;width:93.7pt;z-index:251679744;mso-width-relative:page;mso-height-relative:page;" filled="f" stroked="f" coordsize="21600,21600" o:gfxdata="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orbN2wAAAAoBAAAPAAAAAAAAAAEA&#10;IAAAACIAAABkcnMvZG93bnJldi54bWxQSwECFAAUAAAACACHTuJA7xK+8EUCAAB0BAAADgAAAAAA&#10;AAABACAAAAAqAQAAZHJzL2Uyb0RvYy54bWxQSwUGAAAAAAYABgBZAQAA4QUAAAAA&#10;">
                      <v:fill on="f" focussize="0,0"/>
                      <v:stroke on="f" weight="0.5pt"/>
                      <v:imagedata o:title=""/>
                      <o:lock v:ext="edit" aspectratio="f"/>
                      <v:textbox>
                        <w:txbxContent>
                          <w:p w14:paraId="30873B8B">
                            <w:pPr>
                              <w:jc w:val="right"/>
                              <w:rPr>
                                <w:rFonts w:hint="eastAsia"/>
                                <w:b/>
                                <w:bCs/>
                                <w:color w:val="FFFF00"/>
                                <w:lang w:val="en-US" w:eastAsia="zh-CN"/>
                              </w:rPr>
                            </w:pPr>
                            <w:r>
                              <w:rPr>
                                <w:rFonts w:hint="eastAsia"/>
                                <w:b/>
                                <w:bCs/>
                                <w:color w:val="FFFF00"/>
                                <w:lang w:val="en-US" w:eastAsia="zh-CN"/>
                              </w:rPr>
                              <w:t>近期污水管</w:t>
                            </w:r>
                          </w:p>
                          <w:p w14:paraId="18DC77DC">
                            <w:pPr>
                              <w:pStyle w:val="2"/>
                              <w:jc w:val="right"/>
                              <w:rPr>
                                <w:rFonts w:hint="default"/>
                                <w:b/>
                                <w:bCs/>
                                <w:color w:val="FFFF00"/>
                                <w:lang w:val="en-US" w:eastAsia="zh-CN"/>
                              </w:rPr>
                            </w:pPr>
                            <w:r>
                              <w:rPr>
                                <w:rFonts w:hint="eastAsia"/>
                                <w:b/>
                                <w:bCs/>
                                <w:color w:val="FFFF00"/>
                                <w:lang w:val="en-US" w:eastAsia="zh-CN"/>
                              </w:rPr>
                              <w:t>远期污水管</w:t>
                            </w:r>
                          </w:p>
                        </w:txbxContent>
                      </v:textbox>
                    </v:shape>
                  </w:pict>
                </mc:Fallback>
              </mc:AlternateContent>
            </w:r>
            <w:r>
              <w:rPr>
                <w:color w:val="auto"/>
                <w:sz w:val="28"/>
              </w:rPr>
              <mc:AlternateContent>
                <mc:Choice Requires="wps">
                  <w:drawing>
                    <wp:anchor distT="0" distB="0" distL="114300" distR="114300" simplePos="0" relativeHeight="251678720" behindDoc="0" locked="0" layoutInCell="1" allowOverlap="1">
                      <wp:simplePos x="0" y="0"/>
                      <wp:positionH relativeFrom="column">
                        <wp:posOffset>2770505</wp:posOffset>
                      </wp:positionH>
                      <wp:positionV relativeFrom="paragraph">
                        <wp:posOffset>1731645</wp:posOffset>
                      </wp:positionV>
                      <wp:extent cx="386715" cy="904240"/>
                      <wp:effectExtent l="5715" t="2540" r="7620" b="7620"/>
                      <wp:wrapNone/>
                      <wp:docPr id="28" name="直接连接符 28"/>
                      <wp:cNvGraphicFramePr/>
                      <a:graphic xmlns:a="http://schemas.openxmlformats.org/drawingml/2006/main">
                        <a:graphicData uri="http://schemas.microsoft.com/office/word/2010/wordprocessingShape">
                          <wps:wsp>
                            <wps:cNvCnPr/>
                            <wps:spPr>
                              <a:xfrm>
                                <a:off x="0" y="0"/>
                                <a:ext cx="386715" cy="90424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8.15pt;margin-top:136.35pt;height:71.2pt;width:30.45pt;z-index:251678720;mso-width-relative:page;mso-height-relative:page;" filled="f" stroked="t" coordsize="21600,21600" o:gfxdata="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P/B1twAAAALAQAADwAAAAAAAAABACAAAAAiAAAAZHJzL2Rvd25yZXYueG1sUEsB&#10;AhQAFAAAAAgAh07iQM3Oyt7xAQAAuAMAAA4AAAAAAAAAAQAgAAAAKwEAAGRycy9lMm9Eb2MueG1s&#10;UEsFBgAAAAAGAAYAWQEAAI4FA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7696" behindDoc="0" locked="0" layoutInCell="1" allowOverlap="1">
                      <wp:simplePos x="0" y="0"/>
                      <wp:positionH relativeFrom="column">
                        <wp:posOffset>2695575</wp:posOffset>
                      </wp:positionH>
                      <wp:positionV relativeFrom="paragraph">
                        <wp:posOffset>1606550</wp:posOffset>
                      </wp:positionV>
                      <wp:extent cx="75565" cy="126365"/>
                      <wp:effectExtent l="5715" t="3175" r="13970" b="3810"/>
                      <wp:wrapNone/>
                      <wp:docPr id="27" name="直接连接符 27"/>
                      <wp:cNvGraphicFramePr/>
                      <a:graphic xmlns:a="http://schemas.openxmlformats.org/drawingml/2006/main">
                        <a:graphicData uri="http://schemas.microsoft.com/office/word/2010/wordprocessingShape">
                          <wps:wsp>
                            <wps:cNvCnPr/>
                            <wps:spPr>
                              <a:xfrm>
                                <a:off x="0" y="0"/>
                                <a:ext cx="75565" cy="12636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25pt;margin-top:126.5pt;height:9.95pt;width:5.95pt;z-index:251677696;mso-width-relative:page;mso-height-relative:page;" filled="f" stroked="t" coordsize="21600,21600" o:gfxdata="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MsuM3AAAAAsBAAAPAAAAAAAAAAEAIAAAACIAAABkcnMvZG93bnJldi54bWxQSwECFAAU&#10;AAAACACHTuJA0/TQe+0BAAC3AwAADgAAAAAAAAABACAAAAArAQAAZHJzL2Uyb0RvYy54bWxQSwUG&#10;AAAAAAYABgBZAQAAigU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6672" behindDoc="0" locked="0" layoutInCell="1" allowOverlap="1">
                      <wp:simplePos x="0" y="0"/>
                      <wp:positionH relativeFrom="column">
                        <wp:posOffset>2589530</wp:posOffset>
                      </wp:positionH>
                      <wp:positionV relativeFrom="paragraph">
                        <wp:posOffset>1496060</wp:posOffset>
                      </wp:positionV>
                      <wp:extent cx="111125" cy="121285"/>
                      <wp:effectExtent l="4445" t="4445" r="17780" b="7620"/>
                      <wp:wrapNone/>
                      <wp:docPr id="26" name="直接连接符 26"/>
                      <wp:cNvGraphicFramePr/>
                      <a:graphic xmlns:a="http://schemas.openxmlformats.org/drawingml/2006/main">
                        <a:graphicData uri="http://schemas.microsoft.com/office/word/2010/wordprocessingShape">
                          <wps:wsp>
                            <wps:cNvCnPr/>
                            <wps:spPr>
                              <a:xfrm>
                                <a:off x="0" y="0"/>
                                <a:ext cx="111125" cy="12128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3.9pt;margin-top:117.8pt;height:9.55pt;width:8.75pt;z-index:251676672;mso-width-relative:page;mso-height-relative:page;" filled="f" stroked="t" coordsize="21600,21600" o:gfxdata="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ZlvWXbAAAACwEAAA8AAAAAAAAAAQAgAAAAIgAAAGRycy9kb3ducmV2LnhtbFBLAQIUABQA&#10;AAAIAIdO4kD9Wr0I7QEAALgDAAAOAAAAAAAAAAEAIAAAACoBAABkcnMvZTJvRG9jLnhtbFBLBQYA&#10;AAAABgAGAFkBAACJ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5648" behindDoc="0" locked="0" layoutInCell="1" allowOverlap="1">
                      <wp:simplePos x="0" y="0"/>
                      <wp:positionH relativeFrom="column">
                        <wp:posOffset>2524760</wp:posOffset>
                      </wp:positionH>
                      <wp:positionV relativeFrom="paragraph">
                        <wp:posOffset>1451610</wp:posOffset>
                      </wp:positionV>
                      <wp:extent cx="85725" cy="70485"/>
                      <wp:effectExtent l="3810" t="5080" r="5715" b="19685"/>
                      <wp:wrapNone/>
                      <wp:docPr id="25" name="直接连接符 25"/>
                      <wp:cNvGraphicFramePr/>
                      <a:graphic xmlns:a="http://schemas.openxmlformats.org/drawingml/2006/main">
                        <a:graphicData uri="http://schemas.microsoft.com/office/word/2010/wordprocessingShape">
                          <wps:wsp>
                            <wps:cNvCnPr/>
                            <wps:spPr>
                              <a:xfrm>
                                <a:off x="0" y="0"/>
                                <a:ext cx="85725" cy="7048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8.8pt;margin-top:114.3pt;height:5.55pt;width:6.75pt;z-index:251675648;mso-width-relative:page;mso-height-relative:page;" filled="f" stroked="t" coordsize="21600,21600" o:gfxdata="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jqmNsAAAALAQAADwAAAAAAAAABACAAAAAiAAAAZHJzL2Rvd25yZXYueG1sUEsBAhQAFAAA&#10;AAgAh07iQIqN1qbsAQAAtgMAAA4AAAAAAAAAAQAgAAAAKgEAAGRycy9lMm9Eb2MueG1sUEsFBgAA&#10;AAAGAAYAWQEAAIgFA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4624" behindDoc="0" locked="0" layoutInCell="1" allowOverlap="1">
                      <wp:simplePos x="0" y="0"/>
                      <wp:positionH relativeFrom="column">
                        <wp:posOffset>2459355</wp:posOffset>
                      </wp:positionH>
                      <wp:positionV relativeFrom="paragraph">
                        <wp:posOffset>1410970</wp:posOffset>
                      </wp:positionV>
                      <wp:extent cx="76200" cy="46355"/>
                      <wp:effectExtent l="3175" t="5715" r="15875" b="5080"/>
                      <wp:wrapNone/>
                      <wp:docPr id="24" name="直接连接符 24"/>
                      <wp:cNvGraphicFramePr/>
                      <a:graphic xmlns:a="http://schemas.openxmlformats.org/drawingml/2006/main">
                        <a:graphicData uri="http://schemas.microsoft.com/office/word/2010/wordprocessingShape">
                          <wps:wsp>
                            <wps:cNvCnPr/>
                            <wps:spPr>
                              <a:xfrm>
                                <a:off x="0" y="0"/>
                                <a:ext cx="76200" cy="4635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3.65pt;margin-top:111.1pt;height:3.65pt;width:6pt;z-index:251674624;mso-width-relative:page;mso-height-relative:page;" filled="f" stroked="t" coordsize="21600,21600" o:gfxdata="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mI+x2gAAAAsBAAAPAAAAAAAAAAEAIAAAACIAAABkcnMvZG93bnJldi54bWxQSwECFAAUAAAA&#10;CACHTuJAKdL4c+wBAAC2AwAADgAAAAAAAAABACAAAAApAQAAZHJzL2Uyb0RvYy54bWxQSwUGAAAA&#10;AAYABgBZAQAAhwU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3600" behindDoc="0" locked="0" layoutInCell="1" allowOverlap="1">
                      <wp:simplePos x="0" y="0"/>
                      <wp:positionH relativeFrom="column">
                        <wp:posOffset>2327275</wp:posOffset>
                      </wp:positionH>
                      <wp:positionV relativeFrom="paragraph">
                        <wp:posOffset>1363980</wp:posOffset>
                      </wp:positionV>
                      <wp:extent cx="133350" cy="48260"/>
                      <wp:effectExtent l="1905" t="5715" r="17145" b="22225"/>
                      <wp:wrapNone/>
                      <wp:docPr id="23" name="直接连接符 23"/>
                      <wp:cNvGraphicFramePr/>
                      <a:graphic xmlns:a="http://schemas.openxmlformats.org/drawingml/2006/main">
                        <a:graphicData uri="http://schemas.microsoft.com/office/word/2010/wordprocessingShape">
                          <wps:wsp>
                            <wps:cNvCnPr/>
                            <wps:spPr>
                              <a:xfrm>
                                <a:off x="0" y="0"/>
                                <a:ext cx="133350" cy="4826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3.25pt;margin-top:107.4pt;height:3.8pt;width:10.5pt;z-index:251673600;mso-width-relative:page;mso-height-relative:page;" filled="f" stroked="t" coordsize="21600,21600" o:gfxdata="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685RXaAAAACwEAAA8AAAAAAAAAAQAgAAAAIgAAAGRycy9kb3ducmV2LnhtbFBLAQIUABQA&#10;AAAIAIdO4kAw+wim7gEAALcDAAAOAAAAAAAAAAEAIAAAACkBAABkcnMvZTJvRG9jLnhtbFBLBQYA&#10;AAAABgAGAFkBAACJ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2576" behindDoc="0" locked="0" layoutInCell="1" allowOverlap="1">
                      <wp:simplePos x="0" y="0"/>
                      <wp:positionH relativeFrom="column">
                        <wp:posOffset>1402715</wp:posOffset>
                      </wp:positionH>
                      <wp:positionV relativeFrom="paragraph">
                        <wp:posOffset>1026160</wp:posOffset>
                      </wp:positionV>
                      <wp:extent cx="160020" cy="45085"/>
                      <wp:effectExtent l="1905" t="6350" r="9525" b="5715"/>
                      <wp:wrapNone/>
                      <wp:docPr id="22" name="直接连接符 22"/>
                      <wp:cNvGraphicFramePr/>
                      <a:graphic xmlns:a="http://schemas.openxmlformats.org/drawingml/2006/main">
                        <a:graphicData uri="http://schemas.microsoft.com/office/word/2010/wordprocessingShape">
                          <wps:wsp>
                            <wps:cNvCnPr/>
                            <wps:spPr>
                              <a:xfrm>
                                <a:off x="0" y="0"/>
                                <a:ext cx="160020" cy="4508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0.45pt;margin-top:80.8pt;height:3.55pt;width:12.6pt;z-index:251672576;mso-width-relative:page;mso-height-relative:page;" filled="f" stroked="t" coordsize="21600,21600" o:gfxdata="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CrKd9oAAAALAQAADwAAAAAAAAABACAAAAAiAAAAZHJzL2Rvd25yZXYueG1sUEsBAhQAFAAA&#10;AAgAh07iQD7a2K/tAQAAtwMAAA4AAAAAAAAAAQAgAAAAKQEAAGRycy9lMm9Eb2MueG1sUEsFBgAA&#10;AAAGAAYAWQEAAIgFA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1552" behindDoc="0" locked="0" layoutInCell="1" allowOverlap="1">
                      <wp:simplePos x="0" y="0"/>
                      <wp:positionH relativeFrom="column">
                        <wp:posOffset>1169035</wp:posOffset>
                      </wp:positionH>
                      <wp:positionV relativeFrom="paragraph">
                        <wp:posOffset>993140</wp:posOffset>
                      </wp:positionV>
                      <wp:extent cx="233680" cy="33020"/>
                      <wp:effectExtent l="635" t="6350" r="13335" b="17780"/>
                      <wp:wrapNone/>
                      <wp:docPr id="21" name="直接连接符 21"/>
                      <wp:cNvGraphicFramePr/>
                      <a:graphic xmlns:a="http://schemas.openxmlformats.org/drawingml/2006/main">
                        <a:graphicData uri="http://schemas.microsoft.com/office/word/2010/wordprocessingShape">
                          <wps:wsp>
                            <wps:cNvCnPr/>
                            <wps:spPr>
                              <a:xfrm>
                                <a:off x="0" y="0"/>
                                <a:ext cx="233680" cy="3302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2.05pt;margin-top:78.2pt;height:2.6pt;width:18.4pt;z-index:251671552;mso-width-relative:page;mso-height-relative:page;" filled="f" stroked="t" coordsize="21600,21600" o:gfxdata="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XVj2wAAAAsBAAAPAAAAAAAAAAEAIAAAACIAAABkcnMvZG93bnJldi54bWxQSwECFAAU&#10;AAAACACHTuJA0uvd8e4BAAC3AwAADgAAAAAAAAABACAAAAAqAQAAZHJzL2Uyb0RvYy54bWxQSwUG&#10;AAAAAAYABgBZAQAAigU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70528" behindDoc="0" locked="0" layoutInCell="1" allowOverlap="1">
                      <wp:simplePos x="0" y="0"/>
                      <wp:positionH relativeFrom="column">
                        <wp:posOffset>958215</wp:posOffset>
                      </wp:positionH>
                      <wp:positionV relativeFrom="paragraph">
                        <wp:posOffset>972820</wp:posOffset>
                      </wp:positionV>
                      <wp:extent cx="223520" cy="22860"/>
                      <wp:effectExtent l="635" t="6350" r="4445" b="8890"/>
                      <wp:wrapNone/>
                      <wp:docPr id="20" name="直接连接符 20"/>
                      <wp:cNvGraphicFramePr/>
                      <a:graphic xmlns:a="http://schemas.openxmlformats.org/drawingml/2006/main">
                        <a:graphicData uri="http://schemas.microsoft.com/office/word/2010/wordprocessingShape">
                          <wps:wsp>
                            <wps:cNvCnPr/>
                            <wps:spPr>
                              <a:xfrm>
                                <a:off x="0" y="0"/>
                                <a:ext cx="223520" cy="2286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5.45pt;margin-top:76.6pt;height:1.8pt;width:17.6pt;z-index:251670528;mso-width-relative:page;mso-height-relative:page;" filled="f" stroked="t" coordsize="21600,21600" o:gfxdata="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GYSgvZAAAACwEAAA8AAAAAAAAAAQAgAAAAIgAAAGRycy9kb3ducmV2LnhtbFBLAQIUABQAAAAI&#10;AIdO4kDV9l6F7AEAALcDAAAOAAAAAAAAAAEAIAAAACgBAABkcnMvZTJvRG9jLnhtbFBLBQYAAAAA&#10;BgAGAFkBAACG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9504" behindDoc="0" locked="0" layoutInCell="1" allowOverlap="1">
                      <wp:simplePos x="0" y="0"/>
                      <wp:positionH relativeFrom="column">
                        <wp:posOffset>888365</wp:posOffset>
                      </wp:positionH>
                      <wp:positionV relativeFrom="paragraph">
                        <wp:posOffset>918210</wp:posOffset>
                      </wp:positionV>
                      <wp:extent cx="83185" cy="47625"/>
                      <wp:effectExtent l="3175" t="5715" r="8890" b="22860"/>
                      <wp:wrapNone/>
                      <wp:docPr id="19" name="直接连接符 19"/>
                      <wp:cNvGraphicFramePr/>
                      <a:graphic xmlns:a="http://schemas.openxmlformats.org/drawingml/2006/main">
                        <a:graphicData uri="http://schemas.microsoft.com/office/word/2010/wordprocessingShape">
                          <wps:wsp>
                            <wps:cNvCnPr/>
                            <wps:spPr>
                              <a:xfrm>
                                <a:off x="0" y="0"/>
                                <a:ext cx="83185" cy="4762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9.95pt;margin-top:72.3pt;height:3.75pt;width:6.55pt;z-index:251669504;mso-width-relative:page;mso-height-relative:page;" filled="f" stroked="t" coordsize="21600,21600" o:gfxdata="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lP2HTaAAAACwEAAA8AAAAAAAAAAQAgAAAAIgAAAGRycy9kb3ducmV2LnhtbFBLAQIUABQA&#10;AAAIAIdO4kAngrg47gEAALYDAAAOAAAAAAAAAAEAIAAAACkBAABkcnMvZTJvRG9jLnhtbFBLBQYA&#10;AAAABgAGAFkBAACJ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495300</wp:posOffset>
                      </wp:positionH>
                      <wp:positionV relativeFrom="paragraph">
                        <wp:posOffset>800735</wp:posOffset>
                      </wp:positionV>
                      <wp:extent cx="405765" cy="120015"/>
                      <wp:effectExtent l="1905" t="6350" r="11430" b="6985"/>
                      <wp:wrapNone/>
                      <wp:docPr id="18" name="直接连接符 18"/>
                      <wp:cNvGraphicFramePr/>
                      <a:graphic xmlns:a="http://schemas.openxmlformats.org/drawingml/2006/main">
                        <a:graphicData uri="http://schemas.microsoft.com/office/word/2010/wordprocessingShape">
                          <wps:wsp>
                            <wps:cNvCnPr/>
                            <wps:spPr>
                              <a:xfrm>
                                <a:off x="0" y="0"/>
                                <a:ext cx="405765" cy="120015"/>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9pt;margin-top:63.05pt;height:9.45pt;width:31.95pt;z-index:251668480;mso-width-relative:page;mso-height-relative:page;" filled="f" stroked="t" coordsize="21600,21600" o:gfxdata="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3l3aAAAACgEAAA8AAAAAAAAAAQAgAAAAIgAAAGRycy9kb3ducmV2LnhtbFBLAQIUABQA&#10;AAAIAIdO4kBXgAoB7gEAALgDAAAOAAAAAAAAAAEAIAAAACkBAABkcnMvZTJvRG9jLnhtbFBLBQYA&#10;AAAABgAGAFkBAACJ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1553210</wp:posOffset>
                      </wp:positionH>
                      <wp:positionV relativeFrom="paragraph">
                        <wp:posOffset>1066165</wp:posOffset>
                      </wp:positionV>
                      <wp:extent cx="779780" cy="303530"/>
                      <wp:effectExtent l="2540" t="5715" r="17780" b="14605"/>
                      <wp:wrapNone/>
                      <wp:docPr id="17" name="直接连接符 17"/>
                      <wp:cNvGraphicFramePr/>
                      <a:graphic xmlns:a="http://schemas.openxmlformats.org/drawingml/2006/main">
                        <a:graphicData uri="http://schemas.microsoft.com/office/word/2010/wordprocessingShape">
                          <wps:wsp>
                            <wps:cNvCnPr/>
                            <wps:spPr>
                              <a:xfrm>
                                <a:off x="0" y="0"/>
                                <a:ext cx="779780" cy="30353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2.3pt;margin-top:83.95pt;height:23.9pt;width:61.4pt;z-index:251667456;mso-width-relative:page;mso-height-relative:page;" filled="f" stroked="t" coordsize="21600,21600" o:gfxdata="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aJHv2gAAAAsBAAAPAAAAAAAAAAEAIAAAACIAAABkcnMvZG93bnJldi54bWxQSwECFAAU&#10;AAAACACHTuJAQIdQtu8BAAC4AwAADgAAAAAAAAABACAAAAApAQAAZHJzL2Uyb0RvYy54bWxQSwUG&#10;AAAAAAYABgBZAQAAigUAAAAA&#10;">
                      <v:fill on="f" focussize="0,0"/>
                      <v:stroke weight="1pt" color="#EA47E8 [3204]" miterlimit="8" joinstyle="miter"/>
                      <v:imagedata o:title=""/>
                      <o:lock v:ext="edit" aspectratio="f"/>
                    </v:line>
                  </w:pict>
                </mc:Fallback>
              </mc:AlternateContent>
            </w:r>
            <w:r>
              <w:rPr>
                <w:rFonts w:hint="default" w:ascii="Times New Roman" w:hAnsi="Times New Roman" w:eastAsia="宋体" w:cs="Times New Roman"/>
                <w:color w:val="auto"/>
                <w:highlight w:val="none"/>
              </w:rPr>
              <w:drawing>
                <wp:inline distT="0" distB="0" distL="114300" distR="114300">
                  <wp:extent cx="5038090" cy="3631565"/>
                  <wp:effectExtent l="9525" t="9525" r="19685" b="1651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31"/>
                          <a:stretch>
                            <a:fillRect/>
                          </a:stretch>
                        </pic:blipFill>
                        <pic:spPr>
                          <a:xfrm>
                            <a:off x="0" y="0"/>
                            <a:ext cx="5038090" cy="3631565"/>
                          </a:xfrm>
                          <a:prstGeom prst="rect">
                            <a:avLst/>
                          </a:prstGeom>
                          <a:noFill/>
                          <a:ln>
                            <a:solidFill>
                              <a:schemeClr val="tx1"/>
                            </a:solidFill>
                          </a:ln>
                        </pic:spPr>
                      </pic:pic>
                    </a:graphicData>
                  </a:graphic>
                </wp:inline>
              </w:drawing>
            </w:r>
            <w:r>
              <w:rPr>
                <w:color w:val="auto"/>
                <w:sz w:val="28"/>
              </w:rPr>
              <mc:AlternateContent>
                <mc:Choice Requires="wps">
                  <w:drawing>
                    <wp:anchor distT="0" distB="0" distL="114300" distR="114300" simplePos="0" relativeHeight="251665408" behindDoc="0" locked="0" layoutInCell="1" allowOverlap="1">
                      <wp:simplePos x="0" y="0"/>
                      <wp:positionH relativeFrom="column">
                        <wp:posOffset>2296160</wp:posOffset>
                      </wp:positionH>
                      <wp:positionV relativeFrom="paragraph">
                        <wp:posOffset>1093470</wp:posOffset>
                      </wp:positionV>
                      <wp:extent cx="190500" cy="81280"/>
                      <wp:effectExtent l="2540" t="5715" r="16510" b="8255"/>
                      <wp:wrapNone/>
                      <wp:docPr id="15" name="直接连接符 15"/>
                      <wp:cNvGraphicFramePr/>
                      <a:graphic xmlns:a="http://schemas.openxmlformats.org/drawingml/2006/main">
                        <a:graphicData uri="http://schemas.microsoft.com/office/word/2010/wordprocessingShape">
                          <wps:wsp>
                            <wps:cNvCnPr/>
                            <wps:spPr>
                              <a:xfrm>
                                <a:off x="0" y="0"/>
                                <a:ext cx="190500" cy="8128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0.8pt;margin-top:86.1pt;height:6.4pt;width:15pt;z-index:251665408;mso-width-relative:page;mso-height-relative:page;" filled="f" stroked="t" coordsize="21600,21600" o:gfxdata="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FgDE2gAAAAsBAAAPAAAAAAAAAAEAIAAAACIAAABkcnMvZG93bnJldi54bWxQSwECFAAUAAAA&#10;CACHTuJAPcYIY+wBAAC3AwAADgAAAAAAAAABACAAAAApAQAAZHJzL2Uyb0RvYy54bWxQSwUGAAAA&#10;AAYABgBZAQAAhwU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6432" behindDoc="0" locked="0" layoutInCell="1" allowOverlap="1">
                      <wp:simplePos x="0" y="0"/>
                      <wp:positionH relativeFrom="column">
                        <wp:posOffset>2196465</wp:posOffset>
                      </wp:positionH>
                      <wp:positionV relativeFrom="paragraph">
                        <wp:posOffset>1080770</wp:posOffset>
                      </wp:positionV>
                      <wp:extent cx="116205" cy="398780"/>
                      <wp:effectExtent l="6350" t="1905" r="10795" b="18415"/>
                      <wp:wrapNone/>
                      <wp:docPr id="16" name="直接连接符 16"/>
                      <wp:cNvGraphicFramePr/>
                      <a:graphic xmlns:a="http://schemas.openxmlformats.org/drawingml/2006/main">
                        <a:graphicData uri="http://schemas.microsoft.com/office/word/2010/wordprocessingShape">
                          <wps:wsp>
                            <wps:cNvCnPr/>
                            <wps:spPr>
                              <a:xfrm flipH="1">
                                <a:off x="0" y="0"/>
                                <a:ext cx="116205" cy="39878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2.95pt;margin-top:85.1pt;height:31.4pt;width:9.15pt;z-index:251666432;mso-width-relative:page;mso-height-relative:page;" filled="f" stroked="t" coordsize="21600,21600" o:gfxdata="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m/UVTZAAAACwEAAA8AAAAAAAAAAQAgAAAAIgAAAGRycy9kb3ducmV2Lnht&#10;bFBLAQIUABQAAAAIAIdO4kDmCu2++AEAAMIDAAAOAAAAAAAAAAEAIAAAACgBAABkcnMvZTJvRG9j&#10;LnhtbFBLBQYAAAAABgAGAFkBAACSBQ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528320</wp:posOffset>
                      </wp:positionH>
                      <wp:positionV relativeFrom="paragraph">
                        <wp:posOffset>439420</wp:posOffset>
                      </wp:positionV>
                      <wp:extent cx="1782445" cy="652780"/>
                      <wp:effectExtent l="1905" t="5715" r="6350" b="8255"/>
                      <wp:wrapNone/>
                      <wp:docPr id="14" name="直接连接符 14"/>
                      <wp:cNvGraphicFramePr/>
                      <a:graphic xmlns:a="http://schemas.openxmlformats.org/drawingml/2006/main">
                        <a:graphicData uri="http://schemas.microsoft.com/office/word/2010/wordprocessingShape">
                          <wps:wsp>
                            <wps:cNvCnPr/>
                            <wps:spPr>
                              <a:xfrm>
                                <a:off x="0" y="0"/>
                                <a:ext cx="1782445" cy="65278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1.6pt;margin-top:34.6pt;height:51.4pt;width:140.35pt;z-index:251664384;mso-width-relative:page;mso-height-relative:page;" filled="f" stroked="t" coordsize="21600,21600" o:gfxdata="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1WeftkAAAAJAQAADwAAAAAAAAABACAAAAAiAAAAZHJzL2Rvd25yZXYueG1sUEsBAhQA&#10;FAAAAAgAh07iQLSBT2TxAQAAuQMAAA4AAAAAAAAAAQAgAAAAKAEAAGRycy9lMm9Eb2MueG1sUEsF&#10;BgAAAAAGAAYAWQEAAIsFAAAAAA==&#10;">
                      <v:fill on="f" focussize="0,0"/>
                      <v:stroke weight="1pt" color="#EA47E8 [3204]" miterlimit="8" joinstyle="miter"/>
                      <v:imagedata o:title=""/>
                      <o:lock v:ext="edit" aspectratio="f"/>
                    </v:line>
                  </w:pict>
                </mc:Fallback>
              </mc:AlternateContent>
            </w: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325120</wp:posOffset>
                      </wp:positionV>
                      <wp:extent cx="569595" cy="120650"/>
                      <wp:effectExtent l="1270" t="6350" r="19685" b="6350"/>
                      <wp:wrapNone/>
                      <wp:docPr id="12" name="直接连接符 12"/>
                      <wp:cNvGraphicFramePr/>
                      <a:graphic xmlns:a="http://schemas.openxmlformats.org/drawingml/2006/main">
                        <a:graphicData uri="http://schemas.microsoft.com/office/word/2010/wordprocessingShape">
                          <wps:wsp>
                            <wps:cNvCnPr/>
                            <wps:spPr>
                              <a:xfrm>
                                <a:off x="1504950" y="5692775"/>
                                <a:ext cx="569595" cy="120650"/>
                              </a:xfrm>
                              <a:prstGeom prst="line">
                                <a:avLst/>
                              </a:prstGeom>
                              <a:ln w="12700">
                                <a:solidFill>
                                  <a:srgbClr val="EA47E8"/>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pt;margin-top:25.6pt;height:9.5pt;width:44.85pt;z-index:251663360;mso-width-relative:page;mso-height-relative:page;" filled="f" stroked="t" coordsize="21600,21600" o:gfxdata="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SEcaNYAAAAFAQAADwAAAAAAAAABACAAAAAiAAAAZHJzL2Rvd25yZXYueG1s&#10;UEsBAhQAFAAAAAgAh07iQJoFdFv6AQAAxAMAAA4AAAAAAAAAAQAgAAAAJQEAAGRycy9lMm9Eb2Mu&#10;eG1sUEsFBgAAAAAGAAYAWQEAAJEFAAAAAA==&#10;">
                      <v:fill on="f" focussize="0,0"/>
                      <v:stroke weight="1pt" color="#EA47E8 [3204]" miterlimit="8" joinstyle="miter"/>
                      <v:imagedata o:title=""/>
                      <o:lock v:ext="edit" aspectratio="f"/>
                    </v:line>
                  </w:pict>
                </mc:Fallback>
              </mc:AlternateContent>
            </w:r>
            <w:r>
              <w:rPr>
                <w:rFonts w:hint="default" w:ascii="Times New Roman" w:hAnsi="Times New Roman" w:eastAsia="宋体" w:cs="Times New Roman"/>
                <w:color w:val="auto"/>
                <w:sz w:val="28"/>
                <w:highlight w:val="none"/>
              </w:rPr>
              <mc:AlternateContent>
                <mc:Choice Requires="wps">
                  <w:drawing>
                    <wp:anchor distT="0" distB="0" distL="114300" distR="114300" simplePos="0" relativeHeight="251662336" behindDoc="0" locked="0" layoutInCell="1" allowOverlap="1">
                      <wp:simplePos x="0" y="0"/>
                      <wp:positionH relativeFrom="column">
                        <wp:posOffset>2376805</wp:posOffset>
                      </wp:positionH>
                      <wp:positionV relativeFrom="paragraph">
                        <wp:posOffset>3209925</wp:posOffset>
                      </wp:positionV>
                      <wp:extent cx="920750" cy="381000"/>
                      <wp:effectExtent l="6350" t="6350" r="1530350" b="12700"/>
                      <wp:wrapNone/>
                      <wp:docPr id="9" name="矩形标注 9"/>
                      <wp:cNvGraphicFramePr/>
                      <a:graphic xmlns:a="http://schemas.openxmlformats.org/drawingml/2006/main">
                        <a:graphicData uri="http://schemas.microsoft.com/office/word/2010/wordprocessingShape">
                          <wps:wsp>
                            <wps:cNvSpPr/>
                            <wps:spPr>
                              <a:xfrm>
                                <a:off x="0" y="0"/>
                                <a:ext cx="920750" cy="381000"/>
                              </a:xfrm>
                              <a:prstGeom prst="wedgeRectCallout">
                                <a:avLst>
                                  <a:gd name="adj1" fmla="val 209724"/>
                                  <a:gd name="adj2" fmla="val 19666"/>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AE2997C">
                                  <w:pPr>
                                    <w:jc w:val="center"/>
                                    <w:rPr>
                                      <w:rFonts w:hint="default" w:eastAsia="宋体"/>
                                      <w:b/>
                                      <w:bCs/>
                                      <w:color w:val="FF0000"/>
                                      <w:lang w:val="en-US" w:eastAsia="zh-CN"/>
                                    </w:rPr>
                                  </w:pPr>
                                  <w:r>
                                    <w:rPr>
                                      <w:rFonts w:hint="eastAsia"/>
                                      <w:b/>
                                      <w:bCs/>
                                      <w:color w:val="FF0000"/>
                                      <w:lang w:val="en-US" w:eastAsia="zh-CN"/>
                                    </w:rPr>
                                    <w:t>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7.15pt;margin-top:252.75pt;height:30pt;width:72.5pt;z-index:251662336;v-text-anchor:middle;mso-width-relative:page;mso-height-relative:page;" filled="f" stroked="t" coordsize="21600,21600" o:gfxdata="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vw48e2QAAAAsBAAAPAAAAAAAAAAEAIAAAACIAAABkcnMvZG93bnJl&#10;di54bWxQSwECFAAUAAAACACHTuJAMW28XKcCAAA5BQAADgAAAAAAAAABACAAAAAoAQAAZHJzL2Uy&#10;b0RvYy54bWxQSwUGAAAAAAYABgBZAQAAQQYAAAAA&#10;" adj="56100,15048">
                      <v:fill on="f" focussize="0,0"/>
                      <v:stroke weight="1pt" color="#FF0000 [2404]" miterlimit="8" joinstyle="miter"/>
                      <v:imagedata o:title=""/>
                      <o:lock v:ext="edit" aspectratio="f"/>
                      <v:textbox>
                        <w:txbxContent>
                          <w:p w14:paraId="5AE2997C">
                            <w:pPr>
                              <w:jc w:val="center"/>
                              <w:rPr>
                                <w:rFonts w:hint="default" w:eastAsia="宋体"/>
                                <w:b/>
                                <w:bCs/>
                                <w:color w:val="FF0000"/>
                                <w:lang w:val="en-US" w:eastAsia="zh-CN"/>
                              </w:rPr>
                            </w:pPr>
                            <w:r>
                              <w:rPr>
                                <w:rFonts w:hint="eastAsia"/>
                                <w:b/>
                                <w:bCs/>
                                <w:color w:val="FF0000"/>
                                <w:lang w:val="en-US" w:eastAsia="zh-CN"/>
                              </w:rPr>
                              <w:t>污水处理厂</w:t>
                            </w:r>
                          </w:p>
                        </w:txbxContent>
                      </v:textbox>
                    </v:shape>
                  </w:pict>
                </mc:Fallback>
              </mc:AlternateContent>
            </w:r>
            <w:r>
              <w:rPr>
                <w:rFonts w:hint="default" w:ascii="Times New Roman" w:hAnsi="Times New Roman" w:eastAsia="宋体" w:cs="Times New Roman"/>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92710</wp:posOffset>
                      </wp:positionH>
                      <wp:positionV relativeFrom="paragraph">
                        <wp:posOffset>1560830</wp:posOffset>
                      </wp:positionV>
                      <wp:extent cx="920750" cy="381000"/>
                      <wp:effectExtent l="6350" t="625475" r="6350" b="22225"/>
                      <wp:wrapNone/>
                      <wp:docPr id="7" name="矩形标注 7"/>
                      <wp:cNvGraphicFramePr/>
                      <a:graphic xmlns:a="http://schemas.openxmlformats.org/drawingml/2006/main">
                        <a:graphicData uri="http://schemas.microsoft.com/office/word/2010/wordprocessingShape">
                          <wps:wsp>
                            <wps:cNvSpPr/>
                            <wps:spPr>
                              <a:xfrm>
                                <a:off x="1735455" y="6732905"/>
                                <a:ext cx="920750" cy="381000"/>
                              </a:xfrm>
                              <a:prstGeom prst="wedgeRectCallout">
                                <a:avLst>
                                  <a:gd name="adj1" fmla="val -27034"/>
                                  <a:gd name="adj2" fmla="val -20533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C8C8EC">
                                  <w:pPr>
                                    <w:jc w:val="center"/>
                                    <w:rPr>
                                      <w:rFonts w:hint="default" w:eastAsia="宋体"/>
                                      <w:b/>
                                      <w:bCs/>
                                      <w:color w:val="FF0000"/>
                                      <w:lang w:val="en-US" w:eastAsia="zh-CN"/>
                                    </w:rPr>
                                  </w:pPr>
                                  <w:r>
                                    <w:rPr>
                                      <w:rFonts w:hint="eastAsia"/>
                                      <w:b/>
                                      <w:bCs/>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3pt;margin-top:122.9pt;height:30pt;width:72.5pt;z-index:251661312;v-text-anchor:middle;mso-width-relative:page;mso-height-relative:page;" filled="f" stroked="t" coordsize="21600,21600" o:gfxdata="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i0cydcAAAAKAQAADwAAAAAAAAABACAAAAAi&#10;AAAAZHJzL2Rvd25yZXYueG1sUEsBAhQAFAAAAAgAh07iQDnZFWy2AgAARwUAAA4AAAAAAAAAAQAg&#10;AAAAJgEAAGRycy9lMm9Eb2MueG1sUEsFBgAAAAAGAAYAWQEAAE4GAAAAAA==&#10;" adj="4961,-33552">
                      <v:fill on="f" focussize="0,0"/>
                      <v:stroke weight="1pt" color="#FF0000 [2404]" miterlimit="8" joinstyle="miter"/>
                      <v:imagedata o:title=""/>
                      <o:lock v:ext="edit" aspectratio="f"/>
                      <v:textbox>
                        <w:txbxContent>
                          <w:p w14:paraId="09C8C8EC">
                            <w:pPr>
                              <w:jc w:val="center"/>
                              <w:rPr>
                                <w:rFonts w:hint="default" w:eastAsia="宋体"/>
                                <w:b/>
                                <w:bCs/>
                                <w:color w:val="FF0000"/>
                                <w:lang w:val="en-US" w:eastAsia="zh-CN"/>
                              </w:rPr>
                            </w:pPr>
                            <w:r>
                              <w:rPr>
                                <w:rFonts w:hint="eastAsia"/>
                                <w:b/>
                                <w:bCs/>
                                <w:color w:val="FF0000"/>
                                <w:lang w:val="en-US" w:eastAsia="zh-CN"/>
                              </w:rPr>
                              <w:t>本项目位置</w:t>
                            </w:r>
                          </w:p>
                        </w:txbxContent>
                      </v:textbox>
                    </v:shape>
                  </w:pict>
                </mc:Fallback>
              </mc:AlternateContent>
            </w:r>
            <w:r>
              <w:rPr>
                <w:rFonts w:hint="default" w:ascii="Times New Roman" w:hAnsi="Times New Roman" w:eastAsia="宋体" w:cs="Times New Roman"/>
                <w:color w:val="auto"/>
                <w:sz w:val="28"/>
                <w:highlight w:val="none"/>
              </w:rPr>
              <mc:AlternateContent>
                <mc:Choice Requires="wps">
                  <w:drawing>
                    <wp:anchor distT="0" distB="0" distL="114300" distR="114300" simplePos="0" relativeHeight="251660288" behindDoc="0" locked="0" layoutInCell="1" allowOverlap="1">
                      <wp:simplePos x="0" y="0"/>
                      <wp:positionH relativeFrom="column">
                        <wp:posOffset>178435</wp:posOffset>
                      </wp:positionH>
                      <wp:positionV relativeFrom="paragraph">
                        <wp:posOffset>862965</wp:posOffset>
                      </wp:positionV>
                      <wp:extent cx="212090" cy="180340"/>
                      <wp:effectExtent l="21590" t="18415" r="33020" b="29845"/>
                      <wp:wrapNone/>
                      <wp:docPr id="6" name="五角星 6"/>
                      <wp:cNvGraphicFramePr/>
                      <a:graphic xmlns:a="http://schemas.openxmlformats.org/drawingml/2006/main">
                        <a:graphicData uri="http://schemas.microsoft.com/office/word/2010/wordprocessingShape">
                          <wps:wsp>
                            <wps:cNvSpPr/>
                            <wps:spPr>
                              <a:xfrm>
                                <a:off x="1703705" y="6330315"/>
                                <a:ext cx="212090" cy="18034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4.05pt;margin-top:67.95pt;height:14.2pt;width:16.7pt;z-index:251660288;v-text-anchor:middle;mso-width-relative:page;mso-height-relative:page;" fillcolor="#FF0000" filled="t" stroked="t" coordsize="212090,180340" o:gfxdata="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czqVq2QAAAAkBAAAPAAAAAAAAAAEA&#10;IAAAACIAAABkcnMvZG93bnJldi54bWxQSwECFAAUAAAACACHTuJATFmy/IACAAADBQAADgAAAAAA&#10;AAABACAAAAAoAQAAZHJzL2Uyb0RvYy54bWxQSwUGAAAAAAYABgBZAQAAGgYAAAAA&#10;" path="m0,68883l81011,68884,106045,0,131078,68884,212089,68883,146549,111455,171584,180339,106045,137766,40505,180339,65540,111455xe">
                      <v:path o:connectlocs="106045,0;0,68883;40505,180339;171584,180339;212089,68883" o:connectangles="247,164,82,82,0"/>
                      <v:fill on="t" focussize="0,0"/>
                      <v:stroke weight="1pt" color="#FF0000 [2404]" miterlimit="8" joinstyle="miter"/>
                      <v:imagedata o:title=""/>
                      <o:lock v:ext="edit" aspectratio="f"/>
                    </v:shape>
                  </w:pict>
                </mc:Fallback>
              </mc:AlternateContent>
            </w:r>
          </w:p>
          <w:p w14:paraId="1344F202">
            <w:pPr>
              <w:keepNext w:val="0"/>
              <w:keepLines w:val="0"/>
              <w:pageBreakBefore w:val="0"/>
              <w:widowControl w:val="0"/>
              <w:kinsoku/>
              <w:wordWrap/>
              <w:overflowPunct/>
              <w:topLinePunct/>
              <w:autoSpaceDE w:val="0"/>
              <w:autoSpaceDN w:val="0"/>
              <w:bidi w:val="0"/>
              <w:adjustRightInd w:val="0"/>
              <w:snapToGrid w:val="0"/>
              <w:spacing w:after="157" w:afterLines="50"/>
              <w:ind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图4-</w:t>
            </w:r>
            <w:r>
              <w:rPr>
                <w:rFonts w:hint="eastAsia" w:cs="Times New Roman"/>
                <w:b/>
                <w:bCs/>
                <w:color w:val="auto"/>
                <w:kern w:val="0"/>
                <w:sz w:val="24"/>
                <w:szCs w:val="24"/>
                <w:highlight w:val="none"/>
                <w:lang w:val="en-US" w:eastAsia="zh-CN" w:bidi="ar-SA"/>
              </w:rPr>
              <w:t>4</w:t>
            </w:r>
            <w:r>
              <w:rPr>
                <w:rFonts w:hint="default" w:ascii="Times New Roman" w:hAnsi="Times New Roman" w:eastAsia="宋体" w:cs="Times New Roman"/>
                <w:b/>
                <w:bCs/>
                <w:color w:val="auto"/>
                <w:kern w:val="0"/>
                <w:sz w:val="24"/>
                <w:szCs w:val="24"/>
                <w:highlight w:val="none"/>
                <w:lang w:val="en-US" w:eastAsia="zh-CN" w:bidi="ar-SA"/>
              </w:rPr>
              <w:t xml:space="preserve">  污水处理厂南部片区近期截污干管布设示意图</w:t>
            </w:r>
          </w:p>
          <w:p w14:paraId="707BA54D">
            <w:pPr>
              <w:keepNext w:val="0"/>
              <w:keepLines w:val="0"/>
              <w:pageBreakBefore w:val="0"/>
              <w:widowControl w:val="0"/>
              <w:kinsoku/>
              <w:wordWrap/>
              <w:overflowPunct/>
              <w:topLinePunct/>
              <w:autoSpaceDE w:val="0"/>
              <w:autoSpaceDN w:val="0"/>
              <w:bidi w:val="0"/>
              <w:adjustRightInd w:val="0"/>
              <w:snapToGrid w:val="0"/>
              <w:spacing w:line="360" w:lineRule="auto"/>
              <w:ind w:firstLine="470" w:firstLineChars="200"/>
              <w:jc w:val="both"/>
              <w:textAlignment w:val="auto"/>
              <w:rPr>
                <w:rFonts w:hint="default" w:ascii="Times New Roman" w:hAnsi="Times New Roman" w:eastAsia="宋体" w:cs="Times New Roman"/>
                <w:b/>
                <w:bCs/>
                <w:strike w:val="0"/>
                <w:dstrike w:val="0"/>
                <w:color w:val="auto"/>
                <w:spacing w:val="-3"/>
                <w:sz w:val="24"/>
                <w:szCs w:val="24"/>
                <w:highlight w:val="none"/>
                <w:lang w:val="en-US" w:eastAsia="zh-CN"/>
              </w:rPr>
            </w:pPr>
            <w:r>
              <w:rPr>
                <w:rFonts w:hint="eastAsia" w:cs="Times New Roman"/>
                <w:b/>
                <w:bCs/>
                <w:strike w:val="0"/>
                <w:dstrike w:val="0"/>
                <w:color w:val="auto"/>
                <w:spacing w:val="-3"/>
                <w:sz w:val="24"/>
                <w:szCs w:val="24"/>
                <w:highlight w:val="none"/>
                <w:lang w:val="en-US" w:eastAsia="zh-CN"/>
              </w:rPr>
              <w:t>③项目废水依托污水处理厂的可行性</w:t>
            </w:r>
          </w:p>
          <w:p w14:paraId="372DAB64">
            <w:pPr>
              <w:keepNext w:val="0"/>
              <w:keepLines w:val="0"/>
              <w:pageBreakBefore w:val="0"/>
              <w:widowControl w:val="0"/>
              <w:kinsoku/>
              <w:wordWrap/>
              <w:overflowPunct/>
              <w:topLinePunct/>
              <w:autoSpaceDE w:val="0"/>
              <w:autoSpaceDN w:val="0"/>
              <w:bidi w:val="0"/>
              <w:adjustRightInd w:val="0"/>
              <w:snapToGrid w:val="0"/>
              <w:spacing w:line="360" w:lineRule="auto"/>
              <w:ind w:firstLine="468" w:firstLineChars="200"/>
              <w:jc w:val="both"/>
              <w:textAlignment w:val="auto"/>
              <w:rPr>
                <w:rFonts w:hint="default" w:ascii="Times New Roman" w:hAnsi="Times New Roman" w:eastAsia="宋体" w:cs="Times New Roman"/>
                <w:b w:val="0"/>
                <w:bCs w:val="0"/>
                <w:strike w:val="0"/>
                <w:dstrike w:val="0"/>
                <w:color w:val="auto"/>
                <w:spacing w:val="-3"/>
                <w:sz w:val="24"/>
                <w:szCs w:val="24"/>
                <w:highlight w:val="none"/>
                <w:lang w:val="en-US" w:eastAsia="zh-CN"/>
              </w:rPr>
            </w:pPr>
            <w:r>
              <w:rPr>
                <w:rFonts w:hint="default" w:ascii="Times New Roman" w:hAnsi="Times New Roman" w:eastAsia="宋体" w:cs="Times New Roman"/>
                <w:b w:val="0"/>
                <w:bCs w:val="0"/>
                <w:strike w:val="0"/>
                <w:dstrike w:val="0"/>
                <w:color w:val="auto"/>
                <w:spacing w:val="-3"/>
                <w:sz w:val="24"/>
                <w:szCs w:val="24"/>
                <w:highlight w:val="none"/>
                <w:lang w:val="en-US" w:eastAsia="zh-CN"/>
              </w:rPr>
              <w:t>根据分析，项目</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废水、圆磨废水经处理后大部分回用于</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、圆磨工序及</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color w:val="auto"/>
                <w:spacing w:val="-3"/>
                <w:sz w:val="24"/>
                <w:szCs w:val="24"/>
                <w:highlight w:val="none"/>
                <w:lang w:val="en-US" w:eastAsia="zh-CN"/>
              </w:rPr>
              <w:t>后，总排口</w:t>
            </w:r>
            <w:r>
              <w:rPr>
                <w:rFonts w:hint="default" w:ascii="Times New Roman" w:hAnsi="Times New Roman" w:eastAsia="宋体" w:cs="Times New Roman"/>
                <w:color w:val="auto"/>
                <w:spacing w:val="-3"/>
                <w:sz w:val="24"/>
                <w:szCs w:val="24"/>
                <w:highlight w:val="none"/>
              </w:rPr>
              <w:t>各指标在满足</w:t>
            </w:r>
            <w:r>
              <w:rPr>
                <w:rFonts w:hint="default" w:ascii="Times New Roman" w:hAnsi="Times New Roman" w:eastAsia="宋体" w:cs="Times New Roman"/>
                <w:color w:val="auto"/>
                <w:spacing w:val="4"/>
                <w:sz w:val="24"/>
                <w:szCs w:val="24"/>
                <w:highlight w:val="none"/>
                <w:lang w:eastAsia="zh-CN"/>
              </w:rPr>
              <w:t>《污</w:t>
            </w:r>
            <w:r>
              <w:rPr>
                <w:rFonts w:hint="default" w:ascii="Times New Roman" w:hAnsi="Times New Roman" w:eastAsia="宋体" w:cs="Times New Roman"/>
                <w:color w:val="auto"/>
                <w:spacing w:val="3"/>
                <w:sz w:val="24"/>
                <w:szCs w:val="24"/>
                <w:highlight w:val="none"/>
                <w:lang w:eastAsia="zh-CN"/>
              </w:rPr>
              <w:t>水综合排放标准》（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3"/>
                <w:sz w:val="24"/>
                <w:szCs w:val="24"/>
                <w:highlight w:val="none"/>
                <w:lang w:eastAsia="zh-CN"/>
              </w:rPr>
              <w:t>8978-1996）</w:t>
            </w:r>
            <w:r>
              <w:rPr>
                <w:rFonts w:hint="default" w:ascii="Times New Roman" w:hAnsi="Times New Roman" w:eastAsia="宋体" w:cs="Times New Roman"/>
                <w:color w:val="auto"/>
                <w:spacing w:val="8"/>
                <w:sz w:val="24"/>
                <w:szCs w:val="24"/>
                <w:highlight w:val="none"/>
                <w:lang w:eastAsia="zh-CN"/>
              </w:rPr>
              <w:t>表4中三级标准限值、</w:t>
            </w:r>
            <w:r>
              <w:rPr>
                <w:rFonts w:hint="default" w:ascii="Times New Roman" w:hAnsi="Times New Roman" w:eastAsia="宋体" w:cs="Times New Roman"/>
                <w:color w:val="auto"/>
                <w:spacing w:val="6"/>
                <w:sz w:val="24"/>
                <w:szCs w:val="24"/>
                <w:highlight w:val="none"/>
                <w:lang w:eastAsia="zh-CN"/>
              </w:rPr>
              <w:t>《污水排入城</w:t>
            </w:r>
            <w:r>
              <w:rPr>
                <w:rFonts w:hint="default" w:ascii="Times New Roman" w:hAnsi="Times New Roman" w:eastAsia="宋体" w:cs="Times New Roman"/>
                <w:color w:val="auto"/>
                <w:spacing w:val="9"/>
                <w:sz w:val="24"/>
                <w:szCs w:val="24"/>
                <w:highlight w:val="none"/>
                <w:lang w:eastAsia="zh-CN"/>
              </w:rPr>
              <w:t>镇下水道水质标准》（</w:t>
            </w:r>
            <w:r>
              <w:rPr>
                <w:rFonts w:hint="default" w:ascii="Times New Roman" w:hAnsi="Times New Roman" w:eastAsia="宋体" w:cs="Times New Roman"/>
                <w:color w:val="auto"/>
                <w:sz w:val="24"/>
                <w:szCs w:val="24"/>
                <w:highlight w:val="none"/>
                <w:lang w:eastAsia="zh-CN"/>
              </w:rPr>
              <w:t>GB</w:t>
            </w:r>
            <w:r>
              <w:rPr>
                <w:rFonts w:hint="default" w:ascii="Times New Roman" w:hAnsi="Times New Roman" w:eastAsia="宋体" w:cs="Times New Roman"/>
                <w:color w:val="auto"/>
                <w:spacing w:val="9"/>
                <w:sz w:val="24"/>
                <w:szCs w:val="24"/>
                <w:highlight w:val="none"/>
                <w:lang w:eastAsia="zh-CN"/>
              </w:rPr>
              <w:t>/T31962-2015）中A级标准</w:t>
            </w:r>
            <w:r>
              <w:rPr>
                <w:rFonts w:hint="default" w:ascii="Times New Roman" w:hAnsi="Times New Roman" w:eastAsia="宋体" w:cs="Times New Roman"/>
                <w:color w:val="auto"/>
                <w:spacing w:val="-3"/>
                <w:sz w:val="24"/>
                <w:szCs w:val="24"/>
                <w:highlight w:val="none"/>
              </w:rPr>
              <w:t>及</w:t>
            </w:r>
            <w:r>
              <w:rPr>
                <w:rFonts w:hint="default" w:ascii="Times New Roman" w:hAnsi="Times New Roman" w:eastAsia="宋体" w:cs="Times New Roman"/>
                <w:color w:val="auto"/>
                <w:spacing w:val="-3"/>
                <w:sz w:val="24"/>
                <w:szCs w:val="24"/>
                <w:highlight w:val="none"/>
                <w:lang w:val="en-US" w:eastAsia="zh-CN"/>
              </w:rPr>
              <w:t>污水处理厂进水水质要求后</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b w:val="0"/>
                <w:bCs w:val="0"/>
                <w:strike w:val="0"/>
                <w:dstrike w:val="0"/>
                <w:color w:val="auto"/>
                <w:spacing w:val="-3"/>
                <w:sz w:val="24"/>
                <w:szCs w:val="24"/>
                <w:highlight w:val="none"/>
                <w:lang w:val="en-US" w:eastAsia="zh-CN"/>
              </w:rPr>
              <w:t>水质可满足进水要求。</w:t>
            </w:r>
          </w:p>
          <w:p w14:paraId="4C636393">
            <w:pPr>
              <w:keepNext w:val="0"/>
              <w:keepLines w:val="0"/>
              <w:pageBreakBefore w:val="0"/>
              <w:widowControl w:val="0"/>
              <w:kinsoku/>
              <w:wordWrap/>
              <w:overflowPunct/>
              <w:topLinePunct/>
              <w:autoSpaceDE w:val="0"/>
              <w:autoSpaceDN w:val="0"/>
              <w:bidi w:val="0"/>
              <w:adjustRightInd w:val="0"/>
              <w:snapToGrid w:val="0"/>
              <w:spacing w:line="360" w:lineRule="auto"/>
              <w:ind w:firstLine="46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strike w:val="0"/>
                <w:dstrike w:val="0"/>
                <w:color w:val="auto"/>
                <w:spacing w:val="-3"/>
                <w:sz w:val="24"/>
                <w:szCs w:val="24"/>
                <w:highlight w:val="none"/>
                <w:lang w:val="en-US" w:eastAsia="zh-CN"/>
              </w:rPr>
              <w:t>本</w:t>
            </w:r>
            <w:r>
              <w:rPr>
                <w:rFonts w:hint="default" w:ascii="Times New Roman" w:hAnsi="Times New Roman" w:eastAsia="宋体" w:cs="Times New Roman"/>
                <w:strike w:val="0"/>
                <w:dstrike w:val="0"/>
                <w:color w:val="auto"/>
                <w:sz w:val="24"/>
                <w:szCs w:val="24"/>
                <w:highlight w:val="none"/>
                <w:lang w:val="en-US" w:eastAsia="zh-CN"/>
              </w:rPr>
              <w:t>项目</w:t>
            </w:r>
            <w:r>
              <w:rPr>
                <w:rFonts w:hint="default" w:ascii="Times New Roman" w:hAnsi="Times New Roman" w:eastAsia="宋体" w:cs="Times New Roman"/>
                <w:strike w:val="0"/>
                <w:dstrike w:val="0"/>
                <w:color w:val="auto"/>
                <w:spacing w:val="-2"/>
                <w:sz w:val="24"/>
                <w:szCs w:val="24"/>
                <w:highlight w:val="none"/>
              </w:rPr>
              <w:t>施工期为</w:t>
            </w:r>
            <w:r>
              <w:rPr>
                <w:rFonts w:hint="default" w:ascii="Times New Roman" w:hAnsi="Times New Roman" w:eastAsia="宋体" w:cs="Times New Roman"/>
                <w:strike w:val="0"/>
                <w:dstrike w:val="0"/>
                <w:color w:val="auto"/>
                <w:spacing w:val="-2"/>
                <w:sz w:val="24"/>
                <w:szCs w:val="24"/>
                <w:highlight w:val="none"/>
                <w:lang w:val="en-US" w:eastAsia="zh-CN"/>
              </w:rPr>
              <w:t>12</w:t>
            </w:r>
            <w:r>
              <w:rPr>
                <w:rFonts w:hint="eastAsia" w:cs="Times New Roman"/>
                <w:strike w:val="0"/>
                <w:dstrike w:val="0"/>
                <w:color w:val="auto"/>
                <w:spacing w:val="-2"/>
                <w:sz w:val="24"/>
                <w:szCs w:val="24"/>
                <w:highlight w:val="none"/>
                <w:lang w:val="en-US" w:eastAsia="zh-CN"/>
              </w:rPr>
              <w:t>个</w:t>
            </w:r>
            <w:r>
              <w:rPr>
                <w:rFonts w:hint="default" w:ascii="Times New Roman" w:hAnsi="Times New Roman" w:eastAsia="宋体" w:cs="Times New Roman"/>
                <w:strike w:val="0"/>
                <w:dstrike w:val="0"/>
                <w:color w:val="auto"/>
                <w:spacing w:val="-2"/>
                <w:sz w:val="24"/>
                <w:szCs w:val="24"/>
                <w:highlight w:val="none"/>
              </w:rPr>
              <w:t>月，</w:t>
            </w:r>
            <w:r>
              <w:rPr>
                <w:rFonts w:hint="default" w:ascii="Times New Roman" w:hAnsi="Times New Roman" w:eastAsia="宋体" w:cs="Times New Roman"/>
                <w:strike w:val="0"/>
                <w:dstrike w:val="0"/>
                <w:color w:val="auto"/>
                <w:spacing w:val="-2"/>
                <w:sz w:val="24"/>
                <w:szCs w:val="24"/>
                <w:highlight w:val="none"/>
                <w:lang w:val="en-US" w:eastAsia="zh-CN"/>
              </w:rPr>
              <w:t>计划</w:t>
            </w:r>
            <w:r>
              <w:rPr>
                <w:rFonts w:hint="default" w:ascii="Times New Roman" w:hAnsi="Times New Roman" w:eastAsia="宋体" w:cs="Times New Roman"/>
                <w:strike w:val="0"/>
                <w:dstrike w:val="0"/>
                <w:color w:val="auto"/>
                <w:spacing w:val="-2"/>
                <w:sz w:val="24"/>
                <w:szCs w:val="24"/>
                <w:highlight w:val="none"/>
              </w:rPr>
              <w:t>202</w:t>
            </w:r>
            <w:r>
              <w:rPr>
                <w:rFonts w:hint="default" w:ascii="Times New Roman" w:hAnsi="Times New Roman" w:eastAsia="宋体" w:cs="Times New Roman"/>
                <w:strike w:val="0"/>
                <w:dstrike w:val="0"/>
                <w:color w:val="auto"/>
                <w:spacing w:val="-2"/>
                <w:sz w:val="24"/>
                <w:szCs w:val="24"/>
                <w:highlight w:val="none"/>
                <w:lang w:val="en-US" w:eastAsia="zh-CN"/>
              </w:rPr>
              <w:t>6</w:t>
            </w:r>
            <w:r>
              <w:rPr>
                <w:rFonts w:hint="default" w:ascii="Times New Roman" w:hAnsi="Times New Roman" w:eastAsia="宋体" w:cs="Times New Roman"/>
                <w:strike w:val="0"/>
                <w:dstrike w:val="0"/>
                <w:color w:val="auto"/>
                <w:spacing w:val="-2"/>
                <w:sz w:val="24"/>
                <w:szCs w:val="24"/>
                <w:highlight w:val="none"/>
              </w:rPr>
              <w:t>年</w:t>
            </w:r>
            <w:r>
              <w:rPr>
                <w:rFonts w:hint="eastAsia" w:cs="Times New Roman"/>
                <w:strike w:val="0"/>
                <w:dstrike w:val="0"/>
                <w:color w:val="auto"/>
                <w:spacing w:val="-2"/>
                <w:sz w:val="24"/>
                <w:szCs w:val="24"/>
                <w:highlight w:val="none"/>
                <w:lang w:val="en-US" w:eastAsia="zh-CN"/>
              </w:rPr>
              <w:t>6</w:t>
            </w:r>
            <w:r>
              <w:rPr>
                <w:rFonts w:hint="default" w:ascii="Times New Roman" w:hAnsi="Times New Roman" w:eastAsia="宋体" w:cs="Times New Roman"/>
                <w:strike w:val="0"/>
                <w:dstrike w:val="0"/>
                <w:color w:val="auto"/>
                <w:spacing w:val="-2"/>
                <w:sz w:val="24"/>
                <w:szCs w:val="24"/>
                <w:highlight w:val="none"/>
              </w:rPr>
              <w:t>月开工，202</w:t>
            </w:r>
            <w:r>
              <w:rPr>
                <w:rFonts w:hint="default" w:ascii="Times New Roman" w:hAnsi="Times New Roman" w:eastAsia="宋体" w:cs="Times New Roman"/>
                <w:strike w:val="0"/>
                <w:dstrike w:val="0"/>
                <w:color w:val="auto"/>
                <w:spacing w:val="-2"/>
                <w:sz w:val="24"/>
                <w:szCs w:val="24"/>
                <w:highlight w:val="none"/>
                <w:lang w:val="en-US" w:eastAsia="zh-CN"/>
              </w:rPr>
              <w:t>7</w:t>
            </w:r>
            <w:r>
              <w:rPr>
                <w:rFonts w:hint="default" w:ascii="Times New Roman" w:hAnsi="Times New Roman" w:eastAsia="宋体" w:cs="Times New Roman"/>
                <w:strike w:val="0"/>
                <w:dstrike w:val="0"/>
                <w:color w:val="auto"/>
                <w:spacing w:val="-6"/>
                <w:sz w:val="24"/>
                <w:szCs w:val="24"/>
                <w:highlight w:val="none"/>
              </w:rPr>
              <w:t>年</w:t>
            </w:r>
            <w:r>
              <w:rPr>
                <w:rFonts w:hint="eastAsia" w:cs="Times New Roman"/>
                <w:strike w:val="0"/>
                <w:dstrike w:val="0"/>
                <w:color w:val="auto"/>
                <w:spacing w:val="-6"/>
                <w:sz w:val="24"/>
                <w:szCs w:val="24"/>
                <w:highlight w:val="none"/>
                <w:lang w:val="en-US" w:eastAsia="zh-CN"/>
              </w:rPr>
              <w:t>5</w:t>
            </w:r>
            <w:r>
              <w:rPr>
                <w:rFonts w:hint="default" w:ascii="Times New Roman" w:hAnsi="Times New Roman" w:eastAsia="宋体" w:cs="Times New Roman"/>
                <w:strike w:val="0"/>
                <w:dstrike w:val="0"/>
                <w:color w:val="auto"/>
                <w:spacing w:val="-6"/>
                <w:sz w:val="24"/>
                <w:szCs w:val="24"/>
                <w:highlight w:val="none"/>
              </w:rPr>
              <w:t>月竣工</w:t>
            </w:r>
            <w:r>
              <w:rPr>
                <w:rFonts w:hint="default" w:ascii="Times New Roman" w:hAnsi="Times New Roman" w:eastAsia="宋体" w:cs="Times New Roman"/>
                <w:strike w:val="0"/>
                <w:dstrike w:val="0"/>
                <w:color w:val="auto"/>
                <w:spacing w:val="-6"/>
                <w:sz w:val="24"/>
                <w:szCs w:val="24"/>
                <w:highlight w:val="none"/>
                <w:lang w:eastAsia="zh-CN"/>
              </w:rPr>
              <w:t>；</w:t>
            </w:r>
            <w:r>
              <w:rPr>
                <w:rFonts w:hint="default" w:ascii="Times New Roman" w:hAnsi="Times New Roman" w:eastAsia="宋体" w:cs="Times New Roman"/>
                <w:strike w:val="0"/>
                <w:dstrike w:val="0"/>
                <w:color w:val="auto"/>
                <w:spacing w:val="-6"/>
                <w:sz w:val="24"/>
                <w:szCs w:val="24"/>
                <w:highlight w:val="none"/>
                <w:lang w:val="en-US" w:eastAsia="zh-CN"/>
              </w:rPr>
              <w:t>在项目竣工后，本项目污水可正常排入</w:t>
            </w:r>
            <w:r>
              <w:rPr>
                <w:rFonts w:hint="default" w:ascii="Times New Roman" w:hAnsi="Times New Roman" w:eastAsia="宋体" w:cs="Times New Roman"/>
                <w:b w:val="0"/>
                <w:bCs w:val="0"/>
                <w:strike w:val="0"/>
                <w:dstrike w:val="0"/>
                <w:color w:val="auto"/>
                <w:spacing w:val="-3"/>
                <w:sz w:val="24"/>
                <w:szCs w:val="24"/>
                <w:highlight w:val="none"/>
                <w:lang w:val="en-US" w:eastAsia="zh-CN"/>
              </w:rPr>
              <w:t>云南易门产业园区六街和麦子田片区集中式生活污水处理厂</w:t>
            </w:r>
            <w:r>
              <w:rPr>
                <w:rFonts w:hint="default" w:ascii="Times New Roman" w:hAnsi="Times New Roman" w:eastAsia="宋体" w:cs="Times New Roman"/>
                <w:color w:val="auto"/>
                <w:sz w:val="24"/>
                <w:highlight w:val="none"/>
                <w:lang w:val="en-US" w:eastAsia="zh-CN"/>
              </w:rPr>
              <w:t>处理。</w:t>
            </w:r>
          </w:p>
          <w:p w14:paraId="012CE61B">
            <w:pPr>
              <w:keepNext w:val="0"/>
              <w:keepLines w:val="0"/>
              <w:pageBreakBefore w:val="0"/>
              <w:widowControl w:val="0"/>
              <w:kinsoku/>
              <w:wordWrap/>
              <w:overflowPunct/>
              <w:topLinePunct/>
              <w:autoSpaceDE w:val="0"/>
              <w:autoSpaceDN w:val="0"/>
              <w:bidi w:val="0"/>
              <w:adjustRightInd w:val="0"/>
              <w:snapToGrid w:val="0"/>
              <w:spacing w:line="360" w:lineRule="auto"/>
              <w:ind w:firstLine="468" w:firstLineChars="200"/>
              <w:jc w:val="both"/>
              <w:textAlignment w:val="auto"/>
              <w:rPr>
                <w:rFonts w:hint="default" w:ascii="Times New Roman" w:hAnsi="Times New Roman" w:eastAsia="宋体" w:cs="Times New Roman"/>
                <w:strike w:val="0"/>
                <w:dstrike w:val="0"/>
                <w:color w:val="auto"/>
                <w:spacing w:val="-6"/>
                <w:sz w:val="24"/>
                <w:szCs w:val="24"/>
                <w:highlight w:val="none"/>
                <w:lang w:val="en-US" w:eastAsia="zh-CN"/>
              </w:rPr>
            </w:pPr>
            <w:r>
              <w:rPr>
                <w:rFonts w:hint="eastAsia" w:cs="Times New Roman"/>
                <w:b w:val="0"/>
                <w:bCs w:val="0"/>
                <w:strike w:val="0"/>
                <w:dstrike w:val="0"/>
                <w:color w:val="auto"/>
                <w:spacing w:val="-3"/>
                <w:sz w:val="24"/>
                <w:szCs w:val="24"/>
                <w:highlight w:val="none"/>
                <w:lang w:val="en-US" w:eastAsia="zh-CN"/>
              </w:rPr>
              <w:t>根据云南云易易发商务有限公司（</w:t>
            </w:r>
            <w:r>
              <w:rPr>
                <w:rFonts w:hint="default" w:ascii="Times New Roman" w:hAnsi="Times New Roman" w:eastAsia="宋体" w:cs="Times New Roman"/>
                <w:color w:val="auto"/>
                <w:sz w:val="24"/>
                <w:highlight w:val="none"/>
              </w:rPr>
              <w:t>云南易门产业园区六街和麦子</w:t>
            </w:r>
            <w:r>
              <w:rPr>
                <w:rFonts w:hint="default" w:ascii="Times New Roman" w:hAnsi="Times New Roman" w:eastAsia="宋体" w:cs="Times New Roman"/>
                <w:color w:val="auto"/>
                <w:sz w:val="24"/>
                <w:highlight w:val="none"/>
                <w:lang w:val="en-US" w:eastAsia="zh-CN"/>
              </w:rPr>
              <w:t>田片区集中式生活污水处理厂</w:t>
            </w:r>
            <w:r>
              <w:rPr>
                <w:rFonts w:hint="eastAsia" w:ascii="Times New Roman" w:hAnsi="Times New Roman" w:eastAsia="宋体" w:cs="Times New Roman"/>
                <w:color w:val="auto"/>
                <w:sz w:val="24"/>
                <w:highlight w:val="none"/>
                <w:lang w:val="en-US" w:eastAsia="zh-CN"/>
              </w:rPr>
              <w:t>运营单位）出具的废水接纳协议（</w:t>
            </w:r>
            <w:r>
              <w:rPr>
                <w:rFonts w:hint="eastAsia" w:ascii="Times New Roman" w:hAnsi="Times New Roman" w:eastAsia="宋体" w:cs="Times New Roman"/>
                <w:strike w:val="0"/>
                <w:dstrike w:val="0"/>
                <w:color w:val="auto"/>
                <w:spacing w:val="-6"/>
                <w:sz w:val="24"/>
                <w:szCs w:val="24"/>
                <w:highlight w:val="none"/>
                <w:lang w:val="en-US" w:eastAsia="zh-CN"/>
              </w:rPr>
              <w:t>详见附件12）</w:t>
            </w:r>
            <w:r>
              <w:rPr>
                <w:rFonts w:hint="eastAsia" w:ascii="Times New Roman" w:hAnsi="Times New Roman" w:eastAsia="宋体" w:cs="Times New Roman"/>
                <w:color w:val="auto"/>
                <w:sz w:val="24"/>
                <w:highlight w:val="none"/>
                <w:lang w:val="en-US" w:eastAsia="zh-CN"/>
              </w:rPr>
              <w:t>），同意项目废水处理满足污水</w:t>
            </w:r>
            <w:r>
              <w:rPr>
                <w:rFonts w:hint="eastAsia" w:cs="Times New Roman"/>
                <w:color w:val="auto"/>
                <w:sz w:val="24"/>
                <w:highlight w:val="none"/>
                <w:lang w:val="en-US" w:eastAsia="zh-CN"/>
              </w:rPr>
              <w:t>处理厂</w:t>
            </w:r>
            <w:r>
              <w:rPr>
                <w:rFonts w:hint="eastAsia" w:ascii="Times New Roman" w:hAnsi="Times New Roman" w:eastAsia="宋体" w:cs="Times New Roman"/>
                <w:color w:val="auto"/>
                <w:sz w:val="24"/>
                <w:highlight w:val="none"/>
                <w:lang w:val="en-US" w:eastAsia="zh-CN"/>
              </w:rPr>
              <w:t>纳管标准后接入园区污水管网，最终送至污水处理厂集镇处理</w:t>
            </w:r>
            <w:r>
              <w:rPr>
                <w:rFonts w:hint="eastAsia" w:ascii="Times New Roman" w:hAnsi="Times New Roman" w:eastAsia="宋体" w:cs="Times New Roman"/>
                <w:strike w:val="0"/>
                <w:dstrike w:val="0"/>
                <w:color w:val="auto"/>
                <w:spacing w:val="-6"/>
                <w:sz w:val="24"/>
                <w:szCs w:val="24"/>
                <w:highlight w:val="none"/>
                <w:lang w:val="en-US" w:eastAsia="zh-CN"/>
              </w:rPr>
              <w:t>。云南易门产业园区管理委员会于2026年3月25日出具“关于本项目的排水意见及情况说明”（详见附件11）：</w:t>
            </w:r>
            <w:r>
              <w:rPr>
                <w:rFonts w:hint="default" w:ascii="Times New Roman" w:hAnsi="Times New Roman" w:eastAsia="宋体" w:cs="Times New Roman"/>
                <w:strike w:val="0"/>
                <w:dstrike w:val="0"/>
                <w:color w:val="auto"/>
                <w:spacing w:val="-6"/>
                <w:sz w:val="24"/>
                <w:szCs w:val="24"/>
                <w:highlight w:val="none"/>
                <w:lang w:val="en-US" w:eastAsia="zh-CN"/>
              </w:rPr>
              <w:t>园区管委会将</w:t>
            </w:r>
            <w:r>
              <w:rPr>
                <w:rFonts w:hint="eastAsia" w:ascii="Times New Roman" w:hAnsi="Times New Roman" w:eastAsia="宋体" w:cs="Times New Roman"/>
                <w:strike w:val="0"/>
                <w:dstrike w:val="0"/>
                <w:color w:val="auto"/>
                <w:spacing w:val="-6"/>
                <w:sz w:val="24"/>
                <w:szCs w:val="24"/>
                <w:highlight w:val="none"/>
                <w:lang w:val="en-US" w:eastAsia="zh-CN"/>
              </w:rPr>
              <w:t>加快并监督</w:t>
            </w:r>
            <w:r>
              <w:rPr>
                <w:rFonts w:hint="default" w:ascii="Times New Roman" w:hAnsi="Times New Roman" w:eastAsia="宋体" w:cs="Times New Roman"/>
                <w:strike w:val="0"/>
                <w:dstrike w:val="0"/>
                <w:color w:val="auto"/>
                <w:spacing w:val="-6"/>
                <w:sz w:val="24"/>
                <w:szCs w:val="24"/>
                <w:highlight w:val="none"/>
                <w:lang w:val="en-US" w:eastAsia="zh-CN"/>
              </w:rPr>
              <w:t>云南易门产业园区六街和麦子田片区集中式生活污水处理厂在麦子田片区云南鑫易金属结构工程有限公司东侧污水提升泵房</w:t>
            </w:r>
            <w:r>
              <w:rPr>
                <w:rFonts w:hint="eastAsia" w:ascii="Times New Roman" w:hAnsi="Times New Roman" w:eastAsia="宋体" w:cs="Times New Roman"/>
                <w:strike w:val="0"/>
                <w:dstrike w:val="0"/>
                <w:color w:val="auto"/>
                <w:spacing w:val="-6"/>
                <w:sz w:val="24"/>
                <w:szCs w:val="24"/>
                <w:highlight w:val="none"/>
                <w:lang w:val="en-US" w:eastAsia="zh-CN"/>
              </w:rPr>
              <w:t>的建设，确保该项目投产前污水处理厂</w:t>
            </w:r>
            <w:r>
              <w:rPr>
                <w:rFonts w:hint="default" w:ascii="Times New Roman" w:hAnsi="Times New Roman" w:eastAsia="宋体" w:cs="Times New Roman"/>
                <w:strike w:val="0"/>
                <w:dstrike w:val="0"/>
                <w:color w:val="auto"/>
                <w:spacing w:val="-6"/>
                <w:sz w:val="24"/>
                <w:szCs w:val="24"/>
                <w:highlight w:val="none"/>
                <w:lang w:val="en-US" w:eastAsia="zh-CN"/>
              </w:rPr>
              <w:t>污水提升泵房</w:t>
            </w:r>
            <w:r>
              <w:rPr>
                <w:rFonts w:hint="eastAsia" w:ascii="Times New Roman" w:hAnsi="Times New Roman" w:eastAsia="宋体" w:cs="Times New Roman"/>
                <w:strike w:val="0"/>
                <w:dstrike w:val="0"/>
                <w:color w:val="auto"/>
                <w:spacing w:val="-6"/>
                <w:sz w:val="24"/>
                <w:szCs w:val="24"/>
                <w:highlight w:val="none"/>
                <w:lang w:val="en-US" w:eastAsia="zh-CN"/>
              </w:rPr>
              <w:t>投入使用。且为了确保项目废水能合法、顺利排放，</w:t>
            </w:r>
            <w:r>
              <w:rPr>
                <w:rFonts w:hint="eastAsia" w:cs="Times New Roman"/>
                <w:strike w:val="0"/>
                <w:dstrike w:val="0"/>
                <w:color w:val="auto"/>
                <w:spacing w:val="-6"/>
                <w:sz w:val="24"/>
                <w:szCs w:val="24"/>
                <w:highlight w:val="none"/>
                <w:lang w:val="en-US" w:eastAsia="zh-CN"/>
              </w:rPr>
              <w:t>建设单位承诺：</w:t>
            </w:r>
            <w:r>
              <w:rPr>
                <w:rFonts w:hint="default" w:ascii="Times New Roman" w:hAnsi="Times New Roman" w:eastAsia="宋体" w:cs="Times New Roman"/>
                <w:strike w:val="0"/>
                <w:dstrike w:val="0"/>
                <w:color w:val="auto"/>
                <w:spacing w:val="-6"/>
                <w:sz w:val="24"/>
                <w:szCs w:val="24"/>
                <w:highlight w:val="none"/>
                <w:lang w:val="en-US" w:eastAsia="zh-CN"/>
              </w:rPr>
              <w:t>后期云南易门产业园区六街和麦子田片区集中式生活污水处理厂在麦子田片区云南鑫易金属结构工程有限公司东侧污水提升泵房未能在项目投产前建成投运，</w:t>
            </w:r>
            <w:r>
              <w:rPr>
                <w:rFonts w:hint="eastAsia" w:ascii="Times New Roman" w:hAnsi="Times New Roman" w:eastAsia="宋体" w:cs="Times New Roman"/>
                <w:strike w:val="0"/>
                <w:dstrike w:val="0"/>
                <w:color w:val="auto"/>
                <w:spacing w:val="-6"/>
                <w:sz w:val="24"/>
                <w:szCs w:val="24"/>
                <w:highlight w:val="none"/>
                <w:lang w:val="en-US" w:eastAsia="zh-CN"/>
              </w:rPr>
              <w:t>本</w:t>
            </w:r>
            <w:r>
              <w:rPr>
                <w:rFonts w:hint="default" w:ascii="Times New Roman" w:hAnsi="Times New Roman" w:eastAsia="宋体" w:cs="Times New Roman"/>
                <w:strike w:val="0"/>
                <w:dstrike w:val="0"/>
                <w:color w:val="auto"/>
                <w:spacing w:val="-6"/>
                <w:sz w:val="24"/>
                <w:szCs w:val="24"/>
                <w:highlight w:val="none"/>
                <w:lang w:val="en-US" w:eastAsia="zh-CN"/>
              </w:rPr>
              <w:t>项目不投产</w:t>
            </w:r>
            <w:r>
              <w:rPr>
                <w:rFonts w:hint="eastAsia" w:ascii="Times New Roman" w:hAnsi="Times New Roman" w:eastAsia="宋体" w:cs="Times New Roman"/>
                <w:strike w:val="0"/>
                <w:dstrike w:val="0"/>
                <w:color w:val="auto"/>
                <w:spacing w:val="-6"/>
                <w:sz w:val="24"/>
                <w:szCs w:val="24"/>
                <w:highlight w:val="none"/>
                <w:lang w:val="en-US" w:eastAsia="zh-CN"/>
              </w:rPr>
              <w:t>（详见附件</w:t>
            </w:r>
            <w:r>
              <w:rPr>
                <w:rFonts w:hint="eastAsia" w:cs="Times New Roman"/>
                <w:strike w:val="0"/>
                <w:dstrike w:val="0"/>
                <w:color w:val="auto"/>
                <w:spacing w:val="-6"/>
                <w:sz w:val="24"/>
                <w:szCs w:val="24"/>
                <w:highlight w:val="none"/>
                <w:lang w:val="en-US" w:eastAsia="zh-CN"/>
              </w:rPr>
              <w:t>13</w:t>
            </w:r>
            <w:r>
              <w:rPr>
                <w:rFonts w:hint="eastAsia" w:ascii="Times New Roman" w:hAnsi="Times New Roman" w:eastAsia="宋体" w:cs="Times New Roman"/>
                <w:strike w:val="0"/>
                <w:dstrike w:val="0"/>
                <w:color w:val="auto"/>
                <w:spacing w:val="-6"/>
                <w:sz w:val="24"/>
                <w:szCs w:val="24"/>
                <w:highlight w:val="none"/>
                <w:lang w:val="en-US" w:eastAsia="zh-CN"/>
              </w:rPr>
              <w:t>）</w:t>
            </w:r>
            <w:r>
              <w:rPr>
                <w:rFonts w:hint="default" w:ascii="Times New Roman" w:hAnsi="Times New Roman" w:eastAsia="宋体" w:cs="Times New Roman"/>
                <w:strike w:val="0"/>
                <w:dstrike w:val="0"/>
                <w:color w:val="auto"/>
                <w:spacing w:val="-6"/>
                <w:sz w:val="24"/>
                <w:szCs w:val="24"/>
                <w:highlight w:val="none"/>
                <w:lang w:val="en-US" w:eastAsia="zh-CN"/>
              </w:rPr>
              <w:t>，待废水具备依托条件后再投产运行。</w:t>
            </w:r>
          </w:p>
          <w:p w14:paraId="74588B68">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pacing w:val="-3"/>
                <w:sz w:val="24"/>
                <w:szCs w:val="24"/>
                <w:highlight w:val="none"/>
                <w:lang w:val="en-US" w:eastAsia="zh-CN"/>
              </w:rPr>
            </w:pPr>
            <w:r>
              <w:rPr>
                <w:color w:val="auto"/>
                <w:sz w:val="24"/>
                <w:highlight w:val="none"/>
              </w:rPr>
              <w:t>在此条件下，本项目废水依托</w:t>
            </w:r>
            <w:r>
              <w:rPr>
                <w:rFonts w:hint="default" w:ascii="Times New Roman" w:hAnsi="Times New Roman" w:eastAsia="宋体" w:cs="Times New Roman"/>
                <w:b w:val="0"/>
                <w:bCs w:val="0"/>
                <w:strike w:val="0"/>
                <w:dstrike w:val="0"/>
                <w:color w:val="auto"/>
                <w:spacing w:val="-3"/>
                <w:sz w:val="24"/>
                <w:szCs w:val="24"/>
                <w:highlight w:val="none"/>
                <w:lang w:val="en-US" w:eastAsia="zh-CN"/>
              </w:rPr>
              <w:t>云南易门产业园区六街和麦子田片区集中式生活污水处理厂处理是可行的。</w:t>
            </w:r>
          </w:p>
          <w:p w14:paraId="2F2AA1A5">
            <w:pPr>
              <w:keepNext w:val="0"/>
              <w:keepLines w:val="0"/>
              <w:pageBreakBefore w:val="0"/>
              <w:widowControl w:val="0"/>
              <w:kinsoku/>
              <w:wordWrap/>
              <w:overflowPunct/>
              <w:topLinePunct/>
              <w:autoSpaceDE w:val="0"/>
              <w:autoSpaceDN w:val="0"/>
              <w:bidi w:val="0"/>
              <w:adjustRightInd w:val="0"/>
              <w:snapToGrid w:val="0"/>
              <w:spacing w:line="360" w:lineRule="auto"/>
              <w:ind w:firstLine="470" w:firstLineChars="200"/>
              <w:jc w:val="both"/>
              <w:textAlignment w:val="auto"/>
              <w:rPr>
                <w:rFonts w:hint="default" w:ascii="Times New Roman" w:hAnsi="Times New Roman" w:eastAsia="宋体" w:cs="Times New Roman"/>
                <w:b/>
                <w:bCs/>
                <w:strike w:val="0"/>
                <w:dstrike w:val="0"/>
                <w:color w:val="auto"/>
                <w:spacing w:val="-3"/>
                <w:sz w:val="24"/>
                <w:szCs w:val="24"/>
                <w:highlight w:val="none"/>
                <w:lang w:val="en-US" w:eastAsia="zh-CN"/>
              </w:rPr>
            </w:pPr>
            <w:r>
              <w:rPr>
                <w:rFonts w:hint="eastAsia" w:cs="Times New Roman"/>
                <w:b/>
                <w:bCs/>
                <w:strike w:val="0"/>
                <w:dstrike w:val="0"/>
                <w:color w:val="auto"/>
                <w:spacing w:val="-3"/>
                <w:sz w:val="24"/>
                <w:szCs w:val="24"/>
                <w:highlight w:val="none"/>
                <w:lang w:val="en-US" w:eastAsia="zh-CN"/>
              </w:rPr>
              <w:t>（5）初期雨水收集池</w:t>
            </w:r>
          </w:p>
          <w:p w14:paraId="23D7DFA1">
            <w:pPr>
              <w:keepNext w:val="0"/>
              <w:keepLines w:val="0"/>
              <w:pageBreakBefore w:val="0"/>
              <w:kinsoku/>
              <w:overflowPunct/>
              <w:topLinePunct/>
              <w:autoSpaceDE w:val="0"/>
              <w:bidi w:val="0"/>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设置情况：</w:t>
            </w:r>
            <w:r>
              <w:rPr>
                <w:rFonts w:hint="default" w:ascii="Times New Roman" w:hAnsi="Times New Roman" w:eastAsia="宋体" w:cs="Times New Roman"/>
                <w:color w:val="auto"/>
                <w:sz w:val="24"/>
                <w:szCs w:val="24"/>
                <w:highlight w:val="none"/>
              </w:rPr>
              <w:t>本项目设置1座容积</w:t>
            </w:r>
            <w:r>
              <w:rPr>
                <w:rFonts w:hint="eastAsia" w:ascii="Times New Roman" w:hAnsi="Times New Roman" w:eastAsia="宋体" w:cs="Times New Roman"/>
                <w:color w:val="auto"/>
                <w:sz w:val="24"/>
                <w:szCs w:val="24"/>
                <w:highlight w:val="none"/>
                <w:lang w:val="en-US" w:eastAsia="zh-CN"/>
              </w:rPr>
              <w:t>不低于300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的初期雨水收集池。</w:t>
            </w:r>
          </w:p>
          <w:p w14:paraId="621F2114">
            <w:pPr>
              <w:keepNext w:val="0"/>
              <w:keepLines w:val="0"/>
              <w:pageBreakBefore w:val="0"/>
              <w:widowControl w:val="0"/>
              <w:kinsoku/>
              <w:wordWrap/>
              <w:overflowPunct/>
              <w:topLinePunct/>
              <w:autoSpaceDE w:val="0"/>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可行性分析：</w:t>
            </w:r>
            <w:r>
              <w:rPr>
                <w:rFonts w:hint="default" w:ascii="Times New Roman" w:hAnsi="Times New Roman" w:eastAsia="宋体" w:cs="Times New Roman"/>
                <w:color w:val="auto"/>
                <w:sz w:val="24"/>
                <w:szCs w:val="24"/>
                <w:highlight w:val="none"/>
              </w:rPr>
              <w:t>根据水平衡分析，本项目收集前15min的雨水，收集雨水量约为</w:t>
            </w:r>
            <w:r>
              <w:rPr>
                <w:rFonts w:hint="eastAsia" w:cs="Times New Roman"/>
                <w:color w:val="auto"/>
                <w:sz w:val="24"/>
                <w:szCs w:val="24"/>
                <w:highlight w:val="none"/>
                <w:lang w:val="en-US" w:eastAsia="zh-CN"/>
              </w:rPr>
              <w:t>251.15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/次，考虑安全系数1.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，项目需</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初期雨水收集池容积不低于</w:t>
            </w:r>
            <w:r>
              <w:rPr>
                <w:rFonts w:hint="eastAsia"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，可以满足要求。</w:t>
            </w:r>
          </w:p>
          <w:p w14:paraId="7C234551">
            <w:pPr>
              <w:keepNext w:val="0"/>
              <w:keepLines w:val="0"/>
              <w:pageBreakBefore w:val="0"/>
              <w:widowControl w:val="0"/>
              <w:kinsoku/>
              <w:wordWrap/>
              <w:overflowPunct/>
              <w:topLinePunct/>
              <w:autoSpaceDE w:val="0"/>
              <w:autoSpaceDN/>
              <w:bidi w:val="0"/>
              <w:adjustRightInd/>
              <w:snapToGrid/>
              <w:spacing w:line="360" w:lineRule="auto"/>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b/>
                <w:bCs/>
                <w:strike w:val="0"/>
                <w:dstrike w:val="0"/>
                <w:color w:val="auto"/>
                <w:sz w:val="24"/>
                <w:szCs w:val="24"/>
                <w:highlight w:val="none"/>
                <w:lang w:val="en-US" w:eastAsia="zh-CN"/>
              </w:rPr>
              <w:t>3.监测要求</w:t>
            </w:r>
          </w:p>
          <w:p w14:paraId="3904B7AB">
            <w:pPr>
              <w:keepNext w:val="0"/>
              <w:keepLines w:val="0"/>
              <w:pageBreakBefore w:val="0"/>
              <w:kinsoku/>
              <w:wordWrap/>
              <w:overflowPunct/>
              <w:topLinePunct/>
              <w:autoSpaceDE w:val="0"/>
              <w:bidi w:val="0"/>
              <w:adjustRightInd w:val="0"/>
              <w:snapToGrid w:val="0"/>
              <w:spacing w:line="360" w:lineRule="auto"/>
              <w:ind w:left="0" w:leftChars="0" w:right="0" w:firstLine="480" w:firstLineChars="200"/>
              <w:rPr>
                <w:rFonts w:hint="default" w:ascii="Times New Roman" w:hAnsi="Times New Roman" w:eastAsia="宋体" w:cs="Times New Roman"/>
                <w:bCs/>
                <w:strike w:val="0"/>
                <w:dstrike w:val="0"/>
                <w:color w:val="auto"/>
                <w:kern w:val="0"/>
                <w:sz w:val="24"/>
                <w:highlight w:val="none"/>
              </w:rPr>
            </w:pPr>
            <w:r>
              <w:rPr>
                <w:rFonts w:hint="default" w:ascii="Times New Roman" w:hAnsi="Times New Roman" w:eastAsia="宋体" w:cs="Times New Roman"/>
                <w:bCs/>
                <w:strike w:val="0"/>
                <w:dstrike w:val="0"/>
                <w:color w:val="auto"/>
                <w:kern w:val="0"/>
                <w:sz w:val="24"/>
                <w:highlight w:val="none"/>
              </w:rPr>
              <w:t>根据《排污单位自行监测技术指南总则》（HJ819-2017）进行监测中废水监测要求，本项目自行监测计划如下：</w:t>
            </w:r>
          </w:p>
          <w:p w14:paraId="7681C32D">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rPr>
              <w:t>表4-1</w:t>
            </w:r>
            <w:r>
              <w:rPr>
                <w:rFonts w:hint="eastAsia" w:cs="Times New Roman"/>
                <w:b/>
                <w:bCs/>
                <w:strike w:val="0"/>
                <w:dstrike w:val="0"/>
                <w:color w:val="auto"/>
                <w:sz w:val="21"/>
                <w:szCs w:val="21"/>
                <w:highlight w:val="none"/>
                <w:lang w:val="en-US" w:eastAsia="zh-CN"/>
              </w:rPr>
              <w:t>2</w:t>
            </w:r>
            <w:r>
              <w:rPr>
                <w:rFonts w:hint="default" w:ascii="Times New Roman" w:hAnsi="Times New Roman" w:eastAsia="宋体" w:cs="Times New Roman"/>
                <w:b/>
                <w:bCs/>
                <w:strike w:val="0"/>
                <w:dstrike w:val="0"/>
                <w:color w:val="auto"/>
                <w:sz w:val="21"/>
                <w:szCs w:val="21"/>
                <w:highlight w:val="none"/>
                <w:lang w:val="en-US" w:eastAsia="zh-CN"/>
              </w:rPr>
              <w:t xml:space="preserve"> </w:t>
            </w:r>
            <w:r>
              <w:rPr>
                <w:rFonts w:hint="default" w:ascii="Times New Roman" w:hAnsi="Times New Roman" w:eastAsia="宋体" w:cs="Times New Roman"/>
                <w:b/>
                <w:bCs/>
                <w:strike w:val="0"/>
                <w:dstrike w:val="0"/>
                <w:color w:val="auto"/>
                <w:sz w:val="21"/>
                <w:szCs w:val="21"/>
                <w:highlight w:val="none"/>
              </w:rPr>
              <w:t xml:space="preserve"> 项目废水自行监测计划</w:t>
            </w:r>
            <w:r>
              <w:rPr>
                <w:rFonts w:hint="default" w:ascii="Times New Roman" w:hAnsi="Times New Roman" w:eastAsia="宋体" w:cs="Times New Roman"/>
                <w:b/>
                <w:bCs/>
                <w:strike w:val="0"/>
                <w:dstrike w:val="0"/>
                <w:color w:val="auto"/>
                <w:sz w:val="21"/>
                <w:szCs w:val="21"/>
                <w:highlight w:val="none"/>
                <w:lang w:val="en-US" w:eastAsia="zh-CN"/>
              </w:rPr>
              <w:t>表</w:t>
            </w:r>
          </w:p>
          <w:tbl>
            <w:tblPr>
              <w:tblStyle w:val="29"/>
              <w:tblW w:w="79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9"/>
              <w:gridCol w:w="1184"/>
              <w:gridCol w:w="2084"/>
              <w:gridCol w:w="2116"/>
              <w:gridCol w:w="1043"/>
            </w:tblGrid>
            <w:tr w14:paraId="4A5AC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09" w:type="dxa"/>
                  <w:tcBorders>
                    <w:tl2br w:val="nil"/>
                    <w:tr2bl w:val="nil"/>
                  </w:tcBorders>
                  <w:noWrap w:val="0"/>
                  <w:vAlign w:val="center"/>
                </w:tcPr>
                <w:p w14:paraId="35269298">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strike w:val="0"/>
                      <w:dstrike w:val="0"/>
                      <w:color w:val="auto"/>
                      <w:kern w:val="0"/>
                      <w:sz w:val="21"/>
                      <w:szCs w:val="21"/>
                      <w:highlight w:val="none"/>
                    </w:rPr>
                  </w:pPr>
                  <w:r>
                    <w:rPr>
                      <w:rFonts w:hint="default" w:ascii="Times New Roman" w:hAnsi="Times New Roman" w:eastAsia="宋体" w:cs="Times New Roman"/>
                      <w:b/>
                      <w:bCs w:val="0"/>
                      <w:strike w:val="0"/>
                      <w:dstrike w:val="0"/>
                      <w:color w:val="auto"/>
                      <w:kern w:val="0"/>
                      <w:sz w:val="21"/>
                      <w:szCs w:val="21"/>
                      <w:highlight w:val="none"/>
                    </w:rPr>
                    <w:t>监测项目</w:t>
                  </w:r>
                </w:p>
              </w:tc>
              <w:tc>
                <w:tcPr>
                  <w:tcW w:w="1184" w:type="dxa"/>
                  <w:tcBorders>
                    <w:tl2br w:val="nil"/>
                    <w:tr2bl w:val="nil"/>
                  </w:tcBorders>
                  <w:noWrap w:val="0"/>
                  <w:vAlign w:val="center"/>
                </w:tcPr>
                <w:p w14:paraId="25C4AA41">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strike w:val="0"/>
                      <w:dstrike w:val="0"/>
                      <w:color w:val="auto"/>
                      <w:kern w:val="0"/>
                      <w:sz w:val="21"/>
                      <w:szCs w:val="21"/>
                      <w:highlight w:val="none"/>
                    </w:rPr>
                  </w:pPr>
                  <w:r>
                    <w:rPr>
                      <w:rFonts w:hint="default" w:ascii="Times New Roman" w:hAnsi="Times New Roman" w:eastAsia="宋体" w:cs="Times New Roman"/>
                      <w:b/>
                      <w:bCs w:val="0"/>
                      <w:strike w:val="0"/>
                      <w:dstrike w:val="0"/>
                      <w:color w:val="auto"/>
                      <w:kern w:val="0"/>
                      <w:sz w:val="21"/>
                      <w:szCs w:val="21"/>
                      <w:highlight w:val="none"/>
                    </w:rPr>
                    <w:t>监测点位</w:t>
                  </w:r>
                </w:p>
              </w:tc>
              <w:tc>
                <w:tcPr>
                  <w:tcW w:w="2084" w:type="dxa"/>
                  <w:tcBorders>
                    <w:tl2br w:val="nil"/>
                    <w:tr2bl w:val="nil"/>
                  </w:tcBorders>
                  <w:noWrap w:val="0"/>
                  <w:vAlign w:val="center"/>
                </w:tcPr>
                <w:p w14:paraId="2E85A260">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strike w:val="0"/>
                      <w:dstrike w:val="0"/>
                      <w:color w:val="auto"/>
                      <w:kern w:val="0"/>
                      <w:sz w:val="21"/>
                      <w:szCs w:val="21"/>
                      <w:highlight w:val="none"/>
                    </w:rPr>
                  </w:pPr>
                  <w:r>
                    <w:rPr>
                      <w:rFonts w:hint="default" w:ascii="Times New Roman" w:hAnsi="Times New Roman" w:eastAsia="宋体" w:cs="Times New Roman"/>
                      <w:b/>
                      <w:bCs w:val="0"/>
                      <w:strike w:val="0"/>
                      <w:dstrike w:val="0"/>
                      <w:color w:val="auto"/>
                      <w:kern w:val="0"/>
                      <w:sz w:val="21"/>
                      <w:szCs w:val="21"/>
                      <w:highlight w:val="none"/>
                    </w:rPr>
                    <w:t>监测因子</w:t>
                  </w:r>
                </w:p>
              </w:tc>
              <w:tc>
                <w:tcPr>
                  <w:tcW w:w="2116" w:type="dxa"/>
                  <w:tcBorders>
                    <w:tl2br w:val="nil"/>
                    <w:tr2bl w:val="nil"/>
                  </w:tcBorders>
                  <w:noWrap w:val="0"/>
                  <w:vAlign w:val="center"/>
                </w:tcPr>
                <w:p w14:paraId="54DAF4C1">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strike w:val="0"/>
                      <w:dstrike w:val="0"/>
                      <w:color w:val="auto"/>
                      <w:kern w:val="0"/>
                      <w:sz w:val="21"/>
                      <w:szCs w:val="21"/>
                      <w:highlight w:val="none"/>
                    </w:rPr>
                  </w:pPr>
                  <w:r>
                    <w:rPr>
                      <w:rFonts w:hint="default" w:ascii="Times New Roman" w:hAnsi="Times New Roman" w:eastAsia="宋体" w:cs="Times New Roman"/>
                      <w:b/>
                      <w:bCs w:val="0"/>
                      <w:strike w:val="0"/>
                      <w:dstrike w:val="0"/>
                      <w:color w:val="auto"/>
                      <w:kern w:val="0"/>
                      <w:sz w:val="21"/>
                      <w:szCs w:val="21"/>
                      <w:highlight w:val="none"/>
                    </w:rPr>
                    <w:t>监测频次</w:t>
                  </w:r>
                </w:p>
              </w:tc>
              <w:tc>
                <w:tcPr>
                  <w:tcW w:w="1043" w:type="dxa"/>
                  <w:tcBorders>
                    <w:tl2br w:val="nil"/>
                    <w:tr2bl w:val="nil"/>
                  </w:tcBorders>
                  <w:noWrap w:val="0"/>
                  <w:vAlign w:val="center"/>
                </w:tcPr>
                <w:p w14:paraId="49BE4BE1">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strike w:val="0"/>
                      <w:dstrike w:val="0"/>
                      <w:color w:val="auto"/>
                      <w:kern w:val="0"/>
                      <w:sz w:val="21"/>
                      <w:szCs w:val="21"/>
                      <w:highlight w:val="none"/>
                    </w:rPr>
                  </w:pPr>
                  <w:r>
                    <w:rPr>
                      <w:rFonts w:hint="default" w:ascii="Times New Roman" w:hAnsi="Times New Roman" w:eastAsia="宋体" w:cs="Times New Roman"/>
                      <w:b/>
                      <w:bCs w:val="0"/>
                      <w:strike w:val="0"/>
                      <w:dstrike w:val="0"/>
                      <w:color w:val="auto"/>
                      <w:kern w:val="0"/>
                      <w:sz w:val="21"/>
                      <w:szCs w:val="21"/>
                      <w:highlight w:val="none"/>
                    </w:rPr>
                    <w:t>监测方式</w:t>
                  </w:r>
                </w:p>
              </w:tc>
            </w:tr>
            <w:tr w14:paraId="00D97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jc w:val="center"/>
              </w:trPr>
              <w:tc>
                <w:tcPr>
                  <w:tcW w:w="1509" w:type="dxa"/>
                  <w:tcBorders>
                    <w:tl2br w:val="nil"/>
                    <w:tr2bl w:val="nil"/>
                  </w:tcBorders>
                  <w:noWrap w:val="0"/>
                  <w:vAlign w:val="center"/>
                </w:tcPr>
                <w:p w14:paraId="125C28E0">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trike w:val="0"/>
                      <w:dstrike w:val="0"/>
                      <w:color w:val="auto"/>
                      <w:kern w:val="0"/>
                      <w:sz w:val="21"/>
                      <w:szCs w:val="21"/>
                      <w:highlight w:val="none"/>
                      <w:lang w:val="en-US" w:eastAsia="zh-CN" w:bidi="ar-SA"/>
                    </w:rPr>
                  </w:pPr>
                  <w:r>
                    <w:rPr>
                      <w:rFonts w:hint="default" w:ascii="Times New Roman" w:hAnsi="Times New Roman" w:eastAsia="宋体" w:cs="Times New Roman"/>
                      <w:bCs/>
                      <w:strike w:val="0"/>
                      <w:dstrike w:val="0"/>
                      <w:color w:val="auto"/>
                      <w:kern w:val="0"/>
                      <w:sz w:val="21"/>
                      <w:szCs w:val="21"/>
                      <w:highlight w:val="none"/>
                      <w:lang w:eastAsia="zh-CN"/>
                    </w:rPr>
                    <w:t>生活污水、</w:t>
                  </w:r>
                  <w:r>
                    <w:rPr>
                      <w:rFonts w:hint="default" w:ascii="Times New Roman" w:hAnsi="Times New Roman" w:eastAsia="宋体" w:cs="Times New Roman"/>
                      <w:bCs/>
                      <w:strike w:val="0"/>
                      <w:dstrike w:val="0"/>
                      <w:color w:val="auto"/>
                      <w:kern w:val="0"/>
                      <w:sz w:val="21"/>
                      <w:szCs w:val="21"/>
                      <w:highlight w:val="none"/>
                      <w:lang w:val="en-US" w:eastAsia="zh-CN"/>
                    </w:rPr>
                    <w:t>去离子水制备浓水</w:t>
                  </w:r>
                  <w:r>
                    <w:rPr>
                      <w:rFonts w:hint="default" w:ascii="Times New Roman" w:hAnsi="Times New Roman" w:eastAsia="宋体" w:cs="Times New Roman"/>
                      <w:color w:val="auto"/>
                      <w:spacing w:val="-1"/>
                      <w:sz w:val="21"/>
                      <w:szCs w:val="21"/>
                      <w:highlight w:val="none"/>
                      <w:lang w:val="en-US" w:eastAsia="zh-CN"/>
                    </w:rPr>
                    <w:t>及反冲洗水</w:t>
                  </w:r>
                  <w:r>
                    <w:rPr>
                      <w:rFonts w:hint="default" w:ascii="Times New Roman" w:hAnsi="Times New Roman" w:eastAsia="宋体" w:cs="Times New Roman"/>
                      <w:bCs/>
                      <w:strike w:val="0"/>
                      <w:dstrike w:val="0"/>
                      <w:color w:val="auto"/>
                      <w:kern w:val="0"/>
                      <w:sz w:val="21"/>
                      <w:szCs w:val="21"/>
                      <w:highlight w:val="none"/>
                      <w:lang w:val="en-US" w:eastAsia="zh-CN"/>
                    </w:rPr>
                    <w:t>、各类生产外排废水</w:t>
                  </w:r>
                </w:p>
              </w:tc>
              <w:tc>
                <w:tcPr>
                  <w:tcW w:w="1184" w:type="dxa"/>
                  <w:tcBorders>
                    <w:tl2br w:val="nil"/>
                    <w:tr2bl w:val="nil"/>
                  </w:tcBorders>
                  <w:noWrap w:val="0"/>
                  <w:vAlign w:val="center"/>
                </w:tcPr>
                <w:p w14:paraId="73C9DA29">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trike w:val="0"/>
                      <w:dstrike w:val="0"/>
                      <w:color w:val="auto"/>
                      <w:kern w:val="0"/>
                      <w:sz w:val="21"/>
                      <w:szCs w:val="21"/>
                      <w:highlight w:val="none"/>
                      <w:lang w:val="en-US" w:eastAsia="zh-CN" w:bidi="ar-SA"/>
                    </w:rPr>
                  </w:pPr>
                  <w:r>
                    <w:rPr>
                      <w:rFonts w:hint="default" w:ascii="Times New Roman" w:hAnsi="Times New Roman" w:eastAsia="宋体" w:cs="Times New Roman"/>
                      <w:bCs/>
                      <w:strike w:val="0"/>
                      <w:dstrike w:val="0"/>
                      <w:color w:val="auto"/>
                      <w:kern w:val="0"/>
                      <w:sz w:val="21"/>
                      <w:szCs w:val="21"/>
                      <w:highlight w:val="none"/>
                      <w:lang w:val="en-US" w:eastAsia="zh-CN"/>
                    </w:rPr>
                    <w:t>总排口</w:t>
                  </w:r>
                </w:p>
              </w:tc>
              <w:tc>
                <w:tcPr>
                  <w:tcW w:w="2084" w:type="dxa"/>
                  <w:tcBorders>
                    <w:tl2br w:val="nil"/>
                    <w:tr2bl w:val="nil"/>
                  </w:tcBorders>
                  <w:noWrap w:val="0"/>
                  <w:vAlign w:val="center"/>
                </w:tcPr>
                <w:p w14:paraId="65439D9F">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trike w:val="0"/>
                      <w:dstrike w:val="0"/>
                      <w:color w:val="auto"/>
                      <w:kern w:val="0"/>
                      <w:sz w:val="21"/>
                      <w:szCs w:val="21"/>
                      <w:highlight w:val="none"/>
                      <w:lang w:val="en-US" w:eastAsia="zh-CN" w:bidi="ar-SA"/>
                    </w:rPr>
                  </w:pPr>
                  <w:r>
                    <w:rPr>
                      <w:rFonts w:hint="default" w:ascii="Times New Roman" w:hAnsi="Times New Roman" w:eastAsia="宋体" w:cs="Times New Roman"/>
                      <w:bCs/>
                      <w:strike w:val="0"/>
                      <w:dstrike w:val="0"/>
                      <w:color w:val="auto"/>
                      <w:kern w:val="0"/>
                      <w:sz w:val="21"/>
                      <w:szCs w:val="21"/>
                      <w:highlight w:val="none"/>
                      <w:lang w:eastAsia="zh-CN"/>
                    </w:rPr>
                    <w:t>pH、COD、BOD</w:t>
                  </w:r>
                  <w:r>
                    <w:rPr>
                      <w:rFonts w:hint="default" w:ascii="Times New Roman" w:hAnsi="Times New Roman" w:eastAsia="宋体" w:cs="Times New Roman"/>
                      <w:bCs/>
                      <w:strike w:val="0"/>
                      <w:dstrike w:val="0"/>
                      <w:color w:val="auto"/>
                      <w:kern w:val="0"/>
                      <w:sz w:val="21"/>
                      <w:szCs w:val="21"/>
                      <w:highlight w:val="none"/>
                      <w:vertAlign w:val="subscript"/>
                      <w:lang w:eastAsia="zh-CN"/>
                    </w:rPr>
                    <w:t>5</w:t>
                  </w:r>
                  <w:r>
                    <w:rPr>
                      <w:rFonts w:hint="default" w:ascii="Times New Roman" w:hAnsi="Times New Roman" w:eastAsia="宋体" w:cs="Times New Roman"/>
                      <w:bCs/>
                      <w:strike w:val="0"/>
                      <w:dstrike w:val="0"/>
                      <w:color w:val="auto"/>
                      <w:kern w:val="0"/>
                      <w:sz w:val="21"/>
                      <w:szCs w:val="21"/>
                      <w:highlight w:val="none"/>
                      <w:lang w:eastAsia="zh-CN"/>
                    </w:rPr>
                    <w:t>、SS、NH</w:t>
                  </w:r>
                  <w:r>
                    <w:rPr>
                      <w:rFonts w:hint="default" w:ascii="Times New Roman" w:hAnsi="Times New Roman" w:eastAsia="宋体" w:cs="Times New Roman"/>
                      <w:bCs/>
                      <w:strike w:val="0"/>
                      <w:dstrike w:val="0"/>
                      <w:color w:val="auto"/>
                      <w:kern w:val="0"/>
                      <w:sz w:val="21"/>
                      <w:szCs w:val="21"/>
                      <w:highlight w:val="none"/>
                      <w:vertAlign w:val="subscript"/>
                      <w:lang w:eastAsia="zh-CN"/>
                    </w:rPr>
                    <w:t>3</w:t>
                  </w:r>
                  <w:r>
                    <w:rPr>
                      <w:rFonts w:hint="default" w:ascii="Times New Roman" w:hAnsi="Times New Roman" w:eastAsia="宋体" w:cs="Times New Roman"/>
                      <w:bCs/>
                      <w:strike w:val="0"/>
                      <w:dstrike w:val="0"/>
                      <w:color w:val="auto"/>
                      <w:kern w:val="0"/>
                      <w:sz w:val="21"/>
                      <w:szCs w:val="21"/>
                      <w:highlight w:val="none"/>
                      <w:lang w:eastAsia="zh-CN"/>
                    </w:rPr>
                    <w:t>-N、</w:t>
                  </w:r>
                  <w:r>
                    <w:rPr>
                      <w:rFonts w:hint="default" w:ascii="Times New Roman" w:hAnsi="Times New Roman" w:eastAsia="宋体" w:cs="Times New Roman"/>
                      <w:color w:val="auto"/>
                      <w:spacing w:val="-10"/>
                      <w:sz w:val="20"/>
                      <w:szCs w:val="20"/>
                      <w:highlight w:val="none"/>
                    </w:rPr>
                    <w:t>LAS、总氮、</w:t>
                  </w:r>
                  <w:r>
                    <w:rPr>
                      <w:rFonts w:hint="default" w:ascii="Times New Roman" w:hAnsi="Times New Roman" w:eastAsia="宋体" w:cs="Times New Roman"/>
                      <w:color w:val="auto"/>
                      <w:spacing w:val="-10"/>
                      <w:sz w:val="20"/>
                      <w:szCs w:val="20"/>
                      <w:highlight w:val="none"/>
                      <w:lang w:val="en-US" w:eastAsia="zh-CN"/>
                    </w:rPr>
                    <w:t>总磷、动植物油</w:t>
                  </w:r>
                  <w:r>
                    <w:rPr>
                      <w:rFonts w:hint="default" w:ascii="Times New Roman" w:hAnsi="Times New Roman" w:eastAsia="宋体" w:cs="Times New Roman"/>
                      <w:color w:val="auto"/>
                      <w:spacing w:val="-10"/>
                      <w:sz w:val="20"/>
                      <w:szCs w:val="20"/>
                      <w:highlight w:val="none"/>
                    </w:rPr>
                    <w:t>、</w:t>
                  </w:r>
                  <w:r>
                    <w:rPr>
                      <w:rFonts w:hint="default" w:ascii="Times New Roman" w:hAnsi="Times New Roman" w:eastAsia="宋体" w:cs="Times New Roman"/>
                      <w:color w:val="auto"/>
                      <w:spacing w:val="-10"/>
                      <w:sz w:val="20"/>
                      <w:szCs w:val="20"/>
                      <w:highlight w:val="none"/>
                      <w:lang w:val="en-US" w:eastAsia="zh-CN"/>
                    </w:rPr>
                    <w:t>石油类、</w:t>
                  </w:r>
                  <w:r>
                    <w:rPr>
                      <w:rFonts w:hint="default" w:ascii="Times New Roman" w:hAnsi="Times New Roman" w:eastAsia="宋体" w:cs="Times New Roman"/>
                      <w:color w:val="auto"/>
                      <w:spacing w:val="7"/>
                      <w:sz w:val="20"/>
                      <w:szCs w:val="20"/>
                      <w:highlight w:val="none"/>
                    </w:rPr>
                    <w:t>全盐量</w:t>
                  </w:r>
                  <w:r>
                    <w:rPr>
                      <w:rFonts w:hint="default" w:ascii="Times New Roman" w:hAnsi="Times New Roman" w:eastAsia="宋体" w:cs="Times New Roman"/>
                      <w:bCs/>
                      <w:strike w:val="0"/>
                      <w:dstrike w:val="0"/>
                      <w:color w:val="auto"/>
                      <w:kern w:val="0"/>
                      <w:sz w:val="21"/>
                      <w:szCs w:val="21"/>
                      <w:highlight w:val="none"/>
                      <w:lang w:val="en-US" w:eastAsia="zh-CN"/>
                    </w:rPr>
                    <w:t>等</w:t>
                  </w:r>
                </w:p>
              </w:tc>
              <w:tc>
                <w:tcPr>
                  <w:tcW w:w="2116" w:type="dxa"/>
                  <w:tcBorders>
                    <w:tl2br w:val="nil"/>
                    <w:tr2bl w:val="nil"/>
                  </w:tcBorders>
                  <w:noWrap w:val="0"/>
                  <w:vAlign w:val="center"/>
                </w:tcPr>
                <w:p w14:paraId="1FF63BE3">
                  <w:pPr>
                    <w:keepNext w:val="0"/>
                    <w:keepLines w:val="0"/>
                    <w:pageBreakBefore w:val="0"/>
                    <w:widowControl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trike w:val="0"/>
                      <w:dstrike w:val="0"/>
                      <w:color w:val="auto"/>
                      <w:kern w:val="0"/>
                      <w:sz w:val="21"/>
                      <w:szCs w:val="21"/>
                      <w:highlight w:val="none"/>
                      <w:lang w:val="en-US" w:eastAsia="zh-CN" w:bidi="ar-SA"/>
                    </w:rPr>
                  </w:pPr>
                  <w:r>
                    <w:rPr>
                      <w:rFonts w:hint="default" w:ascii="Times New Roman" w:hAnsi="Times New Roman" w:eastAsia="宋体" w:cs="Times New Roman"/>
                      <w:bCs/>
                      <w:strike w:val="0"/>
                      <w:dstrike w:val="0"/>
                      <w:color w:val="auto"/>
                      <w:kern w:val="0"/>
                      <w:sz w:val="21"/>
                      <w:szCs w:val="21"/>
                      <w:highlight w:val="none"/>
                    </w:rPr>
                    <w:t>1次/年</w:t>
                  </w:r>
                </w:p>
              </w:tc>
              <w:tc>
                <w:tcPr>
                  <w:tcW w:w="1043" w:type="dxa"/>
                  <w:tcBorders>
                    <w:tl2br w:val="nil"/>
                    <w:tr2bl w:val="nil"/>
                  </w:tcBorders>
                  <w:noWrap w:val="0"/>
                  <w:vAlign w:val="center"/>
                </w:tcPr>
                <w:p w14:paraId="382B3AF0">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Cs/>
                      <w:strike w:val="0"/>
                      <w:dstrike w:val="0"/>
                      <w:color w:val="auto"/>
                      <w:kern w:val="0"/>
                      <w:sz w:val="21"/>
                      <w:szCs w:val="21"/>
                      <w:highlight w:val="none"/>
                    </w:rPr>
                  </w:pPr>
                  <w:r>
                    <w:rPr>
                      <w:rFonts w:hint="default" w:ascii="Times New Roman" w:hAnsi="Times New Roman" w:eastAsia="宋体" w:cs="Times New Roman"/>
                      <w:bCs/>
                      <w:strike w:val="0"/>
                      <w:dstrike w:val="0"/>
                      <w:color w:val="auto"/>
                      <w:kern w:val="0"/>
                      <w:sz w:val="21"/>
                      <w:szCs w:val="21"/>
                      <w:highlight w:val="none"/>
                    </w:rPr>
                    <w:t>委托其他检（监）测机构代其开展监测</w:t>
                  </w:r>
                </w:p>
              </w:tc>
            </w:tr>
          </w:tbl>
          <w:p w14:paraId="2CBBC837">
            <w:pPr>
              <w:keepNext w:val="0"/>
              <w:keepLines w:val="0"/>
              <w:pageBreakBefore w:val="0"/>
              <w:widowControl w:val="0"/>
              <w:kinsoku/>
              <w:wordWrap/>
              <w:overflowPunct/>
              <w:topLinePunct/>
              <w:autoSpaceDE w:val="0"/>
              <w:autoSpaceDN/>
              <w:bidi w:val="0"/>
              <w:adjustRightInd/>
              <w:snapToGrid/>
              <w:spacing w:before="157" w:beforeLines="50" w:line="360" w:lineRule="auto"/>
              <w:textAlignment w:val="auto"/>
              <w:rPr>
                <w:rFonts w:hint="default" w:ascii="Times New Roman" w:hAnsi="Times New Roman" w:eastAsia="宋体" w:cs="Times New Roman"/>
                <w:b/>
                <w:bCs/>
                <w:strike w:val="0"/>
                <w:dstrike w:val="0"/>
                <w:color w:val="auto"/>
                <w:sz w:val="24"/>
                <w:szCs w:val="24"/>
                <w:highlight w:val="none"/>
                <w:lang w:val="en-US" w:eastAsia="zh-CN"/>
              </w:rPr>
            </w:pPr>
            <w:r>
              <w:rPr>
                <w:rFonts w:hint="default" w:ascii="Times New Roman" w:hAnsi="Times New Roman" w:eastAsia="宋体" w:cs="Times New Roman"/>
                <w:b/>
                <w:bCs/>
                <w:strike w:val="0"/>
                <w:dstrike w:val="0"/>
                <w:color w:val="auto"/>
                <w:sz w:val="24"/>
                <w:szCs w:val="24"/>
                <w:highlight w:val="none"/>
                <w:lang w:val="en-US" w:eastAsia="zh-CN"/>
              </w:rPr>
              <w:t>4.环境影响分析</w:t>
            </w:r>
          </w:p>
          <w:p w14:paraId="15412FA0">
            <w:pPr>
              <w:keepNext w:val="0"/>
              <w:keepLines w:val="0"/>
              <w:pageBreakBefore w:val="0"/>
              <w:kinsoku/>
              <w:wordWrap/>
              <w:overflowPunct/>
              <w:topLinePunct/>
              <w:autoSpaceDE w:val="0"/>
              <w:bidi w:val="0"/>
              <w:adjustRightInd w:val="0"/>
              <w:snapToGrid w:val="0"/>
              <w:spacing w:line="360" w:lineRule="auto"/>
              <w:ind w:left="0" w:leftChars="0" w:right="0" w:firstLine="480" w:firstLineChars="200"/>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综上所述，项目实行雨污分流制，雨水设置有一</w:t>
            </w:r>
            <w:r>
              <w:rPr>
                <w:rFonts w:hint="default" w:ascii="Times New Roman" w:hAnsi="Times New Roman" w:eastAsia="宋体" w:cs="Times New Roman"/>
                <w:strike w:val="0"/>
                <w:dstrike w:val="0"/>
                <w:color w:val="auto"/>
                <w:sz w:val="24"/>
                <w:szCs w:val="24"/>
                <w:highlight w:val="none"/>
                <w:lang w:val="en-US" w:eastAsia="zh-CN"/>
              </w:rPr>
              <w:t>整</w:t>
            </w:r>
            <w:r>
              <w:rPr>
                <w:rFonts w:hint="default" w:ascii="Times New Roman" w:hAnsi="Times New Roman" w:eastAsia="宋体" w:cs="Times New Roman"/>
                <w:strike w:val="0"/>
                <w:dstrike w:val="0"/>
                <w:color w:val="auto"/>
                <w:sz w:val="24"/>
                <w:szCs w:val="24"/>
                <w:highlight w:val="none"/>
              </w:rPr>
              <w:t>套雨水收集管网，收集厂房内雨水，经收集后由</w:t>
            </w:r>
            <w:r>
              <w:rPr>
                <w:rFonts w:hint="default" w:ascii="Times New Roman" w:hAnsi="Times New Roman" w:eastAsia="宋体" w:cs="Times New Roman"/>
                <w:strike w:val="0"/>
                <w:dstrike w:val="0"/>
                <w:color w:val="auto"/>
                <w:sz w:val="24"/>
                <w:szCs w:val="24"/>
                <w:highlight w:val="none"/>
                <w:lang w:val="en-US" w:eastAsia="zh-CN"/>
              </w:rPr>
              <w:t>项目东侧</w:t>
            </w:r>
            <w:r>
              <w:rPr>
                <w:rFonts w:hint="default" w:ascii="Times New Roman" w:hAnsi="Times New Roman" w:eastAsia="宋体" w:cs="Times New Roman"/>
                <w:strike w:val="0"/>
                <w:dstrike w:val="0"/>
                <w:color w:val="auto"/>
                <w:sz w:val="24"/>
                <w:szCs w:val="24"/>
                <w:highlight w:val="none"/>
              </w:rPr>
              <w:t>雨水管网</w:t>
            </w:r>
            <w:r>
              <w:rPr>
                <w:rFonts w:hint="default" w:ascii="Times New Roman" w:hAnsi="Times New Roman" w:eastAsia="宋体" w:cs="Times New Roman"/>
                <w:strike w:val="0"/>
                <w:dstrike w:val="0"/>
                <w:color w:val="auto"/>
                <w:sz w:val="24"/>
                <w:szCs w:val="24"/>
                <w:highlight w:val="none"/>
                <w:lang w:val="en-US" w:eastAsia="zh-CN"/>
              </w:rPr>
              <w:t>排入市政雨水管网；</w:t>
            </w:r>
            <w:r>
              <w:rPr>
                <w:rFonts w:hint="default" w:ascii="Times New Roman" w:hAnsi="Times New Roman" w:eastAsia="宋体" w:cs="Times New Roman"/>
                <w:b w:val="0"/>
                <w:bCs w:val="0"/>
                <w:strike w:val="0"/>
                <w:dstrike w:val="0"/>
                <w:color w:val="auto"/>
                <w:sz w:val="24"/>
                <w:szCs w:val="24"/>
                <w:highlight w:val="none"/>
                <w:lang w:val="en-US" w:eastAsia="zh-CN"/>
              </w:rPr>
              <w:t>初期雨水经初期雨水沉淀池收集沉淀处理后晴天用于厂区绿化、道路洒水降尘，雨天储存，不外排</w:t>
            </w:r>
            <w:r>
              <w:rPr>
                <w:rFonts w:hint="default" w:ascii="Times New Roman" w:hAnsi="Times New Roman" w:eastAsia="宋体" w:cs="Times New Roman"/>
                <w:strike w:val="0"/>
                <w:dstrike w:val="0"/>
                <w:color w:val="auto"/>
                <w:sz w:val="24"/>
                <w:szCs w:val="24"/>
                <w:highlight w:val="none"/>
              </w:rPr>
              <w:t>；</w:t>
            </w:r>
            <w:r>
              <w:rPr>
                <w:rFonts w:hint="default" w:ascii="Times New Roman" w:hAnsi="Times New Roman" w:eastAsia="宋体" w:cs="Times New Roman"/>
                <w:strike w:val="0"/>
                <w:dstrike w:val="0"/>
                <w:color w:val="auto"/>
                <w:sz w:val="24"/>
                <w:szCs w:val="24"/>
                <w:highlight w:val="none"/>
                <w:lang w:val="en-US" w:eastAsia="zh-CN"/>
              </w:rPr>
              <w:t>项目</w:t>
            </w:r>
            <w:r>
              <w:rPr>
                <w:rFonts w:hint="default" w:ascii="Times New Roman" w:hAnsi="Times New Roman" w:eastAsia="宋体" w:cs="Times New Roman"/>
                <w:color w:val="auto"/>
                <w:spacing w:val="-3"/>
                <w:sz w:val="24"/>
                <w:szCs w:val="24"/>
                <w:highlight w:val="none"/>
              </w:rPr>
              <w:t>厂区</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废水、</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废水、圆磨废水</w:t>
            </w:r>
            <w:r>
              <w:rPr>
                <w:rFonts w:hint="eastAsia" w:cs="Times New Roman"/>
                <w:color w:val="auto"/>
                <w:spacing w:val="-3"/>
                <w:sz w:val="24"/>
                <w:szCs w:val="24"/>
                <w:highlight w:val="none"/>
                <w:lang w:val="en-US" w:eastAsia="zh-CN"/>
              </w:rPr>
              <w:t>、碱洗废水</w:t>
            </w:r>
            <w:r>
              <w:rPr>
                <w:rFonts w:hint="default" w:ascii="Times New Roman" w:hAnsi="Times New Roman" w:eastAsia="宋体" w:cs="Times New Roman"/>
                <w:color w:val="auto"/>
                <w:spacing w:val="-3"/>
                <w:sz w:val="24"/>
                <w:szCs w:val="24"/>
                <w:highlight w:val="none"/>
              </w:rPr>
              <w:t>经处理后大部分回用于</w:t>
            </w:r>
            <w:r>
              <w:rPr>
                <w:rFonts w:hint="eastAsia" w:cs="Times New Roman"/>
                <w:color w:val="auto"/>
                <w:spacing w:val="-3"/>
                <w:sz w:val="24"/>
                <w:szCs w:val="24"/>
                <w:highlight w:val="none"/>
                <w:lang w:eastAsia="zh-CN"/>
              </w:rPr>
              <w:t>珠胚清洗</w:t>
            </w:r>
            <w:r>
              <w:rPr>
                <w:rFonts w:hint="default" w:ascii="Times New Roman" w:hAnsi="Times New Roman" w:eastAsia="宋体" w:cs="Times New Roman"/>
                <w:color w:val="auto"/>
                <w:spacing w:val="-3"/>
                <w:sz w:val="24"/>
                <w:szCs w:val="24"/>
                <w:highlight w:val="none"/>
              </w:rPr>
              <w:t>、圆磨工序</w:t>
            </w:r>
            <w:r>
              <w:rPr>
                <w:rFonts w:hint="eastAsia"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eastAsia="zh-CN"/>
              </w:rPr>
              <w:t>磨抛</w:t>
            </w:r>
            <w:r>
              <w:rPr>
                <w:rFonts w:hint="default" w:ascii="Times New Roman" w:hAnsi="Times New Roman" w:eastAsia="宋体" w:cs="Times New Roman"/>
                <w:color w:val="auto"/>
                <w:spacing w:val="-3"/>
                <w:sz w:val="24"/>
                <w:szCs w:val="24"/>
                <w:highlight w:val="none"/>
              </w:rPr>
              <w:t>工序</w:t>
            </w:r>
            <w:r>
              <w:rPr>
                <w:rFonts w:hint="eastAsia" w:cs="Times New Roman"/>
                <w:color w:val="auto"/>
                <w:spacing w:val="-3"/>
                <w:sz w:val="24"/>
                <w:szCs w:val="24"/>
                <w:highlight w:val="none"/>
                <w:lang w:val="en-US" w:eastAsia="zh-CN"/>
              </w:rPr>
              <w:t>及碱洗工序</w:t>
            </w:r>
            <w:r>
              <w:rPr>
                <w:rFonts w:hint="default" w:ascii="Times New Roman" w:hAnsi="Times New Roman" w:eastAsia="宋体" w:cs="Times New Roman"/>
                <w:color w:val="auto"/>
                <w:spacing w:val="-3"/>
                <w:sz w:val="24"/>
                <w:szCs w:val="24"/>
                <w:highlight w:val="none"/>
              </w:rPr>
              <w:t>，小部分与</w:t>
            </w:r>
            <w:r>
              <w:rPr>
                <w:rFonts w:hint="eastAsia" w:cs="Times New Roman"/>
                <w:color w:val="auto"/>
                <w:spacing w:val="-3"/>
                <w:sz w:val="24"/>
                <w:szCs w:val="24"/>
                <w:highlight w:val="none"/>
                <w:lang w:val="en-US" w:eastAsia="zh-CN"/>
              </w:rPr>
              <w:t>清洗废水及地面冲洗废水和</w:t>
            </w:r>
            <w:r>
              <w:rPr>
                <w:rFonts w:hint="default" w:ascii="Times New Roman" w:hAnsi="Times New Roman" w:eastAsia="宋体" w:cs="Times New Roman"/>
                <w:color w:val="auto"/>
                <w:spacing w:val="-3"/>
                <w:sz w:val="24"/>
                <w:szCs w:val="24"/>
                <w:highlight w:val="none"/>
              </w:rPr>
              <w:t>其余</w:t>
            </w:r>
            <w:r>
              <w:rPr>
                <w:rFonts w:hint="default" w:ascii="Times New Roman" w:hAnsi="Times New Roman" w:eastAsia="宋体" w:cs="Times New Roman"/>
                <w:color w:val="auto"/>
                <w:spacing w:val="-3"/>
                <w:sz w:val="24"/>
                <w:szCs w:val="24"/>
                <w:highlight w:val="none"/>
                <w:lang w:val="en-US" w:eastAsia="zh-CN"/>
              </w:rPr>
              <w:t>生产</w:t>
            </w:r>
            <w:r>
              <w:rPr>
                <w:rFonts w:hint="default" w:ascii="Times New Roman" w:hAnsi="Times New Roman" w:eastAsia="宋体" w:cs="Times New Roman"/>
                <w:color w:val="auto"/>
                <w:spacing w:val="-3"/>
                <w:sz w:val="24"/>
                <w:szCs w:val="24"/>
                <w:highlight w:val="none"/>
              </w:rPr>
              <w:t>废水一起经厂区生化污水处理站</w:t>
            </w:r>
            <w:r>
              <w:rPr>
                <w:rFonts w:hint="default" w:ascii="Times New Roman" w:hAnsi="Times New Roman" w:eastAsia="宋体" w:cs="Times New Roman"/>
                <w:b w:val="0"/>
                <w:bCs/>
                <w:strike w:val="0"/>
                <w:dstrike w:val="0"/>
                <w:color w:val="auto"/>
                <w:kern w:val="2"/>
                <w:sz w:val="24"/>
                <w:szCs w:val="24"/>
                <w:highlight w:val="none"/>
                <w:lang w:val="en-US" w:eastAsia="zh-CN" w:bidi="ar-SA"/>
              </w:rPr>
              <w:t>处理达标后</w:t>
            </w:r>
            <w:r>
              <w:rPr>
                <w:rFonts w:hint="default" w:ascii="Times New Roman" w:hAnsi="Times New Roman" w:eastAsia="宋体" w:cs="Times New Roman"/>
                <w:strike w:val="0"/>
                <w:dstrike w:val="0"/>
                <w:color w:val="auto"/>
                <w:sz w:val="24"/>
                <w:szCs w:val="24"/>
                <w:highlight w:val="none"/>
                <w:lang w:val="en-US" w:eastAsia="zh-CN"/>
              </w:rPr>
              <w:t>，</w:t>
            </w:r>
            <w:r>
              <w:rPr>
                <w:rFonts w:hint="eastAsia" w:cs="Times New Roman"/>
                <w:color w:val="auto"/>
                <w:spacing w:val="-3"/>
                <w:sz w:val="24"/>
                <w:szCs w:val="24"/>
                <w:highlight w:val="none"/>
                <w:lang w:val="en-US" w:eastAsia="zh-CN"/>
              </w:rPr>
              <w:t>经项目总</w:t>
            </w:r>
            <w:r>
              <w:rPr>
                <w:rFonts w:hint="default" w:ascii="Times New Roman" w:hAnsi="Times New Roman" w:eastAsia="宋体" w:cs="Times New Roman"/>
                <w:color w:val="auto"/>
                <w:spacing w:val="-3"/>
                <w:sz w:val="24"/>
                <w:szCs w:val="24"/>
                <w:highlight w:val="none"/>
              </w:rPr>
              <w:t>排口</w:t>
            </w:r>
            <w:r>
              <w:rPr>
                <w:rFonts w:hint="eastAsia" w:cs="Times New Roman"/>
                <w:color w:val="auto"/>
                <w:spacing w:val="-3"/>
                <w:sz w:val="24"/>
                <w:szCs w:val="24"/>
                <w:highlight w:val="none"/>
                <w:lang w:val="en-US" w:eastAsia="zh-CN"/>
              </w:rPr>
              <w:t>排入市政管网</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最终进入</w:t>
            </w:r>
            <w:r>
              <w:rPr>
                <w:rFonts w:hint="default" w:ascii="Times New Roman" w:hAnsi="Times New Roman" w:eastAsia="宋体" w:cs="Times New Roman"/>
                <w:color w:val="auto"/>
                <w:spacing w:val="-3"/>
                <w:sz w:val="24"/>
                <w:szCs w:val="24"/>
                <w:highlight w:val="none"/>
              </w:rPr>
              <w:t>云南易门产业园区六街和麦子田片区集中式生活污水处理厂处理</w:t>
            </w:r>
            <w:r>
              <w:rPr>
                <w:rFonts w:hint="default" w:ascii="Times New Roman" w:hAnsi="Times New Roman" w:eastAsia="宋体" w:cs="Times New Roman"/>
                <w:b w:val="0"/>
                <w:bCs/>
                <w:strike w:val="0"/>
                <w:dstrike w:val="0"/>
                <w:color w:val="auto"/>
                <w:kern w:val="2"/>
                <w:sz w:val="24"/>
                <w:szCs w:val="24"/>
                <w:highlight w:val="none"/>
                <w:lang w:val="en-US" w:eastAsia="zh-CN" w:bidi="ar-SA"/>
              </w:rPr>
              <w:t>；</w:t>
            </w:r>
            <w:r>
              <w:rPr>
                <w:rFonts w:hint="default" w:ascii="Times New Roman" w:hAnsi="Times New Roman" w:eastAsia="宋体" w:cs="Times New Roman"/>
                <w:strike w:val="0"/>
                <w:dstrike w:val="0"/>
                <w:color w:val="auto"/>
                <w:sz w:val="24"/>
                <w:szCs w:val="24"/>
                <w:highlight w:val="none"/>
                <w:lang w:val="en-US" w:eastAsia="zh-CN"/>
              </w:rPr>
              <w:t>食堂废水经隔油池处理后同其他生活污水一起经化粪池预处理达标后，与去离子水制备浓水</w:t>
            </w:r>
            <w:r>
              <w:rPr>
                <w:rFonts w:hint="default" w:ascii="Times New Roman" w:hAnsi="Times New Roman" w:eastAsia="宋体" w:cs="Times New Roman"/>
                <w:color w:val="auto"/>
                <w:spacing w:val="-1"/>
                <w:sz w:val="24"/>
                <w:szCs w:val="24"/>
                <w:highlight w:val="none"/>
                <w:lang w:val="en-US" w:eastAsia="zh-CN"/>
              </w:rPr>
              <w:t>及反冲洗水</w:t>
            </w:r>
            <w:r>
              <w:rPr>
                <w:rFonts w:hint="default" w:ascii="Times New Roman" w:hAnsi="Times New Roman" w:eastAsia="宋体" w:cs="Times New Roman"/>
                <w:strike w:val="0"/>
                <w:dstrike w:val="0"/>
                <w:color w:val="auto"/>
                <w:sz w:val="24"/>
                <w:szCs w:val="24"/>
                <w:highlight w:val="none"/>
                <w:lang w:val="en-US" w:eastAsia="zh-CN"/>
              </w:rPr>
              <w:t>一起通过项目废水总排口，</w:t>
            </w:r>
            <w:r>
              <w:rPr>
                <w:rFonts w:hint="eastAsia" w:cs="Times New Roman"/>
                <w:color w:val="auto"/>
                <w:spacing w:val="-3"/>
                <w:sz w:val="24"/>
                <w:szCs w:val="24"/>
                <w:highlight w:val="none"/>
                <w:lang w:val="en-US" w:eastAsia="zh-CN"/>
              </w:rPr>
              <w:t>经项目总</w:t>
            </w:r>
            <w:r>
              <w:rPr>
                <w:rFonts w:hint="default" w:ascii="Times New Roman" w:hAnsi="Times New Roman" w:eastAsia="宋体" w:cs="Times New Roman"/>
                <w:color w:val="auto"/>
                <w:spacing w:val="-3"/>
                <w:sz w:val="24"/>
                <w:szCs w:val="24"/>
                <w:highlight w:val="none"/>
              </w:rPr>
              <w:t>排口</w:t>
            </w:r>
            <w:r>
              <w:rPr>
                <w:rFonts w:hint="eastAsia" w:cs="Times New Roman"/>
                <w:color w:val="auto"/>
                <w:spacing w:val="-3"/>
                <w:sz w:val="24"/>
                <w:szCs w:val="24"/>
                <w:highlight w:val="none"/>
                <w:lang w:val="en-US" w:eastAsia="zh-CN"/>
              </w:rPr>
              <w:t>排入市政管网</w:t>
            </w:r>
            <w:r>
              <w:rPr>
                <w:rFonts w:hint="eastAsia" w:cs="Times New Roman"/>
                <w:color w:val="auto"/>
                <w:spacing w:val="-3"/>
                <w:sz w:val="24"/>
                <w:szCs w:val="24"/>
                <w:highlight w:val="none"/>
                <w:lang w:eastAsia="zh-CN"/>
              </w:rPr>
              <w:t>，</w:t>
            </w:r>
            <w:r>
              <w:rPr>
                <w:rFonts w:hint="eastAsia" w:cs="Times New Roman"/>
                <w:color w:val="auto"/>
                <w:spacing w:val="-3"/>
                <w:sz w:val="24"/>
                <w:szCs w:val="24"/>
                <w:highlight w:val="none"/>
                <w:lang w:val="en-US" w:eastAsia="zh-CN"/>
              </w:rPr>
              <w:t>最终进入</w:t>
            </w:r>
            <w:r>
              <w:rPr>
                <w:rFonts w:hint="default" w:ascii="Times New Roman" w:hAnsi="Times New Roman" w:eastAsia="宋体" w:cs="Times New Roman"/>
                <w:color w:val="auto"/>
                <w:spacing w:val="-3"/>
                <w:sz w:val="24"/>
                <w:szCs w:val="24"/>
                <w:highlight w:val="none"/>
              </w:rPr>
              <w:t>云南易门产业园区六街和麦子田片区集中式生活污水处理厂处理</w:t>
            </w:r>
            <w:r>
              <w:rPr>
                <w:rFonts w:hint="default" w:ascii="Times New Roman" w:hAnsi="Times New Roman" w:eastAsia="宋体" w:cs="Times New Roman"/>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sz w:val="24"/>
                <w:szCs w:val="24"/>
                <w:highlight w:val="none"/>
              </w:rPr>
              <w:t>项目生产废水及生活污水的处理工艺及设施规模合理，废水达标外排污水管网的条件满足，采用的排水方案是可行的，项目废水不直接外排进入地表水体，因此，项目对周边环境的影响较小。</w:t>
            </w:r>
          </w:p>
          <w:p w14:paraId="0388B3C5">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项目废水类别、污染物及污染物治理设施信息见下表。</w:t>
            </w:r>
          </w:p>
          <w:p w14:paraId="07D72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13</w:t>
            </w:r>
            <w:r>
              <w:rPr>
                <w:rFonts w:hint="default" w:ascii="Times New Roman" w:hAnsi="Times New Roman" w:eastAsia="宋体" w:cs="Times New Roman"/>
                <w:b/>
                <w:color w:val="auto"/>
                <w:sz w:val="21"/>
                <w:szCs w:val="21"/>
              </w:rPr>
              <w:t xml:space="preserve">  本项目废水类别、污染物及污染物治理设施信息</w:t>
            </w:r>
          </w:p>
          <w:tbl>
            <w:tblPr>
              <w:tblStyle w:val="2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255"/>
              <w:gridCol w:w="1077"/>
              <w:gridCol w:w="900"/>
              <w:gridCol w:w="1077"/>
              <w:gridCol w:w="1023"/>
              <w:gridCol w:w="917"/>
              <w:gridCol w:w="647"/>
            </w:tblGrid>
            <w:tr w14:paraId="6490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9" w:type="dxa"/>
                  <w:vMerge w:val="restart"/>
                  <w:noWrap w:val="0"/>
                  <w:vAlign w:val="center"/>
                </w:tcPr>
                <w:p w14:paraId="65532FDC">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1255" w:type="dxa"/>
                  <w:vMerge w:val="restart"/>
                  <w:noWrap w:val="0"/>
                  <w:vAlign w:val="center"/>
                </w:tcPr>
                <w:p w14:paraId="6C7DF301">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1077" w:type="dxa"/>
                  <w:vMerge w:val="restart"/>
                  <w:noWrap w:val="0"/>
                  <w:vAlign w:val="center"/>
                </w:tcPr>
                <w:p w14:paraId="2B2E1EAE">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900" w:type="dxa"/>
                  <w:vMerge w:val="restart"/>
                  <w:noWrap w:val="0"/>
                  <w:vAlign w:val="center"/>
                </w:tcPr>
                <w:p w14:paraId="06E23A48">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2100" w:type="dxa"/>
                  <w:gridSpan w:val="2"/>
                  <w:noWrap w:val="0"/>
                  <w:vAlign w:val="center"/>
                </w:tcPr>
                <w:p w14:paraId="35FC0903">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污染治理措施</w:t>
                  </w:r>
                </w:p>
              </w:tc>
              <w:tc>
                <w:tcPr>
                  <w:tcW w:w="917" w:type="dxa"/>
                  <w:vMerge w:val="restart"/>
                  <w:noWrap w:val="0"/>
                  <w:vAlign w:val="center"/>
                </w:tcPr>
                <w:p w14:paraId="7653035B">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647" w:type="dxa"/>
                  <w:vMerge w:val="restart"/>
                  <w:noWrap w:val="0"/>
                  <w:vAlign w:val="center"/>
                </w:tcPr>
                <w:p w14:paraId="529043A1">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14:paraId="059A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9" w:type="dxa"/>
                  <w:vMerge w:val="continue"/>
                  <w:noWrap w:val="0"/>
                  <w:vAlign w:val="center"/>
                </w:tcPr>
                <w:p w14:paraId="4644DCD7">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1255" w:type="dxa"/>
                  <w:vMerge w:val="continue"/>
                  <w:noWrap w:val="0"/>
                  <w:vAlign w:val="center"/>
                </w:tcPr>
                <w:p w14:paraId="7913D2DE">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1077" w:type="dxa"/>
                  <w:vMerge w:val="continue"/>
                  <w:noWrap w:val="0"/>
                  <w:vAlign w:val="center"/>
                </w:tcPr>
                <w:p w14:paraId="70CBC0A5">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900" w:type="dxa"/>
                  <w:vMerge w:val="continue"/>
                  <w:noWrap w:val="0"/>
                  <w:vAlign w:val="center"/>
                </w:tcPr>
                <w:p w14:paraId="0F62C98D">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1077" w:type="dxa"/>
                  <w:noWrap w:val="0"/>
                  <w:vAlign w:val="center"/>
                </w:tcPr>
                <w:p w14:paraId="1136FD4A">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w:t>
                  </w:r>
                </w:p>
                <w:p w14:paraId="7EEF669F">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理设施</w:t>
                  </w:r>
                </w:p>
                <w:p w14:paraId="670DF9B0">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23" w:type="dxa"/>
                  <w:noWrap w:val="0"/>
                  <w:vAlign w:val="center"/>
                </w:tcPr>
                <w:p w14:paraId="7FE7DD90">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917" w:type="dxa"/>
                  <w:vMerge w:val="continue"/>
                  <w:noWrap w:val="0"/>
                  <w:vAlign w:val="center"/>
                </w:tcPr>
                <w:p w14:paraId="726073D2">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647" w:type="dxa"/>
                  <w:vMerge w:val="continue"/>
                  <w:noWrap w:val="0"/>
                  <w:vAlign w:val="center"/>
                </w:tcPr>
                <w:p w14:paraId="165DAAF5">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rPr>
                  </w:pPr>
                </w:p>
              </w:tc>
            </w:tr>
            <w:tr w14:paraId="05DC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9" w:type="dxa"/>
                  <w:noWrap w:val="0"/>
                  <w:vAlign w:val="center"/>
                </w:tcPr>
                <w:p w14:paraId="5128C905">
                  <w:pPr>
                    <w:keepNext w:val="0"/>
                    <w:keepLines w:val="0"/>
                    <w:pageBreakBefore w:val="0"/>
                    <w:kinsoku/>
                    <w:wordWrap/>
                    <w:overflowPunct/>
                    <w:topLinePunct w:val="0"/>
                    <w:autoSpaceDE/>
                    <w:autoSpaceDN/>
                    <w:bidi w:val="0"/>
                    <w:adjustRightInd/>
                    <w:spacing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4"/>
                      <w:sz w:val="21"/>
                      <w:szCs w:val="21"/>
                      <w:highlight w:val="none"/>
                      <w:lang w:val="en-US" w:eastAsia="zh-CN"/>
                    </w:rPr>
                    <w:t>生产综合废水</w:t>
                  </w:r>
                </w:p>
              </w:tc>
              <w:tc>
                <w:tcPr>
                  <w:tcW w:w="1255" w:type="dxa"/>
                  <w:noWrap w:val="0"/>
                  <w:vAlign w:val="center"/>
                </w:tcPr>
                <w:p w14:paraId="7F39FFED">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FFFFFF"/>
                    </w:rPr>
                    <w:t>pH值</w:t>
                  </w:r>
                  <w:r>
                    <w:rPr>
                      <w:rFonts w:hint="eastAsia"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悬浮物</w:t>
                  </w:r>
                  <w:r>
                    <w:rPr>
                      <w:rFonts w:hint="eastAsia"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化学需氧量</w:t>
                  </w:r>
                  <w:r>
                    <w:rPr>
                      <w:rFonts w:hint="eastAsia" w:ascii="Times New Roman" w:hAnsi="Times New Roman" w:eastAsia="宋体" w:cs="Times New Roman"/>
                      <w:color w:val="auto"/>
                      <w:sz w:val="21"/>
                      <w:szCs w:val="21"/>
                      <w:shd w:val="clear" w:color="auto" w:fill="FFFFFF"/>
                      <w:lang w:val="en-US" w:eastAsia="zh-CN"/>
                    </w:rPr>
                    <w:t>、</w:t>
                  </w:r>
                  <w:r>
                    <w:rPr>
                      <w:rFonts w:hint="default" w:ascii="Times New Roman" w:hAnsi="Times New Roman" w:eastAsia="宋体" w:cs="Times New Roman"/>
                      <w:color w:val="auto"/>
                      <w:sz w:val="21"/>
                      <w:szCs w:val="21"/>
                      <w:shd w:val="clear" w:color="auto" w:fill="FFFFFF"/>
                    </w:rPr>
                    <w:t>五日生化需氧量</w:t>
                  </w:r>
                  <w:r>
                    <w:rPr>
                      <w:rFonts w:hint="eastAsia" w:ascii="Times New Roman" w:hAnsi="Times New Roman" w:eastAsia="宋体" w:cs="Times New Roman"/>
                      <w:color w:val="auto"/>
                      <w:sz w:val="21"/>
                      <w:szCs w:val="21"/>
                      <w:shd w:val="clear" w:color="auto" w:fill="FFFFFF"/>
                      <w:lang w:val="en-US" w:eastAsia="zh-CN"/>
                    </w:rPr>
                    <w:t>、</w:t>
                  </w:r>
                  <w:r>
                    <w:rPr>
                      <w:rFonts w:hint="default" w:ascii="Times New Roman" w:hAnsi="Times New Roman" w:eastAsia="宋体" w:cs="Times New Roman"/>
                      <w:color w:val="auto"/>
                      <w:sz w:val="21"/>
                      <w:szCs w:val="21"/>
                      <w:shd w:val="clear" w:color="auto" w:fill="FFFFFF"/>
                    </w:rPr>
                    <w:t>石油类</w:t>
                  </w:r>
                </w:p>
              </w:tc>
              <w:tc>
                <w:tcPr>
                  <w:tcW w:w="1077" w:type="dxa"/>
                  <w:vMerge w:val="restart"/>
                  <w:noWrap w:val="0"/>
                  <w:vAlign w:val="center"/>
                </w:tcPr>
                <w:p w14:paraId="432C1A2C">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排入市政污水管网</w:t>
                  </w:r>
                  <w:r>
                    <w:rPr>
                      <w:rFonts w:hint="default" w:ascii="Times New Roman" w:hAnsi="Times New Roman" w:eastAsia="宋体" w:cs="Times New Roman"/>
                      <w:color w:val="auto"/>
                      <w:sz w:val="21"/>
                      <w:szCs w:val="21"/>
                      <w:lang w:eastAsia="zh-CN" w:bidi="ar"/>
                    </w:rPr>
                    <w:t>，</w:t>
                  </w:r>
                  <w:r>
                    <w:rPr>
                      <w:rFonts w:hint="default" w:ascii="Times New Roman" w:hAnsi="Times New Roman" w:eastAsia="宋体" w:cs="Times New Roman"/>
                      <w:color w:val="auto"/>
                      <w:sz w:val="21"/>
                      <w:szCs w:val="21"/>
                      <w:lang w:val="en-US" w:eastAsia="zh-CN" w:bidi="ar"/>
                    </w:rPr>
                    <w:t>最终进入</w:t>
                  </w:r>
                  <w:r>
                    <w:rPr>
                      <w:rFonts w:hint="default" w:ascii="Times New Roman" w:hAnsi="Times New Roman" w:eastAsia="宋体" w:cs="Times New Roman"/>
                      <w:color w:val="auto"/>
                      <w:sz w:val="21"/>
                      <w:szCs w:val="21"/>
                    </w:rPr>
                    <w:t>云南易门产业园区六街和麦子田片区集中式生活污水处理厂</w:t>
                  </w:r>
                </w:p>
              </w:tc>
              <w:tc>
                <w:tcPr>
                  <w:tcW w:w="900" w:type="dxa"/>
                  <w:vMerge w:val="restart"/>
                  <w:noWrap w:val="0"/>
                  <w:vAlign w:val="center"/>
                </w:tcPr>
                <w:p w14:paraId="50FB53F6">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间断排放，排放期间流量不稳定且无规律，但不属于冲击型排放</w:t>
                  </w:r>
                </w:p>
              </w:tc>
              <w:tc>
                <w:tcPr>
                  <w:tcW w:w="1077" w:type="dxa"/>
                  <w:noWrap w:val="0"/>
                  <w:vAlign w:val="center"/>
                </w:tcPr>
                <w:p w14:paraId="10D3D446">
                  <w:pPr>
                    <w:pStyle w:val="19"/>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各废水循环水池、</w:t>
                  </w:r>
                  <w:r>
                    <w:rPr>
                      <w:rFonts w:hint="default" w:ascii="Times New Roman" w:hAnsi="Times New Roman" w:eastAsia="宋体" w:cs="Times New Roman"/>
                      <w:color w:val="auto"/>
                      <w:sz w:val="21"/>
                      <w:szCs w:val="21"/>
                      <w:lang w:val="en-US" w:eastAsia="zh-CN"/>
                    </w:rPr>
                    <w:t>污水处理站</w:t>
                  </w:r>
                </w:p>
              </w:tc>
              <w:tc>
                <w:tcPr>
                  <w:tcW w:w="1023" w:type="dxa"/>
                  <w:noWrap w:val="0"/>
                  <w:vAlign w:val="center"/>
                </w:tcPr>
                <w:p w14:paraId="3F8B6F7C">
                  <w:pPr>
                    <w:pStyle w:val="19"/>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调节池+</w:t>
                  </w:r>
                  <w:r>
                    <w:rPr>
                      <w:rFonts w:hint="eastAsia" w:ascii="Times New Roman" w:hAnsi="Times New Roman" w:eastAsia="宋体" w:cs="Times New Roman"/>
                      <w:color w:val="auto"/>
                      <w:sz w:val="21"/>
                      <w:szCs w:val="21"/>
                      <w:lang w:val="en-US" w:eastAsia="zh-CN"/>
                    </w:rPr>
                    <w:t>混凝沉淀</w:t>
                  </w:r>
                  <w:r>
                    <w:rPr>
                      <w:rFonts w:hint="default" w:ascii="Times New Roman" w:hAnsi="Times New Roman" w:eastAsia="宋体" w:cs="Times New Roman"/>
                      <w:color w:val="auto"/>
                      <w:sz w:val="21"/>
                      <w:szCs w:val="21"/>
                      <w:lang w:val="en-US" w:eastAsia="zh-CN"/>
                    </w:rPr>
                    <w:t>+A/O</w:t>
                  </w:r>
                  <w:r>
                    <w:rPr>
                      <w:rFonts w:hint="eastAsia" w:ascii="Times New Roman" w:hAnsi="Times New Roman" w:eastAsia="宋体" w:cs="Times New Roman"/>
                      <w:color w:val="auto"/>
                      <w:sz w:val="21"/>
                      <w:szCs w:val="21"/>
                      <w:lang w:val="en-US" w:eastAsia="zh-CN"/>
                    </w:rPr>
                    <w:t>接触氧化</w:t>
                  </w:r>
                  <w:r>
                    <w:rPr>
                      <w:rFonts w:hint="default" w:ascii="Times New Roman" w:hAnsi="Times New Roman" w:eastAsia="宋体" w:cs="Times New Roman"/>
                      <w:color w:val="auto"/>
                      <w:sz w:val="21"/>
                      <w:szCs w:val="21"/>
                      <w:lang w:val="en-US" w:eastAsia="zh-CN"/>
                    </w:rPr>
                    <w:t>池</w:t>
                  </w:r>
                  <w:r>
                    <w:rPr>
                      <w:rFonts w:hint="eastAsia" w:ascii="Times New Roman" w:hAnsi="Times New Roman" w:eastAsia="宋体" w:cs="Times New Roman"/>
                      <w:color w:val="auto"/>
                      <w:sz w:val="21"/>
                      <w:szCs w:val="21"/>
                      <w:lang w:val="en-US" w:eastAsia="zh-CN"/>
                    </w:rPr>
                    <w:t>+斜板沉淀</w:t>
                  </w:r>
                </w:p>
              </w:tc>
              <w:tc>
                <w:tcPr>
                  <w:tcW w:w="917" w:type="dxa"/>
                  <w:noWrap w:val="0"/>
                  <w:vAlign w:val="center"/>
                </w:tcPr>
                <w:p w14:paraId="7E459948">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是</w:t>
                  </w:r>
                </w:p>
              </w:tc>
              <w:tc>
                <w:tcPr>
                  <w:tcW w:w="647" w:type="dxa"/>
                  <w:vMerge w:val="restart"/>
                  <w:noWrap w:val="0"/>
                  <w:vAlign w:val="center"/>
                </w:tcPr>
                <w:p w14:paraId="1C801D24">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企业总排口</w:t>
                  </w:r>
                </w:p>
              </w:tc>
            </w:tr>
            <w:tr w14:paraId="0C8C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9" w:type="dxa"/>
                  <w:noWrap w:val="0"/>
                  <w:vAlign w:val="center"/>
                </w:tcPr>
                <w:p w14:paraId="41AA1813">
                  <w:pPr>
                    <w:keepNext w:val="0"/>
                    <w:keepLines w:val="0"/>
                    <w:pageBreakBefore w:val="0"/>
                    <w:kinsoku/>
                    <w:wordWrap/>
                    <w:overflowPunct/>
                    <w:topLinePunct w:val="0"/>
                    <w:autoSpaceDE/>
                    <w:autoSpaceDN/>
                    <w:bidi w:val="0"/>
                    <w:adjustRightInd/>
                    <w:spacing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生活污水（</w:t>
                  </w:r>
                  <w:r>
                    <w:rPr>
                      <w:rFonts w:hint="eastAsia" w:ascii="Times New Roman" w:hAnsi="Times New Roman" w:eastAsia="宋体" w:cs="Times New Roman"/>
                      <w:bCs/>
                      <w:color w:val="auto"/>
                      <w:sz w:val="21"/>
                      <w:szCs w:val="21"/>
                      <w:lang w:val="en-US" w:eastAsia="zh-CN"/>
                    </w:rPr>
                    <w:t>含食堂废水</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spacing w:val="4"/>
                      <w:sz w:val="21"/>
                      <w:szCs w:val="21"/>
                      <w:highlight w:val="none"/>
                      <w:lang w:val="en-US" w:eastAsia="zh-CN"/>
                    </w:rPr>
                    <w:t>浓水</w:t>
                  </w:r>
                  <w:r>
                    <w:rPr>
                      <w:rFonts w:hint="default" w:ascii="Times New Roman" w:hAnsi="Times New Roman" w:eastAsia="宋体" w:cs="Times New Roman"/>
                      <w:color w:val="auto"/>
                      <w:spacing w:val="-1"/>
                      <w:sz w:val="21"/>
                      <w:szCs w:val="21"/>
                      <w:highlight w:val="none"/>
                      <w:lang w:val="en-US" w:eastAsia="zh-CN"/>
                    </w:rPr>
                    <w:t>及反冲洗水</w:t>
                  </w:r>
                </w:p>
              </w:tc>
              <w:tc>
                <w:tcPr>
                  <w:tcW w:w="1255" w:type="dxa"/>
                  <w:noWrap w:val="0"/>
                  <w:vAlign w:val="center"/>
                </w:tcPr>
                <w:p w14:paraId="1977E44E">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shd w:val="clear" w:color="auto" w:fill="FFFFFF"/>
                      <w:lang w:val="en-US"/>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lang w:val="en-US" w:eastAsia="zh-CN"/>
                    </w:rPr>
                    <w:t>总磷</w:t>
                  </w:r>
                  <w:r>
                    <w:rPr>
                      <w:rFonts w:hint="eastAsia" w:ascii="Times New Roman" w:hAnsi="Times New Roman" w:eastAsia="宋体" w:cs="Times New Roman"/>
                      <w:color w:val="auto"/>
                      <w:sz w:val="21"/>
                      <w:szCs w:val="21"/>
                      <w:shd w:val="clear" w:color="auto" w:fill="FFFFFF"/>
                      <w:lang w:val="en-US" w:eastAsia="zh-CN"/>
                    </w:rPr>
                    <w:t>、TDS等</w:t>
                  </w:r>
                </w:p>
              </w:tc>
              <w:tc>
                <w:tcPr>
                  <w:tcW w:w="1077" w:type="dxa"/>
                  <w:vMerge w:val="continue"/>
                  <w:noWrap w:val="0"/>
                  <w:vAlign w:val="center"/>
                </w:tcPr>
                <w:p w14:paraId="2C7FB612">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rPr>
                  </w:pPr>
                </w:p>
              </w:tc>
              <w:tc>
                <w:tcPr>
                  <w:tcW w:w="900" w:type="dxa"/>
                  <w:vMerge w:val="continue"/>
                  <w:noWrap w:val="0"/>
                  <w:vAlign w:val="center"/>
                </w:tcPr>
                <w:p w14:paraId="50E49334">
                  <w:pPr>
                    <w:pStyle w:val="19"/>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rPr>
                  </w:pPr>
                </w:p>
              </w:tc>
              <w:tc>
                <w:tcPr>
                  <w:tcW w:w="1077" w:type="dxa"/>
                  <w:noWrap w:val="0"/>
                  <w:vAlign w:val="center"/>
                </w:tcPr>
                <w:p w14:paraId="758168A8">
                  <w:pPr>
                    <w:pStyle w:val="19"/>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隔油池、</w:t>
                  </w:r>
                  <w:r>
                    <w:rPr>
                      <w:rFonts w:hint="default" w:ascii="Times New Roman" w:hAnsi="Times New Roman" w:eastAsia="宋体" w:cs="Times New Roman"/>
                      <w:color w:val="auto"/>
                      <w:sz w:val="21"/>
                      <w:szCs w:val="21"/>
                      <w:lang w:val="en-US" w:eastAsia="zh-CN"/>
                    </w:rPr>
                    <w:t>化粪池</w:t>
                  </w:r>
                </w:p>
              </w:tc>
              <w:tc>
                <w:tcPr>
                  <w:tcW w:w="1023" w:type="dxa"/>
                  <w:noWrap w:val="0"/>
                  <w:vAlign w:val="center"/>
                </w:tcPr>
                <w:p w14:paraId="7156391C">
                  <w:pPr>
                    <w:pStyle w:val="19"/>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隔油、沉淀</w:t>
                  </w:r>
                </w:p>
              </w:tc>
              <w:tc>
                <w:tcPr>
                  <w:tcW w:w="917" w:type="dxa"/>
                  <w:noWrap w:val="0"/>
                  <w:vAlign w:val="center"/>
                </w:tcPr>
                <w:p w14:paraId="27AFFCAB">
                  <w:pPr>
                    <w:pStyle w:val="19"/>
                    <w:keepNext w:val="0"/>
                    <w:keepLines w:val="0"/>
                    <w:pageBreakBefore w:val="0"/>
                    <w:kinsoku/>
                    <w:wordWrap/>
                    <w:overflowPunct/>
                    <w:topLinePunct w:val="0"/>
                    <w:autoSpaceDE/>
                    <w:autoSpaceDN/>
                    <w:bidi w:val="0"/>
                    <w:adjustRightInd/>
                    <w:spacing w:before="0" w:after="0" w:line="240" w:lineRule="auto"/>
                    <w:ind w:right="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647" w:type="dxa"/>
                  <w:vMerge w:val="continue"/>
                  <w:noWrap w:val="0"/>
                  <w:vAlign w:val="center"/>
                </w:tcPr>
                <w:p w14:paraId="1BD5EA05">
                  <w:pPr>
                    <w:pStyle w:val="19"/>
                    <w:keepNext w:val="0"/>
                    <w:keepLines w:val="0"/>
                    <w:pageBreakBefore w:val="0"/>
                    <w:kinsoku/>
                    <w:wordWrap/>
                    <w:overflowPunct/>
                    <w:topLinePunct w:val="0"/>
                    <w:autoSpaceDE/>
                    <w:autoSpaceDN/>
                    <w:bidi w:val="0"/>
                    <w:adjustRightInd/>
                    <w:spacing w:before="0" w:after="0" w:line="240" w:lineRule="auto"/>
                    <w:ind w:right="0"/>
                    <w:textAlignment w:val="auto"/>
                    <w:rPr>
                      <w:rFonts w:hint="default" w:ascii="Times New Roman" w:hAnsi="Times New Roman" w:eastAsia="宋体" w:cs="Times New Roman"/>
                      <w:color w:val="auto"/>
                      <w:sz w:val="21"/>
                      <w:szCs w:val="21"/>
                    </w:rPr>
                  </w:pPr>
                </w:p>
              </w:tc>
            </w:tr>
          </w:tbl>
          <w:p w14:paraId="4DB8BC8E">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14</w:t>
            </w:r>
            <w:r>
              <w:rPr>
                <w:rFonts w:hint="default" w:ascii="Times New Roman" w:hAnsi="Times New Roman" w:eastAsia="宋体" w:cs="Times New Roman"/>
                <w:b/>
                <w:color w:val="auto"/>
                <w:sz w:val="21"/>
                <w:szCs w:val="21"/>
              </w:rPr>
              <w:t xml:space="preserve">  本项目废水间接排放口基本情况</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87"/>
              <w:gridCol w:w="696"/>
              <w:gridCol w:w="683"/>
              <w:gridCol w:w="733"/>
              <w:gridCol w:w="784"/>
              <w:gridCol w:w="650"/>
              <w:gridCol w:w="1540"/>
              <w:gridCol w:w="1443"/>
            </w:tblGrid>
            <w:tr w14:paraId="0E8E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noWrap w:val="0"/>
                  <w:vAlign w:val="center"/>
                </w:tcPr>
                <w:p w14:paraId="74C619DE">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687" w:type="dxa"/>
                  <w:vMerge w:val="restart"/>
                  <w:noWrap w:val="0"/>
                  <w:vAlign w:val="center"/>
                </w:tcPr>
                <w:p w14:paraId="3758444B">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排放口名称</w:t>
                  </w:r>
                </w:p>
              </w:tc>
              <w:tc>
                <w:tcPr>
                  <w:tcW w:w="1379" w:type="dxa"/>
                  <w:gridSpan w:val="2"/>
                  <w:noWrap w:val="0"/>
                  <w:vAlign w:val="center"/>
                </w:tcPr>
                <w:p w14:paraId="0792B36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排放口地理坐标</w:t>
                  </w:r>
                </w:p>
              </w:tc>
              <w:tc>
                <w:tcPr>
                  <w:tcW w:w="733" w:type="dxa"/>
                  <w:vMerge w:val="restart"/>
                  <w:noWrap w:val="0"/>
                  <w:vAlign w:val="center"/>
                </w:tcPr>
                <w:p w14:paraId="25C935E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784" w:type="dxa"/>
                  <w:vMerge w:val="restart"/>
                  <w:noWrap w:val="0"/>
                  <w:vAlign w:val="center"/>
                </w:tcPr>
                <w:p w14:paraId="5827811C">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650" w:type="dxa"/>
                  <w:vMerge w:val="restart"/>
                  <w:noWrap w:val="0"/>
                  <w:vAlign w:val="center"/>
                </w:tcPr>
                <w:p w14:paraId="04568CCD">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间歇排放时段</w:t>
                  </w:r>
                </w:p>
              </w:tc>
              <w:tc>
                <w:tcPr>
                  <w:tcW w:w="2983" w:type="dxa"/>
                  <w:gridSpan w:val="2"/>
                  <w:noWrap w:val="0"/>
                  <w:vAlign w:val="center"/>
                </w:tcPr>
                <w:p w14:paraId="3ECE2560">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国家或地方污染物排放标准及其他按规定商定的排放协议</w:t>
                  </w:r>
                </w:p>
              </w:tc>
            </w:tr>
            <w:tr w14:paraId="181F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14:paraId="30ADA30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687" w:type="dxa"/>
                  <w:vMerge w:val="continue"/>
                  <w:noWrap w:val="0"/>
                  <w:vAlign w:val="center"/>
                </w:tcPr>
                <w:p w14:paraId="53967F8D">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696" w:type="dxa"/>
                  <w:noWrap w:val="0"/>
                  <w:vAlign w:val="center"/>
                </w:tcPr>
                <w:p w14:paraId="3F8EF03B">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经度</w:t>
                  </w:r>
                </w:p>
              </w:tc>
              <w:tc>
                <w:tcPr>
                  <w:tcW w:w="683" w:type="dxa"/>
                  <w:noWrap w:val="0"/>
                  <w:vAlign w:val="center"/>
                </w:tcPr>
                <w:p w14:paraId="2DCDDC79">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纬度</w:t>
                  </w:r>
                </w:p>
              </w:tc>
              <w:tc>
                <w:tcPr>
                  <w:tcW w:w="733" w:type="dxa"/>
                  <w:vMerge w:val="continue"/>
                  <w:noWrap w:val="0"/>
                  <w:vAlign w:val="center"/>
                </w:tcPr>
                <w:p w14:paraId="0F1D654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784" w:type="dxa"/>
                  <w:vMerge w:val="continue"/>
                  <w:noWrap w:val="0"/>
                  <w:vAlign w:val="center"/>
                </w:tcPr>
                <w:p w14:paraId="0C05D2FA">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650" w:type="dxa"/>
                  <w:vMerge w:val="continue"/>
                  <w:noWrap w:val="0"/>
                  <w:vAlign w:val="center"/>
                </w:tcPr>
                <w:p w14:paraId="1FEBAC12">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p>
              </w:tc>
              <w:tc>
                <w:tcPr>
                  <w:tcW w:w="1540" w:type="dxa"/>
                  <w:noWrap w:val="0"/>
                  <w:vAlign w:val="center"/>
                </w:tcPr>
                <w:p w14:paraId="75F039A3">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443" w:type="dxa"/>
                  <w:noWrap w:val="0"/>
                  <w:vAlign w:val="center"/>
                </w:tcPr>
                <w:p w14:paraId="6477A3C4">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r>
            <w:tr w14:paraId="56C0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14:paraId="1092DB3B">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w:t>
                  </w:r>
                </w:p>
              </w:tc>
              <w:tc>
                <w:tcPr>
                  <w:tcW w:w="687" w:type="dxa"/>
                  <w:noWrap w:val="0"/>
                  <w:vAlign w:val="center"/>
                </w:tcPr>
                <w:p w14:paraId="6CC7486C">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废水总排口</w:t>
                  </w:r>
                </w:p>
              </w:tc>
              <w:tc>
                <w:tcPr>
                  <w:tcW w:w="696" w:type="dxa"/>
                  <w:noWrap w:val="0"/>
                  <w:vAlign w:val="center"/>
                </w:tcPr>
                <w:p w14:paraId="2B73B272">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102°12′36.520″</w:t>
                  </w:r>
                </w:p>
              </w:tc>
              <w:tc>
                <w:tcPr>
                  <w:tcW w:w="683" w:type="dxa"/>
                  <w:noWrap w:val="0"/>
                  <w:vAlign w:val="center"/>
                </w:tcPr>
                <w:p w14:paraId="59D1E5B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24°46′3.32</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p>
              </w:tc>
              <w:tc>
                <w:tcPr>
                  <w:tcW w:w="733" w:type="dxa"/>
                  <w:noWrap w:val="0"/>
                  <w:vAlign w:val="center"/>
                </w:tcPr>
                <w:p w14:paraId="49F33D71">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进入</w:t>
                  </w:r>
                  <w:r>
                    <w:rPr>
                      <w:rFonts w:hint="default" w:ascii="Times New Roman" w:hAnsi="Times New Roman" w:eastAsia="宋体" w:cs="Times New Roman"/>
                      <w:color w:val="auto"/>
                      <w:sz w:val="21"/>
                      <w:szCs w:val="21"/>
                    </w:rPr>
                    <w:t>云南易门产业园区六街和麦子田片区集中式生活污水处理厂</w:t>
                  </w:r>
                </w:p>
              </w:tc>
              <w:tc>
                <w:tcPr>
                  <w:tcW w:w="784" w:type="dxa"/>
                  <w:noWrap w:val="0"/>
                  <w:vAlign w:val="center"/>
                </w:tcPr>
                <w:p w14:paraId="33B67CF6">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间断排放，排放期间流量不稳定且无规律，但不属于冲击型排放</w:t>
                  </w:r>
                </w:p>
              </w:tc>
              <w:tc>
                <w:tcPr>
                  <w:tcW w:w="650" w:type="dxa"/>
                  <w:noWrap w:val="0"/>
                  <w:vAlign w:val="center"/>
                </w:tcPr>
                <w:p w14:paraId="105C9A4D">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0:00-24:00</w:t>
                  </w:r>
                </w:p>
              </w:tc>
              <w:tc>
                <w:tcPr>
                  <w:tcW w:w="1540" w:type="dxa"/>
                  <w:noWrap w:val="0"/>
                  <w:vAlign w:val="center"/>
                </w:tcPr>
                <w:p w14:paraId="325F3C42">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《污水综合排放标准》（GB8978-1996）表4中三级标准限值、《污水排入城镇下水道水质标准》（GB/T31962-2015）中A级标准</w:t>
                  </w:r>
                  <w:r>
                    <w:rPr>
                      <w:rFonts w:hint="default" w:ascii="Times New Roman" w:hAnsi="Times New Roman" w:eastAsia="宋体" w:cs="Times New Roman"/>
                      <w:color w:val="auto"/>
                      <w:sz w:val="21"/>
                      <w:szCs w:val="21"/>
                    </w:rPr>
                    <w:t>及</w:t>
                  </w:r>
                  <w:r>
                    <w:rPr>
                      <w:rFonts w:hint="default" w:ascii="Times New Roman" w:hAnsi="Times New Roman" w:eastAsia="宋体" w:cs="Times New Roman"/>
                      <w:color w:val="auto"/>
                      <w:sz w:val="21"/>
                      <w:szCs w:val="21"/>
                      <w:lang w:val="en-US" w:eastAsia="zh-CN"/>
                    </w:rPr>
                    <w:t>污水处理厂进水水质要求</w:t>
                  </w:r>
                </w:p>
              </w:tc>
              <w:tc>
                <w:tcPr>
                  <w:tcW w:w="1443" w:type="dxa"/>
                  <w:noWrap w:val="0"/>
                  <w:vAlign w:val="center"/>
                </w:tcPr>
                <w:p w14:paraId="6D8A0A28">
                  <w:pPr>
                    <w:pStyle w:val="19"/>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FFFFFF"/>
                    </w:rPr>
                    <w:t>化学需氧量，色度，五日生化需氧量，石油类，阴离子表面活性剂，pH值，悬浮物，</w:t>
                  </w:r>
                  <w:r>
                    <w:rPr>
                      <w:rFonts w:hint="eastAsia" w:ascii="Times New Roman" w:hAnsi="Times New Roman" w:eastAsia="宋体" w:cs="Times New Roman"/>
                      <w:color w:val="auto"/>
                      <w:sz w:val="21"/>
                      <w:szCs w:val="21"/>
                      <w:shd w:val="clear" w:color="auto" w:fill="FFFFFF"/>
                      <w:lang w:val="en-US" w:eastAsia="zh-CN"/>
                    </w:rPr>
                    <w:t>动植物油、氨氮、总氮、总磷、TDS</w:t>
                  </w:r>
                </w:p>
              </w:tc>
            </w:tr>
          </w:tbl>
          <w:p w14:paraId="277FBC4C">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firstLine="0" w:firstLineChars="0"/>
              <w:textAlignment w:val="auto"/>
              <w:rPr>
                <w:rFonts w:hint="default" w:ascii="Times New Roman" w:hAnsi="Times New Roman" w:eastAsia="宋体" w:cs="Times New Roman"/>
                <w:b/>
                <w:bCs w:val="0"/>
                <w:color w:val="auto"/>
                <w:spacing w:val="-10"/>
                <w:sz w:val="24"/>
                <w:szCs w:val="24"/>
                <w:highlight w:val="none"/>
                <w:lang w:eastAsia="zh-CN"/>
              </w:rPr>
            </w:pPr>
            <w:r>
              <w:rPr>
                <w:rFonts w:hint="default" w:ascii="Times New Roman" w:hAnsi="Times New Roman" w:eastAsia="宋体" w:cs="Times New Roman"/>
                <w:b/>
                <w:bCs w:val="0"/>
                <w:color w:val="auto"/>
                <w:spacing w:val="-10"/>
                <w:kern w:val="2"/>
                <w:sz w:val="24"/>
                <w:szCs w:val="24"/>
                <w:highlight w:val="none"/>
                <w:lang w:val="en-US" w:eastAsia="zh-CN" w:bidi="ar-SA"/>
              </w:rPr>
              <w:t>三、</w:t>
            </w:r>
            <w:r>
              <w:rPr>
                <w:rFonts w:hint="default" w:ascii="Times New Roman" w:hAnsi="Times New Roman" w:eastAsia="宋体" w:cs="Times New Roman"/>
                <w:b/>
                <w:bCs w:val="0"/>
                <w:color w:val="auto"/>
                <w:spacing w:val="-10"/>
                <w:sz w:val="24"/>
                <w:szCs w:val="24"/>
                <w:highlight w:val="none"/>
                <w:lang w:eastAsia="zh-CN"/>
              </w:rPr>
              <w:t>噪声环境影响分析</w:t>
            </w:r>
          </w:p>
          <w:p w14:paraId="53FE2226">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bCs/>
                <w:color w:val="auto"/>
                <w:sz w:val="24"/>
                <w:szCs w:val="24"/>
                <w:highlight w:val="none"/>
                <w:lang w:val="en-US" w:eastAsia="zh-CN"/>
              </w:rPr>
              <w:t>噪声源源强分析</w:t>
            </w:r>
          </w:p>
          <w:p w14:paraId="4D526A76">
            <w:pPr>
              <w:keepNext w:val="0"/>
              <w:keepLines w:val="0"/>
              <w:pageBreakBefore w:val="0"/>
              <w:kinsoku/>
              <w:wordWrap/>
              <w:overflowPunct/>
              <w:topLinePunct/>
              <w:autoSpaceDE w:val="0"/>
              <w:bidi w:val="0"/>
              <w:adjustRightInd w:val="0"/>
              <w:snapToGrid w:val="0"/>
              <w:spacing w:line="360" w:lineRule="auto"/>
              <w:ind w:left="0" w:leftChars="0" w:right="0" w:firstLine="480" w:firstLineChars="200"/>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lang w:val="en-US" w:eastAsia="zh-CN"/>
              </w:rPr>
              <w:t>本项目噪声源强主要为设备运行过程中产生的噪声，源强为65~</w:t>
            </w:r>
            <w:r>
              <w:rPr>
                <w:rFonts w:hint="eastAsia" w:cs="Times New Roman"/>
                <w:strike w:val="0"/>
                <w:dstrike w:val="0"/>
                <w:color w:val="auto"/>
                <w:sz w:val="24"/>
                <w:szCs w:val="24"/>
                <w:highlight w:val="none"/>
                <w:lang w:val="en-US" w:eastAsia="zh-CN"/>
              </w:rPr>
              <w:t>90</w:t>
            </w:r>
            <w:r>
              <w:rPr>
                <w:rFonts w:hint="default" w:ascii="Times New Roman" w:hAnsi="Times New Roman" w:eastAsia="宋体" w:cs="Times New Roman"/>
                <w:strike w:val="0"/>
                <w:dstrike w:val="0"/>
                <w:color w:val="auto"/>
                <w:sz w:val="24"/>
                <w:szCs w:val="24"/>
                <w:highlight w:val="none"/>
                <w:lang w:val="en-US" w:eastAsia="zh-CN"/>
              </w:rPr>
              <w:t>dB（A），</w:t>
            </w:r>
            <w:r>
              <w:rPr>
                <w:rFonts w:hint="default" w:ascii="Times New Roman" w:hAnsi="Times New Roman" w:eastAsia="宋体" w:cs="Times New Roman"/>
                <w:strike w:val="0"/>
                <w:dstrike w:val="0"/>
                <w:color w:val="auto"/>
                <w:sz w:val="24"/>
                <w:szCs w:val="24"/>
                <w:highlight w:val="none"/>
              </w:rPr>
              <w:t>项目噪声源强调查情况如下表所示。</w:t>
            </w:r>
          </w:p>
          <w:p w14:paraId="52B2768C">
            <w:pPr>
              <w:keepNext w:val="0"/>
              <w:keepLines w:val="0"/>
              <w:pageBreakBefore w:val="0"/>
              <w:widowControl/>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strike w:val="0"/>
                <w:dstrike w:val="0"/>
                <w:color w:val="auto"/>
                <w:sz w:val="21"/>
                <w:szCs w:val="21"/>
                <w:highlight w:val="none"/>
                <w:lang w:eastAsia="zh-CN"/>
              </w:rPr>
            </w:pPr>
            <w:r>
              <w:rPr>
                <w:rFonts w:hint="default" w:ascii="Times New Roman" w:hAnsi="Times New Roman" w:eastAsia="宋体" w:cs="Times New Roman"/>
                <w:b/>
                <w:strike w:val="0"/>
                <w:dstrike w:val="0"/>
                <w:color w:val="auto"/>
                <w:kern w:val="0"/>
                <w:sz w:val="21"/>
                <w:szCs w:val="21"/>
                <w:highlight w:val="none"/>
                <w:lang w:val="en-US" w:eastAsia="zh-CN"/>
              </w:rPr>
              <w:t>表4-1</w:t>
            </w:r>
            <w:r>
              <w:rPr>
                <w:rFonts w:hint="eastAsia" w:cs="Times New Roman"/>
                <w:b/>
                <w:strike w:val="0"/>
                <w:dstrike w:val="0"/>
                <w:color w:val="auto"/>
                <w:kern w:val="0"/>
                <w:sz w:val="21"/>
                <w:szCs w:val="21"/>
                <w:highlight w:val="none"/>
                <w:lang w:val="en-US" w:eastAsia="zh-CN"/>
              </w:rPr>
              <w:t>5</w:t>
            </w:r>
            <w:r>
              <w:rPr>
                <w:rFonts w:hint="default" w:ascii="Times New Roman" w:hAnsi="Times New Roman" w:eastAsia="宋体" w:cs="Times New Roman"/>
                <w:b/>
                <w:strike w:val="0"/>
                <w:dstrike w:val="0"/>
                <w:color w:val="auto"/>
                <w:kern w:val="0"/>
                <w:sz w:val="21"/>
                <w:szCs w:val="21"/>
                <w:highlight w:val="none"/>
                <w:lang w:val="en-US" w:eastAsia="zh-CN"/>
              </w:rPr>
              <w:t xml:space="preserve">  </w:t>
            </w:r>
            <w:r>
              <w:rPr>
                <w:rFonts w:hint="default" w:ascii="Times New Roman" w:hAnsi="Times New Roman" w:eastAsia="宋体" w:cs="Times New Roman"/>
                <w:b/>
                <w:bCs/>
                <w:strike w:val="0"/>
                <w:dstrike w:val="0"/>
                <w:color w:val="auto"/>
                <w:sz w:val="21"/>
                <w:szCs w:val="21"/>
                <w:highlight w:val="none"/>
                <w:lang w:eastAsia="zh-CN"/>
              </w:rPr>
              <w:t>噪声源强调查清单（室外声源）</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01"/>
              <w:gridCol w:w="983"/>
              <w:gridCol w:w="1017"/>
              <w:gridCol w:w="750"/>
              <w:gridCol w:w="1216"/>
              <w:gridCol w:w="994"/>
              <w:gridCol w:w="840"/>
            </w:tblGrid>
            <w:tr w14:paraId="1031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restart"/>
                  <w:noWrap/>
                  <w:vAlign w:val="center"/>
                </w:tcPr>
                <w:p w14:paraId="157993C1">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bCs/>
                      <w:strike w:val="0"/>
                      <w:dstrike w:val="0"/>
                      <w:color w:val="auto"/>
                      <w:sz w:val="21"/>
                      <w:szCs w:val="21"/>
                      <w:highlight w:val="none"/>
                      <w:lang w:eastAsia="zh-CN"/>
                    </w:rPr>
                  </w:pPr>
                  <w:r>
                    <w:rPr>
                      <w:rFonts w:hint="default" w:ascii="Times New Roman" w:hAnsi="Times New Roman" w:eastAsia="宋体" w:cs="Times New Roman"/>
                      <w:b/>
                      <w:bCs/>
                      <w:strike w:val="0"/>
                      <w:dstrike w:val="0"/>
                      <w:color w:val="auto"/>
                      <w:sz w:val="21"/>
                      <w:szCs w:val="21"/>
                      <w:highlight w:val="none"/>
                      <w:lang w:eastAsia="zh-CN"/>
                    </w:rPr>
                    <w:t>声源设备</w:t>
                  </w:r>
                </w:p>
              </w:tc>
              <w:tc>
                <w:tcPr>
                  <w:tcW w:w="633" w:type="pct"/>
                  <w:vMerge w:val="restart"/>
                  <w:noWrap/>
                  <w:vAlign w:val="center"/>
                </w:tcPr>
                <w:p w14:paraId="5DA6E41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strike w:val="0"/>
                      <w:dstrike w:val="0"/>
                      <w:color w:val="auto"/>
                      <w:sz w:val="21"/>
                      <w:szCs w:val="21"/>
                      <w:highlight w:val="none"/>
                      <w:lang w:eastAsia="zh-CN"/>
                    </w:rPr>
                  </w:pPr>
                  <w:r>
                    <w:rPr>
                      <w:rFonts w:hint="default" w:ascii="Times New Roman" w:hAnsi="Times New Roman" w:eastAsia="宋体" w:cs="Times New Roman"/>
                      <w:b/>
                      <w:bCs/>
                      <w:strike w:val="0"/>
                      <w:dstrike w:val="0"/>
                      <w:color w:val="auto"/>
                      <w:sz w:val="21"/>
                      <w:szCs w:val="21"/>
                      <w:highlight w:val="none"/>
                      <w:lang w:eastAsia="zh-CN"/>
                    </w:rPr>
                    <w:t>型号</w:t>
                  </w:r>
                </w:p>
              </w:tc>
              <w:tc>
                <w:tcPr>
                  <w:tcW w:w="1740" w:type="pct"/>
                  <w:gridSpan w:val="3"/>
                  <w:noWrap/>
                  <w:vAlign w:val="center"/>
                </w:tcPr>
                <w:p w14:paraId="3966E92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空间相对位置m</w:t>
                  </w:r>
                </w:p>
              </w:tc>
              <w:tc>
                <w:tcPr>
                  <w:tcW w:w="769" w:type="pct"/>
                  <w:vMerge w:val="restart"/>
                  <w:noWrap/>
                  <w:vAlign w:val="center"/>
                </w:tcPr>
                <w:p w14:paraId="2D1FD50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声源源强声功率级/dB（A）</w:t>
                  </w:r>
                </w:p>
              </w:tc>
              <w:tc>
                <w:tcPr>
                  <w:tcW w:w="629" w:type="pct"/>
                  <w:vMerge w:val="restart"/>
                  <w:noWrap/>
                  <w:vAlign w:val="center"/>
                </w:tcPr>
                <w:p w14:paraId="020DF9D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声源控制措施</w:t>
                  </w:r>
                </w:p>
              </w:tc>
              <w:tc>
                <w:tcPr>
                  <w:tcW w:w="531" w:type="pct"/>
                  <w:vMerge w:val="restart"/>
                  <w:noWrap/>
                  <w:vAlign w:val="center"/>
                </w:tcPr>
                <w:p w14:paraId="70B69D8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运行时段</w:t>
                  </w:r>
                </w:p>
              </w:tc>
            </w:tr>
            <w:tr w14:paraId="2F81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vMerge w:val="continue"/>
                  <w:noWrap/>
                  <w:vAlign w:val="center"/>
                </w:tcPr>
                <w:p w14:paraId="0121A0B4">
                  <w:pPr>
                    <w:keepNext w:val="0"/>
                    <w:keepLines w:val="0"/>
                    <w:pageBreakBefore w:val="0"/>
                    <w:widowControl w:val="0"/>
                    <w:kinsoku/>
                    <w:wordWrap/>
                    <w:overflowPunct/>
                    <w:topLinePunct/>
                    <w:autoSpaceDE w:val="0"/>
                    <w:autoSpaceDN/>
                    <w:bidi w:val="0"/>
                    <w:adjustRightInd w:val="0"/>
                    <w:snapToGrid w:val="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p>
              </w:tc>
              <w:tc>
                <w:tcPr>
                  <w:tcW w:w="633" w:type="pct"/>
                  <w:vMerge w:val="continue"/>
                  <w:noWrap/>
                  <w:vAlign w:val="center"/>
                </w:tcPr>
                <w:p w14:paraId="78B0F97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p>
              </w:tc>
              <w:tc>
                <w:tcPr>
                  <w:tcW w:w="622" w:type="pct"/>
                  <w:noWrap/>
                  <w:vAlign w:val="center"/>
                </w:tcPr>
                <w:p w14:paraId="5DE845C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X</w:t>
                  </w:r>
                </w:p>
              </w:tc>
              <w:tc>
                <w:tcPr>
                  <w:tcW w:w="643" w:type="pct"/>
                  <w:noWrap/>
                  <w:vAlign w:val="center"/>
                </w:tcPr>
                <w:p w14:paraId="22FDD37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Y</w:t>
                  </w:r>
                </w:p>
              </w:tc>
              <w:tc>
                <w:tcPr>
                  <w:tcW w:w="474" w:type="pct"/>
                  <w:noWrap/>
                  <w:vAlign w:val="center"/>
                </w:tcPr>
                <w:p w14:paraId="3A4ADB8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Z</w:t>
                  </w:r>
                </w:p>
              </w:tc>
              <w:tc>
                <w:tcPr>
                  <w:tcW w:w="769" w:type="pct"/>
                  <w:vMerge w:val="continue"/>
                  <w:noWrap/>
                  <w:vAlign w:val="center"/>
                </w:tcPr>
                <w:p w14:paraId="1A476F9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p>
              </w:tc>
              <w:tc>
                <w:tcPr>
                  <w:tcW w:w="629" w:type="pct"/>
                  <w:vMerge w:val="continue"/>
                  <w:noWrap/>
                  <w:vAlign w:val="center"/>
                </w:tcPr>
                <w:p w14:paraId="6DAEF9E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379EC22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1FB4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7FE24D3C">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水泵1</w:t>
                  </w:r>
                </w:p>
              </w:tc>
              <w:tc>
                <w:tcPr>
                  <w:tcW w:w="633" w:type="pct"/>
                  <w:noWrap/>
                  <w:vAlign w:val="center"/>
                </w:tcPr>
                <w:p w14:paraId="454EFB74">
                  <w:pPr>
                    <w:keepNext w:val="0"/>
                    <w:keepLines w:val="0"/>
                    <w:pageBreakBefore w:val="0"/>
                    <w:widowControl/>
                    <w:suppressLineNumbers w:val="0"/>
                    <w:kinsoku/>
                    <w:overflowPunct/>
                    <w:topLinePunct/>
                    <w:autoSpaceDE w:val="0"/>
                    <w:bidi w:val="0"/>
                    <w:jc w:val="center"/>
                    <w:textAlignment w:val="center"/>
                    <w:rPr>
                      <w:rFonts w:hint="eastAsia" w:ascii="Times New Roman" w:hAnsi="Times New Roman" w:eastAsia="宋体" w:cs="Times New Roman"/>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36F48E84">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247.38</w:t>
                  </w:r>
                </w:p>
              </w:tc>
              <w:tc>
                <w:tcPr>
                  <w:tcW w:w="643" w:type="pct"/>
                  <w:noWrap/>
                  <w:vAlign w:val="center"/>
                </w:tcPr>
                <w:p w14:paraId="5B5D8123">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207.33</w:t>
                  </w:r>
                </w:p>
              </w:tc>
              <w:tc>
                <w:tcPr>
                  <w:tcW w:w="474" w:type="pct"/>
                  <w:noWrap/>
                  <w:vAlign w:val="center"/>
                </w:tcPr>
                <w:p w14:paraId="05B6AAAB">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3320C0B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eastAsia" w:cs="Times New Roman"/>
                      <w:b w:val="0"/>
                      <w:bCs w:val="0"/>
                      <w:strike w:val="0"/>
                      <w:dstrike w:val="0"/>
                      <w:color w:val="auto"/>
                      <w:sz w:val="21"/>
                      <w:szCs w:val="21"/>
                      <w:highlight w:val="none"/>
                      <w:lang w:val="en-US" w:eastAsia="zh-CN"/>
                    </w:rPr>
                    <w:t>85</w:t>
                  </w:r>
                </w:p>
              </w:tc>
              <w:tc>
                <w:tcPr>
                  <w:tcW w:w="629" w:type="pct"/>
                  <w:vMerge w:val="restart"/>
                  <w:noWrap/>
                  <w:vAlign w:val="center"/>
                </w:tcPr>
                <w:p w14:paraId="22A89B3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选用低噪声设备</w:t>
                  </w:r>
                </w:p>
              </w:tc>
              <w:tc>
                <w:tcPr>
                  <w:tcW w:w="531" w:type="pct"/>
                  <w:vMerge w:val="restart"/>
                  <w:noWrap/>
                  <w:vAlign w:val="center"/>
                </w:tcPr>
                <w:p w14:paraId="6EF5480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昼夜</w:t>
                  </w:r>
                </w:p>
              </w:tc>
            </w:tr>
            <w:tr w14:paraId="0AD0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004E7E12">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水泵2</w:t>
                  </w:r>
                </w:p>
              </w:tc>
              <w:tc>
                <w:tcPr>
                  <w:tcW w:w="633" w:type="pct"/>
                  <w:noWrap/>
                  <w:vAlign w:val="center"/>
                </w:tcPr>
                <w:p w14:paraId="176730E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729A2B22">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245.9</w:t>
                  </w:r>
                </w:p>
              </w:tc>
              <w:tc>
                <w:tcPr>
                  <w:tcW w:w="643" w:type="pct"/>
                  <w:noWrap/>
                  <w:vAlign w:val="center"/>
                </w:tcPr>
                <w:p w14:paraId="6F416F29">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200.62</w:t>
                  </w:r>
                </w:p>
              </w:tc>
              <w:tc>
                <w:tcPr>
                  <w:tcW w:w="474" w:type="pct"/>
                  <w:noWrap/>
                  <w:vAlign w:val="center"/>
                </w:tcPr>
                <w:p w14:paraId="13F068EB">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417A44F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00881DC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55A049A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7058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2BCE4B51">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水泵3</w:t>
                  </w:r>
                </w:p>
              </w:tc>
              <w:tc>
                <w:tcPr>
                  <w:tcW w:w="633" w:type="pct"/>
                  <w:noWrap/>
                  <w:vAlign w:val="center"/>
                </w:tcPr>
                <w:p w14:paraId="256F155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4E3990A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244.08</w:t>
                  </w:r>
                </w:p>
              </w:tc>
              <w:tc>
                <w:tcPr>
                  <w:tcW w:w="643" w:type="pct"/>
                  <w:noWrap/>
                  <w:vAlign w:val="center"/>
                </w:tcPr>
                <w:p w14:paraId="785EB1EB">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192.31</w:t>
                  </w:r>
                </w:p>
              </w:tc>
              <w:tc>
                <w:tcPr>
                  <w:tcW w:w="474" w:type="pct"/>
                  <w:noWrap/>
                  <w:vAlign w:val="center"/>
                </w:tcPr>
                <w:p w14:paraId="54486C40">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300A52A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743475B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2CDEE60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69CD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4D3A2E25">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水泵4</w:t>
                  </w:r>
                </w:p>
              </w:tc>
              <w:tc>
                <w:tcPr>
                  <w:tcW w:w="633" w:type="pct"/>
                  <w:noWrap/>
                  <w:vAlign w:val="center"/>
                </w:tcPr>
                <w:p w14:paraId="21A384E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2E7085C0">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242.94</w:t>
                  </w:r>
                </w:p>
              </w:tc>
              <w:tc>
                <w:tcPr>
                  <w:tcW w:w="643" w:type="pct"/>
                  <w:noWrap/>
                  <w:vAlign w:val="center"/>
                </w:tcPr>
                <w:p w14:paraId="0C321EF9">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185.94</w:t>
                  </w:r>
                </w:p>
              </w:tc>
              <w:tc>
                <w:tcPr>
                  <w:tcW w:w="474" w:type="pct"/>
                  <w:noWrap/>
                  <w:vAlign w:val="center"/>
                </w:tcPr>
                <w:p w14:paraId="3908B543">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00DD0EA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6A793CC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6A9EF2C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4948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1B4E5A4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水泵5</w:t>
                  </w:r>
                </w:p>
              </w:tc>
              <w:tc>
                <w:tcPr>
                  <w:tcW w:w="633" w:type="pct"/>
                  <w:noWrap/>
                  <w:vAlign w:val="center"/>
                </w:tcPr>
                <w:p w14:paraId="194325E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44A42C1F">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235.3</w:t>
                  </w:r>
                </w:p>
              </w:tc>
              <w:tc>
                <w:tcPr>
                  <w:tcW w:w="643" w:type="pct"/>
                  <w:noWrap/>
                  <w:vAlign w:val="center"/>
                </w:tcPr>
                <w:p w14:paraId="73CFA2C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181.41</w:t>
                  </w:r>
                </w:p>
              </w:tc>
              <w:tc>
                <w:tcPr>
                  <w:tcW w:w="474" w:type="pct"/>
                  <w:noWrap/>
                  <w:vAlign w:val="center"/>
                </w:tcPr>
                <w:p w14:paraId="22B6D6D5">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283F3F6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7965B7C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6FA6772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44F4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33773A2D">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水泵6</w:t>
                  </w:r>
                </w:p>
              </w:tc>
              <w:tc>
                <w:tcPr>
                  <w:tcW w:w="633" w:type="pct"/>
                  <w:noWrap/>
                  <w:vAlign w:val="center"/>
                </w:tcPr>
                <w:p w14:paraId="450F706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6B9B460A">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227.29</w:t>
                  </w:r>
                </w:p>
              </w:tc>
              <w:tc>
                <w:tcPr>
                  <w:tcW w:w="643" w:type="pct"/>
                  <w:noWrap/>
                  <w:vAlign w:val="center"/>
                </w:tcPr>
                <w:p w14:paraId="2EB24E57">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183.60 </w:t>
                  </w:r>
                </w:p>
              </w:tc>
              <w:tc>
                <w:tcPr>
                  <w:tcW w:w="474" w:type="pct"/>
                  <w:noWrap/>
                  <w:vAlign w:val="center"/>
                </w:tcPr>
                <w:p w14:paraId="5DE82D3F">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5AFFFB0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49BBFEB8">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2D4DF35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50E7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7CDB3685">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水泵7</w:t>
                  </w:r>
                </w:p>
              </w:tc>
              <w:tc>
                <w:tcPr>
                  <w:tcW w:w="633" w:type="pct"/>
                  <w:noWrap/>
                  <w:vAlign w:val="center"/>
                </w:tcPr>
                <w:p w14:paraId="60392FB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435F961E">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219.46</w:t>
                  </w:r>
                </w:p>
              </w:tc>
              <w:tc>
                <w:tcPr>
                  <w:tcW w:w="643" w:type="pct"/>
                  <w:noWrap/>
                  <w:vAlign w:val="center"/>
                </w:tcPr>
                <w:p w14:paraId="5C1FFB38">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185.60 </w:t>
                  </w:r>
                </w:p>
              </w:tc>
              <w:tc>
                <w:tcPr>
                  <w:tcW w:w="474" w:type="pct"/>
                  <w:noWrap/>
                  <w:vAlign w:val="center"/>
                </w:tcPr>
                <w:p w14:paraId="4A9A8D48">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2C6633E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2858246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02F516B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2CF7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702F22E0">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水泵8</w:t>
                  </w:r>
                </w:p>
              </w:tc>
              <w:tc>
                <w:tcPr>
                  <w:tcW w:w="633" w:type="pct"/>
                  <w:noWrap/>
                  <w:vAlign w:val="center"/>
                </w:tcPr>
                <w:p w14:paraId="4B46B97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014B6023">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212</w:t>
                  </w:r>
                </w:p>
              </w:tc>
              <w:tc>
                <w:tcPr>
                  <w:tcW w:w="643" w:type="pct"/>
                  <w:noWrap/>
                  <w:vAlign w:val="center"/>
                </w:tcPr>
                <w:p w14:paraId="12C131C2">
                  <w:pPr>
                    <w:keepNext w:val="0"/>
                    <w:keepLines w:val="0"/>
                    <w:widowControl/>
                    <w:suppressLineNumbers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188.15</w:t>
                  </w:r>
                </w:p>
              </w:tc>
              <w:tc>
                <w:tcPr>
                  <w:tcW w:w="474" w:type="pct"/>
                  <w:noWrap/>
                  <w:vAlign w:val="center"/>
                </w:tcPr>
                <w:p w14:paraId="1F020B2D">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0DE47B1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85</w:t>
                  </w:r>
                </w:p>
              </w:tc>
              <w:tc>
                <w:tcPr>
                  <w:tcW w:w="629" w:type="pct"/>
                  <w:vMerge w:val="continue"/>
                  <w:noWrap/>
                  <w:vAlign w:val="center"/>
                </w:tcPr>
                <w:p w14:paraId="2CD9CE4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5B77C3A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3DE4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3C9542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压滤机1</w:t>
                  </w:r>
                </w:p>
              </w:tc>
              <w:tc>
                <w:tcPr>
                  <w:tcW w:w="633" w:type="pct"/>
                  <w:noWrap/>
                  <w:vAlign w:val="center"/>
                </w:tcPr>
                <w:p w14:paraId="71A8A39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14AA5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216.44</w:t>
                  </w:r>
                </w:p>
              </w:tc>
              <w:tc>
                <w:tcPr>
                  <w:tcW w:w="643" w:type="pct"/>
                  <w:noWrap/>
                  <w:vAlign w:val="center"/>
                </w:tcPr>
                <w:p w14:paraId="78DE9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184.26</w:t>
                  </w:r>
                </w:p>
              </w:tc>
              <w:tc>
                <w:tcPr>
                  <w:tcW w:w="474" w:type="pct"/>
                  <w:noWrap/>
                  <w:vAlign w:val="center"/>
                </w:tcPr>
                <w:p w14:paraId="2369A0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311DC50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80</w:t>
                  </w:r>
                </w:p>
              </w:tc>
              <w:tc>
                <w:tcPr>
                  <w:tcW w:w="629" w:type="pct"/>
                  <w:vMerge w:val="continue"/>
                  <w:noWrap/>
                  <w:vAlign w:val="center"/>
                </w:tcPr>
                <w:p w14:paraId="14A57D4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23770EE4">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1CC9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noWrap/>
                  <w:vAlign w:val="center"/>
                </w:tcPr>
                <w:p w14:paraId="54297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3"/>
                      <w:sz w:val="21"/>
                      <w:szCs w:val="21"/>
                      <w:highlight w:val="none"/>
                      <w:lang w:val="en-US" w:eastAsia="zh-CN"/>
                    </w:rPr>
                    <w:t>压滤机</w:t>
                  </w:r>
                  <w:r>
                    <w:rPr>
                      <w:rFonts w:hint="eastAsia" w:ascii="Times New Roman" w:hAnsi="Times New Roman" w:eastAsia="宋体" w:cs="Times New Roman"/>
                      <w:color w:val="auto"/>
                      <w:spacing w:val="3"/>
                      <w:sz w:val="21"/>
                      <w:szCs w:val="21"/>
                      <w:highlight w:val="none"/>
                      <w:lang w:val="en-US" w:eastAsia="zh-CN"/>
                    </w:rPr>
                    <w:t>2</w:t>
                  </w:r>
                </w:p>
              </w:tc>
              <w:tc>
                <w:tcPr>
                  <w:tcW w:w="633" w:type="pct"/>
                  <w:noWrap/>
                  <w:vAlign w:val="center"/>
                </w:tcPr>
                <w:p w14:paraId="1B16BFA3">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35A6C8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229.62</w:t>
                  </w:r>
                </w:p>
              </w:tc>
              <w:tc>
                <w:tcPr>
                  <w:tcW w:w="643" w:type="pct"/>
                  <w:noWrap/>
                  <w:vAlign w:val="center"/>
                </w:tcPr>
                <w:p w14:paraId="3E3B4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180.42</w:t>
                  </w:r>
                </w:p>
              </w:tc>
              <w:tc>
                <w:tcPr>
                  <w:tcW w:w="474" w:type="pct"/>
                  <w:noWrap/>
                  <w:vAlign w:val="center"/>
                </w:tcPr>
                <w:p w14:paraId="36AAF4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424C5456">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80</w:t>
                  </w:r>
                </w:p>
              </w:tc>
              <w:tc>
                <w:tcPr>
                  <w:tcW w:w="629" w:type="pct"/>
                  <w:vMerge w:val="continue"/>
                  <w:noWrap/>
                  <w:vAlign w:val="center"/>
                </w:tcPr>
                <w:p w14:paraId="7806363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0DCEEE9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4C8D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shd w:val="clear" w:color="auto" w:fill="auto"/>
                  <w:noWrap/>
                  <w:vAlign w:val="center"/>
                </w:tcPr>
                <w:p w14:paraId="2166C2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压滤机3</w:t>
                  </w:r>
                </w:p>
              </w:tc>
              <w:tc>
                <w:tcPr>
                  <w:tcW w:w="633" w:type="pct"/>
                  <w:noWrap/>
                  <w:vAlign w:val="center"/>
                </w:tcPr>
                <w:p w14:paraId="26967F85">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noWrap/>
                  <w:vAlign w:val="center"/>
                </w:tcPr>
                <w:p w14:paraId="576FBE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245.28</w:t>
                  </w:r>
                </w:p>
              </w:tc>
              <w:tc>
                <w:tcPr>
                  <w:tcW w:w="643" w:type="pct"/>
                  <w:noWrap/>
                  <w:vAlign w:val="center"/>
                </w:tcPr>
                <w:p w14:paraId="37308D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187.89</w:t>
                  </w:r>
                </w:p>
              </w:tc>
              <w:tc>
                <w:tcPr>
                  <w:tcW w:w="474" w:type="pct"/>
                  <w:noWrap/>
                  <w:vAlign w:val="center"/>
                </w:tcPr>
                <w:p w14:paraId="3438B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noWrap/>
                  <w:vAlign w:val="center"/>
                </w:tcPr>
                <w:p w14:paraId="5F123A7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80</w:t>
                  </w:r>
                </w:p>
              </w:tc>
              <w:tc>
                <w:tcPr>
                  <w:tcW w:w="629" w:type="pct"/>
                  <w:vMerge w:val="continue"/>
                  <w:noWrap/>
                  <w:vAlign w:val="center"/>
                </w:tcPr>
                <w:p w14:paraId="5D08DAA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noWrap/>
                  <w:vAlign w:val="center"/>
                </w:tcPr>
                <w:p w14:paraId="01D8AE2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r w14:paraId="17AE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pct"/>
                  <w:shd w:val="clear" w:color="auto" w:fill="auto"/>
                  <w:vAlign w:val="center"/>
                </w:tcPr>
                <w:p w14:paraId="3CB267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pacing w:val="3"/>
                      <w:sz w:val="21"/>
                      <w:szCs w:val="21"/>
                      <w:highlight w:val="none"/>
                      <w:lang w:val="en-US" w:eastAsia="zh-CN"/>
                    </w:rPr>
                    <w:t>压滤机</w:t>
                  </w:r>
                  <w:r>
                    <w:rPr>
                      <w:rFonts w:hint="eastAsia" w:ascii="Times New Roman" w:hAnsi="Times New Roman" w:eastAsia="宋体" w:cs="Times New Roman"/>
                      <w:color w:val="auto"/>
                      <w:spacing w:val="3"/>
                      <w:sz w:val="21"/>
                      <w:szCs w:val="21"/>
                      <w:highlight w:val="none"/>
                      <w:lang w:val="en-US" w:eastAsia="zh-CN"/>
                    </w:rPr>
                    <w:t>4</w:t>
                  </w:r>
                </w:p>
              </w:tc>
              <w:tc>
                <w:tcPr>
                  <w:tcW w:w="633" w:type="pct"/>
                </w:tcPr>
                <w:p w14:paraId="1AC18F2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trike w:val="0"/>
                      <w:dstrike w:val="0"/>
                      <w:color w:val="auto"/>
                      <w:sz w:val="21"/>
                      <w:szCs w:val="21"/>
                      <w:highlight w:val="none"/>
                      <w:lang w:val="en-US" w:eastAsia="zh-CN"/>
                    </w:rPr>
                    <w:t>/</w:t>
                  </w:r>
                </w:p>
              </w:tc>
              <w:tc>
                <w:tcPr>
                  <w:tcW w:w="622" w:type="pct"/>
                  <w:vAlign w:val="center"/>
                </w:tcPr>
                <w:p w14:paraId="006B8F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249.55</w:t>
                  </w:r>
                </w:p>
              </w:tc>
              <w:tc>
                <w:tcPr>
                  <w:tcW w:w="643" w:type="pct"/>
                  <w:vAlign w:val="center"/>
                </w:tcPr>
                <w:p w14:paraId="0D60F2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201.14</w:t>
                  </w:r>
                </w:p>
              </w:tc>
              <w:tc>
                <w:tcPr>
                  <w:tcW w:w="474" w:type="pct"/>
                  <w:vAlign w:val="center"/>
                </w:tcPr>
                <w:p w14:paraId="5F47BA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69" w:type="pct"/>
                </w:tcPr>
                <w:p w14:paraId="51635B0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80</w:t>
                  </w:r>
                </w:p>
              </w:tc>
              <w:tc>
                <w:tcPr>
                  <w:tcW w:w="629" w:type="pct"/>
                  <w:vMerge w:val="continue"/>
                </w:tcPr>
                <w:p w14:paraId="19E5C86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c>
                <w:tcPr>
                  <w:tcW w:w="531" w:type="pct"/>
                  <w:vMerge w:val="continue"/>
                </w:tcPr>
                <w:p w14:paraId="4E93E18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pPr>
                </w:p>
              </w:tc>
            </w:tr>
          </w:tbl>
          <w:p w14:paraId="098AF101">
            <w:pPr>
              <w:keepNext w:val="0"/>
              <w:keepLines w:val="0"/>
              <w:pageBreakBefore w:val="0"/>
              <w:kinsoku/>
              <w:overflowPunct/>
              <w:topLinePunct/>
              <w:autoSpaceDE w:val="0"/>
              <w:bidi w:val="0"/>
              <w:rPr>
                <w:rFonts w:hint="default" w:ascii="Times New Roman" w:hAnsi="Times New Roman" w:eastAsia="宋体" w:cs="Times New Roman"/>
                <w:strike w:val="0"/>
                <w:dstrike w:val="0"/>
                <w:color w:val="auto"/>
                <w:highlight w:val="none"/>
              </w:rPr>
            </w:pPr>
          </w:p>
          <w:p w14:paraId="1194F242">
            <w:pPr>
              <w:pStyle w:val="28"/>
              <w:rPr>
                <w:rFonts w:hint="default" w:ascii="Times New Roman" w:hAnsi="Times New Roman" w:eastAsia="宋体" w:cs="Times New Roman"/>
                <w:color w:val="auto"/>
                <w:highlight w:val="none"/>
                <w:lang w:val="en-US" w:eastAsia="zh-CN"/>
              </w:rPr>
            </w:pPr>
          </w:p>
          <w:p w14:paraId="47AAF260">
            <w:pPr>
              <w:pStyle w:val="27"/>
              <w:rPr>
                <w:rFonts w:hint="default" w:ascii="Times New Roman" w:hAnsi="Times New Roman" w:eastAsia="宋体" w:cs="Times New Roman"/>
                <w:color w:val="auto"/>
                <w:highlight w:val="none"/>
                <w:lang w:val="en-US" w:eastAsia="zh-CN"/>
              </w:rPr>
            </w:pPr>
          </w:p>
          <w:p w14:paraId="0EE61BD3">
            <w:pPr>
              <w:rPr>
                <w:rFonts w:hint="default" w:ascii="Times New Roman" w:hAnsi="Times New Roman" w:eastAsia="宋体" w:cs="Times New Roman"/>
                <w:color w:val="auto"/>
                <w:highlight w:val="none"/>
                <w:lang w:val="en-US" w:eastAsia="zh-CN"/>
              </w:rPr>
            </w:pPr>
          </w:p>
          <w:p w14:paraId="6D7AC87D">
            <w:pPr>
              <w:pStyle w:val="2"/>
              <w:rPr>
                <w:rFonts w:hint="default" w:ascii="Times New Roman" w:hAnsi="Times New Roman" w:eastAsia="宋体" w:cs="Times New Roman"/>
                <w:color w:val="auto"/>
                <w:highlight w:val="none"/>
                <w:lang w:val="en-US" w:eastAsia="zh-CN"/>
              </w:rPr>
            </w:pPr>
          </w:p>
          <w:p w14:paraId="46C8602F">
            <w:pPr>
              <w:pStyle w:val="3"/>
              <w:rPr>
                <w:rFonts w:hint="default" w:ascii="Times New Roman" w:hAnsi="Times New Roman" w:eastAsia="宋体" w:cs="Times New Roman"/>
                <w:color w:val="auto"/>
                <w:highlight w:val="none"/>
                <w:lang w:val="en-US" w:eastAsia="zh-CN"/>
              </w:rPr>
            </w:pPr>
          </w:p>
          <w:p w14:paraId="30320206">
            <w:pPr>
              <w:pStyle w:val="3"/>
              <w:rPr>
                <w:rFonts w:hint="default" w:ascii="Times New Roman" w:hAnsi="Times New Roman" w:eastAsia="宋体" w:cs="Times New Roman"/>
                <w:color w:val="auto"/>
                <w:highlight w:val="none"/>
                <w:lang w:val="en-US" w:eastAsia="zh-CN"/>
              </w:rPr>
            </w:pPr>
          </w:p>
          <w:p w14:paraId="143AF4D7">
            <w:pPr>
              <w:pStyle w:val="3"/>
              <w:rPr>
                <w:rFonts w:hint="default" w:ascii="Times New Roman" w:hAnsi="Times New Roman" w:eastAsia="宋体" w:cs="Times New Roman"/>
                <w:color w:val="auto"/>
                <w:highlight w:val="none"/>
                <w:lang w:val="en-US" w:eastAsia="zh-CN"/>
              </w:rPr>
            </w:pPr>
          </w:p>
          <w:p w14:paraId="710E5CCB">
            <w:pPr>
              <w:pStyle w:val="3"/>
              <w:rPr>
                <w:rFonts w:hint="default" w:ascii="Times New Roman" w:hAnsi="Times New Roman" w:eastAsia="宋体" w:cs="Times New Roman"/>
                <w:color w:val="auto"/>
                <w:highlight w:val="none"/>
                <w:lang w:val="en-US" w:eastAsia="zh-CN"/>
              </w:rPr>
            </w:pPr>
          </w:p>
          <w:p w14:paraId="6A7CB797">
            <w:pPr>
              <w:pStyle w:val="3"/>
              <w:rPr>
                <w:rFonts w:hint="default" w:ascii="Times New Roman" w:hAnsi="Times New Roman" w:eastAsia="宋体" w:cs="Times New Roman"/>
                <w:color w:val="auto"/>
                <w:highlight w:val="none"/>
                <w:lang w:val="en-US" w:eastAsia="zh-CN"/>
              </w:rPr>
            </w:pPr>
          </w:p>
          <w:p w14:paraId="49D65188">
            <w:pPr>
              <w:pStyle w:val="3"/>
              <w:rPr>
                <w:rFonts w:hint="default" w:ascii="Times New Roman" w:hAnsi="Times New Roman" w:eastAsia="宋体" w:cs="Times New Roman"/>
                <w:color w:val="auto"/>
                <w:highlight w:val="none"/>
                <w:lang w:val="en-US" w:eastAsia="zh-CN"/>
              </w:rPr>
            </w:pPr>
          </w:p>
          <w:p w14:paraId="6CE42820">
            <w:pPr>
              <w:pStyle w:val="3"/>
              <w:rPr>
                <w:rFonts w:hint="default" w:ascii="Times New Roman" w:hAnsi="Times New Roman" w:eastAsia="宋体" w:cs="Times New Roman"/>
                <w:color w:val="auto"/>
                <w:highlight w:val="none"/>
                <w:lang w:val="en-US" w:eastAsia="zh-CN"/>
              </w:rPr>
            </w:pPr>
          </w:p>
          <w:p w14:paraId="7C64901A">
            <w:pPr>
              <w:pStyle w:val="3"/>
              <w:rPr>
                <w:rFonts w:hint="default" w:ascii="Times New Roman" w:hAnsi="Times New Roman" w:eastAsia="宋体" w:cs="Times New Roman"/>
                <w:color w:val="auto"/>
                <w:highlight w:val="none"/>
                <w:lang w:val="en-US" w:eastAsia="zh-CN"/>
              </w:rPr>
            </w:pPr>
          </w:p>
          <w:p w14:paraId="3DD6B33B">
            <w:pPr>
              <w:pStyle w:val="3"/>
              <w:rPr>
                <w:rFonts w:hint="default" w:ascii="Times New Roman" w:hAnsi="Times New Roman" w:eastAsia="宋体" w:cs="Times New Roman"/>
                <w:color w:val="auto"/>
                <w:highlight w:val="none"/>
                <w:lang w:val="en-US" w:eastAsia="zh-CN"/>
              </w:rPr>
            </w:pPr>
          </w:p>
          <w:p w14:paraId="1BCB66A0">
            <w:pPr>
              <w:pStyle w:val="3"/>
              <w:rPr>
                <w:rFonts w:hint="default" w:ascii="Times New Roman" w:hAnsi="Times New Roman" w:eastAsia="宋体" w:cs="Times New Roman"/>
                <w:color w:val="auto"/>
                <w:highlight w:val="none"/>
                <w:lang w:val="en-US" w:eastAsia="zh-CN"/>
              </w:rPr>
            </w:pPr>
          </w:p>
          <w:p w14:paraId="1D624D28">
            <w:pPr>
              <w:pStyle w:val="3"/>
              <w:rPr>
                <w:rFonts w:hint="default" w:ascii="Times New Roman" w:hAnsi="Times New Roman" w:eastAsia="宋体" w:cs="Times New Roman"/>
                <w:color w:val="auto"/>
                <w:highlight w:val="none"/>
                <w:lang w:val="en-US" w:eastAsia="zh-CN"/>
              </w:rPr>
            </w:pPr>
          </w:p>
          <w:p w14:paraId="60D35FE1">
            <w:pPr>
              <w:pStyle w:val="3"/>
              <w:rPr>
                <w:rFonts w:hint="default" w:ascii="Times New Roman" w:hAnsi="Times New Roman" w:eastAsia="宋体" w:cs="Times New Roman"/>
                <w:color w:val="auto"/>
                <w:highlight w:val="none"/>
                <w:lang w:val="en-US" w:eastAsia="zh-CN"/>
              </w:rPr>
            </w:pPr>
          </w:p>
          <w:p w14:paraId="73FEDAA9">
            <w:pPr>
              <w:pStyle w:val="3"/>
              <w:rPr>
                <w:rFonts w:hint="default" w:ascii="Times New Roman" w:hAnsi="Times New Roman" w:eastAsia="宋体" w:cs="Times New Roman"/>
                <w:color w:val="auto"/>
                <w:highlight w:val="none"/>
                <w:lang w:val="en-US" w:eastAsia="zh-CN"/>
              </w:rPr>
            </w:pPr>
          </w:p>
          <w:p w14:paraId="2AEA52F5">
            <w:pPr>
              <w:pStyle w:val="3"/>
              <w:rPr>
                <w:rFonts w:hint="default" w:ascii="Times New Roman" w:hAnsi="Times New Roman" w:eastAsia="宋体" w:cs="Times New Roman"/>
                <w:color w:val="auto"/>
                <w:highlight w:val="none"/>
                <w:lang w:val="en-US" w:eastAsia="zh-CN"/>
              </w:rPr>
            </w:pPr>
          </w:p>
          <w:p w14:paraId="40C2BE1B">
            <w:pPr>
              <w:pStyle w:val="3"/>
              <w:rPr>
                <w:rFonts w:hint="default" w:ascii="Times New Roman" w:hAnsi="Times New Roman" w:eastAsia="宋体" w:cs="Times New Roman"/>
                <w:color w:val="auto"/>
                <w:highlight w:val="none"/>
                <w:lang w:val="en-US" w:eastAsia="zh-CN"/>
              </w:rPr>
            </w:pPr>
          </w:p>
          <w:p w14:paraId="154C885F">
            <w:pPr>
              <w:pStyle w:val="3"/>
              <w:rPr>
                <w:rFonts w:hint="default" w:ascii="Times New Roman" w:hAnsi="Times New Roman" w:eastAsia="宋体" w:cs="Times New Roman"/>
                <w:color w:val="auto"/>
                <w:highlight w:val="none"/>
                <w:lang w:val="en-US" w:eastAsia="zh-CN"/>
              </w:rPr>
            </w:pPr>
          </w:p>
          <w:p w14:paraId="6FAD90C1">
            <w:pPr>
              <w:pStyle w:val="3"/>
              <w:rPr>
                <w:rFonts w:hint="default" w:ascii="Times New Roman" w:hAnsi="Times New Roman" w:eastAsia="宋体" w:cs="Times New Roman"/>
                <w:color w:val="auto"/>
                <w:highlight w:val="none"/>
                <w:lang w:val="en-US" w:eastAsia="zh-CN"/>
              </w:rPr>
            </w:pPr>
          </w:p>
          <w:p w14:paraId="256E90BF">
            <w:pPr>
              <w:pStyle w:val="3"/>
              <w:rPr>
                <w:rFonts w:hint="default" w:ascii="Times New Roman" w:hAnsi="Times New Roman" w:eastAsia="宋体" w:cs="Times New Roman"/>
                <w:color w:val="auto"/>
                <w:highlight w:val="none"/>
                <w:lang w:val="en-US" w:eastAsia="zh-CN"/>
              </w:rPr>
            </w:pPr>
          </w:p>
          <w:p w14:paraId="57E8B728">
            <w:pPr>
              <w:pStyle w:val="3"/>
              <w:rPr>
                <w:rFonts w:hint="default" w:ascii="Times New Roman" w:hAnsi="Times New Roman" w:eastAsia="宋体" w:cs="Times New Roman"/>
                <w:color w:val="auto"/>
                <w:highlight w:val="none"/>
                <w:lang w:val="en-US" w:eastAsia="zh-CN"/>
              </w:rPr>
            </w:pPr>
          </w:p>
          <w:p w14:paraId="596FC180">
            <w:pPr>
              <w:pStyle w:val="3"/>
              <w:rPr>
                <w:rFonts w:hint="default" w:ascii="Times New Roman" w:hAnsi="Times New Roman" w:eastAsia="宋体" w:cs="Times New Roman"/>
                <w:color w:val="auto"/>
                <w:highlight w:val="none"/>
                <w:lang w:val="en-US" w:eastAsia="zh-CN"/>
              </w:rPr>
            </w:pPr>
          </w:p>
        </w:tc>
      </w:tr>
    </w:tbl>
    <w:p w14:paraId="0F86EB19">
      <w:pPr>
        <w:keepNext w:val="0"/>
        <w:keepLines w:val="0"/>
        <w:pageBreakBefore w:val="0"/>
        <w:kinsoku/>
        <w:overflowPunct/>
        <w:topLinePunct/>
        <w:autoSpaceDE w:val="0"/>
        <w:bidi w:val="0"/>
        <w:rPr>
          <w:rFonts w:hint="default" w:ascii="Times New Roman" w:hAnsi="Times New Roman" w:eastAsia="宋体" w:cs="Times New Roman"/>
          <w:color w:val="auto"/>
          <w:highlight w:val="none"/>
        </w:rPr>
        <w:sectPr>
          <w:pgSz w:w="11907" w:h="16840"/>
          <w:pgMar w:top="1440" w:right="1080" w:bottom="1440" w:left="1080" w:header="851" w:footer="1134"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416"/>
      </w:tblGrid>
      <w:tr w14:paraId="6E69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6" w:hRule="atLeast"/>
          <w:jc w:val="center"/>
        </w:trPr>
        <w:tc>
          <w:tcPr>
            <w:tcW w:w="580" w:type="dxa"/>
            <w:noWrap w:val="0"/>
            <w:vAlign w:val="center"/>
          </w:tcPr>
          <w:p w14:paraId="278F77A2">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strike w:val="0"/>
                <w:dstrike w:val="0"/>
                <w:color w:val="auto"/>
                <w:highlight w:val="none"/>
                <w:vertAlign w:val="baseline"/>
              </w:rPr>
            </w:pPr>
            <w:r>
              <w:rPr>
                <w:rFonts w:hint="default" w:ascii="Times New Roman" w:hAnsi="Times New Roman" w:eastAsia="宋体" w:cs="Times New Roman"/>
                <w:bCs/>
                <w:strike w:val="0"/>
                <w:dstrike w:val="0"/>
                <w:color w:val="auto"/>
                <w:sz w:val="24"/>
                <w:szCs w:val="24"/>
                <w:highlight w:val="none"/>
              </w:rPr>
              <w:t>运营期环境影响和保护措施</w:t>
            </w:r>
          </w:p>
        </w:tc>
        <w:tc>
          <w:tcPr>
            <w:tcW w:w="12416" w:type="dxa"/>
            <w:noWrap w:val="0"/>
            <w:vAlign w:val="top"/>
          </w:tcPr>
          <w:p w14:paraId="047E9A7A">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strike w:val="0"/>
                <w:dstrike w:val="0"/>
                <w:color w:val="auto"/>
                <w:highlight w:val="none"/>
              </w:rPr>
            </w:pPr>
            <w:r>
              <w:rPr>
                <w:rFonts w:hint="default" w:ascii="Times New Roman" w:hAnsi="Times New Roman" w:eastAsia="宋体" w:cs="Times New Roman"/>
                <w:b/>
                <w:bCs/>
                <w:strike w:val="0"/>
                <w:dstrike w:val="0"/>
                <w:color w:val="auto"/>
                <w:sz w:val="21"/>
                <w:szCs w:val="21"/>
                <w:highlight w:val="none"/>
              </w:rPr>
              <w:t>表4-</w:t>
            </w:r>
            <w:r>
              <w:rPr>
                <w:rFonts w:hint="default" w:ascii="Times New Roman" w:hAnsi="Times New Roman" w:eastAsia="宋体" w:cs="Times New Roman"/>
                <w:b/>
                <w:bCs/>
                <w:strike w:val="0"/>
                <w:dstrike w:val="0"/>
                <w:color w:val="auto"/>
                <w:sz w:val="21"/>
                <w:szCs w:val="21"/>
                <w:highlight w:val="none"/>
                <w:lang w:val="en-US" w:eastAsia="zh-CN"/>
              </w:rPr>
              <w:t>1</w:t>
            </w:r>
            <w:r>
              <w:rPr>
                <w:rFonts w:hint="eastAsia" w:cs="Times New Roman"/>
                <w:b/>
                <w:bCs/>
                <w:strike w:val="0"/>
                <w:dstrike w:val="0"/>
                <w:color w:val="auto"/>
                <w:sz w:val="21"/>
                <w:szCs w:val="21"/>
                <w:highlight w:val="none"/>
                <w:lang w:val="en-US" w:eastAsia="zh-CN"/>
              </w:rPr>
              <w:t>6</w:t>
            </w:r>
            <w:r>
              <w:rPr>
                <w:rFonts w:hint="default" w:ascii="Times New Roman" w:hAnsi="Times New Roman" w:eastAsia="宋体" w:cs="Times New Roman"/>
                <w:b/>
                <w:bCs/>
                <w:strike w:val="0"/>
                <w:dstrike w:val="0"/>
                <w:color w:val="auto"/>
                <w:sz w:val="21"/>
                <w:szCs w:val="21"/>
                <w:highlight w:val="none"/>
              </w:rPr>
              <w:t xml:space="preserve"> </w:t>
            </w:r>
            <w:r>
              <w:rPr>
                <w:rFonts w:hint="default" w:ascii="Times New Roman" w:hAnsi="Times New Roman" w:eastAsia="宋体" w:cs="Times New Roman"/>
                <w:b/>
                <w:bCs/>
                <w:strike w:val="0"/>
                <w:dstrike w:val="0"/>
                <w:color w:val="auto"/>
                <w:sz w:val="21"/>
                <w:szCs w:val="21"/>
                <w:highlight w:val="none"/>
                <w:lang w:val="en-US" w:eastAsia="zh-CN"/>
              </w:rPr>
              <w:t xml:space="preserve"> </w:t>
            </w:r>
            <w:r>
              <w:rPr>
                <w:rFonts w:hint="default" w:ascii="Times New Roman" w:hAnsi="Times New Roman" w:eastAsia="宋体" w:cs="Times New Roman"/>
                <w:b/>
                <w:bCs/>
                <w:strike w:val="0"/>
                <w:dstrike w:val="0"/>
                <w:color w:val="auto"/>
                <w:sz w:val="21"/>
                <w:szCs w:val="21"/>
                <w:highlight w:val="none"/>
              </w:rPr>
              <w:t>工业企业噪声源强调查清单（室内声源）</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2"/>
              <w:gridCol w:w="846"/>
              <w:gridCol w:w="1372"/>
              <w:gridCol w:w="675"/>
              <w:gridCol w:w="808"/>
              <w:gridCol w:w="600"/>
              <w:gridCol w:w="933"/>
              <w:gridCol w:w="876"/>
              <w:gridCol w:w="476"/>
              <w:gridCol w:w="830"/>
              <w:gridCol w:w="898"/>
              <w:gridCol w:w="707"/>
              <w:gridCol w:w="857"/>
              <w:gridCol w:w="803"/>
              <w:gridCol w:w="887"/>
            </w:tblGrid>
            <w:tr w14:paraId="70629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vMerge w:val="restart"/>
                  <w:tcBorders>
                    <w:tl2br w:val="nil"/>
                    <w:tr2bl w:val="nil"/>
                  </w:tcBorders>
                  <w:shd w:val="clear" w:color="auto" w:fill="auto"/>
                  <w:vAlign w:val="center"/>
                </w:tcPr>
                <w:p w14:paraId="14B0EEB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序号</w:t>
                  </w:r>
                </w:p>
              </w:tc>
              <w:tc>
                <w:tcPr>
                  <w:tcW w:w="846" w:type="dxa"/>
                  <w:vMerge w:val="restart"/>
                  <w:tcBorders>
                    <w:tl2br w:val="nil"/>
                    <w:tr2bl w:val="nil"/>
                  </w:tcBorders>
                  <w:shd w:val="clear" w:color="auto" w:fill="auto"/>
                  <w:vAlign w:val="center"/>
                </w:tcPr>
                <w:p w14:paraId="22E2249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建筑物</w:t>
                  </w:r>
                </w:p>
                <w:p w14:paraId="5A05052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名称</w:t>
                  </w:r>
                </w:p>
              </w:tc>
              <w:tc>
                <w:tcPr>
                  <w:tcW w:w="1372" w:type="dxa"/>
                  <w:vMerge w:val="restart"/>
                  <w:tcBorders>
                    <w:tl2br w:val="nil"/>
                    <w:tr2bl w:val="nil"/>
                  </w:tcBorders>
                  <w:shd w:val="clear" w:color="auto" w:fill="auto"/>
                  <w:vAlign w:val="center"/>
                </w:tcPr>
                <w:p w14:paraId="3353A0E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声源名称</w:t>
                  </w:r>
                </w:p>
              </w:tc>
              <w:tc>
                <w:tcPr>
                  <w:tcW w:w="675" w:type="dxa"/>
                  <w:vMerge w:val="restart"/>
                  <w:tcBorders>
                    <w:tl2br w:val="nil"/>
                    <w:tr2bl w:val="nil"/>
                  </w:tcBorders>
                  <w:shd w:val="clear" w:color="auto" w:fill="auto"/>
                  <w:vAlign w:val="center"/>
                </w:tcPr>
                <w:p w14:paraId="24C8A3AF">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型号</w:t>
                  </w:r>
                </w:p>
              </w:tc>
              <w:tc>
                <w:tcPr>
                  <w:tcW w:w="808" w:type="dxa"/>
                  <w:tcBorders>
                    <w:tl2br w:val="nil"/>
                    <w:tr2bl w:val="nil"/>
                  </w:tcBorders>
                  <w:shd w:val="clear" w:color="auto" w:fill="auto"/>
                  <w:vAlign w:val="center"/>
                </w:tcPr>
                <w:p w14:paraId="1221D34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声源源强</w:t>
                  </w:r>
                </w:p>
              </w:tc>
              <w:tc>
                <w:tcPr>
                  <w:tcW w:w="600" w:type="dxa"/>
                  <w:vMerge w:val="restart"/>
                  <w:tcBorders>
                    <w:tl2br w:val="nil"/>
                    <w:tr2bl w:val="nil"/>
                  </w:tcBorders>
                  <w:shd w:val="clear" w:color="auto" w:fill="auto"/>
                  <w:vAlign w:val="center"/>
                </w:tcPr>
                <w:p w14:paraId="1FD87F0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声源控制措施</w:t>
                  </w:r>
                </w:p>
              </w:tc>
              <w:tc>
                <w:tcPr>
                  <w:tcW w:w="2285" w:type="dxa"/>
                  <w:gridSpan w:val="3"/>
                  <w:tcBorders>
                    <w:tl2br w:val="nil"/>
                    <w:tr2bl w:val="nil"/>
                  </w:tcBorders>
                  <w:shd w:val="clear" w:color="auto" w:fill="auto"/>
                  <w:vAlign w:val="center"/>
                </w:tcPr>
                <w:p w14:paraId="79946D8C">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空间相对位置/m</w:t>
                  </w:r>
                </w:p>
              </w:tc>
              <w:tc>
                <w:tcPr>
                  <w:tcW w:w="830" w:type="dxa"/>
                  <w:vMerge w:val="restart"/>
                  <w:tcBorders>
                    <w:tl2br w:val="nil"/>
                    <w:tr2bl w:val="nil"/>
                  </w:tcBorders>
                  <w:shd w:val="clear" w:color="auto" w:fill="auto"/>
                  <w:vAlign w:val="center"/>
                </w:tcPr>
                <w:p w14:paraId="6B58909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距室内边</w:t>
                  </w:r>
                </w:p>
                <w:p w14:paraId="33BC3D5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界距离/m</w:t>
                  </w:r>
                </w:p>
              </w:tc>
              <w:tc>
                <w:tcPr>
                  <w:tcW w:w="898" w:type="dxa"/>
                  <w:vMerge w:val="restart"/>
                  <w:tcBorders>
                    <w:tl2br w:val="nil"/>
                    <w:tr2bl w:val="nil"/>
                  </w:tcBorders>
                  <w:shd w:val="clear" w:color="auto" w:fill="auto"/>
                  <w:vAlign w:val="center"/>
                </w:tcPr>
                <w:p w14:paraId="6D753EBE">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室内边界</w:t>
                  </w:r>
                </w:p>
                <w:p w14:paraId="5A853E9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声级</w:t>
                  </w:r>
                </w:p>
                <w:p w14:paraId="5C4D480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/dB(A)</w:t>
                  </w:r>
                </w:p>
              </w:tc>
              <w:tc>
                <w:tcPr>
                  <w:tcW w:w="707" w:type="dxa"/>
                  <w:vMerge w:val="restart"/>
                  <w:tcBorders>
                    <w:tl2br w:val="nil"/>
                    <w:tr2bl w:val="nil"/>
                  </w:tcBorders>
                  <w:shd w:val="clear" w:color="auto" w:fill="auto"/>
                  <w:vAlign w:val="center"/>
                </w:tcPr>
                <w:p w14:paraId="4745912D">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运行时段</w:t>
                  </w:r>
                </w:p>
              </w:tc>
              <w:tc>
                <w:tcPr>
                  <w:tcW w:w="857" w:type="dxa"/>
                  <w:vMerge w:val="restart"/>
                  <w:tcBorders>
                    <w:tl2br w:val="nil"/>
                    <w:tr2bl w:val="nil"/>
                  </w:tcBorders>
                  <w:shd w:val="clear" w:color="auto" w:fill="auto"/>
                  <w:vAlign w:val="center"/>
                </w:tcPr>
                <w:p w14:paraId="0C661570">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sz w:val="21"/>
                      <w:szCs w:val="21"/>
                      <w:highlight w:val="none"/>
                      <w:u w:val="none"/>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建筑物插入损</w:t>
                  </w:r>
                </w:p>
                <w:p w14:paraId="33EAEB51">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失/dB（A）</w:t>
                  </w:r>
                </w:p>
              </w:tc>
              <w:tc>
                <w:tcPr>
                  <w:tcW w:w="1690" w:type="dxa"/>
                  <w:gridSpan w:val="2"/>
                  <w:tcBorders>
                    <w:tl2br w:val="nil"/>
                    <w:tr2bl w:val="nil"/>
                  </w:tcBorders>
                  <w:shd w:val="clear" w:color="auto" w:fill="auto"/>
                  <w:vAlign w:val="center"/>
                </w:tcPr>
                <w:p w14:paraId="72F047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建筑物外噪声</w:t>
                  </w:r>
                </w:p>
              </w:tc>
            </w:tr>
            <w:tr w14:paraId="62E6A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vMerge w:val="continue"/>
                  <w:tcBorders>
                    <w:tl2br w:val="nil"/>
                    <w:tr2bl w:val="nil"/>
                  </w:tcBorders>
                  <w:shd w:val="clear" w:color="auto" w:fill="auto"/>
                  <w:vAlign w:val="center"/>
                </w:tcPr>
                <w:p w14:paraId="78F3B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46" w:type="dxa"/>
                  <w:vMerge w:val="continue"/>
                  <w:tcBorders>
                    <w:tl2br w:val="nil"/>
                    <w:tr2bl w:val="nil"/>
                  </w:tcBorders>
                  <w:shd w:val="clear" w:color="auto" w:fill="auto"/>
                  <w:vAlign w:val="center"/>
                </w:tcPr>
                <w:p w14:paraId="104503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372" w:type="dxa"/>
                  <w:vMerge w:val="continue"/>
                  <w:tcBorders>
                    <w:tl2br w:val="nil"/>
                    <w:tr2bl w:val="nil"/>
                  </w:tcBorders>
                  <w:shd w:val="clear" w:color="auto" w:fill="auto"/>
                  <w:vAlign w:val="center"/>
                </w:tcPr>
                <w:p w14:paraId="180FBD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5" w:type="dxa"/>
                  <w:vMerge w:val="continue"/>
                  <w:tcBorders>
                    <w:tl2br w:val="nil"/>
                    <w:tr2bl w:val="nil"/>
                  </w:tcBorders>
                  <w:shd w:val="clear" w:color="auto" w:fill="auto"/>
                  <w:vAlign w:val="center"/>
                </w:tcPr>
                <w:p w14:paraId="6F40E3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8" w:type="dxa"/>
                  <w:tcBorders>
                    <w:tl2br w:val="nil"/>
                    <w:tr2bl w:val="nil"/>
                  </w:tcBorders>
                  <w:shd w:val="clear" w:color="auto" w:fill="auto"/>
                  <w:vAlign w:val="center"/>
                </w:tcPr>
                <w:p w14:paraId="783A4EE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声功率级/dB（A）</w:t>
                  </w:r>
                </w:p>
              </w:tc>
              <w:tc>
                <w:tcPr>
                  <w:tcW w:w="600" w:type="dxa"/>
                  <w:vMerge w:val="continue"/>
                  <w:tcBorders>
                    <w:tl2br w:val="nil"/>
                    <w:tr2bl w:val="nil"/>
                  </w:tcBorders>
                  <w:shd w:val="clear" w:color="auto" w:fill="auto"/>
                  <w:vAlign w:val="center"/>
                </w:tcPr>
                <w:p w14:paraId="3CC4D4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vAlign w:val="center"/>
                </w:tcPr>
                <w:p w14:paraId="6B300EDA">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X</w:t>
                  </w:r>
                </w:p>
              </w:tc>
              <w:tc>
                <w:tcPr>
                  <w:tcW w:w="876" w:type="dxa"/>
                  <w:tcBorders>
                    <w:tl2br w:val="nil"/>
                    <w:tr2bl w:val="nil"/>
                  </w:tcBorders>
                  <w:shd w:val="clear" w:color="auto" w:fill="auto"/>
                  <w:vAlign w:val="center"/>
                </w:tcPr>
                <w:p w14:paraId="57F9ED32">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Y</w:t>
                  </w:r>
                </w:p>
              </w:tc>
              <w:tc>
                <w:tcPr>
                  <w:tcW w:w="476" w:type="dxa"/>
                  <w:tcBorders>
                    <w:tl2br w:val="nil"/>
                    <w:tr2bl w:val="nil"/>
                  </w:tcBorders>
                  <w:shd w:val="clear" w:color="auto" w:fill="auto"/>
                  <w:vAlign w:val="center"/>
                </w:tcPr>
                <w:p w14:paraId="5820ABF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Z</w:t>
                  </w:r>
                </w:p>
              </w:tc>
              <w:tc>
                <w:tcPr>
                  <w:tcW w:w="830" w:type="dxa"/>
                  <w:vMerge w:val="continue"/>
                  <w:tcBorders>
                    <w:tl2br w:val="nil"/>
                    <w:tr2bl w:val="nil"/>
                  </w:tcBorders>
                  <w:shd w:val="clear" w:color="auto" w:fill="auto"/>
                  <w:vAlign w:val="center"/>
                </w:tcPr>
                <w:p w14:paraId="6D5065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8" w:type="dxa"/>
                  <w:vMerge w:val="continue"/>
                  <w:tcBorders>
                    <w:tl2br w:val="nil"/>
                    <w:tr2bl w:val="nil"/>
                  </w:tcBorders>
                  <w:shd w:val="clear" w:color="auto" w:fill="auto"/>
                  <w:vAlign w:val="center"/>
                </w:tcPr>
                <w:p w14:paraId="710D1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07" w:type="dxa"/>
                  <w:vMerge w:val="continue"/>
                  <w:tcBorders>
                    <w:tl2br w:val="nil"/>
                    <w:tr2bl w:val="nil"/>
                  </w:tcBorders>
                  <w:shd w:val="clear" w:color="auto" w:fill="auto"/>
                  <w:vAlign w:val="center"/>
                </w:tcPr>
                <w:p w14:paraId="153E9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7" w:type="dxa"/>
                  <w:vMerge w:val="continue"/>
                  <w:tcBorders>
                    <w:tl2br w:val="nil"/>
                    <w:tr2bl w:val="nil"/>
                  </w:tcBorders>
                  <w:shd w:val="clear" w:color="auto" w:fill="auto"/>
                  <w:vAlign w:val="center"/>
                </w:tcPr>
                <w:p w14:paraId="06B70C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3" w:type="dxa"/>
                  <w:tcBorders>
                    <w:tl2br w:val="nil"/>
                    <w:tr2bl w:val="nil"/>
                  </w:tcBorders>
                  <w:shd w:val="clear" w:color="auto" w:fill="auto"/>
                  <w:vAlign w:val="center"/>
                </w:tcPr>
                <w:p w14:paraId="7DDAE357">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声压级/dB（A）</w:t>
                  </w:r>
                </w:p>
              </w:tc>
              <w:tc>
                <w:tcPr>
                  <w:tcW w:w="887" w:type="dxa"/>
                  <w:tcBorders>
                    <w:tl2br w:val="nil"/>
                    <w:tr2bl w:val="nil"/>
                  </w:tcBorders>
                  <w:shd w:val="clear" w:color="auto" w:fill="auto"/>
                  <w:vAlign w:val="center"/>
                </w:tcPr>
                <w:p w14:paraId="7739ED6B">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b/>
                      <w:bCs/>
                      <w:i w:val="0"/>
                      <w:iCs w:val="0"/>
                      <w:strike w:val="0"/>
                      <w:dstrike w:val="0"/>
                      <w:color w:val="auto"/>
                      <w:kern w:val="2"/>
                      <w:sz w:val="21"/>
                      <w:szCs w:val="21"/>
                      <w:highlight w:val="none"/>
                      <w:u w:val="none"/>
                      <w:lang w:val="en-US" w:eastAsia="zh-CN" w:bidi="ar-SA"/>
                    </w:rPr>
                  </w:pPr>
                  <w:r>
                    <w:rPr>
                      <w:rFonts w:hint="default" w:ascii="Times New Roman" w:hAnsi="Times New Roman" w:eastAsia="宋体" w:cs="Times New Roman"/>
                      <w:b/>
                      <w:bCs/>
                      <w:i w:val="0"/>
                      <w:iCs w:val="0"/>
                      <w:strike w:val="0"/>
                      <w:dstrike w:val="0"/>
                      <w:color w:val="auto"/>
                      <w:kern w:val="0"/>
                      <w:sz w:val="21"/>
                      <w:szCs w:val="21"/>
                      <w:highlight w:val="none"/>
                      <w:u w:val="none"/>
                      <w:lang w:val="en-US" w:eastAsia="zh-CN" w:bidi="ar"/>
                    </w:rPr>
                    <w:t>建筑物外距离/m</w:t>
                  </w:r>
                </w:p>
              </w:tc>
            </w:tr>
            <w:tr w14:paraId="23458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8C21B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46" w:type="dxa"/>
                  <w:vMerge w:val="restart"/>
                  <w:tcBorders>
                    <w:tl2br w:val="nil"/>
                    <w:tr2bl w:val="nil"/>
                  </w:tcBorders>
                  <w:shd w:val="clear" w:color="auto" w:fill="auto"/>
                  <w:vAlign w:val="center"/>
                </w:tcPr>
                <w:p w14:paraId="6C0CA0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珠胚生产</w:t>
                  </w:r>
                  <w:r>
                    <w:rPr>
                      <w:rFonts w:hint="default" w:ascii="Times New Roman" w:hAnsi="Times New Roman" w:eastAsia="宋体" w:cs="Times New Roman"/>
                      <w:i w:val="0"/>
                      <w:iCs w:val="0"/>
                      <w:color w:val="auto"/>
                      <w:kern w:val="0"/>
                      <w:sz w:val="21"/>
                      <w:szCs w:val="21"/>
                      <w:highlight w:val="none"/>
                      <w:u w:val="none"/>
                      <w:lang w:val="en-US" w:eastAsia="zh-CN" w:bidi="ar"/>
                    </w:rPr>
                    <w:t>（1#厂房）</w:t>
                  </w:r>
                </w:p>
              </w:tc>
              <w:tc>
                <w:tcPr>
                  <w:tcW w:w="1372" w:type="dxa"/>
                  <w:tcBorders>
                    <w:tl2br w:val="nil"/>
                    <w:tr2bl w:val="nil"/>
                  </w:tcBorders>
                  <w:shd w:val="clear" w:color="auto" w:fill="auto"/>
                  <w:vAlign w:val="center"/>
                </w:tcPr>
                <w:p w14:paraId="3A886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拌料机1</w:t>
                  </w:r>
                </w:p>
              </w:tc>
              <w:tc>
                <w:tcPr>
                  <w:tcW w:w="675" w:type="dxa"/>
                  <w:tcBorders>
                    <w:tl2br w:val="nil"/>
                    <w:tr2bl w:val="nil"/>
                  </w:tcBorders>
                  <w:shd w:val="clear" w:color="auto" w:fill="auto"/>
                  <w:vAlign w:val="center"/>
                </w:tcPr>
                <w:p w14:paraId="35381D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B6A38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restart"/>
                  <w:tcBorders>
                    <w:tl2br w:val="nil"/>
                    <w:tr2bl w:val="nil"/>
                  </w:tcBorders>
                  <w:shd w:val="clear" w:color="auto" w:fill="auto"/>
                  <w:vAlign w:val="center"/>
                </w:tcPr>
                <w:p w14:paraId="2DC6F7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建筑隔声、选用低噪声设备、基础减振等</w:t>
                  </w:r>
                </w:p>
              </w:tc>
              <w:tc>
                <w:tcPr>
                  <w:tcW w:w="933" w:type="dxa"/>
                  <w:tcBorders>
                    <w:tl2br w:val="nil"/>
                    <w:tr2bl w:val="nil"/>
                  </w:tcBorders>
                  <w:shd w:val="clear" w:color="auto" w:fill="auto"/>
                  <w:vAlign w:val="center"/>
                </w:tcPr>
                <w:p w14:paraId="793ED8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76.63</w:t>
                  </w:r>
                </w:p>
              </w:tc>
              <w:tc>
                <w:tcPr>
                  <w:tcW w:w="876" w:type="dxa"/>
                  <w:tcBorders>
                    <w:tl2br w:val="nil"/>
                    <w:tr2bl w:val="nil"/>
                  </w:tcBorders>
                  <w:shd w:val="clear" w:color="auto" w:fill="auto"/>
                  <w:vAlign w:val="center"/>
                </w:tcPr>
                <w:p w14:paraId="555D3E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23.7</w:t>
                  </w:r>
                </w:p>
              </w:tc>
              <w:tc>
                <w:tcPr>
                  <w:tcW w:w="476" w:type="dxa"/>
                  <w:tcBorders>
                    <w:tl2br w:val="nil"/>
                    <w:tr2bl w:val="nil"/>
                  </w:tcBorders>
                  <w:shd w:val="clear" w:color="auto" w:fill="auto"/>
                  <w:vAlign w:val="center"/>
                </w:tcPr>
                <w:p w14:paraId="3104D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801F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898" w:type="dxa"/>
                  <w:tcBorders>
                    <w:tl2br w:val="nil"/>
                    <w:tr2bl w:val="nil"/>
                  </w:tcBorders>
                  <w:shd w:val="clear" w:color="auto" w:fill="auto"/>
                  <w:vAlign w:val="center"/>
                </w:tcPr>
                <w:p w14:paraId="5A7E83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40.61</w:t>
                  </w:r>
                </w:p>
              </w:tc>
              <w:tc>
                <w:tcPr>
                  <w:tcW w:w="707" w:type="dxa"/>
                  <w:tcBorders>
                    <w:tl2br w:val="nil"/>
                    <w:tr2bl w:val="nil"/>
                  </w:tcBorders>
                  <w:shd w:val="clear" w:color="auto" w:fill="auto"/>
                  <w:vAlign w:val="center"/>
                </w:tcPr>
                <w:p w14:paraId="169E3F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C74F8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14EF5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19.61</w:t>
                  </w:r>
                </w:p>
              </w:tc>
              <w:tc>
                <w:tcPr>
                  <w:tcW w:w="887" w:type="dxa"/>
                  <w:tcBorders>
                    <w:tl2br w:val="nil"/>
                    <w:tr2bl w:val="nil"/>
                  </w:tcBorders>
                  <w:shd w:val="clear" w:color="auto" w:fill="auto"/>
                  <w:vAlign w:val="center"/>
                </w:tcPr>
                <w:p w14:paraId="5DF80C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FE00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A3FFC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46" w:type="dxa"/>
                  <w:vMerge w:val="continue"/>
                  <w:tcBorders>
                    <w:tl2br w:val="nil"/>
                    <w:tr2bl w:val="nil"/>
                  </w:tcBorders>
                  <w:shd w:val="clear" w:color="auto" w:fill="auto"/>
                  <w:vAlign w:val="center"/>
                </w:tcPr>
                <w:p w14:paraId="0297FEF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07214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拌料机2</w:t>
                  </w:r>
                </w:p>
              </w:tc>
              <w:tc>
                <w:tcPr>
                  <w:tcW w:w="675" w:type="dxa"/>
                  <w:tcBorders>
                    <w:tl2br w:val="nil"/>
                    <w:tr2bl w:val="nil"/>
                  </w:tcBorders>
                  <w:shd w:val="clear" w:color="auto" w:fill="auto"/>
                  <w:vAlign w:val="center"/>
                </w:tcPr>
                <w:p w14:paraId="7DDD6F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32EE4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5F2A71D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4265D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78.66</w:t>
                  </w:r>
                </w:p>
              </w:tc>
              <w:tc>
                <w:tcPr>
                  <w:tcW w:w="876" w:type="dxa"/>
                  <w:tcBorders>
                    <w:tl2br w:val="nil"/>
                    <w:tr2bl w:val="nil"/>
                  </w:tcBorders>
                  <w:shd w:val="clear" w:color="auto" w:fill="auto"/>
                  <w:vAlign w:val="center"/>
                </w:tcPr>
                <w:p w14:paraId="65531F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3.95</w:t>
                  </w:r>
                </w:p>
              </w:tc>
              <w:tc>
                <w:tcPr>
                  <w:tcW w:w="476" w:type="dxa"/>
                  <w:tcBorders>
                    <w:tl2br w:val="nil"/>
                    <w:tr2bl w:val="nil"/>
                  </w:tcBorders>
                  <w:shd w:val="clear" w:color="auto" w:fill="auto"/>
                  <w:vAlign w:val="center"/>
                </w:tcPr>
                <w:p w14:paraId="45283C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B15C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c>
                <w:tcPr>
                  <w:tcW w:w="898" w:type="dxa"/>
                  <w:tcBorders>
                    <w:tl2br w:val="nil"/>
                    <w:tr2bl w:val="nil"/>
                  </w:tcBorders>
                  <w:shd w:val="clear" w:color="auto" w:fill="auto"/>
                  <w:vAlign w:val="center"/>
                </w:tcPr>
                <w:p w14:paraId="5E9110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39.04</w:t>
                  </w:r>
                </w:p>
              </w:tc>
              <w:tc>
                <w:tcPr>
                  <w:tcW w:w="707" w:type="dxa"/>
                  <w:tcBorders>
                    <w:tl2br w:val="nil"/>
                    <w:tr2bl w:val="nil"/>
                  </w:tcBorders>
                  <w:shd w:val="clear" w:color="auto" w:fill="auto"/>
                  <w:vAlign w:val="center"/>
                </w:tcPr>
                <w:p w14:paraId="040FF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64B62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C0DE3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18.04</w:t>
                  </w:r>
                </w:p>
              </w:tc>
              <w:tc>
                <w:tcPr>
                  <w:tcW w:w="887" w:type="dxa"/>
                  <w:tcBorders>
                    <w:tl2br w:val="nil"/>
                    <w:tr2bl w:val="nil"/>
                  </w:tcBorders>
                  <w:shd w:val="clear" w:color="auto" w:fill="auto"/>
                  <w:vAlign w:val="center"/>
                </w:tcPr>
                <w:p w14:paraId="075A26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02D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6E970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46" w:type="dxa"/>
                  <w:vMerge w:val="continue"/>
                  <w:tcBorders>
                    <w:tl2br w:val="nil"/>
                    <w:tr2bl w:val="nil"/>
                  </w:tcBorders>
                  <w:shd w:val="clear" w:color="auto" w:fill="auto"/>
                  <w:vAlign w:val="center"/>
                </w:tcPr>
                <w:p w14:paraId="3237384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D5C4B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拌料机3</w:t>
                  </w:r>
                </w:p>
              </w:tc>
              <w:tc>
                <w:tcPr>
                  <w:tcW w:w="675" w:type="dxa"/>
                  <w:tcBorders>
                    <w:tl2br w:val="nil"/>
                    <w:tr2bl w:val="nil"/>
                  </w:tcBorders>
                  <w:shd w:val="clear" w:color="auto" w:fill="auto"/>
                  <w:vAlign w:val="center"/>
                </w:tcPr>
                <w:p w14:paraId="19EC1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5A2FF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69689A4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029D9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80.41</w:t>
                  </w:r>
                </w:p>
              </w:tc>
              <w:tc>
                <w:tcPr>
                  <w:tcW w:w="876" w:type="dxa"/>
                  <w:tcBorders>
                    <w:tl2br w:val="nil"/>
                    <w:tr2bl w:val="nil"/>
                  </w:tcBorders>
                  <w:shd w:val="clear" w:color="auto" w:fill="auto"/>
                  <w:vAlign w:val="center"/>
                </w:tcPr>
                <w:p w14:paraId="0B37D9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12.69</w:t>
                  </w:r>
                </w:p>
              </w:tc>
              <w:tc>
                <w:tcPr>
                  <w:tcW w:w="476" w:type="dxa"/>
                  <w:tcBorders>
                    <w:tl2br w:val="nil"/>
                    <w:tr2bl w:val="nil"/>
                  </w:tcBorders>
                  <w:shd w:val="clear" w:color="auto" w:fill="auto"/>
                  <w:vAlign w:val="center"/>
                </w:tcPr>
                <w:p w14:paraId="7A2824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4DC0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20.9</w:t>
                  </w:r>
                </w:p>
              </w:tc>
              <w:tc>
                <w:tcPr>
                  <w:tcW w:w="898" w:type="dxa"/>
                  <w:tcBorders>
                    <w:tl2br w:val="nil"/>
                    <w:tr2bl w:val="nil"/>
                  </w:tcBorders>
                  <w:shd w:val="clear" w:color="auto" w:fill="auto"/>
                  <w:vAlign w:val="center"/>
                </w:tcPr>
                <w:p w14:paraId="5BC7C1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38.93</w:t>
                  </w:r>
                </w:p>
              </w:tc>
              <w:tc>
                <w:tcPr>
                  <w:tcW w:w="707" w:type="dxa"/>
                  <w:tcBorders>
                    <w:tl2br w:val="nil"/>
                    <w:tr2bl w:val="nil"/>
                  </w:tcBorders>
                  <w:shd w:val="clear" w:color="auto" w:fill="auto"/>
                  <w:vAlign w:val="center"/>
                </w:tcPr>
                <w:p w14:paraId="3631D4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00B48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2FE1E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17.93</w:t>
                  </w:r>
                </w:p>
              </w:tc>
              <w:tc>
                <w:tcPr>
                  <w:tcW w:w="887" w:type="dxa"/>
                  <w:tcBorders>
                    <w:tl2br w:val="nil"/>
                    <w:tr2bl w:val="nil"/>
                  </w:tcBorders>
                  <w:shd w:val="clear" w:color="auto" w:fill="auto"/>
                  <w:vAlign w:val="center"/>
                </w:tcPr>
                <w:p w14:paraId="53151C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43F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B7455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846" w:type="dxa"/>
                  <w:vMerge w:val="continue"/>
                  <w:tcBorders>
                    <w:tl2br w:val="nil"/>
                    <w:tr2bl w:val="nil"/>
                  </w:tcBorders>
                  <w:shd w:val="clear" w:color="auto" w:fill="auto"/>
                  <w:vAlign w:val="center"/>
                </w:tcPr>
                <w:p w14:paraId="567D664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B566C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拌料机4</w:t>
                  </w:r>
                </w:p>
              </w:tc>
              <w:tc>
                <w:tcPr>
                  <w:tcW w:w="675" w:type="dxa"/>
                  <w:tcBorders>
                    <w:tl2br w:val="nil"/>
                    <w:tr2bl w:val="nil"/>
                  </w:tcBorders>
                  <w:shd w:val="clear" w:color="auto" w:fill="auto"/>
                  <w:vAlign w:val="center"/>
                </w:tcPr>
                <w:p w14:paraId="4EB29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3012A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114F45A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CD3F9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82.74</w:t>
                  </w:r>
                </w:p>
              </w:tc>
              <w:tc>
                <w:tcPr>
                  <w:tcW w:w="876" w:type="dxa"/>
                  <w:tcBorders>
                    <w:tl2br w:val="nil"/>
                    <w:tr2bl w:val="nil"/>
                  </w:tcBorders>
                  <w:shd w:val="clear" w:color="auto" w:fill="auto"/>
                  <w:vAlign w:val="center"/>
                </w:tcPr>
                <w:p w14:paraId="35BCC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21.43</w:t>
                  </w:r>
                </w:p>
              </w:tc>
              <w:tc>
                <w:tcPr>
                  <w:tcW w:w="476" w:type="dxa"/>
                  <w:tcBorders>
                    <w:tl2br w:val="nil"/>
                    <w:tr2bl w:val="nil"/>
                  </w:tcBorders>
                  <w:shd w:val="clear" w:color="auto" w:fill="auto"/>
                  <w:vAlign w:val="center"/>
                </w:tcPr>
                <w:p w14:paraId="6912E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D4D13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20.9</w:t>
                  </w:r>
                </w:p>
              </w:tc>
              <w:tc>
                <w:tcPr>
                  <w:tcW w:w="898" w:type="dxa"/>
                  <w:tcBorders>
                    <w:tl2br w:val="nil"/>
                    <w:tr2bl w:val="nil"/>
                  </w:tcBorders>
                  <w:shd w:val="clear" w:color="auto" w:fill="auto"/>
                  <w:vAlign w:val="center"/>
                </w:tcPr>
                <w:p w14:paraId="5AA8B6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38.93</w:t>
                  </w:r>
                </w:p>
              </w:tc>
              <w:tc>
                <w:tcPr>
                  <w:tcW w:w="707" w:type="dxa"/>
                  <w:tcBorders>
                    <w:tl2br w:val="nil"/>
                    <w:tr2bl w:val="nil"/>
                  </w:tcBorders>
                  <w:shd w:val="clear" w:color="auto" w:fill="auto"/>
                  <w:vAlign w:val="center"/>
                </w:tcPr>
                <w:p w14:paraId="5DC5C7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C03CA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196D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17.93</w:t>
                  </w:r>
                </w:p>
              </w:tc>
              <w:tc>
                <w:tcPr>
                  <w:tcW w:w="887" w:type="dxa"/>
                  <w:tcBorders>
                    <w:tl2br w:val="nil"/>
                    <w:tr2bl w:val="nil"/>
                  </w:tcBorders>
                  <w:shd w:val="clear" w:color="auto" w:fill="auto"/>
                  <w:vAlign w:val="center"/>
                </w:tcPr>
                <w:p w14:paraId="259F29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6A8D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E51D7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46" w:type="dxa"/>
                  <w:vMerge w:val="continue"/>
                  <w:tcBorders>
                    <w:tl2br w:val="nil"/>
                    <w:tr2bl w:val="nil"/>
                  </w:tcBorders>
                  <w:shd w:val="clear" w:color="auto" w:fill="auto"/>
                  <w:vAlign w:val="center"/>
                </w:tcPr>
                <w:p w14:paraId="46D25DE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6DD3E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拌料机5</w:t>
                  </w:r>
                </w:p>
              </w:tc>
              <w:tc>
                <w:tcPr>
                  <w:tcW w:w="675" w:type="dxa"/>
                  <w:tcBorders>
                    <w:tl2br w:val="nil"/>
                    <w:tr2bl w:val="nil"/>
                  </w:tcBorders>
                  <w:shd w:val="clear" w:color="auto" w:fill="auto"/>
                  <w:vAlign w:val="center"/>
                </w:tcPr>
                <w:p w14:paraId="654499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FE2D4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092D8EA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CCAA7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85.07</w:t>
                  </w:r>
                </w:p>
              </w:tc>
              <w:tc>
                <w:tcPr>
                  <w:tcW w:w="876" w:type="dxa"/>
                  <w:tcBorders>
                    <w:tl2br w:val="nil"/>
                    <w:tr2bl w:val="nil"/>
                  </w:tcBorders>
                  <w:shd w:val="clear" w:color="auto" w:fill="auto"/>
                  <w:vAlign w:val="center"/>
                </w:tcPr>
                <w:p w14:paraId="47A98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29.58</w:t>
                  </w:r>
                </w:p>
              </w:tc>
              <w:tc>
                <w:tcPr>
                  <w:tcW w:w="476" w:type="dxa"/>
                  <w:tcBorders>
                    <w:tl2br w:val="nil"/>
                    <w:tr2bl w:val="nil"/>
                  </w:tcBorders>
                  <w:shd w:val="clear" w:color="auto" w:fill="auto"/>
                  <w:vAlign w:val="center"/>
                </w:tcPr>
                <w:p w14:paraId="7569C2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F30A2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c>
                <w:tcPr>
                  <w:tcW w:w="898" w:type="dxa"/>
                  <w:tcBorders>
                    <w:tl2br w:val="nil"/>
                    <w:tr2bl w:val="nil"/>
                  </w:tcBorders>
                  <w:shd w:val="clear" w:color="auto" w:fill="auto"/>
                  <w:vAlign w:val="center"/>
                </w:tcPr>
                <w:p w14:paraId="63591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39.46</w:t>
                  </w:r>
                </w:p>
              </w:tc>
              <w:tc>
                <w:tcPr>
                  <w:tcW w:w="707" w:type="dxa"/>
                  <w:tcBorders>
                    <w:tl2br w:val="nil"/>
                    <w:tr2bl w:val="nil"/>
                  </w:tcBorders>
                  <w:shd w:val="clear" w:color="auto" w:fill="auto"/>
                  <w:vAlign w:val="center"/>
                </w:tcPr>
                <w:p w14:paraId="5146AE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0B34E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1EC53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18.46</w:t>
                  </w:r>
                </w:p>
              </w:tc>
              <w:tc>
                <w:tcPr>
                  <w:tcW w:w="887" w:type="dxa"/>
                  <w:tcBorders>
                    <w:tl2br w:val="nil"/>
                    <w:tr2bl w:val="nil"/>
                  </w:tcBorders>
                  <w:shd w:val="clear" w:color="auto" w:fill="auto"/>
                  <w:vAlign w:val="center"/>
                </w:tcPr>
                <w:p w14:paraId="231CE7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9AA8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06FF0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46" w:type="dxa"/>
                  <w:vMerge w:val="continue"/>
                  <w:tcBorders>
                    <w:tl2br w:val="nil"/>
                    <w:tr2bl w:val="nil"/>
                  </w:tcBorders>
                  <w:shd w:val="clear" w:color="auto" w:fill="auto"/>
                  <w:vAlign w:val="center"/>
                </w:tcPr>
                <w:p w14:paraId="1B54BD5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7FE8C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拌料机6</w:t>
                  </w:r>
                </w:p>
              </w:tc>
              <w:tc>
                <w:tcPr>
                  <w:tcW w:w="675" w:type="dxa"/>
                  <w:tcBorders>
                    <w:tl2br w:val="nil"/>
                    <w:tr2bl w:val="nil"/>
                  </w:tcBorders>
                  <w:shd w:val="clear" w:color="auto" w:fill="auto"/>
                  <w:vAlign w:val="center"/>
                </w:tcPr>
                <w:p w14:paraId="03DB67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4F99D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5FB718B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0A0AF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87.11</w:t>
                  </w:r>
                </w:p>
              </w:tc>
              <w:tc>
                <w:tcPr>
                  <w:tcW w:w="876" w:type="dxa"/>
                  <w:tcBorders>
                    <w:tl2br w:val="nil"/>
                    <w:tr2bl w:val="nil"/>
                  </w:tcBorders>
                  <w:shd w:val="clear" w:color="auto" w:fill="auto"/>
                  <w:vAlign w:val="center"/>
                </w:tcPr>
                <w:p w14:paraId="73545F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37.74</w:t>
                  </w:r>
                </w:p>
              </w:tc>
              <w:tc>
                <w:tcPr>
                  <w:tcW w:w="476" w:type="dxa"/>
                  <w:tcBorders>
                    <w:tl2br w:val="nil"/>
                    <w:tr2bl w:val="nil"/>
                  </w:tcBorders>
                  <w:shd w:val="clear" w:color="auto" w:fill="auto"/>
                  <w:vAlign w:val="center"/>
                </w:tcPr>
                <w:p w14:paraId="002C0C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8F731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898" w:type="dxa"/>
                  <w:tcBorders>
                    <w:tl2br w:val="nil"/>
                    <w:tr2bl w:val="nil"/>
                  </w:tcBorders>
                  <w:shd w:val="clear" w:color="auto" w:fill="auto"/>
                  <w:vAlign w:val="center"/>
                </w:tcPr>
                <w:p w14:paraId="53DA5A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42.22</w:t>
                  </w:r>
                </w:p>
              </w:tc>
              <w:tc>
                <w:tcPr>
                  <w:tcW w:w="707" w:type="dxa"/>
                  <w:tcBorders>
                    <w:tl2br w:val="nil"/>
                    <w:tr2bl w:val="nil"/>
                  </w:tcBorders>
                  <w:shd w:val="clear" w:color="auto" w:fill="auto"/>
                  <w:vAlign w:val="center"/>
                </w:tcPr>
                <w:p w14:paraId="1817D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7C270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80D48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21.22</w:t>
                  </w:r>
                </w:p>
              </w:tc>
              <w:tc>
                <w:tcPr>
                  <w:tcW w:w="887" w:type="dxa"/>
                  <w:tcBorders>
                    <w:tl2br w:val="nil"/>
                    <w:tr2bl w:val="nil"/>
                  </w:tcBorders>
                  <w:shd w:val="clear" w:color="auto" w:fill="auto"/>
                  <w:vAlign w:val="center"/>
                </w:tcPr>
                <w:p w14:paraId="14F8D7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D836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B5B7C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846" w:type="dxa"/>
                  <w:vMerge w:val="continue"/>
                  <w:tcBorders>
                    <w:tl2br w:val="nil"/>
                    <w:tr2bl w:val="nil"/>
                  </w:tcBorders>
                  <w:shd w:val="clear" w:color="auto" w:fill="auto"/>
                  <w:vAlign w:val="center"/>
                </w:tcPr>
                <w:p w14:paraId="7D70711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622E51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电熔炉1</w:t>
                  </w:r>
                </w:p>
              </w:tc>
              <w:tc>
                <w:tcPr>
                  <w:tcW w:w="675" w:type="dxa"/>
                  <w:tcBorders>
                    <w:tl2br w:val="nil"/>
                    <w:tr2bl w:val="nil"/>
                  </w:tcBorders>
                  <w:shd w:val="clear" w:color="auto" w:fill="auto"/>
                  <w:vAlign w:val="center"/>
                </w:tcPr>
                <w:p w14:paraId="6A7E7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31C49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1F1D3D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59F4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96.72</w:t>
                  </w:r>
                </w:p>
              </w:tc>
              <w:tc>
                <w:tcPr>
                  <w:tcW w:w="876" w:type="dxa"/>
                  <w:tcBorders>
                    <w:tl2br w:val="nil"/>
                    <w:tr2bl w:val="nil"/>
                  </w:tcBorders>
                  <w:shd w:val="clear" w:color="auto" w:fill="auto"/>
                  <w:vAlign w:val="center"/>
                </w:tcPr>
                <w:p w14:paraId="644885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-11.77</w:t>
                  </w:r>
                </w:p>
              </w:tc>
              <w:tc>
                <w:tcPr>
                  <w:tcW w:w="476" w:type="dxa"/>
                  <w:tcBorders>
                    <w:tl2br w:val="nil"/>
                    <w:tr2bl w:val="nil"/>
                  </w:tcBorders>
                  <w:shd w:val="clear" w:color="auto" w:fill="auto"/>
                  <w:vAlign w:val="center"/>
                </w:tcPr>
                <w:p w14:paraId="419A05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D9D87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898" w:type="dxa"/>
                  <w:tcBorders>
                    <w:tl2br w:val="nil"/>
                    <w:tr2bl w:val="nil"/>
                  </w:tcBorders>
                  <w:shd w:val="clear" w:color="auto" w:fill="auto"/>
                  <w:vAlign w:val="center"/>
                </w:tcPr>
                <w:p w14:paraId="65B427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45.54</w:t>
                  </w:r>
                </w:p>
              </w:tc>
              <w:tc>
                <w:tcPr>
                  <w:tcW w:w="707" w:type="dxa"/>
                  <w:tcBorders>
                    <w:tl2br w:val="nil"/>
                    <w:tr2bl w:val="nil"/>
                  </w:tcBorders>
                  <w:shd w:val="clear" w:color="auto" w:fill="auto"/>
                  <w:vAlign w:val="center"/>
                </w:tcPr>
                <w:p w14:paraId="12A2A7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84C1C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D08D6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24.54</w:t>
                  </w:r>
                </w:p>
              </w:tc>
              <w:tc>
                <w:tcPr>
                  <w:tcW w:w="887" w:type="dxa"/>
                  <w:tcBorders>
                    <w:tl2br w:val="nil"/>
                    <w:tr2bl w:val="nil"/>
                  </w:tcBorders>
                  <w:shd w:val="clear" w:color="auto" w:fill="auto"/>
                  <w:vAlign w:val="center"/>
                </w:tcPr>
                <w:p w14:paraId="42E02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D7F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E15C2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846" w:type="dxa"/>
                  <w:vMerge w:val="continue"/>
                  <w:tcBorders>
                    <w:tl2br w:val="nil"/>
                    <w:tr2bl w:val="nil"/>
                  </w:tcBorders>
                  <w:shd w:val="clear" w:color="auto" w:fill="auto"/>
                  <w:vAlign w:val="center"/>
                </w:tcPr>
                <w:p w14:paraId="4BACFFA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16094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电熔炉2</w:t>
                  </w:r>
                </w:p>
              </w:tc>
              <w:tc>
                <w:tcPr>
                  <w:tcW w:w="675" w:type="dxa"/>
                  <w:tcBorders>
                    <w:tl2br w:val="nil"/>
                    <w:tr2bl w:val="nil"/>
                  </w:tcBorders>
                  <w:shd w:val="clear" w:color="auto" w:fill="auto"/>
                  <w:vAlign w:val="center"/>
                </w:tcPr>
                <w:p w14:paraId="1A84C1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B050B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3B448A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7BFD8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98.47</w:t>
                  </w:r>
                </w:p>
              </w:tc>
              <w:tc>
                <w:tcPr>
                  <w:tcW w:w="876" w:type="dxa"/>
                  <w:tcBorders>
                    <w:tl2br w:val="nil"/>
                    <w:tr2bl w:val="nil"/>
                  </w:tcBorders>
                  <w:shd w:val="clear" w:color="auto" w:fill="auto"/>
                  <w:vAlign w:val="center"/>
                </w:tcPr>
                <w:p w14:paraId="7EF60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-3.62</w:t>
                  </w:r>
                </w:p>
              </w:tc>
              <w:tc>
                <w:tcPr>
                  <w:tcW w:w="476" w:type="dxa"/>
                  <w:tcBorders>
                    <w:tl2br w:val="nil"/>
                    <w:tr2bl w:val="nil"/>
                  </w:tcBorders>
                  <w:shd w:val="clear" w:color="auto" w:fill="auto"/>
                  <w:vAlign w:val="center"/>
                </w:tcPr>
                <w:p w14:paraId="0B02FC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37CE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w:t>
                  </w:r>
                </w:p>
              </w:tc>
              <w:tc>
                <w:tcPr>
                  <w:tcW w:w="898" w:type="dxa"/>
                  <w:tcBorders>
                    <w:tl2br w:val="nil"/>
                    <w:tr2bl w:val="nil"/>
                  </w:tcBorders>
                  <w:shd w:val="clear" w:color="auto" w:fill="auto"/>
                  <w:vAlign w:val="center"/>
                </w:tcPr>
                <w:p w14:paraId="7138B7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44.08</w:t>
                  </w:r>
                </w:p>
              </w:tc>
              <w:tc>
                <w:tcPr>
                  <w:tcW w:w="707" w:type="dxa"/>
                  <w:tcBorders>
                    <w:tl2br w:val="nil"/>
                    <w:tr2bl w:val="nil"/>
                  </w:tcBorders>
                  <w:shd w:val="clear" w:color="auto" w:fill="auto"/>
                  <w:vAlign w:val="center"/>
                </w:tcPr>
                <w:p w14:paraId="222F2C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4DF68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CC68F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23.08</w:t>
                  </w:r>
                </w:p>
              </w:tc>
              <w:tc>
                <w:tcPr>
                  <w:tcW w:w="887" w:type="dxa"/>
                  <w:tcBorders>
                    <w:tl2br w:val="nil"/>
                    <w:tr2bl w:val="nil"/>
                  </w:tcBorders>
                  <w:shd w:val="clear" w:color="auto" w:fill="auto"/>
                  <w:vAlign w:val="center"/>
                </w:tcPr>
                <w:p w14:paraId="4353A3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79CA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08CA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846" w:type="dxa"/>
                  <w:vMerge w:val="continue"/>
                  <w:tcBorders>
                    <w:tl2br w:val="nil"/>
                    <w:tr2bl w:val="nil"/>
                  </w:tcBorders>
                  <w:shd w:val="clear" w:color="auto" w:fill="auto"/>
                  <w:vAlign w:val="center"/>
                </w:tcPr>
                <w:p w14:paraId="515697E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8CB88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电熔炉3</w:t>
                  </w:r>
                </w:p>
              </w:tc>
              <w:tc>
                <w:tcPr>
                  <w:tcW w:w="675" w:type="dxa"/>
                  <w:tcBorders>
                    <w:tl2br w:val="nil"/>
                    <w:tr2bl w:val="nil"/>
                  </w:tcBorders>
                  <w:shd w:val="clear" w:color="auto" w:fill="auto"/>
                  <w:vAlign w:val="center"/>
                </w:tcPr>
                <w:p w14:paraId="4E679E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A1FBA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FFE11E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A1F30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100.80</w:t>
                  </w:r>
                </w:p>
              </w:tc>
              <w:tc>
                <w:tcPr>
                  <w:tcW w:w="876" w:type="dxa"/>
                  <w:tcBorders>
                    <w:tl2br w:val="nil"/>
                    <w:tr2bl w:val="nil"/>
                  </w:tcBorders>
                  <w:shd w:val="clear" w:color="auto" w:fill="auto"/>
                  <w:vAlign w:val="center"/>
                </w:tcPr>
                <w:p w14:paraId="49F433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6.28</w:t>
                  </w:r>
                </w:p>
              </w:tc>
              <w:tc>
                <w:tcPr>
                  <w:tcW w:w="476" w:type="dxa"/>
                  <w:tcBorders>
                    <w:tl2br w:val="nil"/>
                    <w:tr2bl w:val="nil"/>
                  </w:tcBorders>
                  <w:shd w:val="clear" w:color="auto" w:fill="auto"/>
                  <w:vAlign w:val="center"/>
                </w:tcPr>
                <w:p w14:paraId="5686D1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FEC10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w:t>
                  </w:r>
                </w:p>
              </w:tc>
              <w:tc>
                <w:tcPr>
                  <w:tcW w:w="898" w:type="dxa"/>
                  <w:tcBorders>
                    <w:tl2br w:val="nil"/>
                    <w:tr2bl w:val="nil"/>
                  </w:tcBorders>
                  <w:shd w:val="clear" w:color="auto" w:fill="auto"/>
                  <w:vAlign w:val="center"/>
                </w:tcPr>
                <w:p w14:paraId="24BB2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43.62</w:t>
                  </w:r>
                </w:p>
              </w:tc>
              <w:tc>
                <w:tcPr>
                  <w:tcW w:w="707" w:type="dxa"/>
                  <w:tcBorders>
                    <w:tl2br w:val="nil"/>
                    <w:tr2bl w:val="nil"/>
                  </w:tcBorders>
                  <w:shd w:val="clear" w:color="auto" w:fill="auto"/>
                  <w:vAlign w:val="center"/>
                </w:tcPr>
                <w:p w14:paraId="156041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EA663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8C76D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22.62</w:t>
                  </w:r>
                </w:p>
              </w:tc>
              <w:tc>
                <w:tcPr>
                  <w:tcW w:w="887" w:type="dxa"/>
                  <w:tcBorders>
                    <w:tl2br w:val="nil"/>
                    <w:tr2bl w:val="nil"/>
                  </w:tcBorders>
                  <w:shd w:val="clear" w:color="auto" w:fill="auto"/>
                  <w:vAlign w:val="center"/>
                </w:tcPr>
                <w:p w14:paraId="2EE5C4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B2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EF455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46" w:type="dxa"/>
                  <w:vMerge w:val="continue"/>
                  <w:tcBorders>
                    <w:tl2br w:val="nil"/>
                    <w:tr2bl w:val="nil"/>
                  </w:tcBorders>
                  <w:shd w:val="clear" w:color="auto" w:fill="auto"/>
                  <w:vAlign w:val="center"/>
                </w:tcPr>
                <w:p w14:paraId="00149B8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11E46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电熔炉4</w:t>
                  </w:r>
                </w:p>
              </w:tc>
              <w:tc>
                <w:tcPr>
                  <w:tcW w:w="675" w:type="dxa"/>
                  <w:tcBorders>
                    <w:tl2br w:val="nil"/>
                    <w:tr2bl w:val="nil"/>
                  </w:tcBorders>
                  <w:shd w:val="clear" w:color="auto" w:fill="auto"/>
                  <w:vAlign w:val="center"/>
                </w:tcPr>
                <w:p w14:paraId="505859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A86CA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4C3E36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B916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103.13</w:t>
                  </w:r>
                </w:p>
              </w:tc>
              <w:tc>
                <w:tcPr>
                  <w:tcW w:w="876" w:type="dxa"/>
                  <w:tcBorders>
                    <w:tl2br w:val="nil"/>
                    <w:tr2bl w:val="nil"/>
                  </w:tcBorders>
                  <w:shd w:val="clear" w:color="auto" w:fill="auto"/>
                  <w:vAlign w:val="center"/>
                </w:tcPr>
                <w:p w14:paraId="305B34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15.02</w:t>
                  </w:r>
                </w:p>
              </w:tc>
              <w:tc>
                <w:tcPr>
                  <w:tcW w:w="476" w:type="dxa"/>
                  <w:tcBorders>
                    <w:tl2br w:val="nil"/>
                    <w:tr2bl w:val="nil"/>
                  </w:tcBorders>
                  <w:shd w:val="clear" w:color="auto" w:fill="auto"/>
                  <w:vAlign w:val="center"/>
                </w:tcPr>
                <w:p w14:paraId="64E70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DBA57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24.8</w:t>
                  </w:r>
                </w:p>
              </w:tc>
              <w:tc>
                <w:tcPr>
                  <w:tcW w:w="898" w:type="dxa"/>
                  <w:tcBorders>
                    <w:tl2br w:val="nil"/>
                    <w:tr2bl w:val="nil"/>
                  </w:tcBorders>
                  <w:shd w:val="clear" w:color="auto" w:fill="auto"/>
                  <w:vAlign w:val="center"/>
                </w:tcPr>
                <w:p w14:paraId="73CD1B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43.74</w:t>
                  </w:r>
                </w:p>
              </w:tc>
              <w:tc>
                <w:tcPr>
                  <w:tcW w:w="707" w:type="dxa"/>
                  <w:tcBorders>
                    <w:tl2br w:val="nil"/>
                    <w:tr2bl w:val="nil"/>
                  </w:tcBorders>
                  <w:shd w:val="clear" w:color="auto" w:fill="auto"/>
                  <w:vAlign w:val="center"/>
                </w:tcPr>
                <w:p w14:paraId="78A82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196E6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67233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22.74</w:t>
                  </w:r>
                </w:p>
              </w:tc>
              <w:tc>
                <w:tcPr>
                  <w:tcW w:w="887" w:type="dxa"/>
                  <w:tcBorders>
                    <w:tl2br w:val="nil"/>
                    <w:tr2bl w:val="nil"/>
                  </w:tcBorders>
                  <w:shd w:val="clear" w:color="auto" w:fill="auto"/>
                  <w:vAlign w:val="center"/>
                </w:tcPr>
                <w:p w14:paraId="73DF2D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89F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517EB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846" w:type="dxa"/>
                  <w:vMerge w:val="continue"/>
                  <w:tcBorders>
                    <w:tl2br w:val="nil"/>
                    <w:tr2bl w:val="nil"/>
                  </w:tcBorders>
                  <w:shd w:val="clear" w:color="auto" w:fill="auto"/>
                  <w:vAlign w:val="center"/>
                </w:tcPr>
                <w:p w14:paraId="604A84D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65F14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电熔炉5</w:t>
                  </w:r>
                </w:p>
              </w:tc>
              <w:tc>
                <w:tcPr>
                  <w:tcW w:w="675" w:type="dxa"/>
                  <w:tcBorders>
                    <w:tl2br w:val="nil"/>
                    <w:tr2bl w:val="nil"/>
                  </w:tcBorders>
                  <w:shd w:val="clear" w:color="auto" w:fill="auto"/>
                  <w:vAlign w:val="center"/>
                </w:tcPr>
                <w:p w14:paraId="25B442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580A4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CF8A4F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1EE82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105.17</w:t>
                  </w:r>
                </w:p>
              </w:tc>
              <w:tc>
                <w:tcPr>
                  <w:tcW w:w="876" w:type="dxa"/>
                  <w:tcBorders>
                    <w:tl2br w:val="nil"/>
                    <w:tr2bl w:val="nil"/>
                  </w:tcBorders>
                  <w:shd w:val="clear" w:color="auto" w:fill="auto"/>
                  <w:vAlign w:val="center"/>
                </w:tcPr>
                <w:p w14:paraId="4F855D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22.59</w:t>
                  </w:r>
                </w:p>
              </w:tc>
              <w:tc>
                <w:tcPr>
                  <w:tcW w:w="476" w:type="dxa"/>
                  <w:tcBorders>
                    <w:tl2br w:val="nil"/>
                    <w:tr2bl w:val="nil"/>
                  </w:tcBorders>
                  <w:shd w:val="clear" w:color="auto" w:fill="auto"/>
                  <w:vAlign w:val="center"/>
                </w:tcPr>
                <w:p w14:paraId="2A51FB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D265F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898" w:type="dxa"/>
                  <w:tcBorders>
                    <w:tl2br w:val="nil"/>
                    <w:tr2bl w:val="nil"/>
                  </w:tcBorders>
                  <w:shd w:val="clear" w:color="auto" w:fill="auto"/>
                  <w:vAlign w:val="center"/>
                </w:tcPr>
                <w:p w14:paraId="6CA7A1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44.30</w:t>
                  </w:r>
                </w:p>
              </w:tc>
              <w:tc>
                <w:tcPr>
                  <w:tcW w:w="707" w:type="dxa"/>
                  <w:tcBorders>
                    <w:tl2br w:val="nil"/>
                    <w:tr2bl w:val="nil"/>
                  </w:tcBorders>
                  <w:shd w:val="clear" w:color="auto" w:fill="auto"/>
                  <w:vAlign w:val="center"/>
                </w:tcPr>
                <w:p w14:paraId="38CE6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07472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CAACD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23.30</w:t>
                  </w:r>
                </w:p>
              </w:tc>
              <w:tc>
                <w:tcPr>
                  <w:tcW w:w="887" w:type="dxa"/>
                  <w:tcBorders>
                    <w:tl2br w:val="nil"/>
                    <w:tr2bl w:val="nil"/>
                  </w:tcBorders>
                  <w:shd w:val="clear" w:color="auto" w:fill="auto"/>
                  <w:vAlign w:val="center"/>
                </w:tcPr>
                <w:p w14:paraId="6DE035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C0D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71ADB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46" w:type="dxa"/>
                  <w:vMerge w:val="continue"/>
                  <w:tcBorders>
                    <w:tl2br w:val="nil"/>
                    <w:tr2bl w:val="nil"/>
                  </w:tcBorders>
                  <w:shd w:val="clear" w:color="auto" w:fill="auto"/>
                  <w:vAlign w:val="center"/>
                </w:tcPr>
                <w:p w14:paraId="29377EF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202C0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电熔炉6</w:t>
                  </w:r>
                </w:p>
              </w:tc>
              <w:tc>
                <w:tcPr>
                  <w:tcW w:w="675" w:type="dxa"/>
                  <w:tcBorders>
                    <w:tl2br w:val="nil"/>
                    <w:tr2bl w:val="nil"/>
                  </w:tcBorders>
                  <w:shd w:val="clear" w:color="auto" w:fill="auto"/>
                  <w:vAlign w:val="center"/>
                </w:tcPr>
                <w:p w14:paraId="35AACD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4B041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0C2CD7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DF2B4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107.50</w:t>
                  </w:r>
                </w:p>
              </w:tc>
              <w:tc>
                <w:tcPr>
                  <w:tcW w:w="876" w:type="dxa"/>
                  <w:tcBorders>
                    <w:tl2br w:val="nil"/>
                    <w:tr2bl w:val="nil"/>
                  </w:tcBorders>
                  <w:shd w:val="clear" w:color="auto" w:fill="auto"/>
                  <w:vAlign w:val="center"/>
                </w:tcPr>
                <w:p w14:paraId="660BC4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30.17</w:t>
                  </w:r>
                </w:p>
              </w:tc>
              <w:tc>
                <w:tcPr>
                  <w:tcW w:w="476" w:type="dxa"/>
                  <w:tcBorders>
                    <w:tl2br w:val="nil"/>
                    <w:tr2bl w:val="nil"/>
                  </w:tcBorders>
                  <w:shd w:val="clear" w:color="auto" w:fill="auto"/>
                  <w:vAlign w:val="center"/>
                </w:tcPr>
                <w:p w14:paraId="75C91D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4E6FA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898" w:type="dxa"/>
                  <w:tcBorders>
                    <w:tl2br w:val="nil"/>
                    <w:tr2bl w:val="nil"/>
                  </w:tcBorders>
                  <w:shd w:val="clear" w:color="auto" w:fill="auto"/>
                  <w:vAlign w:val="center"/>
                </w:tcPr>
                <w:p w14:paraId="6BF1C4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46.15</w:t>
                  </w:r>
                </w:p>
              </w:tc>
              <w:tc>
                <w:tcPr>
                  <w:tcW w:w="707" w:type="dxa"/>
                  <w:tcBorders>
                    <w:tl2br w:val="nil"/>
                    <w:tr2bl w:val="nil"/>
                  </w:tcBorders>
                  <w:shd w:val="clear" w:color="auto" w:fill="auto"/>
                  <w:vAlign w:val="center"/>
                </w:tcPr>
                <w:p w14:paraId="371FF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79E4F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38D9D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25.15</w:t>
                  </w:r>
                </w:p>
              </w:tc>
              <w:tc>
                <w:tcPr>
                  <w:tcW w:w="887" w:type="dxa"/>
                  <w:tcBorders>
                    <w:tl2br w:val="nil"/>
                    <w:tr2bl w:val="nil"/>
                  </w:tcBorders>
                  <w:shd w:val="clear" w:color="auto" w:fill="auto"/>
                  <w:vAlign w:val="center"/>
                </w:tcPr>
                <w:p w14:paraId="0A90D0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32A9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5EA6D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846" w:type="dxa"/>
                  <w:vMerge w:val="continue"/>
                  <w:tcBorders>
                    <w:tl2br w:val="nil"/>
                    <w:tr2bl w:val="nil"/>
                  </w:tcBorders>
                  <w:shd w:val="clear" w:color="auto" w:fill="auto"/>
                  <w:vAlign w:val="center"/>
                </w:tcPr>
                <w:p w14:paraId="0330AAB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B1516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除角机1</w:t>
                  </w:r>
                </w:p>
              </w:tc>
              <w:tc>
                <w:tcPr>
                  <w:tcW w:w="675" w:type="dxa"/>
                  <w:tcBorders>
                    <w:tl2br w:val="nil"/>
                    <w:tr2bl w:val="nil"/>
                  </w:tcBorders>
                  <w:shd w:val="clear" w:color="auto" w:fill="auto"/>
                  <w:vAlign w:val="center"/>
                </w:tcPr>
                <w:p w14:paraId="14EE71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08826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6D4EFA8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928C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119.27</w:t>
                  </w:r>
                </w:p>
              </w:tc>
              <w:tc>
                <w:tcPr>
                  <w:tcW w:w="876" w:type="dxa"/>
                  <w:tcBorders>
                    <w:tl2br w:val="nil"/>
                    <w:tr2bl w:val="nil"/>
                  </w:tcBorders>
                  <w:shd w:val="clear" w:color="auto" w:fill="auto"/>
                  <w:vAlign w:val="center"/>
                </w:tcPr>
                <w:p w14:paraId="64E92A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-21.44</w:t>
                  </w:r>
                </w:p>
              </w:tc>
              <w:tc>
                <w:tcPr>
                  <w:tcW w:w="476" w:type="dxa"/>
                  <w:tcBorders>
                    <w:tl2br w:val="nil"/>
                    <w:tr2bl w:val="nil"/>
                  </w:tcBorders>
                  <w:shd w:val="clear" w:color="auto" w:fill="auto"/>
                  <w:vAlign w:val="center"/>
                </w:tcPr>
                <w:p w14:paraId="60988D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B69A7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898" w:type="dxa"/>
                  <w:tcBorders>
                    <w:tl2br w:val="nil"/>
                    <w:tr2bl w:val="nil"/>
                  </w:tcBorders>
                  <w:shd w:val="clear" w:color="auto" w:fill="auto"/>
                  <w:vAlign w:val="center"/>
                </w:tcPr>
                <w:p w14:paraId="353392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57.00</w:t>
                  </w:r>
                </w:p>
              </w:tc>
              <w:tc>
                <w:tcPr>
                  <w:tcW w:w="707" w:type="dxa"/>
                  <w:tcBorders>
                    <w:tl2br w:val="nil"/>
                    <w:tr2bl w:val="nil"/>
                  </w:tcBorders>
                  <w:shd w:val="clear" w:color="auto" w:fill="auto"/>
                  <w:vAlign w:val="center"/>
                </w:tcPr>
                <w:p w14:paraId="2265CB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32304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0F792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36.00</w:t>
                  </w:r>
                </w:p>
              </w:tc>
              <w:tc>
                <w:tcPr>
                  <w:tcW w:w="887" w:type="dxa"/>
                  <w:tcBorders>
                    <w:tl2br w:val="nil"/>
                    <w:tr2bl w:val="nil"/>
                  </w:tcBorders>
                  <w:shd w:val="clear" w:color="auto" w:fill="auto"/>
                  <w:vAlign w:val="center"/>
                </w:tcPr>
                <w:p w14:paraId="1DF02A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47C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3126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846" w:type="dxa"/>
                  <w:vMerge w:val="continue"/>
                  <w:tcBorders>
                    <w:tl2br w:val="nil"/>
                    <w:tr2bl w:val="nil"/>
                  </w:tcBorders>
                  <w:shd w:val="clear" w:color="auto" w:fill="auto"/>
                  <w:vAlign w:val="center"/>
                </w:tcPr>
                <w:p w14:paraId="2441B59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40B15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除角机2</w:t>
                  </w:r>
                </w:p>
              </w:tc>
              <w:tc>
                <w:tcPr>
                  <w:tcW w:w="675" w:type="dxa"/>
                  <w:tcBorders>
                    <w:tl2br w:val="nil"/>
                    <w:tr2bl w:val="nil"/>
                  </w:tcBorders>
                  <w:shd w:val="clear" w:color="auto" w:fill="auto"/>
                  <w:vAlign w:val="center"/>
                </w:tcPr>
                <w:p w14:paraId="1352ED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06F02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603C8AA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84AB0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121.30</w:t>
                  </w:r>
                </w:p>
              </w:tc>
              <w:tc>
                <w:tcPr>
                  <w:tcW w:w="876" w:type="dxa"/>
                  <w:tcBorders>
                    <w:tl2br w:val="nil"/>
                    <w:tr2bl w:val="nil"/>
                  </w:tcBorders>
                  <w:shd w:val="clear" w:color="auto" w:fill="auto"/>
                  <w:vAlign w:val="center"/>
                </w:tcPr>
                <w:p w14:paraId="599F25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-11.83</w:t>
                  </w:r>
                </w:p>
              </w:tc>
              <w:tc>
                <w:tcPr>
                  <w:tcW w:w="476" w:type="dxa"/>
                  <w:tcBorders>
                    <w:tl2br w:val="nil"/>
                    <w:tr2bl w:val="nil"/>
                  </w:tcBorders>
                  <w:shd w:val="clear" w:color="auto" w:fill="auto"/>
                  <w:vAlign w:val="center"/>
                </w:tcPr>
                <w:p w14:paraId="36E27A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C0472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898" w:type="dxa"/>
                  <w:tcBorders>
                    <w:tl2br w:val="nil"/>
                    <w:tr2bl w:val="nil"/>
                  </w:tcBorders>
                  <w:shd w:val="clear" w:color="auto" w:fill="auto"/>
                  <w:vAlign w:val="center"/>
                </w:tcPr>
                <w:p w14:paraId="7F8C7C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54.24</w:t>
                  </w:r>
                </w:p>
              </w:tc>
              <w:tc>
                <w:tcPr>
                  <w:tcW w:w="707" w:type="dxa"/>
                  <w:tcBorders>
                    <w:tl2br w:val="nil"/>
                    <w:tr2bl w:val="nil"/>
                  </w:tcBorders>
                  <w:shd w:val="clear" w:color="auto" w:fill="auto"/>
                  <w:vAlign w:val="center"/>
                </w:tcPr>
                <w:p w14:paraId="4ADB3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0A37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032FE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33.24</w:t>
                  </w:r>
                </w:p>
              </w:tc>
              <w:tc>
                <w:tcPr>
                  <w:tcW w:w="887" w:type="dxa"/>
                  <w:tcBorders>
                    <w:tl2br w:val="nil"/>
                    <w:tr2bl w:val="nil"/>
                  </w:tcBorders>
                  <w:shd w:val="clear" w:color="auto" w:fill="auto"/>
                  <w:vAlign w:val="center"/>
                </w:tcPr>
                <w:p w14:paraId="598A76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6FF7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7504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46" w:type="dxa"/>
                  <w:vMerge w:val="continue"/>
                  <w:tcBorders>
                    <w:tl2br w:val="nil"/>
                    <w:tr2bl w:val="nil"/>
                  </w:tcBorders>
                  <w:shd w:val="clear" w:color="auto" w:fill="auto"/>
                  <w:vAlign w:val="center"/>
                </w:tcPr>
                <w:p w14:paraId="1FC8E94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F7EBD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除角机3</w:t>
                  </w:r>
                </w:p>
              </w:tc>
              <w:tc>
                <w:tcPr>
                  <w:tcW w:w="675" w:type="dxa"/>
                  <w:tcBorders>
                    <w:tl2br w:val="nil"/>
                    <w:tr2bl w:val="nil"/>
                  </w:tcBorders>
                  <w:shd w:val="clear" w:color="auto" w:fill="auto"/>
                  <w:vAlign w:val="center"/>
                </w:tcPr>
                <w:p w14:paraId="77A823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3E56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2C2A8A1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B7207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123.63</w:t>
                  </w:r>
                </w:p>
              </w:tc>
              <w:tc>
                <w:tcPr>
                  <w:tcW w:w="876" w:type="dxa"/>
                  <w:tcBorders>
                    <w:tl2br w:val="nil"/>
                    <w:tr2bl w:val="nil"/>
                  </w:tcBorders>
                  <w:shd w:val="clear" w:color="auto" w:fill="auto"/>
                  <w:vAlign w:val="center"/>
                </w:tcPr>
                <w:p w14:paraId="20C1AC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w:t>
                  </w:r>
                </w:p>
              </w:tc>
              <w:tc>
                <w:tcPr>
                  <w:tcW w:w="476" w:type="dxa"/>
                  <w:tcBorders>
                    <w:tl2br w:val="nil"/>
                    <w:tr2bl w:val="nil"/>
                  </w:tcBorders>
                  <w:shd w:val="clear" w:color="auto" w:fill="auto"/>
                  <w:vAlign w:val="center"/>
                </w:tcPr>
                <w:p w14:paraId="19CF08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82277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898" w:type="dxa"/>
                  <w:tcBorders>
                    <w:tl2br w:val="nil"/>
                    <w:tr2bl w:val="nil"/>
                  </w:tcBorders>
                  <w:shd w:val="clear" w:color="auto" w:fill="auto"/>
                  <w:vAlign w:val="center"/>
                </w:tcPr>
                <w:p w14:paraId="4E0FBA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53.70</w:t>
                  </w:r>
                </w:p>
              </w:tc>
              <w:tc>
                <w:tcPr>
                  <w:tcW w:w="707" w:type="dxa"/>
                  <w:tcBorders>
                    <w:tl2br w:val="nil"/>
                    <w:tr2bl w:val="nil"/>
                  </w:tcBorders>
                  <w:shd w:val="clear" w:color="auto" w:fill="auto"/>
                  <w:vAlign w:val="center"/>
                </w:tcPr>
                <w:p w14:paraId="6D79F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2D79E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1E0AE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32.70</w:t>
                  </w:r>
                </w:p>
              </w:tc>
              <w:tc>
                <w:tcPr>
                  <w:tcW w:w="887" w:type="dxa"/>
                  <w:tcBorders>
                    <w:tl2br w:val="nil"/>
                    <w:tr2bl w:val="nil"/>
                  </w:tcBorders>
                  <w:shd w:val="clear" w:color="auto" w:fill="auto"/>
                  <w:vAlign w:val="center"/>
                </w:tcPr>
                <w:p w14:paraId="56EC6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FF1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023A5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846" w:type="dxa"/>
                  <w:vMerge w:val="continue"/>
                  <w:tcBorders>
                    <w:tl2br w:val="nil"/>
                    <w:tr2bl w:val="nil"/>
                  </w:tcBorders>
                  <w:shd w:val="clear" w:color="auto" w:fill="auto"/>
                  <w:vAlign w:val="center"/>
                </w:tcPr>
                <w:p w14:paraId="32A8877F">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74086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除角机4</w:t>
                  </w:r>
                </w:p>
              </w:tc>
              <w:tc>
                <w:tcPr>
                  <w:tcW w:w="675" w:type="dxa"/>
                  <w:tcBorders>
                    <w:tl2br w:val="nil"/>
                    <w:tr2bl w:val="nil"/>
                  </w:tcBorders>
                  <w:shd w:val="clear" w:color="auto" w:fill="auto"/>
                  <w:vAlign w:val="center"/>
                </w:tcPr>
                <w:p w14:paraId="410644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BDF0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3FBBD05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64094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125.09</w:t>
                  </w:r>
                </w:p>
              </w:tc>
              <w:tc>
                <w:tcPr>
                  <w:tcW w:w="876" w:type="dxa"/>
                  <w:tcBorders>
                    <w:tl2br w:val="nil"/>
                    <w:tr2bl w:val="nil"/>
                  </w:tcBorders>
                  <w:shd w:val="clear" w:color="auto" w:fill="auto"/>
                  <w:vAlign w:val="center"/>
                </w:tcPr>
                <w:p w14:paraId="354978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6.52</w:t>
                  </w:r>
                </w:p>
              </w:tc>
              <w:tc>
                <w:tcPr>
                  <w:tcW w:w="476" w:type="dxa"/>
                  <w:tcBorders>
                    <w:tl2br w:val="nil"/>
                    <w:tr2bl w:val="nil"/>
                  </w:tcBorders>
                  <w:shd w:val="clear" w:color="auto" w:fill="auto"/>
                  <w:vAlign w:val="center"/>
                </w:tcPr>
                <w:p w14:paraId="7B857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3E07B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26.2</w:t>
                  </w:r>
                </w:p>
              </w:tc>
              <w:tc>
                <w:tcPr>
                  <w:tcW w:w="898" w:type="dxa"/>
                  <w:tcBorders>
                    <w:tl2br w:val="nil"/>
                    <w:tr2bl w:val="nil"/>
                  </w:tcBorders>
                  <w:shd w:val="clear" w:color="auto" w:fill="auto"/>
                  <w:vAlign w:val="center"/>
                </w:tcPr>
                <w:p w14:paraId="3F3764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53.69</w:t>
                  </w:r>
                </w:p>
              </w:tc>
              <w:tc>
                <w:tcPr>
                  <w:tcW w:w="707" w:type="dxa"/>
                  <w:tcBorders>
                    <w:tl2br w:val="nil"/>
                    <w:tr2bl w:val="nil"/>
                  </w:tcBorders>
                  <w:shd w:val="clear" w:color="auto" w:fill="auto"/>
                  <w:vAlign w:val="center"/>
                </w:tcPr>
                <w:p w14:paraId="292C00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694C1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9704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32.69</w:t>
                  </w:r>
                </w:p>
              </w:tc>
              <w:tc>
                <w:tcPr>
                  <w:tcW w:w="887" w:type="dxa"/>
                  <w:tcBorders>
                    <w:tl2br w:val="nil"/>
                    <w:tr2bl w:val="nil"/>
                  </w:tcBorders>
                  <w:shd w:val="clear" w:color="auto" w:fill="auto"/>
                  <w:vAlign w:val="center"/>
                </w:tcPr>
                <w:p w14:paraId="553641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F60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FDE96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846" w:type="dxa"/>
                  <w:vMerge w:val="continue"/>
                  <w:tcBorders>
                    <w:tl2br w:val="nil"/>
                    <w:tr2bl w:val="nil"/>
                  </w:tcBorders>
                  <w:shd w:val="clear" w:color="auto" w:fill="auto"/>
                  <w:vAlign w:val="center"/>
                </w:tcPr>
                <w:p w14:paraId="2D8D020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60E89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除角机5</w:t>
                  </w:r>
                </w:p>
              </w:tc>
              <w:tc>
                <w:tcPr>
                  <w:tcW w:w="675" w:type="dxa"/>
                  <w:tcBorders>
                    <w:tl2br w:val="nil"/>
                    <w:tr2bl w:val="nil"/>
                  </w:tcBorders>
                  <w:shd w:val="clear" w:color="auto" w:fill="auto"/>
                  <w:vAlign w:val="center"/>
                </w:tcPr>
                <w:p w14:paraId="521C68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1A374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5DC1BBD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62CA9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126.55</w:t>
                  </w:r>
                </w:p>
              </w:tc>
              <w:tc>
                <w:tcPr>
                  <w:tcW w:w="876" w:type="dxa"/>
                  <w:tcBorders>
                    <w:tl2br w:val="nil"/>
                    <w:tr2bl w:val="nil"/>
                  </w:tcBorders>
                  <w:shd w:val="clear" w:color="auto" w:fill="auto"/>
                  <w:vAlign w:val="center"/>
                </w:tcPr>
                <w:p w14:paraId="2DFE66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15.84</w:t>
                  </w:r>
                </w:p>
              </w:tc>
              <w:tc>
                <w:tcPr>
                  <w:tcW w:w="476" w:type="dxa"/>
                  <w:tcBorders>
                    <w:tl2br w:val="nil"/>
                    <w:tr2bl w:val="nil"/>
                  </w:tcBorders>
                  <w:shd w:val="clear" w:color="auto" w:fill="auto"/>
                  <w:vAlign w:val="center"/>
                </w:tcPr>
                <w:p w14:paraId="25C4D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3DD2A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898" w:type="dxa"/>
                  <w:tcBorders>
                    <w:tl2br w:val="nil"/>
                    <w:tr2bl w:val="nil"/>
                  </w:tcBorders>
                  <w:shd w:val="clear" w:color="auto" w:fill="auto"/>
                  <w:vAlign w:val="center"/>
                </w:tcPr>
                <w:p w14:paraId="2A23A6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54.29</w:t>
                  </w:r>
                </w:p>
              </w:tc>
              <w:tc>
                <w:tcPr>
                  <w:tcW w:w="707" w:type="dxa"/>
                  <w:tcBorders>
                    <w:tl2br w:val="nil"/>
                    <w:tr2bl w:val="nil"/>
                  </w:tcBorders>
                  <w:shd w:val="clear" w:color="auto" w:fill="auto"/>
                  <w:vAlign w:val="center"/>
                </w:tcPr>
                <w:p w14:paraId="026566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8A07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A350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33.29</w:t>
                  </w:r>
                </w:p>
              </w:tc>
              <w:tc>
                <w:tcPr>
                  <w:tcW w:w="887" w:type="dxa"/>
                  <w:tcBorders>
                    <w:tl2br w:val="nil"/>
                    <w:tr2bl w:val="nil"/>
                  </w:tcBorders>
                  <w:shd w:val="clear" w:color="auto" w:fill="auto"/>
                  <w:vAlign w:val="center"/>
                </w:tcPr>
                <w:p w14:paraId="5B1232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05C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DE15C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46" w:type="dxa"/>
                  <w:vMerge w:val="continue"/>
                  <w:tcBorders>
                    <w:tl2br w:val="nil"/>
                    <w:tr2bl w:val="nil"/>
                  </w:tcBorders>
                  <w:shd w:val="clear" w:color="auto" w:fill="auto"/>
                  <w:vAlign w:val="center"/>
                </w:tcPr>
                <w:p w14:paraId="4750588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249F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除角机6</w:t>
                  </w:r>
                </w:p>
              </w:tc>
              <w:tc>
                <w:tcPr>
                  <w:tcW w:w="675" w:type="dxa"/>
                  <w:tcBorders>
                    <w:tl2br w:val="nil"/>
                    <w:tr2bl w:val="nil"/>
                  </w:tcBorders>
                  <w:shd w:val="clear" w:color="auto" w:fill="auto"/>
                  <w:vAlign w:val="center"/>
                </w:tcPr>
                <w:p w14:paraId="6AAD10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6C97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600" w:type="dxa"/>
                  <w:vMerge w:val="continue"/>
                  <w:tcBorders>
                    <w:tl2br w:val="nil"/>
                    <w:tr2bl w:val="nil"/>
                  </w:tcBorders>
                  <w:shd w:val="clear" w:color="auto" w:fill="auto"/>
                  <w:vAlign w:val="center"/>
                </w:tcPr>
                <w:p w14:paraId="23CBCCF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65E0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128.88</w:t>
                  </w:r>
                </w:p>
              </w:tc>
              <w:tc>
                <w:tcPr>
                  <w:tcW w:w="876" w:type="dxa"/>
                  <w:tcBorders>
                    <w:tl2br w:val="nil"/>
                    <w:tr2bl w:val="nil"/>
                  </w:tcBorders>
                  <w:shd w:val="clear" w:color="auto" w:fill="auto"/>
                  <w:vAlign w:val="center"/>
                </w:tcPr>
                <w:p w14:paraId="111C74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23.70</w:t>
                  </w:r>
                </w:p>
              </w:tc>
              <w:tc>
                <w:tcPr>
                  <w:tcW w:w="476" w:type="dxa"/>
                  <w:tcBorders>
                    <w:tl2br w:val="nil"/>
                    <w:tr2bl w:val="nil"/>
                  </w:tcBorders>
                  <w:shd w:val="clear" w:color="auto" w:fill="auto"/>
                  <w:vAlign w:val="center"/>
                </w:tcPr>
                <w:p w14:paraId="06CC1B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2A4A2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898" w:type="dxa"/>
                  <w:tcBorders>
                    <w:tl2br w:val="nil"/>
                    <w:tr2bl w:val="nil"/>
                  </w:tcBorders>
                  <w:shd w:val="clear" w:color="auto" w:fill="auto"/>
                  <w:vAlign w:val="center"/>
                </w:tcPr>
                <w:p w14:paraId="7CCFC7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56.15</w:t>
                  </w:r>
                </w:p>
              </w:tc>
              <w:tc>
                <w:tcPr>
                  <w:tcW w:w="707" w:type="dxa"/>
                  <w:tcBorders>
                    <w:tl2br w:val="nil"/>
                    <w:tr2bl w:val="nil"/>
                  </w:tcBorders>
                  <w:shd w:val="clear" w:color="auto" w:fill="auto"/>
                  <w:vAlign w:val="center"/>
                </w:tcPr>
                <w:p w14:paraId="0DFF6E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D5EAF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3D79D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35.15</w:t>
                  </w:r>
                </w:p>
              </w:tc>
              <w:tc>
                <w:tcPr>
                  <w:tcW w:w="887" w:type="dxa"/>
                  <w:tcBorders>
                    <w:tl2br w:val="nil"/>
                    <w:tr2bl w:val="nil"/>
                  </w:tcBorders>
                  <w:shd w:val="clear" w:color="auto" w:fill="auto"/>
                  <w:vAlign w:val="center"/>
                </w:tcPr>
                <w:p w14:paraId="66B25D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48BA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E47AE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846" w:type="dxa"/>
                  <w:vMerge w:val="continue"/>
                  <w:tcBorders>
                    <w:tl2br w:val="nil"/>
                    <w:tr2bl w:val="nil"/>
                  </w:tcBorders>
                  <w:shd w:val="clear" w:color="auto" w:fill="auto"/>
                  <w:vAlign w:val="center"/>
                </w:tcPr>
                <w:p w14:paraId="34D5A01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0B3F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分筛机1</w:t>
                  </w:r>
                </w:p>
              </w:tc>
              <w:tc>
                <w:tcPr>
                  <w:tcW w:w="675" w:type="dxa"/>
                  <w:tcBorders>
                    <w:tl2br w:val="nil"/>
                    <w:tr2bl w:val="nil"/>
                  </w:tcBorders>
                  <w:shd w:val="clear" w:color="auto" w:fill="auto"/>
                  <w:vAlign w:val="center"/>
                </w:tcPr>
                <w:p w14:paraId="1EB42A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9BE1C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6C7FF3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09BD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154.22</w:t>
                  </w:r>
                </w:p>
              </w:tc>
              <w:tc>
                <w:tcPr>
                  <w:tcW w:w="876" w:type="dxa"/>
                  <w:tcBorders>
                    <w:tl2br w:val="nil"/>
                    <w:tr2bl w:val="nil"/>
                  </w:tcBorders>
                  <w:shd w:val="clear" w:color="auto" w:fill="auto"/>
                  <w:vAlign w:val="center"/>
                </w:tcPr>
                <w:p w14:paraId="2B3D94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-30.91</w:t>
                  </w:r>
                </w:p>
              </w:tc>
              <w:tc>
                <w:tcPr>
                  <w:tcW w:w="476" w:type="dxa"/>
                  <w:tcBorders>
                    <w:tl2br w:val="nil"/>
                    <w:tr2bl w:val="nil"/>
                  </w:tcBorders>
                  <w:shd w:val="clear" w:color="auto" w:fill="auto"/>
                  <w:vAlign w:val="center"/>
                </w:tcPr>
                <w:p w14:paraId="0DD1D4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AA274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w:t>
                  </w:r>
                </w:p>
              </w:tc>
              <w:tc>
                <w:tcPr>
                  <w:tcW w:w="898" w:type="dxa"/>
                  <w:tcBorders>
                    <w:tl2br w:val="nil"/>
                    <w:tr2bl w:val="nil"/>
                  </w:tcBorders>
                  <w:shd w:val="clear" w:color="auto" w:fill="auto"/>
                  <w:vAlign w:val="center"/>
                </w:tcPr>
                <w:p w14:paraId="0552AE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51.87</w:t>
                  </w:r>
                </w:p>
              </w:tc>
              <w:tc>
                <w:tcPr>
                  <w:tcW w:w="707" w:type="dxa"/>
                  <w:tcBorders>
                    <w:tl2br w:val="nil"/>
                    <w:tr2bl w:val="nil"/>
                  </w:tcBorders>
                  <w:shd w:val="clear" w:color="auto" w:fill="auto"/>
                  <w:vAlign w:val="center"/>
                </w:tcPr>
                <w:p w14:paraId="573073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A4FA0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F4013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30.87</w:t>
                  </w:r>
                </w:p>
              </w:tc>
              <w:tc>
                <w:tcPr>
                  <w:tcW w:w="887" w:type="dxa"/>
                  <w:tcBorders>
                    <w:tl2br w:val="nil"/>
                    <w:tr2bl w:val="nil"/>
                  </w:tcBorders>
                  <w:shd w:val="clear" w:color="auto" w:fill="auto"/>
                  <w:vAlign w:val="center"/>
                </w:tcPr>
                <w:p w14:paraId="259DA8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1CFF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5F31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846" w:type="dxa"/>
                  <w:vMerge w:val="continue"/>
                  <w:tcBorders>
                    <w:tl2br w:val="nil"/>
                    <w:tr2bl w:val="nil"/>
                  </w:tcBorders>
                  <w:shd w:val="clear" w:color="auto" w:fill="auto"/>
                  <w:vAlign w:val="center"/>
                </w:tcPr>
                <w:p w14:paraId="1DDAD9F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C2207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分筛机2</w:t>
                  </w:r>
                </w:p>
              </w:tc>
              <w:tc>
                <w:tcPr>
                  <w:tcW w:w="675" w:type="dxa"/>
                  <w:tcBorders>
                    <w:tl2br w:val="nil"/>
                    <w:tr2bl w:val="nil"/>
                  </w:tcBorders>
                  <w:shd w:val="clear" w:color="auto" w:fill="auto"/>
                  <w:vAlign w:val="center"/>
                </w:tcPr>
                <w:p w14:paraId="66985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13B0A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2AE827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7843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155.96</w:t>
                  </w:r>
                </w:p>
              </w:tc>
              <w:tc>
                <w:tcPr>
                  <w:tcW w:w="876" w:type="dxa"/>
                  <w:tcBorders>
                    <w:tl2br w:val="nil"/>
                    <w:tr2bl w:val="nil"/>
                  </w:tcBorders>
                  <w:shd w:val="clear" w:color="auto" w:fill="auto"/>
                  <w:vAlign w:val="center"/>
                </w:tcPr>
                <w:p w14:paraId="20293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-23.63</w:t>
                  </w:r>
                </w:p>
              </w:tc>
              <w:tc>
                <w:tcPr>
                  <w:tcW w:w="476" w:type="dxa"/>
                  <w:tcBorders>
                    <w:tl2br w:val="nil"/>
                    <w:tr2bl w:val="nil"/>
                  </w:tcBorders>
                  <w:shd w:val="clear" w:color="auto" w:fill="auto"/>
                  <w:vAlign w:val="center"/>
                </w:tcPr>
                <w:p w14:paraId="5384F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3DDB3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898" w:type="dxa"/>
                  <w:tcBorders>
                    <w:tl2br w:val="nil"/>
                    <w:tr2bl w:val="nil"/>
                  </w:tcBorders>
                  <w:shd w:val="clear" w:color="auto" w:fill="auto"/>
                  <w:vAlign w:val="center"/>
                </w:tcPr>
                <w:p w14:paraId="784ACE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49.43</w:t>
                  </w:r>
                </w:p>
              </w:tc>
              <w:tc>
                <w:tcPr>
                  <w:tcW w:w="707" w:type="dxa"/>
                  <w:tcBorders>
                    <w:tl2br w:val="nil"/>
                    <w:tr2bl w:val="nil"/>
                  </w:tcBorders>
                  <w:shd w:val="clear" w:color="auto" w:fill="auto"/>
                  <w:vAlign w:val="center"/>
                </w:tcPr>
                <w:p w14:paraId="28E00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8224E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0C461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28.43</w:t>
                  </w:r>
                </w:p>
              </w:tc>
              <w:tc>
                <w:tcPr>
                  <w:tcW w:w="887" w:type="dxa"/>
                  <w:tcBorders>
                    <w:tl2br w:val="nil"/>
                    <w:tr2bl w:val="nil"/>
                  </w:tcBorders>
                  <w:shd w:val="clear" w:color="auto" w:fill="auto"/>
                  <w:vAlign w:val="center"/>
                </w:tcPr>
                <w:p w14:paraId="5E6CFD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211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9D773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846" w:type="dxa"/>
                  <w:vMerge w:val="continue"/>
                  <w:tcBorders>
                    <w:tl2br w:val="nil"/>
                    <w:tr2bl w:val="nil"/>
                  </w:tcBorders>
                  <w:shd w:val="clear" w:color="auto" w:fill="auto"/>
                  <w:vAlign w:val="center"/>
                </w:tcPr>
                <w:p w14:paraId="797D3C4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B3111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分筛机3</w:t>
                  </w:r>
                </w:p>
              </w:tc>
              <w:tc>
                <w:tcPr>
                  <w:tcW w:w="675" w:type="dxa"/>
                  <w:tcBorders>
                    <w:tl2br w:val="nil"/>
                    <w:tr2bl w:val="nil"/>
                  </w:tcBorders>
                  <w:shd w:val="clear" w:color="auto" w:fill="auto"/>
                  <w:vAlign w:val="center"/>
                </w:tcPr>
                <w:p w14:paraId="77C2B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8D0FC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3C3AC0B">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FEC05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157.71</w:t>
                  </w:r>
                </w:p>
              </w:tc>
              <w:tc>
                <w:tcPr>
                  <w:tcW w:w="876" w:type="dxa"/>
                  <w:tcBorders>
                    <w:tl2br w:val="nil"/>
                    <w:tr2bl w:val="nil"/>
                  </w:tcBorders>
                  <w:shd w:val="clear" w:color="auto" w:fill="auto"/>
                  <w:vAlign w:val="center"/>
                </w:tcPr>
                <w:p w14:paraId="032509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-15.18</w:t>
                  </w:r>
                </w:p>
              </w:tc>
              <w:tc>
                <w:tcPr>
                  <w:tcW w:w="476" w:type="dxa"/>
                  <w:tcBorders>
                    <w:tl2br w:val="nil"/>
                    <w:tr2bl w:val="nil"/>
                  </w:tcBorders>
                  <w:shd w:val="clear" w:color="auto" w:fill="auto"/>
                  <w:vAlign w:val="center"/>
                </w:tcPr>
                <w:p w14:paraId="01F367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0D509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24.4</w:t>
                  </w:r>
                </w:p>
              </w:tc>
              <w:tc>
                <w:tcPr>
                  <w:tcW w:w="898" w:type="dxa"/>
                  <w:tcBorders>
                    <w:tl2br w:val="nil"/>
                    <w:tr2bl w:val="nil"/>
                  </w:tcBorders>
                  <w:shd w:val="clear" w:color="auto" w:fill="auto"/>
                  <w:vAlign w:val="center"/>
                </w:tcPr>
                <w:p w14:paraId="4B8D0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48.76</w:t>
                  </w:r>
                </w:p>
              </w:tc>
              <w:tc>
                <w:tcPr>
                  <w:tcW w:w="707" w:type="dxa"/>
                  <w:tcBorders>
                    <w:tl2br w:val="nil"/>
                    <w:tr2bl w:val="nil"/>
                  </w:tcBorders>
                  <w:shd w:val="clear" w:color="auto" w:fill="auto"/>
                  <w:vAlign w:val="center"/>
                </w:tcPr>
                <w:p w14:paraId="291B7F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1BC2A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55EE4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27.76</w:t>
                  </w:r>
                </w:p>
              </w:tc>
              <w:tc>
                <w:tcPr>
                  <w:tcW w:w="887" w:type="dxa"/>
                  <w:tcBorders>
                    <w:tl2br w:val="nil"/>
                    <w:tr2bl w:val="nil"/>
                  </w:tcBorders>
                  <w:shd w:val="clear" w:color="auto" w:fill="auto"/>
                  <w:vAlign w:val="center"/>
                </w:tcPr>
                <w:p w14:paraId="34263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1B1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CA303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846" w:type="dxa"/>
                  <w:vMerge w:val="continue"/>
                  <w:tcBorders>
                    <w:tl2br w:val="nil"/>
                    <w:tr2bl w:val="nil"/>
                  </w:tcBorders>
                  <w:shd w:val="clear" w:color="auto" w:fill="auto"/>
                  <w:vAlign w:val="center"/>
                </w:tcPr>
                <w:p w14:paraId="5ED6E9C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903B5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分筛机4</w:t>
                  </w:r>
                </w:p>
              </w:tc>
              <w:tc>
                <w:tcPr>
                  <w:tcW w:w="675" w:type="dxa"/>
                  <w:tcBorders>
                    <w:tl2br w:val="nil"/>
                    <w:tr2bl w:val="nil"/>
                  </w:tcBorders>
                  <w:shd w:val="clear" w:color="auto" w:fill="auto"/>
                  <w:vAlign w:val="center"/>
                </w:tcPr>
                <w:p w14:paraId="443FAD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EAA51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8B9E6C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C82D2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159.75</w:t>
                  </w:r>
                </w:p>
              </w:tc>
              <w:tc>
                <w:tcPr>
                  <w:tcW w:w="876" w:type="dxa"/>
                  <w:tcBorders>
                    <w:tl2br w:val="nil"/>
                    <w:tr2bl w:val="nil"/>
                  </w:tcBorders>
                  <w:shd w:val="clear" w:color="auto" w:fill="auto"/>
                  <w:vAlign w:val="center"/>
                </w:tcPr>
                <w:p w14:paraId="12F01F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-7.32</w:t>
                  </w:r>
                </w:p>
              </w:tc>
              <w:tc>
                <w:tcPr>
                  <w:tcW w:w="476" w:type="dxa"/>
                  <w:tcBorders>
                    <w:tl2br w:val="nil"/>
                    <w:tr2bl w:val="nil"/>
                  </w:tcBorders>
                  <w:shd w:val="clear" w:color="auto" w:fill="auto"/>
                  <w:vAlign w:val="center"/>
                </w:tcPr>
                <w:p w14:paraId="60A7B9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9E4E1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30.2</w:t>
                  </w:r>
                </w:p>
              </w:tc>
              <w:tc>
                <w:tcPr>
                  <w:tcW w:w="898" w:type="dxa"/>
                  <w:tcBorders>
                    <w:tl2br w:val="nil"/>
                    <w:tr2bl w:val="nil"/>
                  </w:tcBorders>
                  <w:shd w:val="clear" w:color="auto" w:fill="auto"/>
                  <w:vAlign w:val="center"/>
                </w:tcPr>
                <w:p w14:paraId="6FE6A1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48.59</w:t>
                  </w:r>
                </w:p>
              </w:tc>
              <w:tc>
                <w:tcPr>
                  <w:tcW w:w="707" w:type="dxa"/>
                  <w:tcBorders>
                    <w:tl2br w:val="nil"/>
                    <w:tr2bl w:val="nil"/>
                  </w:tcBorders>
                  <w:shd w:val="clear" w:color="auto" w:fill="auto"/>
                  <w:vAlign w:val="center"/>
                </w:tcPr>
                <w:p w14:paraId="251516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0008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CCC68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27.59</w:t>
                  </w:r>
                </w:p>
              </w:tc>
              <w:tc>
                <w:tcPr>
                  <w:tcW w:w="887" w:type="dxa"/>
                  <w:tcBorders>
                    <w:tl2br w:val="nil"/>
                    <w:tr2bl w:val="nil"/>
                  </w:tcBorders>
                  <w:shd w:val="clear" w:color="auto" w:fill="auto"/>
                  <w:vAlign w:val="center"/>
                </w:tcPr>
                <w:p w14:paraId="298BF1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340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8AB5E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46" w:type="dxa"/>
                  <w:vMerge w:val="continue"/>
                  <w:tcBorders>
                    <w:tl2br w:val="nil"/>
                    <w:tr2bl w:val="nil"/>
                  </w:tcBorders>
                  <w:shd w:val="clear" w:color="auto" w:fill="auto"/>
                  <w:vAlign w:val="center"/>
                </w:tcPr>
                <w:p w14:paraId="6C87C5E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EB7E8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分筛机5</w:t>
                  </w:r>
                </w:p>
              </w:tc>
              <w:tc>
                <w:tcPr>
                  <w:tcW w:w="675" w:type="dxa"/>
                  <w:tcBorders>
                    <w:tl2br w:val="nil"/>
                    <w:tr2bl w:val="nil"/>
                  </w:tcBorders>
                  <w:shd w:val="clear" w:color="auto" w:fill="auto"/>
                  <w:vAlign w:val="center"/>
                </w:tcPr>
                <w:p w14:paraId="5F2C89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203A9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0EC4F1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C793B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161.79</w:t>
                  </w:r>
                </w:p>
              </w:tc>
              <w:tc>
                <w:tcPr>
                  <w:tcW w:w="876" w:type="dxa"/>
                  <w:tcBorders>
                    <w:tl2br w:val="nil"/>
                    <w:tr2bl w:val="nil"/>
                  </w:tcBorders>
                  <w:shd w:val="clear" w:color="auto" w:fill="auto"/>
                  <w:vAlign w:val="center"/>
                </w:tcPr>
                <w:p w14:paraId="4E8E24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w:t>
                  </w:r>
                </w:p>
              </w:tc>
              <w:tc>
                <w:tcPr>
                  <w:tcW w:w="476" w:type="dxa"/>
                  <w:tcBorders>
                    <w:tl2br w:val="nil"/>
                    <w:tr2bl w:val="nil"/>
                  </w:tcBorders>
                  <w:shd w:val="clear" w:color="auto" w:fill="auto"/>
                  <w:vAlign w:val="center"/>
                </w:tcPr>
                <w:p w14:paraId="77090E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DBAD7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c>
                <w:tcPr>
                  <w:tcW w:w="898" w:type="dxa"/>
                  <w:tcBorders>
                    <w:tl2br w:val="nil"/>
                    <w:tr2bl w:val="nil"/>
                  </w:tcBorders>
                  <w:shd w:val="clear" w:color="auto" w:fill="auto"/>
                  <w:vAlign w:val="center"/>
                </w:tcPr>
                <w:p w14:paraId="55E037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48.93</w:t>
                  </w:r>
                </w:p>
              </w:tc>
              <w:tc>
                <w:tcPr>
                  <w:tcW w:w="707" w:type="dxa"/>
                  <w:tcBorders>
                    <w:tl2br w:val="nil"/>
                    <w:tr2bl w:val="nil"/>
                  </w:tcBorders>
                  <w:shd w:val="clear" w:color="auto" w:fill="auto"/>
                  <w:vAlign w:val="center"/>
                </w:tcPr>
                <w:p w14:paraId="3508C8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1A70B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330AA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27.93</w:t>
                  </w:r>
                </w:p>
              </w:tc>
              <w:tc>
                <w:tcPr>
                  <w:tcW w:w="887" w:type="dxa"/>
                  <w:tcBorders>
                    <w:tl2br w:val="nil"/>
                    <w:tr2bl w:val="nil"/>
                  </w:tcBorders>
                  <w:shd w:val="clear" w:color="auto" w:fill="auto"/>
                  <w:vAlign w:val="center"/>
                </w:tcPr>
                <w:p w14:paraId="6A60DF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7E3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EFB6F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846" w:type="dxa"/>
                  <w:vMerge w:val="continue"/>
                  <w:tcBorders>
                    <w:tl2br w:val="nil"/>
                    <w:tr2bl w:val="nil"/>
                  </w:tcBorders>
                  <w:shd w:val="clear" w:color="auto" w:fill="auto"/>
                  <w:vAlign w:val="center"/>
                </w:tcPr>
                <w:p w14:paraId="3DA90B6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FADD2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分筛机6</w:t>
                  </w:r>
                </w:p>
              </w:tc>
              <w:tc>
                <w:tcPr>
                  <w:tcW w:w="675" w:type="dxa"/>
                  <w:tcBorders>
                    <w:tl2br w:val="nil"/>
                    <w:tr2bl w:val="nil"/>
                  </w:tcBorders>
                  <w:shd w:val="clear" w:color="auto" w:fill="auto"/>
                  <w:vAlign w:val="center"/>
                </w:tcPr>
                <w:p w14:paraId="5E4B8B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13926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40FD52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9CF19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164.41</w:t>
                  </w:r>
                </w:p>
              </w:tc>
              <w:tc>
                <w:tcPr>
                  <w:tcW w:w="876" w:type="dxa"/>
                  <w:tcBorders>
                    <w:tl2br w:val="nil"/>
                    <w:tr2bl w:val="nil"/>
                  </w:tcBorders>
                  <w:shd w:val="clear" w:color="auto" w:fill="auto"/>
                  <w:vAlign w:val="center"/>
                </w:tcPr>
                <w:p w14:paraId="198D02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10.74</w:t>
                  </w:r>
                </w:p>
              </w:tc>
              <w:tc>
                <w:tcPr>
                  <w:tcW w:w="476" w:type="dxa"/>
                  <w:tcBorders>
                    <w:tl2br w:val="nil"/>
                    <w:tr2bl w:val="nil"/>
                  </w:tcBorders>
                  <w:shd w:val="clear" w:color="auto" w:fill="auto"/>
                  <w:vAlign w:val="center"/>
                </w:tcPr>
                <w:p w14:paraId="09A3FF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006C8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898" w:type="dxa"/>
                  <w:tcBorders>
                    <w:tl2br w:val="nil"/>
                    <w:tr2bl w:val="nil"/>
                  </w:tcBorders>
                  <w:shd w:val="clear" w:color="auto" w:fill="auto"/>
                  <w:vAlign w:val="center"/>
                </w:tcPr>
                <w:p w14:paraId="08E1A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50.15</w:t>
                  </w:r>
                </w:p>
              </w:tc>
              <w:tc>
                <w:tcPr>
                  <w:tcW w:w="707" w:type="dxa"/>
                  <w:tcBorders>
                    <w:tl2br w:val="nil"/>
                    <w:tr2bl w:val="nil"/>
                  </w:tcBorders>
                  <w:shd w:val="clear" w:color="auto" w:fill="auto"/>
                  <w:vAlign w:val="center"/>
                </w:tcPr>
                <w:p w14:paraId="22A952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87174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88DF6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29.15</w:t>
                  </w:r>
                </w:p>
              </w:tc>
              <w:tc>
                <w:tcPr>
                  <w:tcW w:w="887" w:type="dxa"/>
                  <w:tcBorders>
                    <w:tl2br w:val="nil"/>
                    <w:tr2bl w:val="nil"/>
                  </w:tcBorders>
                  <w:shd w:val="clear" w:color="auto" w:fill="auto"/>
                  <w:vAlign w:val="center"/>
                </w:tcPr>
                <w:p w14:paraId="113F6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6873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70010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46" w:type="dxa"/>
                  <w:vMerge w:val="continue"/>
                  <w:tcBorders>
                    <w:tl2br w:val="nil"/>
                    <w:tr2bl w:val="nil"/>
                  </w:tcBorders>
                  <w:shd w:val="clear" w:color="auto" w:fill="auto"/>
                  <w:vAlign w:val="center"/>
                </w:tcPr>
                <w:p w14:paraId="2AE5876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DC2B2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清洗机1</w:t>
                  </w:r>
                </w:p>
              </w:tc>
              <w:tc>
                <w:tcPr>
                  <w:tcW w:w="675" w:type="dxa"/>
                  <w:tcBorders>
                    <w:tl2br w:val="nil"/>
                    <w:tr2bl w:val="nil"/>
                  </w:tcBorders>
                  <w:shd w:val="clear" w:color="auto" w:fill="auto"/>
                  <w:vAlign w:val="center"/>
                </w:tcPr>
                <w:p w14:paraId="47494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88425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0D65E48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C53B5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167.32</w:t>
                  </w:r>
                </w:p>
              </w:tc>
              <w:tc>
                <w:tcPr>
                  <w:tcW w:w="876" w:type="dxa"/>
                  <w:tcBorders>
                    <w:tl2br w:val="nil"/>
                    <w:tr2bl w:val="nil"/>
                  </w:tcBorders>
                  <w:shd w:val="clear" w:color="auto" w:fill="auto"/>
                  <w:vAlign w:val="center"/>
                </w:tcPr>
                <w:p w14:paraId="51578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-33.53</w:t>
                  </w:r>
                </w:p>
              </w:tc>
              <w:tc>
                <w:tcPr>
                  <w:tcW w:w="476" w:type="dxa"/>
                  <w:tcBorders>
                    <w:tl2br w:val="nil"/>
                    <w:tr2bl w:val="nil"/>
                  </w:tcBorders>
                  <w:shd w:val="clear" w:color="auto" w:fill="auto"/>
                  <w:vAlign w:val="center"/>
                </w:tcPr>
                <w:p w14:paraId="369146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FAAE9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w:t>
                  </w:r>
                </w:p>
              </w:tc>
              <w:tc>
                <w:tcPr>
                  <w:tcW w:w="898" w:type="dxa"/>
                  <w:tcBorders>
                    <w:tl2br w:val="nil"/>
                    <w:tr2bl w:val="nil"/>
                  </w:tcBorders>
                  <w:shd w:val="clear" w:color="auto" w:fill="auto"/>
                  <w:vAlign w:val="center"/>
                </w:tcPr>
                <w:p w14:paraId="2663D1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46.25</w:t>
                  </w:r>
                </w:p>
              </w:tc>
              <w:tc>
                <w:tcPr>
                  <w:tcW w:w="707" w:type="dxa"/>
                  <w:tcBorders>
                    <w:tl2br w:val="nil"/>
                    <w:tr2bl w:val="nil"/>
                  </w:tcBorders>
                  <w:shd w:val="clear" w:color="auto" w:fill="auto"/>
                  <w:vAlign w:val="center"/>
                </w:tcPr>
                <w:p w14:paraId="5E5FD7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102D8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48B71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25.25</w:t>
                  </w:r>
                </w:p>
              </w:tc>
              <w:tc>
                <w:tcPr>
                  <w:tcW w:w="887" w:type="dxa"/>
                  <w:tcBorders>
                    <w:tl2br w:val="nil"/>
                    <w:tr2bl w:val="nil"/>
                  </w:tcBorders>
                  <w:shd w:val="clear" w:color="auto" w:fill="auto"/>
                  <w:vAlign w:val="center"/>
                </w:tcPr>
                <w:p w14:paraId="1C24FC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D4F5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46EC1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846" w:type="dxa"/>
                  <w:vMerge w:val="continue"/>
                  <w:tcBorders>
                    <w:tl2br w:val="nil"/>
                    <w:tr2bl w:val="nil"/>
                  </w:tcBorders>
                  <w:shd w:val="clear" w:color="auto" w:fill="auto"/>
                  <w:vAlign w:val="center"/>
                </w:tcPr>
                <w:p w14:paraId="5AC869F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7CBDC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清洗机2</w:t>
                  </w:r>
                </w:p>
              </w:tc>
              <w:tc>
                <w:tcPr>
                  <w:tcW w:w="675" w:type="dxa"/>
                  <w:tcBorders>
                    <w:tl2br w:val="nil"/>
                    <w:tr2bl w:val="nil"/>
                  </w:tcBorders>
                  <w:shd w:val="clear" w:color="auto" w:fill="auto"/>
                  <w:vAlign w:val="center"/>
                </w:tcPr>
                <w:p w14:paraId="21D1E2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F69C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586295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B9890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169.36</w:t>
                  </w:r>
                </w:p>
              </w:tc>
              <w:tc>
                <w:tcPr>
                  <w:tcW w:w="876" w:type="dxa"/>
                  <w:tcBorders>
                    <w:tl2br w:val="nil"/>
                    <w:tr2bl w:val="nil"/>
                  </w:tcBorders>
                  <w:shd w:val="clear" w:color="auto" w:fill="auto"/>
                  <w:vAlign w:val="center"/>
                </w:tcPr>
                <w:p w14:paraId="574A5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-27.41</w:t>
                  </w:r>
                </w:p>
              </w:tc>
              <w:tc>
                <w:tcPr>
                  <w:tcW w:w="476" w:type="dxa"/>
                  <w:tcBorders>
                    <w:tl2br w:val="nil"/>
                    <w:tr2bl w:val="nil"/>
                  </w:tcBorders>
                  <w:shd w:val="clear" w:color="auto" w:fill="auto"/>
                  <w:vAlign w:val="center"/>
                </w:tcPr>
                <w:p w14:paraId="62046A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20BB0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w:t>
                  </w:r>
                </w:p>
              </w:tc>
              <w:tc>
                <w:tcPr>
                  <w:tcW w:w="898" w:type="dxa"/>
                  <w:tcBorders>
                    <w:tl2br w:val="nil"/>
                    <w:tr2bl w:val="nil"/>
                  </w:tcBorders>
                  <w:shd w:val="clear" w:color="auto" w:fill="auto"/>
                  <w:vAlign w:val="center"/>
                </w:tcPr>
                <w:p w14:paraId="1879D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44.51</w:t>
                  </w:r>
                </w:p>
              </w:tc>
              <w:tc>
                <w:tcPr>
                  <w:tcW w:w="707" w:type="dxa"/>
                  <w:tcBorders>
                    <w:tl2br w:val="nil"/>
                    <w:tr2bl w:val="nil"/>
                  </w:tcBorders>
                  <w:shd w:val="clear" w:color="auto" w:fill="auto"/>
                  <w:vAlign w:val="center"/>
                </w:tcPr>
                <w:p w14:paraId="247810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A651F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6DE86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23.51</w:t>
                  </w:r>
                </w:p>
              </w:tc>
              <w:tc>
                <w:tcPr>
                  <w:tcW w:w="887" w:type="dxa"/>
                  <w:tcBorders>
                    <w:tl2br w:val="nil"/>
                    <w:tr2bl w:val="nil"/>
                  </w:tcBorders>
                  <w:shd w:val="clear" w:color="auto" w:fill="auto"/>
                  <w:vAlign w:val="center"/>
                </w:tcPr>
                <w:p w14:paraId="1A3FC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5B6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22C90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846" w:type="dxa"/>
                  <w:vMerge w:val="continue"/>
                  <w:tcBorders>
                    <w:tl2br w:val="nil"/>
                    <w:tr2bl w:val="nil"/>
                  </w:tcBorders>
                  <w:shd w:val="clear" w:color="auto" w:fill="auto"/>
                  <w:vAlign w:val="center"/>
                </w:tcPr>
                <w:p w14:paraId="58A43F2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11BA3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清洗机3</w:t>
                  </w:r>
                </w:p>
              </w:tc>
              <w:tc>
                <w:tcPr>
                  <w:tcW w:w="675" w:type="dxa"/>
                  <w:tcBorders>
                    <w:tl2br w:val="nil"/>
                    <w:tr2bl w:val="nil"/>
                  </w:tcBorders>
                  <w:shd w:val="clear" w:color="auto" w:fill="auto"/>
                  <w:vAlign w:val="center"/>
                </w:tcPr>
                <w:p w14:paraId="3A1DA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53BB3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B978EC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687D8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171.69</w:t>
                  </w:r>
                </w:p>
              </w:tc>
              <w:tc>
                <w:tcPr>
                  <w:tcW w:w="876" w:type="dxa"/>
                  <w:tcBorders>
                    <w:tl2br w:val="nil"/>
                    <w:tr2bl w:val="nil"/>
                  </w:tcBorders>
                  <w:shd w:val="clear" w:color="auto" w:fill="auto"/>
                  <w:vAlign w:val="center"/>
                </w:tcPr>
                <w:p w14:paraId="035541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-19.84</w:t>
                  </w:r>
                </w:p>
              </w:tc>
              <w:tc>
                <w:tcPr>
                  <w:tcW w:w="476" w:type="dxa"/>
                  <w:tcBorders>
                    <w:tl2br w:val="nil"/>
                    <w:tr2bl w:val="nil"/>
                  </w:tcBorders>
                  <w:shd w:val="clear" w:color="auto" w:fill="auto"/>
                  <w:vAlign w:val="center"/>
                </w:tcPr>
                <w:p w14:paraId="7C6AAA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8ECD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w:t>
                  </w:r>
                </w:p>
              </w:tc>
              <w:tc>
                <w:tcPr>
                  <w:tcW w:w="898" w:type="dxa"/>
                  <w:tcBorders>
                    <w:tl2br w:val="nil"/>
                    <w:tr2bl w:val="nil"/>
                  </w:tcBorders>
                  <w:shd w:val="clear" w:color="auto" w:fill="auto"/>
                  <w:vAlign w:val="center"/>
                </w:tcPr>
                <w:p w14:paraId="506C7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43.81</w:t>
                  </w:r>
                </w:p>
              </w:tc>
              <w:tc>
                <w:tcPr>
                  <w:tcW w:w="707" w:type="dxa"/>
                  <w:tcBorders>
                    <w:tl2br w:val="nil"/>
                    <w:tr2bl w:val="nil"/>
                  </w:tcBorders>
                  <w:shd w:val="clear" w:color="auto" w:fill="auto"/>
                  <w:vAlign w:val="center"/>
                </w:tcPr>
                <w:p w14:paraId="7EC9DE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BD83B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6327D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22.81</w:t>
                  </w:r>
                </w:p>
              </w:tc>
              <w:tc>
                <w:tcPr>
                  <w:tcW w:w="887" w:type="dxa"/>
                  <w:tcBorders>
                    <w:tl2br w:val="nil"/>
                    <w:tr2bl w:val="nil"/>
                  </w:tcBorders>
                  <w:shd w:val="clear" w:color="auto" w:fill="auto"/>
                  <w:vAlign w:val="center"/>
                </w:tcPr>
                <w:p w14:paraId="0C3CC1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129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C2DAE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46" w:type="dxa"/>
                  <w:vMerge w:val="continue"/>
                  <w:tcBorders>
                    <w:tl2br w:val="nil"/>
                    <w:tr2bl w:val="nil"/>
                  </w:tcBorders>
                  <w:shd w:val="clear" w:color="auto" w:fill="auto"/>
                  <w:vAlign w:val="center"/>
                </w:tcPr>
                <w:p w14:paraId="049ABCD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46987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清洗机4</w:t>
                  </w:r>
                </w:p>
              </w:tc>
              <w:tc>
                <w:tcPr>
                  <w:tcW w:w="675" w:type="dxa"/>
                  <w:tcBorders>
                    <w:tl2br w:val="nil"/>
                    <w:tr2bl w:val="nil"/>
                  </w:tcBorders>
                  <w:shd w:val="clear" w:color="auto" w:fill="auto"/>
                  <w:vAlign w:val="center"/>
                </w:tcPr>
                <w:p w14:paraId="0A477E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4C6B2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9045C4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E091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174.02</w:t>
                  </w:r>
                </w:p>
              </w:tc>
              <w:tc>
                <w:tcPr>
                  <w:tcW w:w="876" w:type="dxa"/>
                  <w:tcBorders>
                    <w:tl2br w:val="nil"/>
                    <w:tr2bl w:val="nil"/>
                  </w:tcBorders>
                  <w:shd w:val="clear" w:color="auto" w:fill="auto"/>
                  <w:vAlign w:val="center"/>
                </w:tcPr>
                <w:p w14:paraId="5C9ABC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-11.69</w:t>
                  </w:r>
                </w:p>
              </w:tc>
              <w:tc>
                <w:tcPr>
                  <w:tcW w:w="476" w:type="dxa"/>
                  <w:tcBorders>
                    <w:tl2br w:val="nil"/>
                    <w:tr2bl w:val="nil"/>
                  </w:tcBorders>
                  <w:shd w:val="clear" w:color="auto" w:fill="auto"/>
                  <w:vAlign w:val="center"/>
                </w:tcPr>
                <w:p w14:paraId="14D6D1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2C99D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w:t>
                  </w:r>
                </w:p>
              </w:tc>
              <w:tc>
                <w:tcPr>
                  <w:tcW w:w="898" w:type="dxa"/>
                  <w:tcBorders>
                    <w:tl2br w:val="nil"/>
                    <w:tr2bl w:val="nil"/>
                  </w:tcBorders>
                  <w:shd w:val="clear" w:color="auto" w:fill="auto"/>
                  <w:vAlign w:val="center"/>
                </w:tcPr>
                <w:p w14:paraId="1CED4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43.58</w:t>
                  </w:r>
                </w:p>
              </w:tc>
              <w:tc>
                <w:tcPr>
                  <w:tcW w:w="707" w:type="dxa"/>
                  <w:tcBorders>
                    <w:tl2br w:val="nil"/>
                    <w:tr2bl w:val="nil"/>
                  </w:tcBorders>
                  <w:shd w:val="clear" w:color="auto" w:fill="auto"/>
                  <w:vAlign w:val="center"/>
                </w:tcPr>
                <w:p w14:paraId="7E2CA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13FAE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A8D1E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22.58</w:t>
                  </w:r>
                </w:p>
              </w:tc>
              <w:tc>
                <w:tcPr>
                  <w:tcW w:w="887" w:type="dxa"/>
                  <w:tcBorders>
                    <w:tl2br w:val="nil"/>
                    <w:tr2bl w:val="nil"/>
                  </w:tcBorders>
                  <w:shd w:val="clear" w:color="auto" w:fill="auto"/>
                  <w:vAlign w:val="center"/>
                </w:tcPr>
                <w:p w14:paraId="719A1D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7199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8A9C2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846" w:type="dxa"/>
                  <w:vMerge w:val="continue"/>
                  <w:tcBorders>
                    <w:tl2br w:val="nil"/>
                    <w:tr2bl w:val="nil"/>
                  </w:tcBorders>
                  <w:shd w:val="clear" w:color="auto" w:fill="auto"/>
                  <w:vAlign w:val="center"/>
                </w:tcPr>
                <w:p w14:paraId="2795250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37707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清洗机5</w:t>
                  </w:r>
                </w:p>
              </w:tc>
              <w:tc>
                <w:tcPr>
                  <w:tcW w:w="675" w:type="dxa"/>
                  <w:tcBorders>
                    <w:tl2br w:val="nil"/>
                    <w:tr2bl w:val="nil"/>
                  </w:tcBorders>
                  <w:shd w:val="clear" w:color="auto" w:fill="auto"/>
                  <w:vAlign w:val="center"/>
                </w:tcPr>
                <w:p w14:paraId="109425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2FA0D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8BCA87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8725E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176.35</w:t>
                  </w:r>
                </w:p>
              </w:tc>
              <w:tc>
                <w:tcPr>
                  <w:tcW w:w="876" w:type="dxa"/>
                  <w:tcBorders>
                    <w:tl2br w:val="nil"/>
                    <w:tr2bl w:val="nil"/>
                  </w:tcBorders>
                  <w:shd w:val="clear" w:color="auto" w:fill="auto"/>
                  <w:vAlign w:val="center"/>
                </w:tcPr>
                <w:p w14:paraId="542D83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-4.41</w:t>
                  </w:r>
                </w:p>
              </w:tc>
              <w:tc>
                <w:tcPr>
                  <w:tcW w:w="476" w:type="dxa"/>
                  <w:tcBorders>
                    <w:tl2br w:val="nil"/>
                    <w:tr2bl w:val="nil"/>
                  </w:tcBorders>
                  <w:shd w:val="clear" w:color="auto" w:fill="auto"/>
                  <w:vAlign w:val="center"/>
                </w:tcPr>
                <w:p w14:paraId="49113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5BEC1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w:t>
                  </w:r>
                </w:p>
              </w:tc>
              <w:tc>
                <w:tcPr>
                  <w:tcW w:w="898" w:type="dxa"/>
                  <w:tcBorders>
                    <w:tl2br w:val="nil"/>
                    <w:tr2bl w:val="nil"/>
                  </w:tcBorders>
                  <w:shd w:val="clear" w:color="auto" w:fill="auto"/>
                  <w:vAlign w:val="center"/>
                </w:tcPr>
                <w:p w14:paraId="3C181B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43.58</w:t>
                  </w:r>
                </w:p>
              </w:tc>
              <w:tc>
                <w:tcPr>
                  <w:tcW w:w="707" w:type="dxa"/>
                  <w:tcBorders>
                    <w:tl2br w:val="nil"/>
                    <w:tr2bl w:val="nil"/>
                  </w:tcBorders>
                  <w:shd w:val="clear" w:color="auto" w:fill="auto"/>
                  <w:vAlign w:val="center"/>
                </w:tcPr>
                <w:p w14:paraId="40251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87534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7855F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22.58</w:t>
                  </w:r>
                </w:p>
              </w:tc>
              <w:tc>
                <w:tcPr>
                  <w:tcW w:w="887" w:type="dxa"/>
                  <w:tcBorders>
                    <w:tl2br w:val="nil"/>
                    <w:tr2bl w:val="nil"/>
                  </w:tcBorders>
                  <w:shd w:val="clear" w:color="auto" w:fill="auto"/>
                  <w:vAlign w:val="center"/>
                </w:tcPr>
                <w:p w14:paraId="0CD7CC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DC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886CA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46" w:type="dxa"/>
                  <w:vMerge w:val="continue"/>
                  <w:tcBorders>
                    <w:tl2br w:val="nil"/>
                    <w:tr2bl w:val="nil"/>
                  </w:tcBorders>
                  <w:shd w:val="clear" w:color="auto" w:fill="auto"/>
                  <w:vAlign w:val="center"/>
                </w:tcPr>
                <w:p w14:paraId="2C9D1EE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CDFDA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清洗机6</w:t>
                  </w:r>
                </w:p>
              </w:tc>
              <w:tc>
                <w:tcPr>
                  <w:tcW w:w="675" w:type="dxa"/>
                  <w:tcBorders>
                    <w:tl2br w:val="nil"/>
                    <w:tr2bl w:val="nil"/>
                  </w:tcBorders>
                  <w:shd w:val="clear" w:color="auto" w:fill="auto"/>
                  <w:vAlign w:val="center"/>
                </w:tcPr>
                <w:p w14:paraId="578FCD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1AF58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6169E00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1E99E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178.68</w:t>
                  </w:r>
                </w:p>
              </w:tc>
              <w:tc>
                <w:tcPr>
                  <w:tcW w:w="876" w:type="dxa"/>
                  <w:tcBorders>
                    <w:tl2br w:val="nil"/>
                    <w:tr2bl w:val="nil"/>
                  </w:tcBorders>
                  <w:shd w:val="clear" w:color="auto" w:fill="auto"/>
                  <w:vAlign w:val="center"/>
                </w:tcPr>
                <w:p w14:paraId="525FA4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5.50</w:t>
                  </w:r>
                </w:p>
              </w:tc>
              <w:tc>
                <w:tcPr>
                  <w:tcW w:w="476" w:type="dxa"/>
                  <w:tcBorders>
                    <w:tl2br w:val="nil"/>
                    <w:tr2bl w:val="nil"/>
                  </w:tcBorders>
                  <w:shd w:val="clear" w:color="auto" w:fill="auto"/>
                  <w:vAlign w:val="center"/>
                </w:tcPr>
                <w:p w14:paraId="024974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9FC7C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12.9</w:t>
                  </w:r>
                </w:p>
              </w:tc>
              <w:tc>
                <w:tcPr>
                  <w:tcW w:w="898" w:type="dxa"/>
                  <w:tcBorders>
                    <w:tl2br w:val="nil"/>
                    <w:tr2bl w:val="nil"/>
                  </w:tcBorders>
                  <w:shd w:val="clear" w:color="auto" w:fill="auto"/>
                  <w:vAlign w:val="center"/>
                </w:tcPr>
                <w:p w14:paraId="5AB011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43.81</w:t>
                  </w:r>
                </w:p>
              </w:tc>
              <w:tc>
                <w:tcPr>
                  <w:tcW w:w="707" w:type="dxa"/>
                  <w:tcBorders>
                    <w:tl2br w:val="nil"/>
                    <w:tr2bl w:val="nil"/>
                  </w:tcBorders>
                  <w:shd w:val="clear" w:color="auto" w:fill="auto"/>
                  <w:vAlign w:val="center"/>
                </w:tcPr>
                <w:p w14:paraId="314251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54318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1E7F6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22.81</w:t>
                  </w:r>
                </w:p>
              </w:tc>
              <w:tc>
                <w:tcPr>
                  <w:tcW w:w="887" w:type="dxa"/>
                  <w:tcBorders>
                    <w:tl2br w:val="nil"/>
                    <w:tr2bl w:val="nil"/>
                  </w:tcBorders>
                  <w:shd w:val="clear" w:color="auto" w:fill="auto"/>
                  <w:vAlign w:val="center"/>
                </w:tcPr>
                <w:p w14:paraId="5CE056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3355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0B2D6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846" w:type="dxa"/>
                  <w:vMerge w:val="continue"/>
                  <w:tcBorders>
                    <w:tl2br w:val="nil"/>
                    <w:tr2bl w:val="nil"/>
                  </w:tcBorders>
                  <w:shd w:val="clear" w:color="auto" w:fill="auto"/>
                  <w:vAlign w:val="center"/>
                </w:tcPr>
                <w:p w14:paraId="4C8F207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11AD4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滚抛机1</w:t>
                  </w:r>
                </w:p>
              </w:tc>
              <w:tc>
                <w:tcPr>
                  <w:tcW w:w="675" w:type="dxa"/>
                  <w:tcBorders>
                    <w:tl2br w:val="nil"/>
                    <w:tr2bl w:val="nil"/>
                  </w:tcBorders>
                  <w:shd w:val="clear" w:color="auto" w:fill="auto"/>
                  <w:vAlign w:val="center"/>
                </w:tcPr>
                <w:p w14:paraId="1F32B7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4E9A0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0DDC4C2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4E574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138.49</w:t>
                  </w:r>
                </w:p>
              </w:tc>
              <w:tc>
                <w:tcPr>
                  <w:tcW w:w="876" w:type="dxa"/>
                  <w:tcBorders>
                    <w:tl2br w:val="nil"/>
                    <w:tr2bl w:val="nil"/>
                  </w:tcBorders>
                  <w:shd w:val="clear" w:color="auto" w:fill="auto"/>
                  <w:vAlign w:val="center"/>
                </w:tcPr>
                <w:p w14:paraId="004749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476" w:type="dxa"/>
                  <w:tcBorders>
                    <w:tl2br w:val="nil"/>
                    <w:tr2bl w:val="nil"/>
                  </w:tcBorders>
                  <w:shd w:val="clear" w:color="auto" w:fill="auto"/>
                  <w:vAlign w:val="center"/>
                </w:tcPr>
                <w:p w14:paraId="15A6C7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48B7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w:t>
                  </w:r>
                </w:p>
              </w:tc>
              <w:tc>
                <w:tcPr>
                  <w:tcW w:w="898" w:type="dxa"/>
                  <w:tcBorders>
                    <w:tl2br w:val="nil"/>
                    <w:tr2bl w:val="nil"/>
                  </w:tcBorders>
                  <w:shd w:val="clear" w:color="auto" w:fill="auto"/>
                  <w:vAlign w:val="center"/>
                </w:tcPr>
                <w:p w14:paraId="15A3B9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44.87</w:t>
                  </w:r>
                </w:p>
              </w:tc>
              <w:tc>
                <w:tcPr>
                  <w:tcW w:w="707" w:type="dxa"/>
                  <w:tcBorders>
                    <w:tl2br w:val="nil"/>
                    <w:tr2bl w:val="nil"/>
                  </w:tcBorders>
                  <w:shd w:val="clear" w:color="auto" w:fill="auto"/>
                  <w:vAlign w:val="center"/>
                </w:tcPr>
                <w:p w14:paraId="4C2E64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5E792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4493B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23.87</w:t>
                  </w:r>
                </w:p>
              </w:tc>
              <w:tc>
                <w:tcPr>
                  <w:tcW w:w="887" w:type="dxa"/>
                  <w:tcBorders>
                    <w:tl2br w:val="nil"/>
                    <w:tr2bl w:val="nil"/>
                  </w:tcBorders>
                  <w:shd w:val="clear" w:color="auto" w:fill="auto"/>
                  <w:vAlign w:val="center"/>
                </w:tcPr>
                <w:p w14:paraId="7A614A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12C5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32DCE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46" w:type="dxa"/>
                  <w:vMerge w:val="continue"/>
                  <w:tcBorders>
                    <w:tl2br w:val="nil"/>
                    <w:tr2bl w:val="nil"/>
                  </w:tcBorders>
                  <w:shd w:val="clear" w:color="auto" w:fill="auto"/>
                  <w:vAlign w:val="center"/>
                </w:tcPr>
                <w:p w14:paraId="5CE4801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B1B62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滚抛机2</w:t>
                  </w:r>
                </w:p>
              </w:tc>
              <w:tc>
                <w:tcPr>
                  <w:tcW w:w="675" w:type="dxa"/>
                  <w:tcBorders>
                    <w:tl2br w:val="nil"/>
                    <w:tr2bl w:val="nil"/>
                  </w:tcBorders>
                  <w:shd w:val="clear" w:color="auto" w:fill="auto"/>
                  <w:vAlign w:val="center"/>
                </w:tcPr>
                <w:p w14:paraId="61082A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B50DB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3B3F12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428AE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140.82</w:t>
                  </w:r>
                </w:p>
              </w:tc>
              <w:tc>
                <w:tcPr>
                  <w:tcW w:w="876" w:type="dxa"/>
                  <w:tcBorders>
                    <w:tl2br w:val="nil"/>
                    <w:tr2bl w:val="nil"/>
                  </w:tcBorders>
                  <w:shd w:val="clear" w:color="auto" w:fill="auto"/>
                  <w:vAlign w:val="center"/>
                </w:tcPr>
                <w:p w14:paraId="415BD5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-18.39</w:t>
                  </w:r>
                </w:p>
              </w:tc>
              <w:tc>
                <w:tcPr>
                  <w:tcW w:w="476" w:type="dxa"/>
                  <w:tcBorders>
                    <w:tl2br w:val="nil"/>
                    <w:tr2bl w:val="nil"/>
                  </w:tcBorders>
                  <w:shd w:val="clear" w:color="auto" w:fill="auto"/>
                  <w:vAlign w:val="center"/>
                </w:tcPr>
                <w:p w14:paraId="721937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C62DB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16.2</w:t>
                  </w:r>
                </w:p>
              </w:tc>
              <w:tc>
                <w:tcPr>
                  <w:tcW w:w="898" w:type="dxa"/>
                  <w:tcBorders>
                    <w:tl2br w:val="nil"/>
                    <w:tr2bl w:val="nil"/>
                  </w:tcBorders>
                  <w:shd w:val="clear" w:color="auto" w:fill="auto"/>
                  <w:vAlign w:val="center"/>
                </w:tcPr>
                <w:p w14:paraId="19A9FD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46.68</w:t>
                  </w:r>
                </w:p>
              </w:tc>
              <w:tc>
                <w:tcPr>
                  <w:tcW w:w="707" w:type="dxa"/>
                  <w:tcBorders>
                    <w:tl2br w:val="nil"/>
                    <w:tr2bl w:val="nil"/>
                  </w:tcBorders>
                  <w:shd w:val="clear" w:color="auto" w:fill="auto"/>
                  <w:vAlign w:val="center"/>
                </w:tcPr>
                <w:p w14:paraId="2D4A7C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6FD2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B2752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25.68</w:t>
                  </w:r>
                </w:p>
              </w:tc>
              <w:tc>
                <w:tcPr>
                  <w:tcW w:w="887" w:type="dxa"/>
                  <w:tcBorders>
                    <w:tl2br w:val="nil"/>
                    <w:tr2bl w:val="nil"/>
                  </w:tcBorders>
                  <w:shd w:val="clear" w:color="auto" w:fill="auto"/>
                  <w:vAlign w:val="center"/>
                </w:tcPr>
                <w:p w14:paraId="6E1163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E2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7C83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846" w:type="dxa"/>
                  <w:vMerge w:val="continue"/>
                  <w:tcBorders>
                    <w:tl2br w:val="nil"/>
                    <w:tr2bl w:val="nil"/>
                  </w:tcBorders>
                  <w:shd w:val="clear" w:color="auto" w:fill="auto"/>
                  <w:vAlign w:val="center"/>
                </w:tcPr>
                <w:p w14:paraId="27E88CE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FDA9A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滚抛机3</w:t>
                  </w:r>
                </w:p>
              </w:tc>
              <w:tc>
                <w:tcPr>
                  <w:tcW w:w="675" w:type="dxa"/>
                  <w:tcBorders>
                    <w:tl2br w:val="nil"/>
                    <w:tr2bl w:val="nil"/>
                  </w:tcBorders>
                  <w:shd w:val="clear" w:color="auto" w:fill="auto"/>
                  <w:vAlign w:val="center"/>
                </w:tcPr>
                <w:p w14:paraId="1E7501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E77DB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83F57F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F5745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142.28</w:t>
                  </w:r>
                </w:p>
              </w:tc>
              <w:tc>
                <w:tcPr>
                  <w:tcW w:w="876" w:type="dxa"/>
                  <w:tcBorders>
                    <w:tl2br w:val="nil"/>
                    <w:tr2bl w:val="nil"/>
                  </w:tcBorders>
                  <w:shd w:val="clear" w:color="auto" w:fill="auto"/>
                  <w:vAlign w:val="center"/>
                </w:tcPr>
                <w:p w14:paraId="787330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-9.94</w:t>
                  </w:r>
                </w:p>
              </w:tc>
              <w:tc>
                <w:tcPr>
                  <w:tcW w:w="476" w:type="dxa"/>
                  <w:tcBorders>
                    <w:tl2br w:val="nil"/>
                    <w:tr2bl w:val="nil"/>
                  </w:tcBorders>
                  <w:shd w:val="clear" w:color="auto" w:fill="auto"/>
                  <w:vAlign w:val="center"/>
                </w:tcPr>
                <w:p w14:paraId="7B3473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23B6E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24.9</w:t>
                  </w:r>
                </w:p>
              </w:tc>
              <w:tc>
                <w:tcPr>
                  <w:tcW w:w="898" w:type="dxa"/>
                  <w:tcBorders>
                    <w:tl2br w:val="nil"/>
                    <w:tr2bl w:val="nil"/>
                  </w:tcBorders>
                  <w:shd w:val="clear" w:color="auto" w:fill="auto"/>
                  <w:vAlign w:val="center"/>
                </w:tcPr>
                <w:p w14:paraId="7C024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44.34</w:t>
                  </w:r>
                </w:p>
              </w:tc>
              <w:tc>
                <w:tcPr>
                  <w:tcW w:w="707" w:type="dxa"/>
                  <w:tcBorders>
                    <w:tl2br w:val="nil"/>
                    <w:tr2bl w:val="nil"/>
                  </w:tcBorders>
                  <w:shd w:val="clear" w:color="auto" w:fill="auto"/>
                  <w:vAlign w:val="center"/>
                </w:tcPr>
                <w:p w14:paraId="498BF5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604C4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E468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23.34</w:t>
                  </w:r>
                </w:p>
              </w:tc>
              <w:tc>
                <w:tcPr>
                  <w:tcW w:w="887" w:type="dxa"/>
                  <w:tcBorders>
                    <w:tl2br w:val="nil"/>
                    <w:tr2bl w:val="nil"/>
                  </w:tcBorders>
                  <w:shd w:val="clear" w:color="auto" w:fill="auto"/>
                  <w:vAlign w:val="center"/>
                </w:tcPr>
                <w:p w14:paraId="29FB2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2F3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BECD8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846" w:type="dxa"/>
                  <w:vMerge w:val="continue"/>
                  <w:tcBorders>
                    <w:tl2br w:val="nil"/>
                    <w:tr2bl w:val="nil"/>
                  </w:tcBorders>
                  <w:shd w:val="clear" w:color="auto" w:fill="auto"/>
                  <w:vAlign w:val="center"/>
                </w:tcPr>
                <w:p w14:paraId="5F8F1FD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132A7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滚抛机4</w:t>
                  </w:r>
                </w:p>
              </w:tc>
              <w:tc>
                <w:tcPr>
                  <w:tcW w:w="675" w:type="dxa"/>
                  <w:tcBorders>
                    <w:tl2br w:val="nil"/>
                    <w:tr2bl w:val="nil"/>
                  </w:tcBorders>
                  <w:shd w:val="clear" w:color="auto" w:fill="auto"/>
                  <w:vAlign w:val="center"/>
                </w:tcPr>
                <w:p w14:paraId="7386E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B9E9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356BCAA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1C9A1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144.61</w:t>
                  </w:r>
                </w:p>
              </w:tc>
              <w:tc>
                <w:tcPr>
                  <w:tcW w:w="876" w:type="dxa"/>
                  <w:tcBorders>
                    <w:tl2br w:val="nil"/>
                    <w:tr2bl w:val="nil"/>
                  </w:tcBorders>
                  <w:shd w:val="clear" w:color="auto" w:fill="auto"/>
                  <w:vAlign w:val="center"/>
                </w:tcPr>
                <w:p w14:paraId="4FB457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476" w:type="dxa"/>
                  <w:tcBorders>
                    <w:tl2br w:val="nil"/>
                    <w:tr2bl w:val="nil"/>
                  </w:tcBorders>
                  <w:shd w:val="clear" w:color="auto" w:fill="auto"/>
                  <w:vAlign w:val="center"/>
                </w:tcPr>
                <w:p w14:paraId="436095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4F126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w:t>
                  </w:r>
                </w:p>
              </w:tc>
              <w:tc>
                <w:tcPr>
                  <w:tcW w:w="898" w:type="dxa"/>
                  <w:tcBorders>
                    <w:tl2br w:val="nil"/>
                    <w:tr2bl w:val="nil"/>
                  </w:tcBorders>
                  <w:shd w:val="clear" w:color="auto" w:fill="auto"/>
                  <w:vAlign w:val="center"/>
                </w:tcPr>
                <w:p w14:paraId="52A7D3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43.74</w:t>
                  </w:r>
                </w:p>
              </w:tc>
              <w:tc>
                <w:tcPr>
                  <w:tcW w:w="707" w:type="dxa"/>
                  <w:tcBorders>
                    <w:tl2br w:val="nil"/>
                    <w:tr2bl w:val="nil"/>
                  </w:tcBorders>
                  <w:shd w:val="clear" w:color="auto" w:fill="auto"/>
                  <w:vAlign w:val="center"/>
                </w:tcPr>
                <w:p w14:paraId="32A8A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B8EC5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3F550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22.74</w:t>
                  </w:r>
                </w:p>
              </w:tc>
              <w:tc>
                <w:tcPr>
                  <w:tcW w:w="887" w:type="dxa"/>
                  <w:tcBorders>
                    <w:tl2br w:val="nil"/>
                    <w:tr2bl w:val="nil"/>
                  </w:tcBorders>
                  <w:shd w:val="clear" w:color="auto" w:fill="auto"/>
                  <w:vAlign w:val="center"/>
                </w:tcPr>
                <w:p w14:paraId="40B9CF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CBE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3F971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846" w:type="dxa"/>
                  <w:vMerge w:val="continue"/>
                  <w:tcBorders>
                    <w:tl2br w:val="nil"/>
                    <w:tr2bl w:val="nil"/>
                  </w:tcBorders>
                  <w:shd w:val="clear" w:color="auto" w:fill="auto"/>
                  <w:vAlign w:val="center"/>
                </w:tcPr>
                <w:p w14:paraId="669E1F7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3F8D4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滚抛机5</w:t>
                  </w:r>
                </w:p>
              </w:tc>
              <w:tc>
                <w:tcPr>
                  <w:tcW w:w="675" w:type="dxa"/>
                  <w:tcBorders>
                    <w:tl2br w:val="nil"/>
                    <w:tr2bl w:val="nil"/>
                  </w:tcBorders>
                  <w:shd w:val="clear" w:color="auto" w:fill="auto"/>
                  <w:vAlign w:val="center"/>
                </w:tcPr>
                <w:p w14:paraId="0D7950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F63F4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06C870E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5F7C8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147.52</w:t>
                  </w:r>
                </w:p>
              </w:tc>
              <w:tc>
                <w:tcPr>
                  <w:tcW w:w="876" w:type="dxa"/>
                  <w:tcBorders>
                    <w:tl2br w:val="nil"/>
                    <w:tr2bl w:val="nil"/>
                  </w:tcBorders>
                  <w:shd w:val="clear" w:color="auto" w:fill="auto"/>
                  <w:vAlign w:val="center"/>
                </w:tcPr>
                <w:p w14:paraId="6E89F8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7.54</w:t>
                  </w:r>
                </w:p>
              </w:tc>
              <w:tc>
                <w:tcPr>
                  <w:tcW w:w="476" w:type="dxa"/>
                  <w:tcBorders>
                    <w:tl2br w:val="nil"/>
                    <w:tr2bl w:val="nil"/>
                  </w:tcBorders>
                  <w:shd w:val="clear" w:color="auto" w:fill="auto"/>
                  <w:vAlign w:val="center"/>
                </w:tcPr>
                <w:p w14:paraId="025B64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ECB81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w:t>
                  </w:r>
                </w:p>
              </w:tc>
              <w:tc>
                <w:tcPr>
                  <w:tcW w:w="898" w:type="dxa"/>
                  <w:tcBorders>
                    <w:tl2br w:val="nil"/>
                    <w:tr2bl w:val="nil"/>
                  </w:tcBorders>
                  <w:shd w:val="clear" w:color="auto" w:fill="auto"/>
                  <w:vAlign w:val="center"/>
                </w:tcPr>
                <w:p w14:paraId="096291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43.62</w:t>
                  </w:r>
                </w:p>
              </w:tc>
              <w:tc>
                <w:tcPr>
                  <w:tcW w:w="707" w:type="dxa"/>
                  <w:tcBorders>
                    <w:tl2br w:val="nil"/>
                    <w:tr2bl w:val="nil"/>
                  </w:tcBorders>
                  <w:shd w:val="clear" w:color="auto" w:fill="auto"/>
                  <w:vAlign w:val="center"/>
                </w:tcPr>
                <w:p w14:paraId="73194A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302B8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2DDF2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22.62</w:t>
                  </w:r>
                </w:p>
              </w:tc>
              <w:tc>
                <w:tcPr>
                  <w:tcW w:w="887" w:type="dxa"/>
                  <w:tcBorders>
                    <w:tl2br w:val="nil"/>
                    <w:tr2bl w:val="nil"/>
                  </w:tcBorders>
                  <w:shd w:val="clear" w:color="auto" w:fill="auto"/>
                  <w:vAlign w:val="center"/>
                </w:tcPr>
                <w:p w14:paraId="0C1BF7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14D9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01838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46" w:type="dxa"/>
                  <w:vMerge w:val="continue"/>
                  <w:tcBorders>
                    <w:tl2br w:val="nil"/>
                    <w:tr2bl w:val="nil"/>
                  </w:tcBorders>
                  <w:shd w:val="clear" w:color="auto" w:fill="auto"/>
                  <w:vAlign w:val="center"/>
                </w:tcPr>
                <w:p w14:paraId="30EF5C5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39592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滚抛机6</w:t>
                  </w:r>
                </w:p>
              </w:tc>
              <w:tc>
                <w:tcPr>
                  <w:tcW w:w="675" w:type="dxa"/>
                  <w:tcBorders>
                    <w:tl2br w:val="nil"/>
                    <w:tr2bl w:val="nil"/>
                  </w:tcBorders>
                  <w:shd w:val="clear" w:color="auto" w:fill="auto"/>
                  <w:vAlign w:val="center"/>
                </w:tcPr>
                <w:p w14:paraId="04969A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192D0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559475B">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3E3E4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149.85</w:t>
                  </w:r>
                </w:p>
              </w:tc>
              <w:tc>
                <w:tcPr>
                  <w:tcW w:w="876" w:type="dxa"/>
                  <w:tcBorders>
                    <w:tl2br w:val="nil"/>
                    <w:tr2bl w:val="nil"/>
                  </w:tcBorders>
                  <w:shd w:val="clear" w:color="auto" w:fill="auto"/>
                  <w:vAlign w:val="center"/>
                </w:tcPr>
                <w:p w14:paraId="63DD66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15.98</w:t>
                  </w:r>
                </w:p>
              </w:tc>
              <w:tc>
                <w:tcPr>
                  <w:tcW w:w="476" w:type="dxa"/>
                  <w:tcBorders>
                    <w:tl2br w:val="nil"/>
                    <w:tr2bl w:val="nil"/>
                  </w:tcBorders>
                  <w:shd w:val="clear" w:color="auto" w:fill="auto"/>
                  <w:vAlign w:val="center"/>
                </w:tcPr>
                <w:p w14:paraId="40296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4993C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898" w:type="dxa"/>
                  <w:tcBorders>
                    <w:tl2br w:val="nil"/>
                    <w:tr2bl w:val="nil"/>
                  </w:tcBorders>
                  <w:shd w:val="clear" w:color="auto" w:fill="auto"/>
                  <w:vAlign w:val="center"/>
                </w:tcPr>
                <w:p w14:paraId="2072EB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44.01</w:t>
                  </w:r>
                </w:p>
              </w:tc>
              <w:tc>
                <w:tcPr>
                  <w:tcW w:w="707" w:type="dxa"/>
                  <w:tcBorders>
                    <w:tl2br w:val="nil"/>
                    <w:tr2bl w:val="nil"/>
                  </w:tcBorders>
                  <w:shd w:val="clear" w:color="auto" w:fill="auto"/>
                  <w:vAlign w:val="center"/>
                </w:tcPr>
                <w:p w14:paraId="3D527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72405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D020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23.01</w:t>
                  </w:r>
                </w:p>
              </w:tc>
              <w:tc>
                <w:tcPr>
                  <w:tcW w:w="887" w:type="dxa"/>
                  <w:tcBorders>
                    <w:tl2br w:val="nil"/>
                    <w:tr2bl w:val="nil"/>
                  </w:tcBorders>
                  <w:shd w:val="clear" w:color="auto" w:fill="auto"/>
                  <w:vAlign w:val="center"/>
                </w:tcPr>
                <w:p w14:paraId="577779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6A06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565DD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846" w:type="dxa"/>
                  <w:vMerge w:val="restart"/>
                  <w:tcBorders>
                    <w:tl2br w:val="nil"/>
                    <w:tr2bl w:val="nil"/>
                  </w:tcBorders>
                  <w:shd w:val="clear" w:color="auto" w:fill="auto"/>
                  <w:vAlign w:val="center"/>
                </w:tcPr>
                <w:p w14:paraId="65C32F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烫钻生产（2#厂房）</w:t>
                  </w:r>
                </w:p>
              </w:tc>
              <w:tc>
                <w:tcPr>
                  <w:tcW w:w="1372" w:type="dxa"/>
                  <w:tcBorders>
                    <w:tl2br w:val="nil"/>
                    <w:tr2bl w:val="nil"/>
                  </w:tcBorders>
                  <w:shd w:val="clear" w:color="auto" w:fill="auto"/>
                  <w:vAlign w:val="center"/>
                </w:tcPr>
                <w:p w14:paraId="65994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w:t>
                  </w:r>
                </w:p>
              </w:tc>
              <w:tc>
                <w:tcPr>
                  <w:tcW w:w="675" w:type="dxa"/>
                  <w:tcBorders>
                    <w:tl2br w:val="nil"/>
                    <w:tr2bl w:val="nil"/>
                  </w:tcBorders>
                  <w:shd w:val="clear" w:color="auto" w:fill="auto"/>
                  <w:vAlign w:val="center"/>
                </w:tcPr>
                <w:p w14:paraId="397619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0E6F1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D0AA8E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2308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62.01</w:t>
                  </w:r>
                </w:p>
              </w:tc>
              <w:tc>
                <w:tcPr>
                  <w:tcW w:w="876" w:type="dxa"/>
                  <w:tcBorders>
                    <w:tl2br w:val="nil"/>
                    <w:tr2bl w:val="nil"/>
                  </w:tcBorders>
                  <w:shd w:val="clear" w:color="auto" w:fill="auto"/>
                  <w:vAlign w:val="center"/>
                </w:tcPr>
                <w:p w14:paraId="2D2C4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84.30</w:t>
                  </w:r>
                </w:p>
              </w:tc>
              <w:tc>
                <w:tcPr>
                  <w:tcW w:w="476" w:type="dxa"/>
                  <w:tcBorders>
                    <w:tl2br w:val="nil"/>
                    <w:tr2bl w:val="nil"/>
                  </w:tcBorders>
                  <w:shd w:val="clear" w:color="auto" w:fill="auto"/>
                  <w:vAlign w:val="center"/>
                </w:tcPr>
                <w:p w14:paraId="3B1CE3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56E18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w:t>
                  </w:r>
                </w:p>
              </w:tc>
              <w:tc>
                <w:tcPr>
                  <w:tcW w:w="898" w:type="dxa"/>
                  <w:tcBorders>
                    <w:tl2br w:val="nil"/>
                    <w:tr2bl w:val="nil"/>
                  </w:tcBorders>
                  <w:shd w:val="clear" w:color="auto" w:fill="auto"/>
                  <w:vAlign w:val="center"/>
                </w:tcPr>
                <w:p w14:paraId="521D71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52.65</w:t>
                  </w:r>
                </w:p>
              </w:tc>
              <w:tc>
                <w:tcPr>
                  <w:tcW w:w="707" w:type="dxa"/>
                  <w:tcBorders>
                    <w:tl2br w:val="nil"/>
                    <w:tr2bl w:val="nil"/>
                  </w:tcBorders>
                  <w:shd w:val="clear" w:color="auto" w:fill="auto"/>
                  <w:vAlign w:val="center"/>
                </w:tcPr>
                <w:p w14:paraId="21D632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53F01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FF755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31.65</w:t>
                  </w:r>
                </w:p>
              </w:tc>
              <w:tc>
                <w:tcPr>
                  <w:tcW w:w="887" w:type="dxa"/>
                  <w:tcBorders>
                    <w:tl2br w:val="nil"/>
                    <w:tr2bl w:val="nil"/>
                  </w:tcBorders>
                  <w:shd w:val="clear" w:color="auto" w:fill="auto"/>
                  <w:vAlign w:val="center"/>
                </w:tcPr>
                <w:p w14:paraId="11535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B37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F9127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846" w:type="dxa"/>
                  <w:vMerge w:val="continue"/>
                  <w:tcBorders>
                    <w:tl2br w:val="nil"/>
                    <w:tr2bl w:val="nil"/>
                  </w:tcBorders>
                  <w:shd w:val="clear" w:color="auto" w:fill="auto"/>
                  <w:vAlign w:val="center"/>
                </w:tcPr>
                <w:p w14:paraId="3BB2E04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C1DB4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w:t>
                  </w:r>
                </w:p>
              </w:tc>
              <w:tc>
                <w:tcPr>
                  <w:tcW w:w="675" w:type="dxa"/>
                  <w:tcBorders>
                    <w:tl2br w:val="nil"/>
                    <w:tr2bl w:val="nil"/>
                  </w:tcBorders>
                  <w:shd w:val="clear" w:color="auto" w:fill="auto"/>
                  <w:vAlign w:val="center"/>
                </w:tcPr>
                <w:p w14:paraId="5E4180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9963D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8DEAC6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23674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75.41</w:t>
                  </w:r>
                </w:p>
              </w:tc>
              <w:tc>
                <w:tcPr>
                  <w:tcW w:w="876" w:type="dxa"/>
                  <w:tcBorders>
                    <w:tl2br w:val="nil"/>
                    <w:tr2bl w:val="nil"/>
                  </w:tcBorders>
                  <w:shd w:val="clear" w:color="auto" w:fill="auto"/>
                  <w:vAlign w:val="center"/>
                </w:tcPr>
                <w:p w14:paraId="2DE59F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80.22</w:t>
                  </w:r>
                </w:p>
              </w:tc>
              <w:tc>
                <w:tcPr>
                  <w:tcW w:w="476" w:type="dxa"/>
                  <w:tcBorders>
                    <w:tl2br w:val="nil"/>
                    <w:tr2bl w:val="nil"/>
                  </w:tcBorders>
                  <w:shd w:val="clear" w:color="auto" w:fill="auto"/>
                  <w:vAlign w:val="center"/>
                </w:tcPr>
                <w:p w14:paraId="29080E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91F73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c>
                <w:tcPr>
                  <w:tcW w:w="898" w:type="dxa"/>
                  <w:tcBorders>
                    <w:tl2br w:val="nil"/>
                    <w:tr2bl w:val="nil"/>
                  </w:tcBorders>
                  <w:shd w:val="clear" w:color="auto" w:fill="auto"/>
                  <w:vAlign w:val="center"/>
                </w:tcPr>
                <w:p w14:paraId="7C128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52.29</w:t>
                  </w:r>
                </w:p>
              </w:tc>
              <w:tc>
                <w:tcPr>
                  <w:tcW w:w="707" w:type="dxa"/>
                  <w:tcBorders>
                    <w:tl2br w:val="nil"/>
                    <w:tr2bl w:val="nil"/>
                  </w:tcBorders>
                  <w:shd w:val="clear" w:color="auto" w:fill="auto"/>
                  <w:vAlign w:val="center"/>
                </w:tcPr>
                <w:p w14:paraId="405827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741A5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52D0E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31.29</w:t>
                  </w:r>
                </w:p>
              </w:tc>
              <w:tc>
                <w:tcPr>
                  <w:tcW w:w="887" w:type="dxa"/>
                  <w:tcBorders>
                    <w:tl2br w:val="nil"/>
                    <w:tr2bl w:val="nil"/>
                  </w:tcBorders>
                  <w:shd w:val="clear" w:color="auto" w:fill="auto"/>
                  <w:vAlign w:val="center"/>
                </w:tcPr>
                <w:p w14:paraId="4C4B1A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BB65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D82F8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846" w:type="dxa"/>
                  <w:vMerge w:val="continue"/>
                  <w:tcBorders>
                    <w:tl2br w:val="nil"/>
                    <w:tr2bl w:val="nil"/>
                  </w:tcBorders>
                  <w:shd w:val="clear" w:color="auto" w:fill="auto"/>
                  <w:vAlign w:val="center"/>
                </w:tcPr>
                <w:p w14:paraId="515CCF2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AF67B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全自动数控水钻机3</w:t>
                  </w:r>
                </w:p>
              </w:tc>
              <w:tc>
                <w:tcPr>
                  <w:tcW w:w="675" w:type="dxa"/>
                  <w:tcBorders>
                    <w:tl2br w:val="nil"/>
                    <w:tr2bl w:val="nil"/>
                  </w:tcBorders>
                  <w:shd w:val="clear" w:color="auto" w:fill="auto"/>
                  <w:vAlign w:val="center"/>
                </w:tcPr>
                <w:p w14:paraId="614230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0926E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4A46DB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311D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66.38</w:t>
                  </w:r>
                </w:p>
              </w:tc>
              <w:tc>
                <w:tcPr>
                  <w:tcW w:w="876" w:type="dxa"/>
                  <w:tcBorders>
                    <w:tl2br w:val="nil"/>
                    <w:tr2bl w:val="nil"/>
                  </w:tcBorders>
                  <w:shd w:val="clear" w:color="auto" w:fill="auto"/>
                  <w:vAlign w:val="center"/>
                </w:tcPr>
                <w:p w14:paraId="3C5896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101.78</w:t>
                  </w:r>
                </w:p>
              </w:tc>
              <w:tc>
                <w:tcPr>
                  <w:tcW w:w="476" w:type="dxa"/>
                  <w:tcBorders>
                    <w:tl2br w:val="nil"/>
                    <w:tr2bl w:val="nil"/>
                  </w:tcBorders>
                  <w:shd w:val="clear" w:color="auto" w:fill="auto"/>
                  <w:vAlign w:val="center"/>
                </w:tcPr>
                <w:p w14:paraId="096C7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E9815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898" w:type="dxa"/>
                  <w:tcBorders>
                    <w:tl2br w:val="nil"/>
                    <w:tr2bl w:val="nil"/>
                  </w:tcBorders>
                  <w:shd w:val="clear" w:color="auto" w:fill="auto"/>
                  <w:vAlign w:val="center"/>
                </w:tcPr>
                <w:p w14:paraId="1F50C8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51.97</w:t>
                  </w:r>
                </w:p>
              </w:tc>
              <w:tc>
                <w:tcPr>
                  <w:tcW w:w="707" w:type="dxa"/>
                  <w:tcBorders>
                    <w:tl2br w:val="nil"/>
                    <w:tr2bl w:val="nil"/>
                  </w:tcBorders>
                  <w:shd w:val="clear" w:color="auto" w:fill="auto"/>
                  <w:vAlign w:val="center"/>
                </w:tcPr>
                <w:p w14:paraId="6CC4DB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C8B2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D1E1C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30.97</w:t>
                  </w:r>
                </w:p>
              </w:tc>
              <w:tc>
                <w:tcPr>
                  <w:tcW w:w="887" w:type="dxa"/>
                  <w:tcBorders>
                    <w:tl2br w:val="nil"/>
                    <w:tr2bl w:val="nil"/>
                  </w:tcBorders>
                  <w:shd w:val="clear" w:color="auto" w:fill="auto"/>
                  <w:vAlign w:val="center"/>
                </w:tcPr>
                <w:p w14:paraId="6FF730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2462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FE9E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46" w:type="dxa"/>
                  <w:vMerge w:val="continue"/>
                  <w:tcBorders>
                    <w:tl2br w:val="nil"/>
                    <w:tr2bl w:val="nil"/>
                  </w:tcBorders>
                  <w:shd w:val="clear" w:color="auto" w:fill="auto"/>
                  <w:vAlign w:val="center"/>
                </w:tcPr>
                <w:p w14:paraId="49D95BE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EB8D5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全自动数控水钻机4</w:t>
                  </w:r>
                </w:p>
              </w:tc>
              <w:tc>
                <w:tcPr>
                  <w:tcW w:w="675" w:type="dxa"/>
                  <w:tcBorders>
                    <w:tl2br w:val="nil"/>
                    <w:tr2bl w:val="nil"/>
                  </w:tcBorders>
                  <w:shd w:val="clear" w:color="auto" w:fill="auto"/>
                  <w:vAlign w:val="center"/>
                </w:tcPr>
                <w:p w14:paraId="4F2E2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299A0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B9E9F7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F3A79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876" w:type="dxa"/>
                  <w:tcBorders>
                    <w:tl2br w:val="nil"/>
                    <w:tr2bl w:val="nil"/>
                  </w:tcBorders>
                  <w:shd w:val="clear" w:color="auto" w:fill="auto"/>
                  <w:vAlign w:val="center"/>
                </w:tcPr>
                <w:p w14:paraId="7B7BC4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99.45</w:t>
                  </w:r>
                </w:p>
              </w:tc>
              <w:tc>
                <w:tcPr>
                  <w:tcW w:w="476" w:type="dxa"/>
                  <w:tcBorders>
                    <w:tl2br w:val="nil"/>
                    <w:tr2bl w:val="nil"/>
                  </w:tcBorders>
                  <w:shd w:val="clear" w:color="auto" w:fill="auto"/>
                  <w:vAlign w:val="center"/>
                </w:tcPr>
                <w:p w14:paraId="16C3EE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8BD6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898" w:type="dxa"/>
                  <w:tcBorders>
                    <w:tl2br w:val="nil"/>
                    <w:tr2bl w:val="nil"/>
                  </w:tcBorders>
                  <w:shd w:val="clear" w:color="auto" w:fill="auto"/>
                  <w:vAlign w:val="center"/>
                </w:tcPr>
                <w:p w14:paraId="36AF7F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52.32</w:t>
                  </w:r>
                </w:p>
              </w:tc>
              <w:tc>
                <w:tcPr>
                  <w:tcW w:w="707" w:type="dxa"/>
                  <w:tcBorders>
                    <w:tl2br w:val="nil"/>
                    <w:tr2bl w:val="nil"/>
                  </w:tcBorders>
                  <w:shd w:val="clear" w:color="auto" w:fill="auto"/>
                  <w:vAlign w:val="center"/>
                </w:tcPr>
                <w:p w14:paraId="583941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A7E36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F84E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31.32</w:t>
                  </w:r>
                </w:p>
              </w:tc>
              <w:tc>
                <w:tcPr>
                  <w:tcW w:w="887" w:type="dxa"/>
                  <w:tcBorders>
                    <w:tl2br w:val="nil"/>
                    <w:tr2bl w:val="nil"/>
                  </w:tcBorders>
                  <w:shd w:val="clear" w:color="auto" w:fill="auto"/>
                  <w:vAlign w:val="center"/>
                </w:tcPr>
                <w:p w14:paraId="5E3CE3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EFD2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ED399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846" w:type="dxa"/>
                  <w:vMerge w:val="continue"/>
                  <w:tcBorders>
                    <w:tl2br w:val="nil"/>
                    <w:tr2bl w:val="nil"/>
                  </w:tcBorders>
                  <w:shd w:val="clear" w:color="auto" w:fill="auto"/>
                  <w:vAlign w:val="center"/>
                </w:tcPr>
                <w:p w14:paraId="1C6AE4D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5E098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全自动数控水钻机5</w:t>
                  </w:r>
                </w:p>
              </w:tc>
              <w:tc>
                <w:tcPr>
                  <w:tcW w:w="675" w:type="dxa"/>
                  <w:tcBorders>
                    <w:tl2br w:val="nil"/>
                    <w:tr2bl w:val="nil"/>
                  </w:tcBorders>
                  <w:shd w:val="clear" w:color="auto" w:fill="auto"/>
                  <w:vAlign w:val="center"/>
                </w:tcPr>
                <w:p w14:paraId="450AD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20BBC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375159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D0A4F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71.04</w:t>
                  </w:r>
                </w:p>
              </w:tc>
              <w:tc>
                <w:tcPr>
                  <w:tcW w:w="876" w:type="dxa"/>
                  <w:tcBorders>
                    <w:tl2br w:val="nil"/>
                    <w:tr2bl w:val="nil"/>
                  </w:tcBorders>
                  <w:shd w:val="clear" w:color="auto" w:fill="auto"/>
                  <w:vAlign w:val="center"/>
                </w:tcPr>
                <w:p w14:paraId="156FE8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119.84</w:t>
                  </w:r>
                </w:p>
              </w:tc>
              <w:tc>
                <w:tcPr>
                  <w:tcW w:w="476" w:type="dxa"/>
                  <w:tcBorders>
                    <w:tl2br w:val="nil"/>
                    <w:tr2bl w:val="nil"/>
                  </w:tcBorders>
                  <w:shd w:val="clear" w:color="auto" w:fill="auto"/>
                  <w:vAlign w:val="center"/>
                </w:tcPr>
                <w:p w14:paraId="528337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4DF3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w:t>
                  </w:r>
                </w:p>
              </w:tc>
              <w:tc>
                <w:tcPr>
                  <w:tcW w:w="898" w:type="dxa"/>
                  <w:tcBorders>
                    <w:tl2br w:val="nil"/>
                    <w:tr2bl w:val="nil"/>
                  </w:tcBorders>
                  <w:shd w:val="clear" w:color="auto" w:fill="auto"/>
                  <w:vAlign w:val="center"/>
                </w:tcPr>
                <w:p w14:paraId="44D870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51.94</w:t>
                  </w:r>
                </w:p>
              </w:tc>
              <w:tc>
                <w:tcPr>
                  <w:tcW w:w="707" w:type="dxa"/>
                  <w:tcBorders>
                    <w:tl2br w:val="nil"/>
                    <w:tr2bl w:val="nil"/>
                  </w:tcBorders>
                  <w:shd w:val="clear" w:color="auto" w:fill="auto"/>
                  <w:vAlign w:val="center"/>
                </w:tcPr>
                <w:p w14:paraId="0CF8C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64F71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3EF4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30.94</w:t>
                  </w:r>
                </w:p>
              </w:tc>
              <w:tc>
                <w:tcPr>
                  <w:tcW w:w="887" w:type="dxa"/>
                  <w:tcBorders>
                    <w:tl2br w:val="nil"/>
                    <w:tr2bl w:val="nil"/>
                  </w:tcBorders>
                  <w:shd w:val="clear" w:color="auto" w:fill="auto"/>
                  <w:vAlign w:val="center"/>
                </w:tcPr>
                <w:p w14:paraId="302FC0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E73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8378D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846" w:type="dxa"/>
                  <w:vMerge w:val="continue"/>
                  <w:tcBorders>
                    <w:tl2br w:val="nil"/>
                    <w:tr2bl w:val="nil"/>
                  </w:tcBorders>
                  <w:shd w:val="clear" w:color="auto" w:fill="auto"/>
                  <w:vAlign w:val="center"/>
                </w:tcPr>
                <w:p w14:paraId="590D29F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F87F1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全自动数控水钻机6</w:t>
                  </w:r>
                </w:p>
              </w:tc>
              <w:tc>
                <w:tcPr>
                  <w:tcW w:w="675" w:type="dxa"/>
                  <w:tcBorders>
                    <w:tl2br w:val="nil"/>
                    <w:tr2bl w:val="nil"/>
                  </w:tcBorders>
                  <w:shd w:val="clear" w:color="auto" w:fill="auto"/>
                  <w:vAlign w:val="center"/>
                </w:tcPr>
                <w:p w14:paraId="55A97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BAB1C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28C748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0FDB5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84.73</w:t>
                  </w:r>
                </w:p>
              </w:tc>
              <w:tc>
                <w:tcPr>
                  <w:tcW w:w="876" w:type="dxa"/>
                  <w:tcBorders>
                    <w:tl2br w:val="nil"/>
                    <w:tr2bl w:val="nil"/>
                  </w:tcBorders>
                  <w:shd w:val="clear" w:color="auto" w:fill="auto"/>
                  <w:vAlign w:val="center"/>
                </w:tcPr>
                <w:p w14:paraId="424B32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118.38</w:t>
                  </w:r>
                </w:p>
              </w:tc>
              <w:tc>
                <w:tcPr>
                  <w:tcW w:w="476" w:type="dxa"/>
                  <w:tcBorders>
                    <w:tl2br w:val="nil"/>
                    <w:tr2bl w:val="nil"/>
                  </w:tcBorders>
                  <w:shd w:val="clear" w:color="auto" w:fill="auto"/>
                  <w:vAlign w:val="center"/>
                </w:tcPr>
                <w:p w14:paraId="47A869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E26C5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898" w:type="dxa"/>
                  <w:tcBorders>
                    <w:tl2br w:val="nil"/>
                    <w:tr2bl w:val="nil"/>
                  </w:tcBorders>
                  <w:shd w:val="clear" w:color="auto" w:fill="auto"/>
                  <w:vAlign w:val="center"/>
                </w:tcPr>
                <w:p w14:paraId="082A4F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52.30</w:t>
                  </w:r>
                </w:p>
              </w:tc>
              <w:tc>
                <w:tcPr>
                  <w:tcW w:w="707" w:type="dxa"/>
                  <w:tcBorders>
                    <w:tl2br w:val="nil"/>
                    <w:tr2bl w:val="nil"/>
                  </w:tcBorders>
                  <w:shd w:val="clear" w:color="auto" w:fill="auto"/>
                  <w:vAlign w:val="center"/>
                </w:tcPr>
                <w:p w14:paraId="4EC0FB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2B706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892A2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31.30</w:t>
                  </w:r>
                </w:p>
              </w:tc>
              <w:tc>
                <w:tcPr>
                  <w:tcW w:w="887" w:type="dxa"/>
                  <w:tcBorders>
                    <w:tl2br w:val="nil"/>
                    <w:tr2bl w:val="nil"/>
                  </w:tcBorders>
                  <w:shd w:val="clear" w:color="auto" w:fill="auto"/>
                  <w:vAlign w:val="center"/>
                </w:tcPr>
                <w:p w14:paraId="124AF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F74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13A62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46" w:type="dxa"/>
                  <w:vMerge w:val="continue"/>
                  <w:tcBorders>
                    <w:tl2br w:val="nil"/>
                    <w:tr2bl w:val="nil"/>
                  </w:tcBorders>
                  <w:shd w:val="clear" w:color="auto" w:fill="auto"/>
                  <w:vAlign w:val="center"/>
                </w:tcPr>
                <w:p w14:paraId="20D1215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2F5BD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全自动数控水钻机7</w:t>
                  </w:r>
                </w:p>
              </w:tc>
              <w:tc>
                <w:tcPr>
                  <w:tcW w:w="675" w:type="dxa"/>
                  <w:tcBorders>
                    <w:tl2br w:val="nil"/>
                    <w:tr2bl w:val="nil"/>
                  </w:tcBorders>
                  <w:shd w:val="clear" w:color="auto" w:fill="auto"/>
                  <w:vAlign w:val="center"/>
                </w:tcPr>
                <w:p w14:paraId="34F97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4FA41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384B23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0D67C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75.70</w:t>
                  </w:r>
                </w:p>
              </w:tc>
              <w:tc>
                <w:tcPr>
                  <w:tcW w:w="876" w:type="dxa"/>
                  <w:tcBorders>
                    <w:tl2br w:val="nil"/>
                    <w:tr2bl w:val="nil"/>
                  </w:tcBorders>
                  <w:shd w:val="clear" w:color="auto" w:fill="auto"/>
                  <w:vAlign w:val="center"/>
                </w:tcPr>
                <w:p w14:paraId="3055FB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136.15</w:t>
                  </w:r>
                </w:p>
              </w:tc>
              <w:tc>
                <w:tcPr>
                  <w:tcW w:w="476" w:type="dxa"/>
                  <w:tcBorders>
                    <w:tl2br w:val="nil"/>
                    <w:tr2bl w:val="nil"/>
                  </w:tcBorders>
                  <w:shd w:val="clear" w:color="auto" w:fill="auto"/>
                  <w:vAlign w:val="center"/>
                </w:tcPr>
                <w:p w14:paraId="7B3B41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761BE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12.6</w:t>
                  </w:r>
                </w:p>
              </w:tc>
              <w:tc>
                <w:tcPr>
                  <w:tcW w:w="898" w:type="dxa"/>
                  <w:tcBorders>
                    <w:tl2br w:val="nil"/>
                    <w:tr2bl w:val="nil"/>
                  </w:tcBorders>
                  <w:shd w:val="clear" w:color="auto" w:fill="auto"/>
                  <w:vAlign w:val="center"/>
                </w:tcPr>
                <w:p w14:paraId="4A6371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51.95</w:t>
                  </w:r>
                </w:p>
              </w:tc>
              <w:tc>
                <w:tcPr>
                  <w:tcW w:w="707" w:type="dxa"/>
                  <w:tcBorders>
                    <w:tl2br w:val="nil"/>
                    <w:tr2bl w:val="nil"/>
                  </w:tcBorders>
                  <w:shd w:val="clear" w:color="auto" w:fill="auto"/>
                  <w:vAlign w:val="center"/>
                </w:tcPr>
                <w:p w14:paraId="0C4AC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0FC6E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3740C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30.95</w:t>
                  </w:r>
                </w:p>
              </w:tc>
              <w:tc>
                <w:tcPr>
                  <w:tcW w:w="887" w:type="dxa"/>
                  <w:tcBorders>
                    <w:tl2br w:val="nil"/>
                    <w:tr2bl w:val="nil"/>
                  </w:tcBorders>
                  <w:shd w:val="clear" w:color="auto" w:fill="auto"/>
                  <w:vAlign w:val="center"/>
                </w:tcPr>
                <w:p w14:paraId="04A570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38C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2D92B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46" w:type="dxa"/>
                  <w:vMerge w:val="continue"/>
                  <w:tcBorders>
                    <w:tl2br w:val="nil"/>
                    <w:tr2bl w:val="nil"/>
                  </w:tcBorders>
                  <w:shd w:val="clear" w:color="auto" w:fill="auto"/>
                  <w:vAlign w:val="center"/>
                </w:tcPr>
                <w:p w14:paraId="0F11C34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6CAB4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全自动数控水钻机8</w:t>
                  </w:r>
                </w:p>
              </w:tc>
              <w:tc>
                <w:tcPr>
                  <w:tcW w:w="675" w:type="dxa"/>
                  <w:tcBorders>
                    <w:tl2br w:val="nil"/>
                    <w:tr2bl w:val="nil"/>
                  </w:tcBorders>
                  <w:shd w:val="clear" w:color="auto" w:fill="auto"/>
                  <w:vAlign w:val="center"/>
                </w:tcPr>
                <w:p w14:paraId="43F9C0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EF2E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86A560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D6121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89.10</w:t>
                  </w:r>
                </w:p>
              </w:tc>
              <w:tc>
                <w:tcPr>
                  <w:tcW w:w="876" w:type="dxa"/>
                  <w:tcBorders>
                    <w:tl2br w:val="nil"/>
                    <w:tr2bl w:val="nil"/>
                  </w:tcBorders>
                  <w:shd w:val="clear" w:color="auto" w:fill="auto"/>
                  <w:vAlign w:val="center"/>
                </w:tcPr>
                <w:p w14:paraId="3A6E1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133.23</w:t>
                  </w:r>
                </w:p>
              </w:tc>
              <w:tc>
                <w:tcPr>
                  <w:tcW w:w="476" w:type="dxa"/>
                  <w:tcBorders>
                    <w:tl2br w:val="nil"/>
                    <w:tr2bl w:val="nil"/>
                  </w:tcBorders>
                  <w:shd w:val="clear" w:color="auto" w:fill="auto"/>
                  <w:vAlign w:val="center"/>
                </w:tcPr>
                <w:p w14:paraId="1CA543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488B7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c>
                <w:tcPr>
                  <w:tcW w:w="898" w:type="dxa"/>
                  <w:tcBorders>
                    <w:tl2br w:val="nil"/>
                    <w:tr2bl w:val="nil"/>
                  </w:tcBorders>
                  <w:shd w:val="clear" w:color="auto" w:fill="auto"/>
                  <w:vAlign w:val="center"/>
                </w:tcPr>
                <w:p w14:paraId="037353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52.31</w:t>
                  </w:r>
                </w:p>
              </w:tc>
              <w:tc>
                <w:tcPr>
                  <w:tcW w:w="707" w:type="dxa"/>
                  <w:tcBorders>
                    <w:tl2br w:val="nil"/>
                    <w:tr2bl w:val="nil"/>
                  </w:tcBorders>
                  <w:shd w:val="clear" w:color="auto" w:fill="auto"/>
                  <w:vAlign w:val="center"/>
                </w:tcPr>
                <w:p w14:paraId="7B4D0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C01F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737A6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31.31</w:t>
                  </w:r>
                </w:p>
              </w:tc>
              <w:tc>
                <w:tcPr>
                  <w:tcW w:w="887" w:type="dxa"/>
                  <w:tcBorders>
                    <w:tl2br w:val="nil"/>
                    <w:tr2bl w:val="nil"/>
                  </w:tcBorders>
                  <w:shd w:val="clear" w:color="auto" w:fill="auto"/>
                  <w:vAlign w:val="center"/>
                </w:tcPr>
                <w:p w14:paraId="069632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D14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DCE3E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46" w:type="dxa"/>
                  <w:vMerge w:val="continue"/>
                  <w:tcBorders>
                    <w:tl2br w:val="nil"/>
                    <w:tr2bl w:val="nil"/>
                  </w:tcBorders>
                  <w:shd w:val="clear" w:color="auto" w:fill="auto"/>
                  <w:vAlign w:val="center"/>
                </w:tcPr>
                <w:p w14:paraId="0833E73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9CEC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全自动数控水钻机9</w:t>
                  </w:r>
                </w:p>
              </w:tc>
              <w:tc>
                <w:tcPr>
                  <w:tcW w:w="675" w:type="dxa"/>
                  <w:tcBorders>
                    <w:tl2br w:val="nil"/>
                    <w:tr2bl w:val="nil"/>
                  </w:tcBorders>
                  <w:shd w:val="clear" w:color="auto" w:fill="auto"/>
                  <w:vAlign w:val="center"/>
                </w:tcPr>
                <w:p w14:paraId="0A3C27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F10BF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4AFBC1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5E219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80.36</w:t>
                  </w:r>
                </w:p>
              </w:tc>
              <w:tc>
                <w:tcPr>
                  <w:tcW w:w="876" w:type="dxa"/>
                  <w:tcBorders>
                    <w:tl2br w:val="nil"/>
                    <w:tr2bl w:val="nil"/>
                  </w:tcBorders>
                  <w:shd w:val="clear" w:color="auto" w:fill="auto"/>
                  <w:vAlign w:val="center"/>
                </w:tcPr>
                <w:p w14:paraId="396B14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155.37</w:t>
                  </w:r>
                </w:p>
              </w:tc>
              <w:tc>
                <w:tcPr>
                  <w:tcW w:w="476" w:type="dxa"/>
                  <w:tcBorders>
                    <w:tl2br w:val="nil"/>
                    <w:tr2bl w:val="nil"/>
                  </w:tcBorders>
                  <w:shd w:val="clear" w:color="auto" w:fill="auto"/>
                  <w:vAlign w:val="center"/>
                </w:tcPr>
                <w:p w14:paraId="6F1921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C209B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w:t>
                  </w:r>
                </w:p>
              </w:tc>
              <w:tc>
                <w:tcPr>
                  <w:tcW w:w="898" w:type="dxa"/>
                  <w:tcBorders>
                    <w:tl2br w:val="nil"/>
                    <w:tr2bl w:val="nil"/>
                  </w:tcBorders>
                  <w:shd w:val="clear" w:color="auto" w:fill="auto"/>
                  <w:vAlign w:val="center"/>
                </w:tcPr>
                <w:p w14:paraId="0ABFDD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52.38</w:t>
                  </w:r>
                </w:p>
              </w:tc>
              <w:tc>
                <w:tcPr>
                  <w:tcW w:w="707" w:type="dxa"/>
                  <w:tcBorders>
                    <w:tl2br w:val="nil"/>
                    <w:tr2bl w:val="nil"/>
                  </w:tcBorders>
                  <w:shd w:val="clear" w:color="auto" w:fill="auto"/>
                  <w:vAlign w:val="center"/>
                </w:tcPr>
                <w:p w14:paraId="74286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437F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5B376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31.38</w:t>
                  </w:r>
                </w:p>
              </w:tc>
              <w:tc>
                <w:tcPr>
                  <w:tcW w:w="887" w:type="dxa"/>
                  <w:tcBorders>
                    <w:tl2br w:val="nil"/>
                    <w:tr2bl w:val="nil"/>
                  </w:tcBorders>
                  <w:shd w:val="clear" w:color="auto" w:fill="auto"/>
                  <w:vAlign w:val="center"/>
                </w:tcPr>
                <w:p w14:paraId="711079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6A13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2F29F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846" w:type="dxa"/>
                  <w:vMerge w:val="continue"/>
                  <w:tcBorders>
                    <w:tl2br w:val="nil"/>
                    <w:tr2bl w:val="nil"/>
                  </w:tcBorders>
                  <w:shd w:val="clear" w:color="auto" w:fill="auto"/>
                  <w:vAlign w:val="center"/>
                </w:tcPr>
                <w:p w14:paraId="30E9282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B8808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全自动数控水钻机10</w:t>
                  </w:r>
                </w:p>
              </w:tc>
              <w:tc>
                <w:tcPr>
                  <w:tcW w:w="675" w:type="dxa"/>
                  <w:tcBorders>
                    <w:tl2br w:val="nil"/>
                    <w:tr2bl w:val="nil"/>
                  </w:tcBorders>
                  <w:shd w:val="clear" w:color="auto" w:fill="auto"/>
                  <w:vAlign w:val="center"/>
                </w:tcPr>
                <w:p w14:paraId="4D1D38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05ABB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5F1ACF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47F49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94.05</w:t>
                  </w:r>
                </w:p>
              </w:tc>
              <w:tc>
                <w:tcPr>
                  <w:tcW w:w="876" w:type="dxa"/>
                  <w:tcBorders>
                    <w:tl2br w:val="nil"/>
                    <w:tr2bl w:val="nil"/>
                  </w:tcBorders>
                  <w:shd w:val="clear" w:color="auto" w:fill="auto"/>
                  <w:vAlign w:val="center"/>
                </w:tcPr>
                <w:p w14:paraId="634B6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151.87</w:t>
                  </w:r>
                </w:p>
              </w:tc>
              <w:tc>
                <w:tcPr>
                  <w:tcW w:w="476" w:type="dxa"/>
                  <w:tcBorders>
                    <w:tl2br w:val="nil"/>
                    <w:tr2bl w:val="nil"/>
                  </w:tcBorders>
                  <w:shd w:val="clear" w:color="auto" w:fill="auto"/>
                  <w:vAlign w:val="center"/>
                </w:tcPr>
                <w:p w14:paraId="5F1E9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0744F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898" w:type="dxa"/>
                  <w:tcBorders>
                    <w:tl2br w:val="nil"/>
                    <w:tr2bl w:val="nil"/>
                  </w:tcBorders>
                  <w:shd w:val="clear" w:color="auto" w:fill="auto"/>
                  <w:vAlign w:val="center"/>
                </w:tcPr>
                <w:p w14:paraId="66EDB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51.96</w:t>
                  </w:r>
                </w:p>
              </w:tc>
              <w:tc>
                <w:tcPr>
                  <w:tcW w:w="707" w:type="dxa"/>
                  <w:tcBorders>
                    <w:tl2br w:val="nil"/>
                    <w:tr2bl w:val="nil"/>
                  </w:tcBorders>
                  <w:shd w:val="clear" w:color="auto" w:fill="auto"/>
                  <w:vAlign w:val="center"/>
                </w:tcPr>
                <w:p w14:paraId="3584A1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A08DF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DFA17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30.96</w:t>
                  </w:r>
                </w:p>
              </w:tc>
              <w:tc>
                <w:tcPr>
                  <w:tcW w:w="887" w:type="dxa"/>
                  <w:tcBorders>
                    <w:tl2br w:val="nil"/>
                    <w:tr2bl w:val="nil"/>
                  </w:tcBorders>
                  <w:shd w:val="clear" w:color="auto" w:fill="auto"/>
                  <w:vAlign w:val="center"/>
                </w:tcPr>
                <w:p w14:paraId="21C1D1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7C8F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8B34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w:t>
                  </w:r>
                </w:p>
              </w:tc>
              <w:tc>
                <w:tcPr>
                  <w:tcW w:w="846" w:type="dxa"/>
                  <w:vMerge w:val="continue"/>
                  <w:tcBorders>
                    <w:tl2br w:val="nil"/>
                    <w:tr2bl w:val="nil"/>
                  </w:tcBorders>
                  <w:shd w:val="clear" w:color="auto" w:fill="auto"/>
                  <w:vAlign w:val="center"/>
                </w:tcPr>
                <w:p w14:paraId="690A86E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C185D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全自动数控水钻机11</w:t>
                  </w:r>
                </w:p>
              </w:tc>
              <w:tc>
                <w:tcPr>
                  <w:tcW w:w="675" w:type="dxa"/>
                  <w:tcBorders>
                    <w:tl2br w:val="nil"/>
                    <w:tr2bl w:val="nil"/>
                  </w:tcBorders>
                  <w:shd w:val="clear" w:color="auto" w:fill="auto"/>
                  <w:vAlign w:val="center"/>
                </w:tcPr>
                <w:p w14:paraId="06CBF8A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71D98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CB5E74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512F8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82.25</w:t>
                  </w:r>
                </w:p>
              </w:tc>
              <w:tc>
                <w:tcPr>
                  <w:tcW w:w="876" w:type="dxa"/>
                  <w:tcBorders>
                    <w:tl2br w:val="nil"/>
                    <w:tr2bl w:val="nil"/>
                  </w:tcBorders>
                  <w:shd w:val="clear" w:color="auto" w:fill="auto"/>
                  <w:vAlign w:val="center"/>
                </w:tcPr>
                <w:p w14:paraId="17B949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78.97</w:t>
                  </w:r>
                </w:p>
              </w:tc>
              <w:tc>
                <w:tcPr>
                  <w:tcW w:w="476" w:type="dxa"/>
                  <w:tcBorders>
                    <w:tl2br w:val="nil"/>
                    <w:tr2bl w:val="nil"/>
                  </w:tcBorders>
                  <w:shd w:val="clear" w:color="auto" w:fill="auto"/>
                  <w:vAlign w:val="center"/>
                </w:tcPr>
                <w:p w14:paraId="0D382B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159DB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898" w:type="dxa"/>
                  <w:tcBorders>
                    <w:tl2br w:val="nil"/>
                    <w:tr2bl w:val="nil"/>
                  </w:tcBorders>
                  <w:shd w:val="clear" w:color="auto" w:fill="auto"/>
                  <w:vAlign w:val="center"/>
                </w:tcPr>
                <w:p w14:paraId="5029A8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52.88</w:t>
                  </w:r>
                </w:p>
              </w:tc>
              <w:tc>
                <w:tcPr>
                  <w:tcW w:w="707" w:type="dxa"/>
                  <w:tcBorders>
                    <w:tl2br w:val="nil"/>
                    <w:tr2bl w:val="nil"/>
                  </w:tcBorders>
                  <w:shd w:val="clear" w:color="auto" w:fill="auto"/>
                  <w:vAlign w:val="center"/>
                </w:tcPr>
                <w:p w14:paraId="531791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4B5FC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0FF7B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31.88</w:t>
                  </w:r>
                </w:p>
              </w:tc>
              <w:tc>
                <w:tcPr>
                  <w:tcW w:w="887" w:type="dxa"/>
                  <w:tcBorders>
                    <w:tl2br w:val="nil"/>
                    <w:tr2bl w:val="nil"/>
                  </w:tcBorders>
                  <w:shd w:val="clear" w:color="auto" w:fill="auto"/>
                  <w:vAlign w:val="center"/>
                </w:tcPr>
                <w:p w14:paraId="09843B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D74F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E6730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846" w:type="dxa"/>
                  <w:vMerge w:val="continue"/>
                  <w:tcBorders>
                    <w:tl2br w:val="nil"/>
                    <w:tr2bl w:val="nil"/>
                  </w:tcBorders>
                  <w:shd w:val="clear" w:color="auto" w:fill="auto"/>
                  <w:vAlign w:val="center"/>
                </w:tcPr>
                <w:p w14:paraId="40C9FB6F">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01DA7C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全自动数控水钻机12</w:t>
                  </w:r>
                </w:p>
              </w:tc>
              <w:tc>
                <w:tcPr>
                  <w:tcW w:w="675" w:type="dxa"/>
                  <w:tcBorders>
                    <w:tl2br w:val="nil"/>
                    <w:tr2bl w:val="nil"/>
                  </w:tcBorders>
                  <w:shd w:val="clear" w:color="auto" w:fill="auto"/>
                  <w:vAlign w:val="center"/>
                </w:tcPr>
                <w:p w14:paraId="29C7BE0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37538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679D97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7320C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87.36</w:t>
                  </w:r>
                </w:p>
              </w:tc>
              <w:tc>
                <w:tcPr>
                  <w:tcW w:w="876" w:type="dxa"/>
                  <w:tcBorders>
                    <w:tl2br w:val="nil"/>
                    <w:tr2bl w:val="nil"/>
                  </w:tcBorders>
                  <w:shd w:val="clear" w:color="auto" w:fill="auto"/>
                  <w:vAlign w:val="center"/>
                </w:tcPr>
                <w:p w14:paraId="608F2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95.74</w:t>
                  </w:r>
                </w:p>
              </w:tc>
              <w:tc>
                <w:tcPr>
                  <w:tcW w:w="476" w:type="dxa"/>
                  <w:tcBorders>
                    <w:tl2br w:val="nil"/>
                    <w:tr2bl w:val="nil"/>
                  </w:tcBorders>
                  <w:shd w:val="clear" w:color="auto" w:fill="auto"/>
                  <w:vAlign w:val="center"/>
                </w:tcPr>
                <w:p w14:paraId="00205F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5A4F4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p>
              </w:tc>
              <w:tc>
                <w:tcPr>
                  <w:tcW w:w="898" w:type="dxa"/>
                  <w:tcBorders>
                    <w:tl2br w:val="nil"/>
                    <w:tr2bl w:val="nil"/>
                  </w:tcBorders>
                  <w:shd w:val="clear" w:color="auto" w:fill="auto"/>
                  <w:vAlign w:val="center"/>
                </w:tcPr>
                <w:p w14:paraId="75D0E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53.12</w:t>
                  </w:r>
                </w:p>
              </w:tc>
              <w:tc>
                <w:tcPr>
                  <w:tcW w:w="707" w:type="dxa"/>
                  <w:tcBorders>
                    <w:tl2br w:val="nil"/>
                    <w:tr2bl w:val="nil"/>
                  </w:tcBorders>
                  <w:shd w:val="clear" w:color="auto" w:fill="auto"/>
                  <w:vAlign w:val="center"/>
                </w:tcPr>
                <w:p w14:paraId="758DDD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514F36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1F923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32.12</w:t>
                  </w:r>
                </w:p>
              </w:tc>
              <w:tc>
                <w:tcPr>
                  <w:tcW w:w="887" w:type="dxa"/>
                  <w:tcBorders>
                    <w:tl2br w:val="nil"/>
                    <w:tr2bl w:val="nil"/>
                  </w:tcBorders>
                  <w:shd w:val="clear" w:color="auto" w:fill="auto"/>
                  <w:vAlign w:val="center"/>
                </w:tcPr>
                <w:p w14:paraId="1A5EC4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493C0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72B9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46" w:type="dxa"/>
                  <w:vMerge w:val="continue"/>
                  <w:tcBorders>
                    <w:tl2br w:val="nil"/>
                    <w:tr2bl w:val="nil"/>
                  </w:tcBorders>
                  <w:shd w:val="clear" w:color="auto" w:fill="auto"/>
                  <w:vAlign w:val="center"/>
                </w:tcPr>
                <w:p w14:paraId="0125052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121B639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全自动数控水钻机13</w:t>
                  </w:r>
                </w:p>
              </w:tc>
              <w:tc>
                <w:tcPr>
                  <w:tcW w:w="675" w:type="dxa"/>
                  <w:tcBorders>
                    <w:tl2br w:val="nil"/>
                    <w:tr2bl w:val="nil"/>
                  </w:tcBorders>
                  <w:shd w:val="clear" w:color="auto" w:fill="auto"/>
                  <w:vAlign w:val="center"/>
                </w:tcPr>
                <w:p w14:paraId="0819B5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589E1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69EE0F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7C9CE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93.56</w:t>
                  </w:r>
                </w:p>
              </w:tc>
              <w:tc>
                <w:tcPr>
                  <w:tcW w:w="876" w:type="dxa"/>
                  <w:tcBorders>
                    <w:tl2br w:val="nil"/>
                    <w:tr2bl w:val="nil"/>
                  </w:tcBorders>
                  <w:shd w:val="clear" w:color="auto" w:fill="auto"/>
                  <w:vAlign w:val="center"/>
                </w:tcPr>
                <w:p w14:paraId="2F313A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115.06</w:t>
                  </w:r>
                </w:p>
              </w:tc>
              <w:tc>
                <w:tcPr>
                  <w:tcW w:w="476" w:type="dxa"/>
                  <w:tcBorders>
                    <w:tl2br w:val="nil"/>
                    <w:tr2bl w:val="nil"/>
                  </w:tcBorders>
                  <w:shd w:val="clear" w:color="auto" w:fill="auto"/>
                  <w:vAlign w:val="center"/>
                </w:tcPr>
                <w:p w14:paraId="17C16C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5087A1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898" w:type="dxa"/>
                  <w:tcBorders>
                    <w:tl2br w:val="nil"/>
                    <w:tr2bl w:val="nil"/>
                  </w:tcBorders>
                  <w:shd w:val="clear" w:color="auto" w:fill="auto"/>
                  <w:vAlign w:val="center"/>
                </w:tcPr>
                <w:p w14:paraId="7E130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53.49</w:t>
                  </w:r>
                </w:p>
              </w:tc>
              <w:tc>
                <w:tcPr>
                  <w:tcW w:w="707" w:type="dxa"/>
                  <w:tcBorders>
                    <w:tl2br w:val="nil"/>
                    <w:tr2bl w:val="nil"/>
                  </w:tcBorders>
                  <w:shd w:val="clear" w:color="auto" w:fill="auto"/>
                  <w:vAlign w:val="center"/>
                </w:tcPr>
                <w:p w14:paraId="703FFB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045B4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6FCEC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32.49</w:t>
                  </w:r>
                </w:p>
              </w:tc>
              <w:tc>
                <w:tcPr>
                  <w:tcW w:w="887" w:type="dxa"/>
                  <w:tcBorders>
                    <w:tl2br w:val="nil"/>
                    <w:tr2bl w:val="nil"/>
                  </w:tcBorders>
                  <w:shd w:val="clear" w:color="auto" w:fill="auto"/>
                  <w:vAlign w:val="center"/>
                </w:tcPr>
                <w:p w14:paraId="391E7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903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CBEB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46" w:type="dxa"/>
                  <w:vMerge w:val="continue"/>
                  <w:tcBorders>
                    <w:tl2br w:val="nil"/>
                    <w:tr2bl w:val="nil"/>
                  </w:tcBorders>
                  <w:shd w:val="clear" w:color="auto" w:fill="auto"/>
                  <w:vAlign w:val="center"/>
                </w:tcPr>
                <w:p w14:paraId="4DF0E68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DCC94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全自动数控水钻机14</w:t>
                  </w:r>
                </w:p>
              </w:tc>
              <w:tc>
                <w:tcPr>
                  <w:tcW w:w="675" w:type="dxa"/>
                  <w:tcBorders>
                    <w:tl2br w:val="nil"/>
                    <w:tr2bl w:val="nil"/>
                  </w:tcBorders>
                  <w:shd w:val="clear" w:color="auto" w:fill="auto"/>
                  <w:vAlign w:val="center"/>
                </w:tcPr>
                <w:p w14:paraId="4BDB337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FE090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70F376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F110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97.02</w:t>
                  </w:r>
                </w:p>
              </w:tc>
              <w:tc>
                <w:tcPr>
                  <w:tcW w:w="876" w:type="dxa"/>
                  <w:tcBorders>
                    <w:tl2br w:val="nil"/>
                    <w:tr2bl w:val="nil"/>
                  </w:tcBorders>
                  <w:shd w:val="clear" w:color="auto" w:fill="auto"/>
                  <w:vAlign w:val="center"/>
                </w:tcPr>
                <w:p w14:paraId="37B773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128.74</w:t>
                  </w:r>
                </w:p>
              </w:tc>
              <w:tc>
                <w:tcPr>
                  <w:tcW w:w="476" w:type="dxa"/>
                  <w:tcBorders>
                    <w:tl2br w:val="nil"/>
                    <w:tr2bl w:val="nil"/>
                  </w:tcBorders>
                  <w:shd w:val="clear" w:color="auto" w:fill="auto"/>
                  <w:vAlign w:val="center"/>
                </w:tcPr>
                <w:p w14:paraId="572912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3CA5CD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w:t>
                  </w:r>
                </w:p>
              </w:tc>
              <w:tc>
                <w:tcPr>
                  <w:tcW w:w="898" w:type="dxa"/>
                  <w:tcBorders>
                    <w:tl2br w:val="nil"/>
                    <w:tr2bl w:val="nil"/>
                  </w:tcBorders>
                  <w:shd w:val="clear" w:color="auto" w:fill="auto"/>
                  <w:vAlign w:val="center"/>
                </w:tcPr>
                <w:p w14:paraId="56B1DA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53.45</w:t>
                  </w:r>
                </w:p>
              </w:tc>
              <w:tc>
                <w:tcPr>
                  <w:tcW w:w="707" w:type="dxa"/>
                  <w:tcBorders>
                    <w:tl2br w:val="nil"/>
                    <w:tr2bl w:val="nil"/>
                  </w:tcBorders>
                  <w:shd w:val="clear" w:color="auto" w:fill="auto"/>
                  <w:vAlign w:val="center"/>
                </w:tcPr>
                <w:p w14:paraId="12EED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2EFAA0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7916CD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32.45</w:t>
                  </w:r>
                </w:p>
              </w:tc>
              <w:tc>
                <w:tcPr>
                  <w:tcW w:w="887" w:type="dxa"/>
                  <w:tcBorders>
                    <w:tl2br w:val="nil"/>
                    <w:tr2bl w:val="nil"/>
                  </w:tcBorders>
                  <w:shd w:val="clear" w:color="auto" w:fill="auto"/>
                  <w:vAlign w:val="center"/>
                </w:tcPr>
                <w:p w14:paraId="52C4A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102F5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06EA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846" w:type="dxa"/>
                  <w:vMerge w:val="continue"/>
                  <w:tcBorders>
                    <w:tl2br w:val="nil"/>
                    <w:tr2bl w:val="nil"/>
                  </w:tcBorders>
                  <w:shd w:val="clear" w:color="auto" w:fill="auto"/>
                  <w:vAlign w:val="center"/>
                </w:tcPr>
                <w:p w14:paraId="320CC55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E2D72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全自动数控水钻机15</w:t>
                  </w:r>
                </w:p>
              </w:tc>
              <w:tc>
                <w:tcPr>
                  <w:tcW w:w="675" w:type="dxa"/>
                  <w:tcBorders>
                    <w:tl2br w:val="nil"/>
                    <w:tr2bl w:val="nil"/>
                  </w:tcBorders>
                  <w:shd w:val="clear" w:color="auto" w:fill="auto"/>
                  <w:vAlign w:val="center"/>
                </w:tcPr>
                <w:p w14:paraId="01935A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67364D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FC3C07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74C0F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103.23</w:t>
                  </w:r>
                </w:p>
              </w:tc>
              <w:tc>
                <w:tcPr>
                  <w:tcW w:w="876" w:type="dxa"/>
                  <w:tcBorders>
                    <w:tl2br w:val="nil"/>
                    <w:tr2bl w:val="nil"/>
                  </w:tcBorders>
                  <w:shd w:val="clear" w:color="auto" w:fill="auto"/>
                  <w:vAlign w:val="center"/>
                </w:tcPr>
                <w:p w14:paraId="2A2C8D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149.15</w:t>
                  </w:r>
                </w:p>
              </w:tc>
              <w:tc>
                <w:tcPr>
                  <w:tcW w:w="476" w:type="dxa"/>
                  <w:tcBorders>
                    <w:tl2br w:val="nil"/>
                    <w:tr2bl w:val="nil"/>
                  </w:tcBorders>
                  <w:shd w:val="clear" w:color="auto" w:fill="auto"/>
                  <w:vAlign w:val="center"/>
                </w:tcPr>
                <w:p w14:paraId="4067CA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6223C5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898" w:type="dxa"/>
                  <w:tcBorders>
                    <w:tl2br w:val="nil"/>
                    <w:tr2bl w:val="nil"/>
                  </w:tcBorders>
                  <w:shd w:val="clear" w:color="auto" w:fill="auto"/>
                  <w:vAlign w:val="center"/>
                </w:tcPr>
                <w:p w14:paraId="6A4EF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53.77</w:t>
                  </w:r>
                </w:p>
              </w:tc>
              <w:tc>
                <w:tcPr>
                  <w:tcW w:w="707" w:type="dxa"/>
                  <w:tcBorders>
                    <w:tl2br w:val="nil"/>
                    <w:tr2bl w:val="nil"/>
                  </w:tcBorders>
                  <w:shd w:val="clear" w:color="auto" w:fill="auto"/>
                  <w:vAlign w:val="center"/>
                </w:tcPr>
                <w:p w14:paraId="5DB187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73A9CA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6244D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32.77</w:t>
                  </w:r>
                </w:p>
              </w:tc>
              <w:tc>
                <w:tcPr>
                  <w:tcW w:w="887" w:type="dxa"/>
                  <w:tcBorders>
                    <w:tl2br w:val="nil"/>
                    <w:tr2bl w:val="nil"/>
                  </w:tcBorders>
                  <w:shd w:val="clear" w:color="auto" w:fill="auto"/>
                  <w:vAlign w:val="center"/>
                </w:tcPr>
                <w:p w14:paraId="61C937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272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1CEB3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46" w:type="dxa"/>
                  <w:vMerge w:val="restart"/>
                  <w:tcBorders>
                    <w:tl2br w:val="nil"/>
                    <w:tr2bl w:val="nil"/>
                  </w:tcBorders>
                  <w:shd w:val="clear" w:color="auto" w:fill="auto"/>
                  <w:vAlign w:val="center"/>
                </w:tcPr>
                <w:p w14:paraId="30BBD0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烫钻生产（3#厂房）</w:t>
                  </w:r>
                </w:p>
              </w:tc>
              <w:tc>
                <w:tcPr>
                  <w:tcW w:w="1372" w:type="dxa"/>
                  <w:tcBorders>
                    <w:tl2br w:val="nil"/>
                    <w:tr2bl w:val="nil"/>
                  </w:tcBorders>
                  <w:shd w:val="clear" w:color="auto" w:fill="auto"/>
                  <w:vAlign w:val="center"/>
                </w:tcPr>
                <w:p w14:paraId="261DDC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全自动数控水钻机16</w:t>
                  </w:r>
                </w:p>
              </w:tc>
              <w:tc>
                <w:tcPr>
                  <w:tcW w:w="675" w:type="dxa"/>
                  <w:tcBorders>
                    <w:tl2br w:val="nil"/>
                    <w:tr2bl w:val="nil"/>
                  </w:tcBorders>
                  <w:shd w:val="clear" w:color="auto" w:fill="auto"/>
                  <w:vAlign w:val="center"/>
                </w:tcPr>
                <w:p w14:paraId="6DAA65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C10C6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83B5FC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ED5A6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123.47</w:t>
                  </w:r>
                </w:p>
              </w:tc>
              <w:tc>
                <w:tcPr>
                  <w:tcW w:w="876" w:type="dxa"/>
                  <w:tcBorders>
                    <w:tl2br w:val="nil"/>
                    <w:tr2bl w:val="nil"/>
                  </w:tcBorders>
                  <w:shd w:val="clear" w:color="auto" w:fill="auto"/>
                  <w:vAlign w:val="center"/>
                </w:tcPr>
                <w:p w14:paraId="4D4B6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123.47</w:t>
                  </w:r>
                </w:p>
              </w:tc>
              <w:tc>
                <w:tcPr>
                  <w:tcW w:w="476" w:type="dxa"/>
                  <w:tcBorders>
                    <w:tl2br w:val="nil"/>
                    <w:tr2bl w:val="nil"/>
                  </w:tcBorders>
                  <w:shd w:val="clear" w:color="auto" w:fill="auto"/>
                  <w:vAlign w:val="center"/>
                </w:tcPr>
                <w:p w14:paraId="49D346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3F1E2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15.2</w:t>
                  </w:r>
                </w:p>
              </w:tc>
              <w:tc>
                <w:tcPr>
                  <w:tcW w:w="898" w:type="dxa"/>
                  <w:tcBorders>
                    <w:tl2br w:val="nil"/>
                    <w:tr2bl w:val="nil"/>
                  </w:tcBorders>
                  <w:shd w:val="clear" w:color="auto" w:fill="auto"/>
                  <w:vAlign w:val="center"/>
                </w:tcPr>
                <w:p w14:paraId="2A4525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52.04</w:t>
                  </w:r>
                </w:p>
              </w:tc>
              <w:tc>
                <w:tcPr>
                  <w:tcW w:w="707" w:type="dxa"/>
                  <w:tcBorders>
                    <w:tl2br w:val="nil"/>
                    <w:tr2bl w:val="nil"/>
                  </w:tcBorders>
                  <w:shd w:val="clear" w:color="auto" w:fill="auto"/>
                  <w:vAlign w:val="center"/>
                </w:tcPr>
                <w:p w14:paraId="493A5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F96AD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A7FF4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31.04</w:t>
                  </w:r>
                </w:p>
              </w:tc>
              <w:tc>
                <w:tcPr>
                  <w:tcW w:w="887" w:type="dxa"/>
                  <w:tcBorders>
                    <w:tl2br w:val="nil"/>
                    <w:tr2bl w:val="nil"/>
                  </w:tcBorders>
                  <w:shd w:val="clear" w:color="auto" w:fill="auto"/>
                  <w:vAlign w:val="center"/>
                </w:tcPr>
                <w:p w14:paraId="7392F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C22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24EA4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846" w:type="dxa"/>
                  <w:vMerge w:val="continue"/>
                  <w:tcBorders>
                    <w:tl2br w:val="nil"/>
                    <w:tr2bl w:val="nil"/>
                  </w:tcBorders>
                  <w:shd w:val="clear" w:color="auto" w:fill="auto"/>
                  <w:vAlign w:val="center"/>
                </w:tcPr>
                <w:p w14:paraId="094E250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1BE398C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全自动数控水钻机17</w:t>
                  </w:r>
                </w:p>
              </w:tc>
              <w:tc>
                <w:tcPr>
                  <w:tcW w:w="675" w:type="dxa"/>
                  <w:tcBorders>
                    <w:tl2br w:val="nil"/>
                    <w:tr2bl w:val="nil"/>
                  </w:tcBorders>
                  <w:shd w:val="clear" w:color="auto" w:fill="auto"/>
                  <w:vAlign w:val="center"/>
                </w:tcPr>
                <w:p w14:paraId="75AA49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3AF2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C0E277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F745A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135.70</w:t>
                  </w:r>
                </w:p>
              </w:tc>
              <w:tc>
                <w:tcPr>
                  <w:tcW w:w="876" w:type="dxa"/>
                  <w:tcBorders>
                    <w:tl2br w:val="nil"/>
                    <w:tr2bl w:val="nil"/>
                  </w:tcBorders>
                  <w:shd w:val="clear" w:color="auto" w:fill="auto"/>
                  <w:vAlign w:val="center"/>
                </w:tcPr>
                <w:p w14:paraId="73F47D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71.78</w:t>
                  </w:r>
                </w:p>
              </w:tc>
              <w:tc>
                <w:tcPr>
                  <w:tcW w:w="476" w:type="dxa"/>
                  <w:tcBorders>
                    <w:tl2br w:val="nil"/>
                    <w:tr2bl w:val="nil"/>
                  </w:tcBorders>
                  <w:shd w:val="clear" w:color="auto" w:fill="auto"/>
                  <w:vAlign w:val="center"/>
                </w:tcPr>
                <w:p w14:paraId="7C85C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7EF39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898" w:type="dxa"/>
                  <w:tcBorders>
                    <w:tl2br w:val="nil"/>
                    <w:tr2bl w:val="nil"/>
                  </w:tcBorders>
                  <w:shd w:val="clear" w:color="auto" w:fill="auto"/>
                  <w:vAlign w:val="center"/>
                </w:tcPr>
                <w:p w14:paraId="4631BB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51.95</w:t>
                  </w:r>
                </w:p>
              </w:tc>
              <w:tc>
                <w:tcPr>
                  <w:tcW w:w="707" w:type="dxa"/>
                  <w:tcBorders>
                    <w:tl2br w:val="nil"/>
                    <w:tr2bl w:val="nil"/>
                  </w:tcBorders>
                  <w:shd w:val="clear" w:color="auto" w:fill="auto"/>
                  <w:vAlign w:val="center"/>
                </w:tcPr>
                <w:p w14:paraId="38E73B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690D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0865A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30.95</w:t>
                  </w:r>
                </w:p>
              </w:tc>
              <w:tc>
                <w:tcPr>
                  <w:tcW w:w="887" w:type="dxa"/>
                  <w:tcBorders>
                    <w:tl2br w:val="nil"/>
                    <w:tr2bl w:val="nil"/>
                  </w:tcBorders>
                  <w:shd w:val="clear" w:color="auto" w:fill="auto"/>
                  <w:vAlign w:val="center"/>
                </w:tcPr>
                <w:p w14:paraId="6FD48E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BA8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4F0CB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846" w:type="dxa"/>
                  <w:vMerge w:val="continue"/>
                  <w:tcBorders>
                    <w:tl2br w:val="nil"/>
                    <w:tr2bl w:val="nil"/>
                  </w:tcBorders>
                  <w:shd w:val="clear" w:color="auto" w:fill="auto"/>
                  <w:vAlign w:val="center"/>
                </w:tcPr>
                <w:p w14:paraId="7D8E2E0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A46A7D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全自动数控水钻机18</w:t>
                  </w:r>
                </w:p>
              </w:tc>
              <w:tc>
                <w:tcPr>
                  <w:tcW w:w="675" w:type="dxa"/>
                  <w:tcBorders>
                    <w:tl2br w:val="nil"/>
                    <w:tr2bl w:val="nil"/>
                  </w:tcBorders>
                  <w:shd w:val="clear" w:color="auto" w:fill="auto"/>
                  <w:vAlign w:val="center"/>
                </w:tcPr>
                <w:p w14:paraId="12C1BC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6FD03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19AE6E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E9758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127.26</w:t>
                  </w:r>
                </w:p>
              </w:tc>
              <w:tc>
                <w:tcPr>
                  <w:tcW w:w="876" w:type="dxa"/>
                  <w:tcBorders>
                    <w:tl2br w:val="nil"/>
                    <w:tr2bl w:val="nil"/>
                  </w:tcBorders>
                  <w:shd w:val="clear" w:color="auto" w:fill="auto"/>
                  <w:vAlign w:val="center"/>
                </w:tcPr>
                <w:p w14:paraId="74C21C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88.09</w:t>
                  </w:r>
                </w:p>
              </w:tc>
              <w:tc>
                <w:tcPr>
                  <w:tcW w:w="476" w:type="dxa"/>
                  <w:tcBorders>
                    <w:tl2br w:val="nil"/>
                    <w:tr2bl w:val="nil"/>
                  </w:tcBorders>
                  <w:shd w:val="clear" w:color="auto" w:fill="auto"/>
                  <w:vAlign w:val="center"/>
                </w:tcPr>
                <w:p w14:paraId="2D7734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6DBD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898" w:type="dxa"/>
                  <w:tcBorders>
                    <w:tl2br w:val="nil"/>
                    <w:tr2bl w:val="nil"/>
                  </w:tcBorders>
                  <w:shd w:val="clear" w:color="auto" w:fill="auto"/>
                  <w:vAlign w:val="center"/>
                </w:tcPr>
                <w:p w14:paraId="329052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707" w:type="dxa"/>
                  <w:tcBorders>
                    <w:tl2br w:val="nil"/>
                    <w:tr2bl w:val="nil"/>
                  </w:tcBorders>
                  <w:shd w:val="clear" w:color="auto" w:fill="auto"/>
                  <w:vAlign w:val="center"/>
                </w:tcPr>
                <w:p w14:paraId="2A6BC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7F71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16BE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887" w:type="dxa"/>
                  <w:tcBorders>
                    <w:tl2br w:val="nil"/>
                    <w:tr2bl w:val="nil"/>
                  </w:tcBorders>
                  <w:shd w:val="clear" w:color="auto" w:fill="auto"/>
                  <w:vAlign w:val="center"/>
                </w:tcPr>
                <w:p w14:paraId="2A2B5B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F26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6E5E5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846" w:type="dxa"/>
                  <w:vMerge w:val="continue"/>
                  <w:tcBorders>
                    <w:tl2br w:val="nil"/>
                    <w:tr2bl w:val="nil"/>
                  </w:tcBorders>
                  <w:shd w:val="clear" w:color="auto" w:fill="auto"/>
                  <w:vAlign w:val="center"/>
                </w:tcPr>
                <w:p w14:paraId="5909EC2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98ED0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全自动数控水钻机19</w:t>
                  </w:r>
                </w:p>
              </w:tc>
              <w:tc>
                <w:tcPr>
                  <w:tcW w:w="675" w:type="dxa"/>
                  <w:tcBorders>
                    <w:tl2br w:val="nil"/>
                    <w:tr2bl w:val="nil"/>
                  </w:tcBorders>
                  <w:shd w:val="clear" w:color="auto" w:fill="auto"/>
                  <w:vAlign w:val="center"/>
                </w:tcPr>
                <w:p w14:paraId="172EE3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6F6E6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B5A975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3911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138.62</w:t>
                  </w:r>
                </w:p>
              </w:tc>
              <w:tc>
                <w:tcPr>
                  <w:tcW w:w="876" w:type="dxa"/>
                  <w:tcBorders>
                    <w:tl2br w:val="nil"/>
                    <w:tr2bl w:val="nil"/>
                  </w:tcBorders>
                  <w:shd w:val="clear" w:color="auto" w:fill="auto"/>
                  <w:vAlign w:val="center"/>
                </w:tcPr>
                <w:p w14:paraId="7F2015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86.92</w:t>
                  </w:r>
                </w:p>
              </w:tc>
              <w:tc>
                <w:tcPr>
                  <w:tcW w:w="476" w:type="dxa"/>
                  <w:tcBorders>
                    <w:tl2br w:val="nil"/>
                    <w:tr2bl w:val="nil"/>
                  </w:tcBorders>
                  <w:shd w:val="clear" w:color="auto" w:fill="auto"/>
                  <w:vAlign w:val="center"/>
                </w:tcPr>
                <w:p w14:paraId="238C26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D64DB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17.6</w:t>
                  </w:r>
                </w:p>
              </w:tc>
              <w:tc>
                <w:tcPr>
                  <w:tcW w:w="898" w:type="dxa"/>
                  <w:tcBorders>
                    <w:tl2br w:val="nil"/>
                    <w:tr2bl w:val="nil"/>
                  </w:tcBorders>
                  <w:shd w:val="clear" w:color="auto" w:fill="auto"/>
                  <w:vAlign w:val="center"/>
                </w:tcPr>
                <w:p w14:paraId="14275E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51.89</w:t>
                  </w:r>
                </w:p>
              </w:tc>
              <w:tc>
                <w:tcPr>
                  <w:tcW w:w="707" w:type="dxa"/>
                  <w:tcBorders>
                    <w:tl2br w:val="nil"/>
                    <w:tr2bl w:val="nil"/>
                  </w:tcBorders>
                  <w:shd w:val="clear" w:color="auto" w:fill="auto"/>
                  <w:vAlign w:val="center"/>
                </w:tcPr>
                <w:p w14:paraId="3C2066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DDE82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68F02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30.89</w:t>
                  </w:r>
                </w:p>
              </w:tc>
              <w:tc>
                <w:tcPr>
                  <w:tcW w:w="887" w:type="dxa"/>
                  <w:tcBorders>
                    <w:tl2br w:val="nil"/>
                    <w:tr2bl w:val="nil"/>
                  </w:tcBorders>
                  <w:shd w:val="clear" w:color="auto" w:fill="auto"/>
                  <w:vAlign w:val="center"/>
                </w:tcPr>
                <w:p w14:paraId="2A7852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9D70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9DACB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846" w:type="dxa"/>
                  <w:vMerge w:val="continue"/>
                  <w:tcBorders>
                    <w:tl2br w:val="nil"/>
                    <w:tr2bl w:val="nil"/>
                  </w:tcBorders>
                  <w:shd w:val="clear" w:color="auto" w:fill="auto"/>
                  <w:vAlign w:val="center"/>
                </w:tcPr>
                <w:p w14:paraId="11FC2F2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6D8B2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全自动数控水钻机20</w:t>
                  </w:r>
                </w:p>
              </w:tc>
              <w:tc>
                <w:tcPr>
                  <w:tcW w:w="675" w:type="dxa"/>
                  <w:tcBorders>
                    <w:tl2br w:val="nil"/>
                    <w:tr2bl w:val="nil"/>
                  </w:tcBorders>
                  <w:shd w:val="clear" w:color="auto" w:fill="auto"/>
                  <w:vAlign w:val="center"/>
                </w:tcPr>
                <w:p w14:paraId="23B1B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6A33B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39128AB">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51943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132.21</w:t>
                  </w:r>
                </w:p>
              </w:tc>
              <w:tc>
                <w:tcPr>
                  <w:tcW w:w="876" w:type="dxa"/>
                  <w:tcBorders>
                    <w:tl2br w:val="nil"/>
                    <w:tr2bl w:val="nil"/>
                  </w:tcBorders>
                  <w:shd w:val="clear" w:color="auto" w:fill="auto"/>
                  <w:vAlign w:val="center"/>
                </w:tcPr>
                <w:p w14:paraId="1FDEB7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104.11</w:t>
                  </w:r>
                </w:p>
              </w:tc>
              <w:tc>
                <w:tcPr>
                  <w:tcW w:w="476" w:type="dxa"/>
                  <w:tcBorders>
                    <w:tl2br w:val="nil"/>
                    <w:tr2bl w:val="nil"/>
                  </w:tcBorders>
                  <w:shd w:val="clear" w:color="auto" w:fill="auto"/>
                  <w:vAlign w:val="center"/>
                </w:tcPr>
                <w:p w14:paraId="5F637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7F7A0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898" w:type="dxa"/>
                  <w:tcBorders>
                    <w:tl2br w:val="nil"/>
                    <w:tr2bl w:val="nil"/>
                  </w:tcBorders>
                  <w:shd w:val="clear" w:color="auto" w:fill="auto"/>
                  <w:vAlign w:val="center"/>
                </w:tcPr>
                <w:p w14:paraId="63DFDE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707" w:type="dxa"/>
                  <w:tcBorders>
                    <w:tl2br w:val="nil"/>
                    <w:tr2bl w:val="nil"/>
                  </w:tcBorders>
                  <w:shd w:val="clear" w:color="auto" w:fill="auto"/>
                  <w:vAlign w:val="center"/>
                </w:tcPr>
                <w:p w14:paraId="130DA8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69B72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CBA70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887" w:type="dxa"/>
                  <w:tcBorders>
                    <w:tl2br w:val="nil"/>
                    <w:tr2bl w:val="nil"/>
                  </w:tcBorders>
                  <w:shd w:val="clear" w:color="auto" w:fill="auto"/>
                  <w:vAlign w:val="center"/>
                </w:tcPr>
                <w:p w14:paraId="16E0AA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7BB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02895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846" w:type="dxa"/>
                  <w:vMerge w:val="continue"/>
                  <w:tcBorders>
                    <w:tl2br w:val="nil"/>
                    <w:tr2bl w:val="nil"/>
                  </w:tcBorders>
                  <w:shd w:val="clear" w:color="auto" w:fill="auto"/>
                  <w:vAlign w:val="center"/>
                </w:tcPr>
                <w:p w14:paraId="7CBC7F5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D8771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全自动数控水钻机21</w:t>
                  </w:r>
                </w:p>
              </w:tc>
              <w:tc>
                <w:tcPr>
                  <w:tcW w:w="675" w:type="dxa"/>
                  <w:tcBorders>
                    <w:tl2br w:val="nil"/>
                    <w:tr2bl w:val="nil"/>
                  </w:tcBorders>
                  <w:shd w:val="clear" w:color="auto" w:fill="auto"/>
                  <w:vAlign w:val="center"/>
                </w:tcPr>
                <w:p w14:paraId="190B5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8E11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CEF40D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D7810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144.15</w:t>
                  </w:r>
                </w:p>
              </w:tc>
              <w:tc>
                <w:tcPr>
                  <w:tcW w:w="876" w:type="dxa"/>
                  <w:tcBorders>
                    <w:tl2br w:val="nil"/>
                    <w:tr2bl w:val="nil"/>
                  </w:tcBorders>
                  <w:shd w:val="clear" w:color="auto" w:fill="auto"/>
                  <w:vAlign w:val="center"/>
                </w:tcPr>
                <w:p w14:paraId="5F4A8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103.23</w:t>
                  </w:r>
                </w:p>
              </w:tc>
              <w:tc>
                <w:tcPr>
                  <w:tcW w:w="476" w:type="dxa"/>
                  <w:tcBorders>
                    <w:tl2br w:val="nil"/>
                    <w:tr2bl w:val="nil"/>
                  </w:tcBorders>
                  <w:shd w:val="clear" w:color="auto" w:fill="auto"/>
                  <w:vAlign w:val="center"/>
                </w:tcPr>
                <w:p w14:paraId="73387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6BADC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w:t>
                  </w:r>
                </w:p>
              </w:tc>
              <w:tc>
                <w:tcPr>
                  <w:tcW w:w="898" w:type="dxa"/>
                  <w:tcBorders>
                    <w:tl2br w:val="nil"/>
                    <w:tr2bl w:val="nil"/>
                  </w:tcBorders>
                  <w:shd w:val="clear" w:color="auto" w:fill="auto"/>
                  <w:vAlign w:val="center"/>
                </w:tcPr>
                <w:p w14:paraId="7C50D3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51.90</w:t>
                  </w:r>
                </w:p>
              </w:tc>
              <w:tc>
                <w:tcPr>
                  <w:tcW w:w="707" w:type="dxa"/>
                  <w:tcBorders>
                    <w:tl2br w:val="nil"/>
                    <w:tr2bl w:val="nil"/>
                  </w:tcBorders>
                  <w:shd w:val="clear" w:color="auto" w:fill="auto"/>
                  <w:vAlign w:val="center"/>
                </w:tcPr>
                <w:p w14:paraId="4AD943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0B6DC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882C9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30.90</w:t>
                  </w:r>
                </w:p>
              </w:tc>
              <w:tc>
                <w:tcPr>
                  <w:tcW w:w="887" w:type="dxa"/>
                  <w:tcBorders>
                    <w:tl2br w:val="nil"/>
                    <w:tr2bl w:val="nil"/>
                  </w:tcBorders>
                  <w:shd w:val="clear" w:color="auto" w:fill="auto"/>
                  <w:vAlign w:val="center"/>
                </w:tcPr>
                <w:p w14:paraId="3817C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4961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BBB57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46" w:type="dxa"/>
                  <w:vMerge w:val="continue"/>
                  <w:tcBorders>
                    <w:tl2br w:val="nil"/>
                    <w:tr2bl w:val="nil"/>
                  </w:tcBorders>
                  <w:shd w:val="clear" w:color="auto" w:fill="auto"/>
                  <w:vAlign w:val="center"/>
                </w:tcPr>
                <w:p w14:paraId="25BB7ED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4D5114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全自动数控水钻机22</w:t>
                  </w:r>
                </w:p>
              </w:tc>
              <w:tc>
                <w:tcPr>
                  <w:tcW w:w="675" w:type="dxa"/>
                  <w:tcBorders>
                    <w:tl2br w:val="nil"/>
                    <w:tr2bl w:val="nil"/>
                  </w:tcBorders>
                  <w:shd w:val="clear" w:color="auto" w:fill="auto"/>
                  <w:vAlign w:val="center"/>
                </w:tcPr>
                <w:p w14:paraId="46CF4A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8BCAF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3BF8FA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98B8C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135.99</w:t>
                  </w:r>
                </w:p>
              </w:tc>
              <w:tc>
                <w:tcPr>
                  <w:tcW w:w="876" w:type="dxa"/>
                  <w:tcBorders>
                    <w:tl2br w:val="nil"/>
                    <w:tr2bl w:val="nil"/>
                  </w:tcBorders>
                  <w:shd w:val="clear" w:color="auto" w:fill="auto"/>
                  <w:vAlign w:val="center"/>
                </w:tcPr>
                <w:p w14:paraId="01E128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118.67</w:t>
                  </w:r>
                </w:p>
              </w:tc>
              <w:tc>
                <w:tcPr>
                  <w:tcW w:w="476" w:type="dxa"/>
                  <w:tcBorders>
                    <w:tl2br w:val="nil"/>
                    <w:tr2bl w:val="nil"/>
                  </w:tcBorders>
                  <w:shd w:val="clear" w:color="auto" w:fill="auto"/>
                  <w:vAlign w:val="center"/>
                </w:tcPr>
                <w:p w14:paraId="2D592E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B48D6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c>
                <w:tcPr>
                  <w:tcW w:w="898" w:type="dxa"/>
                  <w:tcBorders>
                    <w:tl2br w:val="nil"/>
                    <w:tr2bl w:val="nil"/>
                  </w:tcBorders>
                  <w:shd w:val="clear" w:color="auto" w:fill="auto"/>
                  <w:vAlign w:val="center"/>
                </w:tcPr>
                <w:p w14:paraId="7F49AA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707" w:type="dxa"/>
                  <w:tcBorders>
                    <w:tl2br w:val="nil"/>
                    <w:tr2bl w:val="nil"/>
                  </w:tcBorders>
                  <w:shd w:val="clear" w:color="auto" w:fill="auto"/>
                  <w:vAlign w:val="center"/>
                </w:tcPr>
                <w:p w14:paraId="3B7C0F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17F59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4227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887" w:type="dxa"/>
                  <w:tcBorders>
                    <w:tl2br w:val="nil"/>
                    <w:tr2bl w:val="nil"/>
                  </w:tcBorders>
                  <w:shd w:val="clear" w:color="auto" w:fill="auto"/>
                  <w:vAlign w:val="center"/>
                </w:tcPr>
                <w:p w14:paraId="07AB2B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C51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8BAA0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846" w:type="dxa"/>
                  <w:vMerge w:val="continue"/>
                  <w:tcBorders>
                    <w:tl2br w:val="nil"/>
                    <w:tr2bl w:val="nil"/>
                  </w:tcBorders>
                  <w:shd w:val="clear" w:color="auto" w:fill="auto"/>
                  <w:vAlign w:val="center"/>
                </w:tcPr>
                <w:p w14:paraId="74F5D4E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50AA0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全自动数控水钻机23</w:t>
                  </w:r>
                </w:p>
              </w:tc>
              <w:tc>
                <w:tcPr>
                  <w:tcW w:w="675" w:type="dxa"/>
                  <w:tcBorders>
                    <w:tl2br w:val="nil"/>
                    <w:tr2bl w:val="nil"/>
                  </w:tcBorders>
                  <w:shd w:val="clear" w:color="auto" w:fill="auto"/>
                  <w:vAlign w:val="center"/>
                </w:tcPr>
                <w:p w14:paraId="60AB88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BF10F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B5B7AA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0E383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147.06</w:t>
                  </w:r>
                </w:p>
              </w:tc>
              <w:tc>
                <w:tcPr>
                  <w:tcW w:w="876" w:type="dxa"/>
                  <w:tcBorders>
                    <w:tl2br w:val="nil"/>
                    <w:tr2bl w:val="nil"/>
                  </w:tcBorders>
                  <w:shd w:val="clear" w:color="auto" w:fill="auto"/>
                  <w:vAlign w:val="center"/>
                </w:tcPr>
                <w:p w14:paraId="198087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147.06</w:t>
                  </w:r>
                </w:p>
              </w:tc>
              <w:tc>
                <w:tcPr>
                  <w:tcW w:w="476" w:type="dxa"/>
                  <w:tcBorders>
                    <w:tl2br w:val="nil"/>
                    <w:tr2bl w:val="nil"/>
                  </w:tcBorders>
                  <w:shd w:val="clear" w:color="auto" w:fill="auto"/>
                  <w:vAlign w:val="center"/>
                </w:tcPr>
                <w:p w14:paraId="5A8B27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95B3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898" w:type="dxa"/>
                  <w:tcBorders>
                    <w:tl2br w:val="nil"/>
                    <w:tr2bl w:val="nil"/>
                  </w:tcBorders>
                  <w:shd w:val="clear" w:color="auto" w:fill="auto"/>
                  <w:vAlign w:val="center"/>
                </w:tcPr>
                <w:p w14:paraId="7408AD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51.90</w:t>
                  </w:r>
                </w:p>
              </w:tc>
              <w:tc>
                <w:tcPr>
                  <w:tcW w:w="707" w:type="dxa"/>
                  <w:tcBorders>
                    <w:tl2br w:val="nil"/>
                    <w:tr2bl w:val="nil"/>
                  </w:tcBorders>
                  <w:shd w:val="clear" w:color="auto" w:fill="auto"/>
                  <w:vAlign w:val="center"/>
                </w:tcPr>
                <w:p w14:paraId="179ED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1A881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97BDB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30.90</w:t>
                  </w:r>
                </w:p>
              </w:tc>
              <w:tc>
                <w:tcPr>
                  <w:tcW w:w="887" w:type="dxa"/>
                  <w:tcBorders>
                    <w:tl2br w:val="nil"/>
                    <w:tr2bl w:val="nil"/>
                  </w:tcBorders>
                  <w:shd w:val="clear" w:color="auto" w:fill="auto"/>
                  <w:vAlign w:val="center"/>
                </w:tcPr>
                <w:p w14:paraId="371615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B06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3FBDE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46" w:type="dxa"/>
                  <w:vMerge w:val="continue"/>
                  <w:tcBorders>
                    <w:tl2br w:val="nil"/>
                    <w:tr2bl w:val="nil"/>
                  </w:tcBorders>
                  <w:shd w:val="clear" w:color="auto" w:fill="auto"/>
                  <w:vAlign w:val="center"/>
                </w:tcPr>
                <w:p w14:paraId="2F3FB89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26C75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全自动数控水钻机24</w:t>
                  </w:r>
                </w:p>
              </w:tc>
              <w:tc>
                <w:tcPr>
                  <w:tcW w:w="675" w:type="dxa"/>
                  <w:tcBorders>
                    <w:tl2br w:val="nil"/>
                    <w:tr2bl w:val="nil"/>
                  </w:tcBorders>
                  <w:shd w:val="clear" w:color="auto" w:fill="auto"/>
                  <w:vAlign w:val="center"/>
                </w:tcPr>
                <w:p w14:paraId="26B764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26F5E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38B232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311F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140.95</w:t>
                  </w:r>
                </w:p>
              </w:tc>
              <w:tc>
                <w:tcPr>
                  <w:tcW w:w="876" w:type="dxa"/>
                  <w:tcBorders>
                    <w:tl2br w:val="nil"/>
                    <w:tr2bl w:val="nil"/>
                  </w:tcBorders>
                  <w:shd w:val="clear" w:color="auto" w:fill="auto"/>
                  <w:vAlign w:val="center"/>
                </w:tcPr>
                <w:p w14:paraId="55420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136.73</w:t>
                  </w:r>
                </w:p>
              </w:tc>
              <w:tc>
                <w:tcPr>
                  <w:tcW w:w="476" w:type="dxa"/>
                  <w:tcBorders>
                    <w:tl2br w:val="nil"/>
                    <w:tr2bl w:val="nil"/>
                  </w:tcBorders>
                  <w:shd w:val="clear" w:color="auto" w:fill="auto"/>
                  <w:vAlign w:val="center"/>
                </w:tcPr>
                <w:p w14:paraId="0FF5F0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91798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15.8</w:t>
                  </w:r>
                </w:p>
              </w:tc>
              <w:tc>
                <w:tcPr>
                  <w:tcW w:w="898" w:type="dxa"/>
                  <w:tcBorders>
                    <w:tl2br w:val="nil"/>
                    <w:tr2bl w:val="nil"/>
                  </w:tcBorders>
                  <w:shd w:val="clear" w:color="auto" w:fill="auto"/>
                  <w:vAlign w:val="center"/>
                </w:tcPr>
                <w:p w14:paraId="3FC4C9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52.00</w:t>
                  </w:r>
                </w:p>
              </w:tc>
              <w:tc>
                <w:tcPr>
                  <w:tcW w:w="707" w:type="dxa"/>
                  <w:tcBorders>
                    <w:tl2br w:val="nil"/>
                    <w:tr2bl w:val="nil"/>
                  </w:tcBorders>
                  <w:shd w:val="clear" w:color="auto" w:fill="auto"/>
                  <w:vAlign w:val="center"/>
                </w:tcPr>
                <w:p w14:paraId="5120AC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4B14E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34A67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31.00</w:t>
                  </w:r>
                </w:p>
              </w:tc>
              <w:tc>
                <w:tcPr>
                  <w:tcW w:w="887" w:type="dxa"/>
                  <w:tcBorders>
                    <w:tl2br w:val="nil"/>
                    <w:tr2bl w:val="nil"/>
                  </w:tcBorders>
                  <w:shd w:val="clear" w:color="auto" w:fill="auto"/>
                  <w:vAlign w:val="center"/>
                </w:tcPr>
                <w:p w14:paraId="7FDC8A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DC5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0D364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846" w:type="dxa"/>
                  <w:vMerge w:val="continue"/>
                  <w:tcBorders>
                    <w:tl2br w:val="nil"/>
                    <w:tr2bl w:val="nil"/>
                  </w:tcBorders>
                  <w:shd w:val="clear" w:color="auto" w:fill="auto"/>
                  <w:vAlign w:val="center"/>
                </w:tcPr>
                <w:p w14:paraId="07B8364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28953F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全自动数控水钻机25</w:t>
                  </w:r>
                </w:p>
              </w:tc>
              <w:tc>
                <w:tcPr>
                  <w:tcW w:w="675" w:type="dxa"/>
                  <w:tcBorders>
                    <w:tl2br w:val="nil"/>
                    <w:tr2bl w:val="nil"/>
                  </w:tcBorders>
                  <w:shd w:val="clear" w:color="auto" w:fill="auto"/>
                  <w:vAlign w:val="center"/>
                </w:tcPr>
                <w:p w14:paraId="279EBC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32326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72D035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473FA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151.43</w:t>
                  </w:r>
                </w:p>
              </w:tc>
              <w:tc>
                <w:tcPr>
                  <w:tcW w:w="876" w:type="dxa"/>
                  <w:tcBorders>
                    <w:tl2br w:val="nil"/>
                    <w:tr2bl w:val="nil"/>
                  </w:tcBorders>
                  <w:shd w:val="clear" w:color="auto" w:fill="auto"/>
                  <w:vAlign w:val="center"/>
                </w:tcPr>
                <w:p w14:paraId="1C6DAE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135.27</w:t>
                  </w:r>
                </w:p>
              </w:tc>
              <w:tc>
                <w:tcPr>
                  <w:tcW w:w="476" w:type="dxa"/>
                  <w:tcBorders>
                    <w:tl2br w:val="nil"/>
                    <w:tr2bl w:val="nil"/>
                  </w:tcBorders>
                  <w:shd w:val="clear" w:color="auto" w:fill="auto"/>
                  <w:vAlign w:val="center"/>
                </w:tcPr>
                <w:p w14:paraId="7D8588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9CBD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w:t>
                  </w:r>
                </w:p>
              </w:tc>
              <w:tc>
                <w:tcPr>
                  <w:tcW w:w="898" w:type="dxa"/>
                  <w:tcBorders>
                    <w:tl2br w:val="nil"/>
                    <w:tr2bl w:val="nil"/>
                  </w:tcBorders>
                  <w:shd w:val="clear" w:color="auto" w:fill="auto"/>
                  <w:vAlign w:val="center"/>
                </w:tcPr>
                <w:p w14:paraId="04F7A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51.90</w:t>
                  </w:r>
                </w:p>
              </w:tc>
              <w:tc>
                <w:tcPr>
                  <w:tcW w:w="707" w:type="dxa"/>
                  <w:tcBorders>
                    <w:tl2br w:val="nil"/>
                    <w:tr2bl w:val="nil"/>
                  </w:tcBorders>
                  <w:shd w:val="clear" w:color="auto" w:fill="auto"/>
                  <w:vAlign w:val="center"/>
                </w:tcPr>
                <w:p w14:paraId="51804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20D4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58FF9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30.90</w:t>
                  </w:r>
                </w:p>
              </w:tc>
              <w:tc>
                <w:tcPr>
                  <w:tcW w:w="887" w:type="dxa"/>
                  <w:tcBorders>
                    <w:tl2br w:val="nil"/>
                    <w:tr2bl w:val="nil"/>
                  </w:tcBorders>
                  <w:shd w:val="clear" w:color="auto" w:fill="auto"/>
                  <w:vAlign w:val="center"/>
                </w:tcPr>
                <w:p w14:paraId="39A4D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7C5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6E76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62</w:t>
                  </w:r>
                </w:p>
              </w:tc>
              <w:tc>
                <w:tcPr>
                  <w:tcW w:w="846" w:type="dxa"/>
                  <w:vMerge w:val="continue"/>
                  <w:tcBorders>
                    <w:tl2br w:val="nil"/>
                    <w:tr2bl w:val="nil"/>
                  </w:tcBorders>
                  <w:shd w:val="clear" w:color="auto" w:fill="auto"/>
                  <w:vAlign w:val="center"/>
                </w:tcPr>
                <w:p w14:paraId="598F356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B571E0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全自动数控水钻机26</w:t>
                  </w:r>
                </w:p>
              </w:tc>
              <w:tc>
                <w:tcPr>
                  <w:tcW w:w="675" w:type="dxa"/>
                  <w:tcBorders>
                    <w:tl2br w:val="nil"/>
                    <w:tr2bl w:val="nil"/>
                  </w:tcBorders>
                  <w:shd w:val="clear" w:color="auto" w:fill="auto"/>
                  <w:vAlign w:val="center"/>
                </w:tcPr>
                <w:p w14:paraId="7F09C1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3719A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984875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FE87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144.28</w:t>
                  </w:r>
                </w:p>
              </w:tc>
              <w:tc>
                <w:tcPr>
                  <w:tcW w:w="876" w:type="dxa"/>
                  <w:tcBorders>
                    <w:tl2br w:val="nil"/>
                    <w:tr2bl w:val="nil"/>
                  </w:tcBorders>
                  <w:shd w:val="clear" w:color="auto" w:fill="auto"/>
                  <w:vAlign w:val="center"/>
                </w:tcPr>
                <w:p w14:paraId="691FBC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68.22</w:t>
                  </w:r>
                </w:p>
              </w:tc>
              <w:tc>
                <w:tcPr>
                  <w:tcW w:w="476" w:type="dxa"/>
                  <w:tcBorders>
                    <w:tl2br w:val="nil"/>
                    <w:tr2bl w:val="nil"/>
                  </w:tcBorders>
                  <w:shd w:val="clear" w:color="auto" w:fill="auto"/>
                  <w:vAlign w:val="center"/>
                </w:tcPr>
                <w:p w14:paraId="674DDF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467BDF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w:t>
                  </w:r>
                </w:p>
              </w:tc>
              <w:tc>
                <w:tcPr>
                  <w:tcW w:w="898" w:type="dxa"/>
                  <w:tcBorders>
                    <w:tl2br w:val="nil"/>
                    <w:tr2bl w:val="nil"/>
                  </w:tcBorders>
                  <w:shd w:val="clear" w:color="auto" w:fill="auto"/>
                  <w:vAlign w:val="center"/>
                </w:tcPr>
                <w:p w14:paraId="7F7D8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53.45</w:t>
                  </w:r>
                </w:p>
              </w:tc>
              <w:tc>
                <w:tcPr>
                  <w:tcW w:w="707" w:type="dxa"/>
                  <w:tcBorders>
                    <w:tl2br w:val="nil"/>
                    <w:tr2bl w:val="nil"/>
                  </w:tcBorders>
                  <w:shd w:val="clear" w:color="auto" w:fill="auto"/>
                  <w:vAlign w:val="center"/>
                </w:tcPr>
                <w:p w14:paraId="3F4745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3E09F9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7DDEB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32.45</w:t>
                  </w:r>
                </w:p>
              </w:tc>
              <w:tc>
                <w:tcPr>
                  <w:tcW w:w="887" w:type="dxa"/>
                  <w:tcBorders>
                    <w:tl2br w:val="nil"/>
                    <w:tr2bl w:val="nil"/>
                  </w:tcBorders>
                  <w:shd w:val="clear" w:color="auto" w:fill="auto"/>
                  <w:vAlign w:val="center"/>
                </w:tcPr>
                <w:p w14:paraId="77F247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62A4E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B06E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846" w:type="dxa"/>
                  <w:vMerge w:val="continue"/>
                  <w:tcBorders>
                    <w:tl2br w:val="nil"/>
                    <w:tr2bl w:val="nil"/>
                  </w:tcBorders>
                  <w:shd w:val="clear" w:color="auto" w:fill="auto"/>
                  <w:vAlign w:val="center"/>
                </w:tcPr>
                <w:p w14:paraId="29DFF5F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D312BC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全自动数控水钻机27</w:t>
                  </w:r>
                </w:p>
              </w:tc>
              <w:tc>
                <w:tcPr>
                  <w:tcW w:w="675" w:type="dxa"/>
                  <w:tcBorders>
                    <w:tl2br w:val="nil"/>
                    <w:tr2bl w:val="nil"/>
                  </w:tcBorders>
                  <w:shd w:val="clear" w:color="auto" w:fill="auto"/>
                  <w:vAlign w:val="center"/>
                </w:tcPr>
                <w:p w14:paraId="6D6D76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C5EBC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F4EC66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DED6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147.58</w:t>
                  </w:r>
                </w:p>
              </w:tc>
              <w:tc>
                <w:tcPr>
                  <w:tcW w:w="876" w:type="dxa"/>
                  <w:tcBorders>
                    <w:tl2br w:val="nil"/>
                    <w:tr2bl w:val="nil"/>
                  </w:tcBorders>
                  <w:shd w:val="clear" w:color="auto" w:fill="auto"/>
                  <w:vAlign w:val="center"/>
                </w:tcPr>
                <w:p w14:paraId="3B36BB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84.28</w:t>
                  </w:r>
                </w:p>
              </w:tc>
              <w:tc>
                <w:tcPr>
                  <w:tcW w:w="476" w:type="dxa"/>
                  <w:tcBorders>
                    <w:tl2br w:val="nil"/>
                    <w:tr2bl w:val="nil"/>
                  </w:tcBorders>
                  <w:shd w:val="clear" w:color="auto" w:fill="auto"/>
                  <w:vAlign w:val="center"/>
                </w:tcPr>
                <w:p w14:paraId="6D1526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0F0709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p>
              </w:tc>
              <w:tc>
                <w:tcPr>
                  <w:tcW w:w="898" w:type="dxa"/>
                  <w:tcBorders>
                    <w:tl2br w:val="nil"/>
                    <w:tr2bl w:val="nil"/>
                  </w:tcBorders>
                  <w:shd w:val="clear" w:color="auto" w:fill="auto"/>
                  <w:vAlign w:val="center"/>
                </w:tcPr>
                <w:p w14:paraId="0B852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53.11</w:t>
                  </w:r>
                </w:p>
              </w:tc>
              <w:tc>
                <w:tcPr>
                  <w:tcW w:w="707" w:type="dxa"/>
                  <w:tcBorders>
                    <w:tl2br w:val="nil"/>
                    <w:tr2bl w:val="nil"/>
                  </w:tcBorders>
                  <w:shd w:val="clear" w:color="auto" w:fill="auto"/>
                  <w:vAlign w:val="center"/>
                </w:tcPr>
                <w:p w14:paraId="18C7D4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35B34E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7FC051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32.11</w:t>
                  </w:r>
                </w:p>
              </w:tc>
              <w:tc>
                <w:tcPr>
                  <w:tcW w:w="887" w:type="dxa"/>
                  <w:tcBorders>
                    <w:tl2br w:val="nil"/>
                    <w:tr2bl w:val="nil"/>
                  </w:tcBorders>
                  <w:shd w:val="clear" w:color="auto" w:fill="auto"/>
                  <w:vAlign w:val="center"/>
                </w:tcPr>
                <w:p w14:paraId="0B299D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3948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3C5D3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846" w:type="dxa"/>
                  <w:vMerge w:val="continue"/>
                  <w:tcBorders>
                    <w:tl2br w:val="nil"/>
                    <w:tr2bl w:val="nil"/>
                  </w:tcBorders>
                  <w:shd w:val="clear" w:color="auto" w:fill="auto"/>
                  <w:vAlign w:val="center"/>
                </w:tcPr>
                <w:p w14:paraId="7E14C98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8B646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全自动数控水钻机28</w:t>
                  </w:r>
                </w:p>
              </w:tc>
              <w:tc>
                <w:tcPr>
                  <w:tcW w:w="675" w:type="dxa"/>
                  <w:tcBorders>
                    <w:tl2br w:val="nil"/>
                    <w:tr2bl w:val="nil"/>
                  </w:tcBorders>
                  <w:shd w:val="clear" w:color="auto" w:fill="auto"/>
                  <w:vAlign w:val="center"/>
                </w:tcPr>
                <w:p w14:paraId="4E03260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96BF1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7DBA89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520AA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152.03</w:t>
                  </w:r>
                </w:p>
              </w:tc>
              <w:tc>
                <w:tcPr>
                  <w:tcW w:w="876" w:type="dxa"/>
                  <w:tcBorders>
                    <w:tl2br w:val="nil"/>
                    <w:tr2bl w:val="nil"/>
                  </w:tcBorders>
                  <w:shd w:val="clear" w:color="auto" w:fill="auto"/>
                  <w:vAlign w:val="center"/>
                </w:tcPr>
                <w:p w14:paraId="4FF69F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100.01</w:t>
                  </w:r>
                </w:p>
              </w:tc>
              <w:tc>
                <w:tcPr>
                  <w:tcW w:w="476" w:type="dxa"/>
                  <w:tcBorders>
                    <w:tl2br w:val="nil"/>
                    <w:tr2bl w:val="nil"/>
                  </w:tcBorders>
                  <w:shd w:val="clear" w:color="auto" w:fill="auto"/>
                  <w:vAlign w:val="center"/>
                </w:tcPr>
                <w:p w14:paraId="055CF0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49235D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w:t>
                  </w:r>
                </w:p>
              </w:tc>
              <w:tc>
                <w:tcPr>
                  <w:tcW w:w="898" w:type="dxa"/>
                  <w:tcBorders>
                    <w:tl2br w:val="nil"/>
                    <w:tr2bl w:val="nil"/>
                  </w:tcBorders>
                  <w:shd w:val="clear" w:color="auto" w:fill="auto"/>
                  <w:vAlign w:val="center"/>
                </w:tcPr>
                <w:p w14:paraId="1C1BDC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53.25</w:t>
                  </w:r>
                </w:p>
              </w:tc>
              <w:tc>
                <w:tcPr>
                  <w:tcW w:w="707" w:type="dxa"/>
                  <w:tcBorders>
                    <w:tl2br w:val="nil"/>
                    <w:tr2bl w:val="nil"/>
                  </w:tcBorders>
                  <w:shd w:val="clear" w:color="auto" w:fill="auto"/>
                  <w:vAlign w:val="center"/>
                </w:tcPr>
                <w:p w14:paraId="1FE747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080163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0467B2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32.25</w:t>
                  </w:r>
                </w:p>
              </w:tc>
              <w:tc>
                <w:tcPr>
                  <w:tcW w:w="887" w:type="dxa"/>
                  <w:tcBorders>
                    <w:tl2br w:val="nil"/>
                    <w:tr2bl w:val="nil"/>
                  </w:tcBorders>
                  <w:shd w:val="clear" w:color="auto" w:fill="auto"/>
                  <w:vAlign w:val="center"/>
                </w:tcPr>
                <w:p w14:paraId="3E13BC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6C83B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D9AFD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846" w:type="dxa"/>
                  <w:vMerge w:val="continue"/>
                  <w:tcBorders>
                    <w:tl2br w:val="nil"/>
                    <w:tr2bl w:val="nil"/>
                  </w:tcBorders>
                  <w:shd w:val="clear" w:color="auto" w:fill="auto"/>
                  <w:vAlign w:val="center"/>
                </w:tcPr>
                <w:p w14:paraId="3126B71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B8729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全自动数控水钻机29</w:t>
                  </w:r>
                </w:p>
              </w:tc>
              <w:tc>
                <w:tcPr>
                  <w:tcW w:w="675" w:type="dxa"/>
                  <w:tcBorders>
                    <w:tl2br w:val="nil"/>
                    <w:tr2bl w:val="nil"/>
                  </w:tcBorders>
                  <w:shd w:val="clear" w:color="auto" w:fill="auto"/>
                  <w:vAlign w:val="center"/>
                </w:tcPr>
                <w:p w14:paraId="37982C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39654D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4461BF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2893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154.42</w:t>
                  </w:r>
                </w:p>
              </w:tc>
              <w:tc>
                <w:tcPr>
                  <w:tcW w:w="876" w:type="dxa"/>
                  <w:tcBorders>
                    <w:tl2br w:val="nil"/>
                    <w:tr2bl w:val="nil"/>
                  </w:tcBorders>
                  <w:shd w:val="clear" w:color="auto" w:fill="auto"/>
                  <w:vAlign w:val="center"/>
                </w:tcPr>
                <w:p w14:paraId="424C6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115.84</w:t>
                  </w:r>
                </w:p>
              </w:tc>
              <w:tc>
                <w:tcPr>
                  <w:tcW w:w="476" w:type="dxa"/>
                  <w:tcBorders>
                    <w:tl2br w:val="nil"/>
                    <w:tr2bl w:val="nil"/>
                  </w:tcBorders>
                  <w:shd w:val="clear" w:color="auto" w:fill="auto"/>
                  <w:vAlign w:val="center"/>
                </w:tcPr>
                <w:p w14:paraId="1018AA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543D2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w:t>
                  </w:r>
                </w:p>
              </w:tc>
              <w:tc>
                <w:tcPr>
                  <w:tcW w:w="898" w:type="dxa"/>
                  <w:tcBorders>
                    <w:tl2br w:val="nil"/>
                    <w:tr2bl w:val="nil"/>
                  </w:tcBorders>
                  <w:shd w:val="clear" w:color="auto" w:fill="auto"/>
                  <w:vAlign w:val="center"/>
                </w:tcPr>
                <w:p w14:paraId="5D04C4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w:t>
                  </w:r>
                </w:p>
              </w:tc>
              <w:tc>
                <w:tcPr>
                  <w:tcW w:w="707" w:type="dxa"/>
                  <w:tcBorders>
                    <w:tl2br w:val="nil"/>
                    <w:tr2bl w:val="nil"/>
                  </w:tcBorders>
                  <w:shd w:val="clear" w:color="auto" w:fill="auto"/>
                  <w:vAlign w:val="center"/>
                </w:tcPr>
                <w:p w14:paraId="588176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34DC10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23EBCA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31.83</w:t>
                  </w:r>
                </w:p>
              </w:tc>
              <w:tc>
                <w:tcPr>
                  <w:tcW w:w="887" w:type="dxa"/>
                  <w:tcBorders>
                    <w:tl2br w:val="nil"/>
                    <w:tr2bl w:val="nil"/>
                  </w:tcBorders>
                  <w:shd w:val="clear" w:color="auto" w:fill="auto"/>
                  <w:vAlign w:val="center"/>
                </w:tcPr>
                <w:p w14:paraId="7B0522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67A1C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C129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w:t>
                  </w:r>
                </w:p>
              </w:tc>
              <w:tc>
                <w:tcPr>
                  <w:tcW w:w="846" w:type="dxa"/>
                  <w:vMerge w:val="continue"/>
                  <w:tcBorders>
                    <w:tl2br w:val="nil"/>
                    <w:tr2bl w:val="nil"/>
                  </w:tcBorders>
                  <w:shd w:val="clear" w:color="auto" w:fill="auto"/>
                  <w:vAlign w:val="center"/>
                </w:tcPr>
                <w:p w14:paraId="095364F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8B3551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全自动数控水钻机30</w:t>
                  </w:r>
                </w:p>
              </w:tc>
              <w:tc>
                <w:tcPr>
                  <w:tcW w:w="675" w:type="dxa"/>
                  <w:tcBorders>
                    <w:tl2br w:val="nil"/>
                    <w:tr2bl w:val="nil"/>
                  </w:tcBorders>
                  <w:shd w:val="clear" w:color="auto" w:fill="auto"/>
                  <w:vAlign w:val="center"/>
                </w:tcPr>
                <w:p w14:paraId="654C858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948B1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14207D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C654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160.29</w:t>
                  </w:r>
                </w:p>
              </w:tc>
              <w:tc>
                <w:tcPr>
                  <w:tcW w:w="876" w:type="dxa"/>
                  <w:tcBorders>
                    <w:tl2br w:val="nil"/>
                    <w:tr2bl w:val="nil"/>
                  </w:tcBorders>
                  <w:shd w:val="clear" w:color="auto" w:fill="auto"/>
                  <w:vAlign w:val="center"/>
                </w:tcPr>
                <w:p w14:paraId="025C3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131.31</w:t>
                  </w:r>
                </w:p>
              </w:tc>
              <w:tc>
                <w:tcPr>
                  <w:tcW w:w="476" w:type="dxa"/>
                  <w:tcBorders>
                    <w:tl2br w:val="nil"/>
                    <w:tr2bl w:val="nil"/>
                  </w:tcBorders>
                  <w:shd w:val="clear" w:color="auto" w:fill="auto"/>
                  <w:vAlign w:val="center"/>
                </w:tcPr>
                <w:p w14:paraId="12C52C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7C846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898" w:type="dxa"/>
                  <w:tcBorders>
                    <w:tl2br w:val="nil"/>
                    <w:tr2bl w:val="nil"/>
                  </w:tcBorders>
                  <w:shd w:val="clear" w:color="auto" w:fill="auto"/>
                  <w:vAlign w:val="center"/>
                </w:tcPr>
                <w:p w14:paraId="544C9F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53.33</w:t>
                  </w:r>
                </w:p>
              </w:tc>
              <w:tc>
                <w:tcPr>
                  <w:tcW w:w="707" w:type="dxa"/>
                  <w:tcBorders>
                    <w:tl2br w:val="nil"/>
                    <w:tr2bl w:val="nil"/>
                  </w:tcBorders>
                  <w:shd w:val="clear" w:color="auto" w:fill="auto"/>
                  <w:vAlign w:val="center"/>
                </w:tcPr>
                <w:p w14:paraId="1B0D23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7581B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16F01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32.33</w:t>
                  </w:r>
                </w:p>
              </w:tc>
              <w:tc>
                <w:tcPr>
                  <w:tcW w:w="887" w:type="dxa"/>
                  <w:tcBorders>
                    <w:tl2br w:val="nil"/>
                    <w:tr2bl w:val="nil"/>
                  </w:tcBorders>
                  <w:shd w:val="clear" w:color="auto" w:fill="auto"/>
                  <w:vAlign w:val="center"/>
                </w:tcPr>
                <w:p w14:paraId="5EDAC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129D9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B691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67</w:t>
                  </w:r>
                </w:p>
              </w:tc>
              <w:tc>
                <w:tcPr>
                  <w:tcW w:w="846" w:type="dxa"/>
                  <w:vMerge w:val="restart"/>
                  <w:tcBorders>
                    <w:tl2br w:val="nil"/>
                    <w:tr2bl w:val="nil"/>
                  </w:tcBorders>
                  <w:shd w:val="clear" w:color="auto" w:fill="auto"/>
                  <w:vAlign w:val="center"/>
                </w:tcPr>
                <w:p w14:paraId="4DA56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烫钻生产（4#厂房）</w:t>
                  </w:r>
                </w:p>
              </w:tc>
              <w:tc>
                <w:tcPr>
                  <w:tcW w:w="1372" w:type="dxa"/>
                  <w:tcBorders>
                    <w:tl2br w:val="nil"/>
                    <w:tr2bl w:val="nil"/>
                  </w:tcBorders>
                  <w:shd w:val="clear" w:color="auto" w:fill="auto"/>
                  <w:vAlign w:val="center"/>
                </w:tcPr>
                <w:p w14:paraId="1C0960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31</w:t>
                  </w:r>
                </w:p>
              </w:tc>
              <w:tc>
                <w:tcPr>
                  <w:tcW w:w="675" w:type="dxa"/>
                  <w:tcBorders>
                    <w:tl2br w:val="nil"/>
                    <w:tr2bl w:val="nil"/>
                  </w:tcBorders>
                  <w:shd w:val="clear" w:color="auto" w:fill="auto"/>
                  <w:vAlign w:val="center"/>
                </w:tcPr>
                <w:p w14:paraId="6F5B147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3E2C16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544780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1014E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182.89</w:t>
                  </w:r>
                </w:p>
              </w:tc>
              <w:tc>
                <w:tcPr>
                  <w:tcW w:w="876" w:type="dxa"/>
                  <w:tcBorders>
                    <w:tl2br w:val="nil"/>
                    <w:tr2bl w:val="nil"/>
                  </w:tcBorders>
                  <w:shd w:val="clear" w:color="auto" w:fill="auto"/>
                  <w:vAlign w:val="center"/>
                </w:tcPr>
                <w:p w14:paraId="294330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58.38</w:t>
                  </w:r>
                </w:p>
              </w:tc>
              <w:tc>
                <w:tcPr>
                  <w:tcW w:w="476" w:type="dxa"/>
                  <w:tcBorders>
                    <w:tl2br w:val="nil"/>
                    <w:tr2bl w:val="nil"/>
                  </w:tcBorders>
                  <w:shd w:val="clear" w:color="auto" w:fill="auto"/>
                  <w:vAlign w:val="center"/>
                </w:tcPr>
                <w:p w14:paraId="1065FB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4BCEE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898" w:type="dxa"/>
                  <w:tcBorders>
                    <w:tl2br w:val="nil"/>
                    <w:tr2bl w:val="nil"/>
                  </w:tcBorders>
                  <w:shd w:val="clear" w:color="auto" w:fill="auto"/>
                  <w:vAlign w:val="center"/>
                </w:tcPr>
                <w:p w14:paraId="2C7CF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52.02</w:t>
                  </w:r>
                </w:p>
              </w:tc>
              <w:tc>
                <w:tcPr>
                  <w:tcW w:w="707" w:type="dxa"/>
                  <w:tcBorders>
                    <w:tl2br w:val="nil"/>
                    <w:tr2bl w:val="nil"/>
                  </w:tcBorders>
                  <w:shd w:val="clear" w:color="auto" w:fill="auto"/>
                  <w:vAlign w:val="center"/>
                </w:tcPr>
                <w:p w14:paraId="5C782D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54202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4EC3E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31.02</w:t>
                  </w:r>
                </w:p>
              </w:tc>
              <w:tc>
                <w:tcPr>
                  <w:tcW w:w="887" w:type="dxa"/>
                  <w:tcBorders>
                    <w:tl2br w:val="nil"/>
                    <w:tr2bl w:val="nil"/>
                  </w:tcBorders>
                  <w:shd w:val="clear" w:color="auto" w:fill="auto"/>
                  <w:vAlign w:val="center"/>
                </w:tcPr>
                <w:p w14:paraId="722663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2AC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17C29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846" w:type="dxa"/>
                  <w:vMerge w:val="continue"/>
                  <w:tcBorders>
                    <w:tl2br w:val="nil"/>
                    <w:tr2bl w:val="nil"/>
                  </w:tcBorders>
                  <w:shd w:val="clear" w:color="auto" w:fill="auto"/>
                  <w:vAlign w:val="center"/>
                </w:tcPr>
                <w:p w14:paraId="58FA7C4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58085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32</w:t>
                  </w:r>
                </w:p>
              </w:tc>
              <w:tc>
                <w:tcPr>
                  <w:tcW w:w="675" w:type="dxa"/>
                  <w:tcBorders>
                    <w:tl2br w:val="nil"/>
                    <w:tr2bl w:val="nil"/>
                  </w:tcBorders>
                  <w:shd w:val="clear" w:color="auto" w:fill="auto"/>
                  <w:vAlign w:val="center"/>
                </w:tcPr>
                <w:p w14:paraId="38B431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7FA64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89FE96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8FDE1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194.24</w:t>
                  </w:r>
                </w:p>
              </w:tc>
              <w:tc>
                <w:tcPr>
                  <w:tcW w:w="876" w:type="dxa"/>
                  <w:tcBorders>
                    <w:tl2br w:val="nil"/>
                    <w:tr2bl w:val="nil"/>
                  </w:tcBorders>
                  <w:shd w:val="clear" w:color="auto" w:fill="auto"/>
                  <w:vAlign w:val="center"/>
                </w:tcPr>
                <w:p w14:paraId="5C7766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55.18</w:t>
                  </w:r>
                </w:p>
              </w:tc>
              <w:tc>
                <w:tcPr>
                  <w:tcW w:w="476" w:type="dxa"/>
                  <w:tcBorders>
                    <w:tl2br w:val="nil"/>
                    <w:tr2bl w:val="nil"/>
                  </w:tcBorders>
                  <w:shd w:val="clear" w:color="auto" w:fill="auto"/>
                  <w:vAlign w:val="center"/>
                </w:tcPr>
                <w:p w14:paraId="4459E8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E7A46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898" w:type="dxa"/>
                  <w:tcBorders>
                    <w:tl2br w:val="nil"/>
                    <w:tr2bl w:val="nil"/>
                  </w:tcBorders>
                  <w:shd w:val="clear" w:color="auto" w:fill="auto"/>
                  <w:vAlign w:val="center"/>
                </w:tcPr>
                <w:p w14:paraId="466CC9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51.95</w:t>
                  </w:r>
                </w:p>
              </w:tc>
              <w:tc>
                <w:tcPr>
                  <w:tcW w:w="707" w:type="dxa"/>
                  <w:tcBorders>
                    <w:tl2br w:val="nil"/>
                    <w:tr2bl w:val="nil"/>
                  </w:tcBorders>
                  <w:shd w:val="clear" w:color="auto" w:fill="auto"/>
                  <w:vAlign w:val="center"/>
                </w:tcPr>
                <w:p w14:paraId="01AA70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4739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C62FE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30.95</w:t>
                  </w:r>
                </w:p>
              </w:tc>
              <w:tc>
                <w:tcPr>
                  <w:tcW w:w="887" w:type="dxa"/>
                  <w:tcBorders>
                    <w:tl2br w:val="nil"/>
                    <w:tr2bl w:val="nil"/>
                  </w:tcBorders>
                  <w:shd w:val="clear" w:color="auto" w:fill="auto"/>
                  <w:vAlign w:val="center"/>
                </w:tcPr>
                <w:p w14:paraId="37C2BB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D93E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3070C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46" w:type="dxa"/>
                  <w:vMerge w:val="continue"/>
                  <w:tcBorders>
                    <w:tl2br w:val="nil"/>
                    <w:tr2bl w:val="nil"/>
                  </w:tcBorders>
                  <w:shd w:val="clear" w:color="auto" w:fill="auto"/>
                  <w:vAlign w:val="center"/>
                </w:tcPr>
                <w:p w14:paraId="1570A50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1FE682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33</w:t>
                  </w:r>
                </w:p>
              </w:tc>
              <w:tc>
                <w:tcPr>
                  <w:tcW w:w="675" w:type="dxa"/>
                  <w:tcBorders>
                    <w:tl2br w:val="nil"/>
                    <w:tr2bl w:val="nil"/>
                  </w:tcBorders>
                  <w:shd w:val="clear" w:color="auto" w:fill="auto"/>
                  <w:vAlign w:val="center"/>
                </w:tcPr>
                <w:p w14:paraId="0537B4D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A0FBD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46893A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7809A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187.25</w:t>
                  </w:r>
                </w:p>
              </w:tc>
              <w:tc>
                <w:tcPr>
                  <w:tcW w:w="876" w:type="dxa"/>
                  <w:tcBorders>
                    <w:tl2br w:val="nil"/>
                    <w:tr2bl w:val="nil"/>
                  </w:tcBorders>
                  <w:shd w:val="clear" w:color="auto" w:fill="auto"/>
                  <w:vAlign w:val="center"/>
                </w:tcPr>
                <w:p w14:paraId="7D41FD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72.94</w:t>
                  </w:r>
                </w:p>
              </w:tc>
              <w:tc>
                <w:tcPr>
                  <w:tcW w:w="476" w:type="dxa"/>
                  <w:tcBorders>
                    <w:tl2br w:val="nil"/>
                    <w:tr2bl w:val="nil"/>
                  </w:tcBorders>
                  <w:shd w:val="clear" w:color="auto" w:fill="auto"/>
                  <w:vAlign w:val="center"/>
                </w:tcPr>
                <w:p w14:paraId="0E9752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F1527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898" w:type="dxa"/>
                  <w:tcBorders>
                    <w:tl2br w:val="nil"/>
                    <w:tr2bl w:val="nil"/>
                  </w:tcBorders>
                  <w:shd w:val="clear" w:color="auto" w:fill="auto"/>
                  <w:vAlign w:val="center"/>
                </w:tcPr>
                <w:p w14:paraId="23A68E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707" w:type="dxa"/>
                  <w:tcBorders>
                    <w:tl2br w:val="nil"/>
                    <w:tr2bl w:val="nil"/>
                  </w:tcBorders>
                  <w:shd w:val="clear" w:color="auto" w:fill="auto"/>
                  <w:vAlign w:val="center"/>
                </w:tcPr>
                <w:p w14:paraId="411866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81DDD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3D64A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30.99</w:t>
                  </w:r>
                </w:p>
              </w:tc>
              <w:tc>
                <w:tcPr>
                  <w:tcW w:w="887" w:type="dxa"/>
                  <w:tcBorders>
                    <w:tl2br w:val="nil"/>
                    <w:tr2bl w:val="nil"/>
                  </w:tcBorders>
                  <w:shd w:val="clear" w:color="auto" w:fill="auto"/>
                  <w:vAlign w:val="center"/>
                </w:tcPr>
                <w:p w14:paraId="2A090D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DAE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30B8F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846" w:type="dxa"/>
                  <w:vMerge w:val="continue"/>
                  <w:tcBorders>
                    <w:tl2br w:val="nil"/>
                    <w:tr2bl w:val="nil"/>
                  </w:tcBorders>
                  <w:shd w:val="clear" w:color="auto" w:fill="auto"/>
                  <w:vAlign w:val="center"/>
                </w:tcPr>
                <w:p w14:paraId="0ECDE32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F10148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75" w:type="dxa"/>
                  <w:tcBorders>
                    <w:tl2br w:val="nil"/>
                    <w:tr2bl w:val="nil"/>
                  </w:tcBorders>
                  <w:shd w:val="clear" w:color="auto" w:fill="auto"/>
                  <w:vAlign w:val="center"/>
                </w:tcPr>
                <w:p w14:paraId="6990C0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1D95E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8685FF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9F3BA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198.03</w:t>
                  </w:r>
                </w:p>
              </w:tc>
              <w:tc>
                <w:tcPr>
                  <w:tcW w:w="876" w:type="dxa"/>
                  <w:tcBorders>
                    <w:tl2br w:val="nil"/>
                    <w:tr2bl w:val="nil"/>
                  </w:tcBorders>
                  <w:shd w:val="clear" w:color="auto" w:fill="auto"/>
                  <w:vAlign w:val="center"/>
                </w:tcPr>
                <w:p w14:paraId="7DFBCB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70.90</w:t>
                  </w:r>
                </w:p>
              </w:tc>
              <w:tc>
                <w:tcPr>
                  <w:tcW w:w="476" w:type="dxa"/>
                  <w:tcBorders>
                    <w:tl2br w:val="nil"/>
                    <w:tr2bl w:val="nil"/>
                  </w:tcBorders>
                  <w:shd w:val="clear" w:color="auto" w:fill="auto"/>
                  <w:vAlign w:val="center"/>
                </w:tcPr>
                <w:p w14:paraId="153434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F87F1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16.2</w:t>
                  </w:r>
                </w:p>
              </w:tc>
              <w:tc>
                <w:tcPr>
                  <w:tcW w:w="898" w:type="dxa"/>
                  <w:tcBorders>
                    <w:tl2br w:val="nil"/>
                    <w:tr2bl w:val="nil"/>
                  </w:tcBorders>
                  <w:shd w:val="clear" w:color="auto" w:fill="auto"/>
                  <w:vAlign w:val="center"/>
                </w:tcPr>
                <w:p w14:paraId="5000D5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51.97</w:t>
                  </w:r>
                </w:p>
              </w:tc>
              <w:tc>
                <w:tcPr>
                  <w:tcW w:w="707" w:type="dxa"/>
                  <w:tcBorders>
                    <w:tl2br w:val="nil"/>
                    <w:tr2bl w:val="nil"/>
                  </w:tcBorders>
                  <w:shd w:val="clear" w:color="auto" w:fill="auto"/>
                  <w:vAlign w:val="center"/>
                </w:tcPr>
                <w:p w14:paraId="464E5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89B7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62977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30.97</w:t>
                  </w:r>
                </w:p>
              </w:tc>
              <w:tc>
                <w:tcPr>
                  <w:tcW w:w="887" w:type="dxa"/>
                  <w:tcBorders>
                    <w:tl2br w:val="nil"/>
                    <w:tr2bl w:val="nil"/>
                  </w:tcBorders>
                  <w:shd w:val="clear" w:color="auto" w:fill="auto"/>
                  <w:vAlign w:val="center"/>
                </w:tcPr>
                <w:p w14:paraId="15613C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DE0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9A1A6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71</w:t>
                  </w:r>
                </w:p>
              </w:tc>
              <w:tc>
                <w:tcPr>
                  <w:tcW w:w="846" w:type="dxa"/>
                  <w:vMerge w:val="continue"/>
                  <w:tcBorders>
                    <w:tl2br w:val="nil"/>
                    <w:tr2bl w:val="nil"/>
                  </w:tcBorders>
                  <w:shd w:val="clear" w:color="auto" w:fill="auto"/>
                  <w:vAlign w:val="center"/>
                </w:tcPr>
                <w:p w14:paraId="284B1CE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CCE7E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5" w:type="dxa"/>
                  <w:tcBorders>
                    <w:tl2br w:val="nil"/>
                    <w:tr2bl w:val="nil"/>
                  </w:tcBorders>
                  <w:shd w:val="clear" w:color="auto" w:fill="auto"/>
                  <w:vAlign w:val="center"/>
                </w:tcPr>
                <w:p w14:paraId="2ECD7D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5DC4C8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09571F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63E35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191.04</w:t>
                  </w:r>
                </w:p>
              </w:tc>
              <w:tc>
                <w:tcPr>
                  <w:tcW w:w="876" w:type="dxa"/>
                  <w:tcBorders>
                    <w:tl2br w:val="nil"/>
                    <w:tr2bl w:val="nil"/>
                  </w:tcBorders>
                  <w:shd w:val="clear" w:color="auto" w:fill="auto"/>
                  <w:vAlign w:val="center"/>
                </w:tcPr>
                <w:p w14:paraId="3B90C4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88.67</w:t>
                  </w:r>
                </w:p>
              </w:tc>
              <w:tc>
                <w:tcPr>
                  <w:tcW w:w="476" w:type="dxa"/>
                  <w:tcBorders>
                    <w:tl2br w:val="nil"/>
                    <w:tr2bl w:val="nil"/>
                  </w:tcBorders>
                  <w:shd w:val="clear" w:color="auto" w:fill="auto"/>
                  <w:vAlign w:val="center"/>
                </w:tcPr>
                <w:p w14:paraId="1DB85B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0FCE5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15.8</w:t>
                  </w:r>
                </w:p>
              </w:tc>
              <w:tc>
                <w:tcPr>
                  <w:tcW w:w="898" w:type="dxa"/>
                  <w:tcBorders>
                    <w:tl2br w:val="nil"/>
                    <w:tr2bl w:val="nil"/>
                  </w:tcBorders>
                  <w:shd w:val="clear" w:color="auto" w:fill="auto"/>
                  <w:vAlign w:val="center"/>
                </w:tcPr>
                <w:p w14:paraId="1950F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52.00</w:t>
                  </w:r>
                </w:p>
              </w:tc>
              <w:tc>
                <w:tcPr>
                  <w:tcW w:w="707" w:type="dxa"/>
                  <w:tcBorders>
                    <w:tl2br w:val="nil"/>
                    <w:tr2bl w:val="nil"/>
                  </w:tcBorders>
                  <w:shd w:val="clear" w:color="auto" w:fill="auto"/>
                  <w:vAlign w:val="center"/>
                </w:tcPr>
                <w:p w14:paraId="25537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FF78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541A9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31.00</w:t>
                  </w:r>
                </w:p>
              </w:tc>
              <w:tc>
                <w:tcPr>
                  <w:tcW w:w="887" w:type="dxa"/>
                  <w:tcBorders>
                    <w:tl2br w:val="nil"/>
                    <w:tr2bl w:val="nil"/>
                  </w:tcBorders>
                  <w:shd w:val="clear" w:color="auto" w:fill="auto"/>
                  <w:vAlign w:val="center"/>
                </w:tcPr>
                <w:p w14:paraId="55C82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7D1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AD6E7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846" w:type="dxa"/>
                  <w:vMerge w:val="continue"/>
                  <w:tcBorders>
                    <w:tl2br w:val="nil"/>
                    <w:tr2bl w:val="nil"/>
                  </w:tcBorders>
                  <w:shd w:val="clear" w:color="auto" w:fill="auto"/>
                  <w:vAlign w:val="center"/>
                </w:tcPr>
                <w:p w14:paraId="67E8058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F4873A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36</w:t>
                  </w:r>
                </w:p>
              </w:tc>
              <w:tc>
                <w:tcPr>
                  <w:tcW w:w="675" w:type="dxa"/>
                  <w:tcBorders>
                    <w:tl2br w:val="nil"/>
                    <w:tr2bl w:val="nil"/>
                  </w:tcBorders>
                  <w:shd w:val="clear" w:color="auto" w:fill="auto"/>
                  <w:vAlign w:val="center"/>
                </w:tcPr>
                <w:p w14:paraId="18E668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2BD61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CA5436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B0B1C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202.69</w:t>
                  </w:r>
                </w:p>
              </w:tc>
              <w:tc>
                <w:tcPr>
                  <w:tcW w:w="876" w:type="dxa"/>
                  <w:tcBorders>
                    <w:tl2br w:val="nil"/>
                    <w:tr2bl w:val="nil"/>
                  </w:tcBorders>
                  <w:shd w:val="clear" w:color="auto" w:fill="auto"/>
                  <w:vAlign w:val="center"/>
                </w:tcPr>
                <w:p w14:paraId="663BF6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85.47</w:t>
                  </w:r>
                </w:p>
              </w:tc>
              <w:tc>
                <w:tcPr>
                  <w:tcW w:w="476" w:type="dxa"/>
                  <w:tcBorders>
                    <w:tl2br w:val="nil"/>
                    <w:tr2bl w:val="nil"/>
                  </w:tcBorders>
                  <w:shd w:val="clear" w:color="auto" w:fill="auto"/>
                  <w:vAlign w:val="center"/>
                </w:tcPr>
                <w:p w14:paraId="675F77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607E9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898" w:type="dxa"/>
                  <w:tcBorders>
                    <w:tl2br w:val="nil"/>
                    <w:tr2bl w:val="nil"/>
                  </w:tcBorders>
                  <w:shd w:val="clear" w:color="auto" w:fill="auto"/>
                  <w:vAlign w:val="center"/>
                </w:tcPr>
                <w:p w14:paraId="3737E6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51.94</w:t>
                  </w:r>
                </w:p>
              </w:tc>
              <w:tc>
                <w:tcPr>
                  <w:tcW w:w="707" w:type="dxa"/>
                  <w:tcBorders>
                    <w:tl2br w:val="nil"/>
                    <w:tr2bl w:val="nil"/>
                  </w:tcBorders>
                  <w:shd w:val="clear" w:color="auto" w:fill="auto"/>
                  <w:vAlign w:val="center"/>
                </w:tcPr>
                <w:p w14:paraId="6430E3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81D6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A442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30.94</w:t>
                  </w:r>
                </w:p>
              </w:tc>
              <w:tc>
                <w:tcPr>
                  <w:tcW w:w="887" w:type="dxa"/>
                  <w:tcBorders>
                    <w:tl2br w:val="nil"/>
                    <w:tr2bl w:val="nil"/>
                  </w:tcBorders>
                  <w:shd w:val="clear" w:color="auto" w:fill="auto"/>
                  <w:vAlign w:val="center"/>
                </w:tcPr>
                <w:p w14:paraId="7FA67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0D6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201EC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46" w:type="dxa"/>
                  <w:vMerge w:val="continue"/>
                  <w:tcBorders>
                    <w:tl2br w:val="nil"/>
                    <w:tr2bl w:val="nil"/>
                  </w:tcBorders>
                  <w:shd w:val="clear" w:color="auto" w:fill="auto"/>
                  <w:vAlign w:val="center"/>
                </w:tcPr>
                <w:p w14:paraId="7072489A">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8F6A56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37</w:t>
                  </w:r>
                </w:p>
              </w:tc>
              <w:tc>
                <w:tcPr>
                  <w:tcW w:w="675" w:type="dxa"/>
                  <w:tcBorders>
                    <w:tl2br w:val="nil"/>
                    <w:tr2bl w:val="nil"/>
                  </w:tcBorders>
                  <w:shd w:val="clear" w:color="auto" w:fill="auto"/>
                  <w:vAlign w:val="center"/>
                </w:tcPr>
                <w:p w14:paraId="18C8D7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429A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1F71C6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1437D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194.54</w:t>
                  </w:r>
                </w:p>
              </w:tc>
              <w:tc>
                <w:tcPr>
                  <w:tcW w:w="876" w:type="dxa"/>
                  <w:tcBorders>
                    <w:tl2br w:val="nil"/>
                    <w:tr2bl w:val="nil"/>
                  </w:tcBorders>
                  <w:shd w:val="clear" w:color="auto" w:fill="auto"/>
                  <w:vAlign w:val="center"/>
                </w:tcPr>
                <w:p w14:paraId="1DB92B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101.49</w:t>
                  </w:r>
                </w:p>
              </w:tc>
              <w:tc>
                <w:tcPr>
                  <w:tcW w:w="476" w:type="dxa"/>
                  <w:tcBorders>
                    <w:tl2br w:val="nil"/>
                    <w:tr2bl w:val="nil"/>
                  </w:tcBorders>
                  <w:shd w:val="clear" w:color="auto" w:fill="auto"/>
                  <w:vAlign w:val="center"/>
                </w:tcPr>
                <w:p w14:paraId="368A82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0DB54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15.7</w:t>
                  </w:r>
                </w:p>
              </w:tc>
              <w:tc>
                <w:tcPr>
                  <w:tcW w:w="898" w:type="dxa"/>
                  <w:tcBorders>
                    <w:tl2br w:val="nil"/>
                    <w:tr2bl w:val="nil"/>
                  </w:tcBorders>
                  <w:shd w:val="clear" w:color="auto" w:fill="auto"/>
                  <w:vAlign w:val="center"/>
                </w:tcPr>
                <w:p w14:paraId="2C7A7F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52.01</w:t>
                  </w:r>
                </w:p>
              </w:tc>
              <w:tc>
                <w:tcPr>
                  <w:tcW w:w="707" w:type="dxa"/>
                  <w:tcBorders>
                    <w:tl2br w:val="nil"/>
                    <w:tr2bl w:val="nil"/>
                  </w:tcBorders>
                  <w:shd w:val="clear" w:color="auto" w:fill="auto"/>
                  <w:vAlign w:val="center"/>
                </w:tcPr>
                <w:p w14:paraId="6BE60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45C2D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B2172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31.01</w:t>
                  </w:r>
                </w:p>
              </w:tc>
              <w:tc>
                <w:tcPr>
                  <w:tcW w:w="887" w:type="dxa"/>
                  <w:tcBorders>
                    <w:tl2br w:val="nil"/>
                    <w:tr2bl w:val="nil"/>
                  </w:tcBorders>
                  <w:shd w:val="clear" w:color="auto" w:fill="auto"/>
                  <w:vAlign w:val="center"/>
                </w:tcPr>
                <w:p w14:paraId="5628B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C35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EE78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846" w:type="dxa"/>
                  <w:vMerge w:val="continue"/>
                  <w:tcBorders>
                    <w:tl2br w:val="nil"/>
                    <w:tr2bl w:val="nil"/>
                  </w:tcBorders>
                  <w:shd w:val="clear" w:color="auto" w:fill="auto"/>
                  <w:vAlign w:val="center"/>
                </w:tcPr>
                <w:p w14:paraId="5AAF300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E0824C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38</w:t>
                  </w:r>
                </w:p>
              </w:tc>
              <w:tc>
                <w:tcPr>
                  <w:tcW w:w="675" w:type="dxa"/>
                  <w:tcBorders>
                    <w:tl2br w:val="nil"/>
                    <w:tr2bl w:val="nil"/>
                  </w:tcBorders>
                  <w:shd w:val="clear" w:color="auto" w:fill="auto"/>
                  <w:vAlign w:val="center"/>
                </w:tcPr>
                <w:p w14:paraId="7F0CD1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8DC6A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E179DD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4CE5D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206.48</w:t>
                  </w:r>
                </w:p>
              </w:tc>
              <w:tc>
                <w:tcPr>
                  <w:tcW w:w="876" w:type="dxa"/>
                  <w:tcBorders>
                    <w:tl2br w:val="nil"/>
                    <w:tr2bl w:val="nil"/>
                  </w:tcBorders>
                  <w:shd w:val="clear" w:color="auto" w:fill="auto"/>
                  <w:vAlign w:val="center"/>
                </w:tcPr>
                <w:p w14:paraId="16752C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99.16</w:t>
                  </w:r>
                </w:p>
              </w:tc>
              <w:tc>
                <w:tcPr>
                  <w:tcW w:w="476" w:type="dxa"/>
                  <w:tcBorders>
                    <w:tl2br w:val="nil"/>
                    <w:tr2bl w:val="nil"/>
                  </w:tcBorders>
                  <w:shd w:val="clear" w:color="auto" w:fill="auto"/>
                  <w:vAlign w:val="center"/>
                </w:tcPr>
                <w:p w14:paraId="151265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0774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15.2</w:t>
                  </w:r>
                </w:p>
              </w:tc>
              <w:tc>
                <w:tcPr>
                  <w:tcW w:w="898" w:type="dxa"/>
                  <w:tcBorders>
                    <w:tl2br w:val="nil"/>
                    <w:tr2bl w:val="nil"/>
                  </w:tcBorders>
                  <w:shd w:val="clear" w:color="auto" w:fill="auto"/>
                  <w:vAlign w:val="center"/>
                </w:tcPr>
                <w:p w14:paraId="42D064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52.04</w:t>
                  </w:r>
                </w:p>
              </w:tc>
              <w:tc>
                <w:tcPr>
                  <w:tcW w:w="707" w:type="dxa"/>
                  <w:tcBorders>
                    <w:tl2br w:val="nil"/>
                    <w:tr2bl w:val="nil"/>
                  </w:tcBorders>
                  <w:shd w:val="clear" w:color="auto" w:fill="auto"/>
                  <w:vAlign w:val="center"/>
                </w:tcPr>
                <w:p w14:paraId="713071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DD51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EE15D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31.04</w:t>
                  </w:r>
                </w:p>
              </w:tc>
              <w:tc>
                <w:tcPr>
                  <w:tcW w:w="887" w:type="dxa"/>
                  <w:tcBorders>
                    <w:tl2br w:val="nil"/>
                    <w:tr2bl w:val="nil"/>
                  </w:tcBorders>
                  <w:shd w:val="clear" w:color="auto" w:fill="auto"/>
                  <w:vAlign w:val="center"/>
                </w:tcPr>
                <w:p w14:paraId="34AE2D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C680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D967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75</w:t>
                  </w:r>
                </w:p>
              </w:tc>
              <w:tc>
                <w:tcPr>
                  <w:tcW w:w="846" w:type="dxa"/>
                  <w:vMerge w:val="continue"/>
                  <w:tcBorders>
                    <w:tl2br w:val="nil"/>
                    <w:tr2bl w:val="nil"/>
                  </w:tcBorders>
                  <w:shd w:val="clear" w:color="auto" w:fill="auto"/>
                  <w:vAlign w:val="center"/>
                </w:tcPr>
                <w:p w14:paraId="04AEE2B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133E11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39</w:t>
                  </w:r>
                </w:p>
              </w:tc>
              <w:tc>
                <w:tcPr>
                  <w:tcW w:w="675" w:type="dxa"/>
                  <w:tcBorders>
                    <w:tl2br w:val="nil"/>
                    <w:tr2bl w:val="nil"/>
                  </w:tcBorders>
                  <w:shd w:val="clear" w:color="auto" w:fill="auto"/>
                  <w:vAlign w:val="center"/>
                </w:tcPr>
                <w:p w14:paraId="70365F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D037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266642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111F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198.03</w:t>
                  </w:r>
                </w:p>
              </w:tc>
              <w:tc>
                <w:tcPr>
                  <w:tcW w:w="876" w:type="dxa"/>
                  <w:tcBorders>
                    <w:tl2br w:val="nil"/>
                    <w:tr2bl w:val="nil"/>
                  </w:tcBorders>
                  <w:shd w:val="clear" w:color="auto" w:fill="auto"/>
                  <w:vAlign w:val="center"/>
                </w:tcPr>
                <w:p w14:paraId="371F37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118.96</w:t>
                  </w:r>
                </w:p>
              </w:tc>
              <w:tc>
                <w:tcPr>
                  <w:tcW w:w="476" w:type="dxa"/>
                  <w:tcBorders>
                    <w:tl2br w:val="nil"/>
                    <w:tr2bl w:val="nil"/>
                  </w:tcBorders>
                  <w:shd w:val="clear" w:color="auto" w:fill="auto"/>
                  <w:vAlign w:val="center"/>
                </w:tcPr>
                <w:p w14:paraId="4F2FD7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FABD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898" w:type="dxa"/>
                  <w:tcBorders>
                    <w:tl2br w:val="nil"/>
                    <w:tr2bl w:val="nil"/>
                  </w:tcBorders>
                  <w:shd w:val="clear" w:color="auto" w:fill="auto"/>
                  <w:vAlign w:val="center"/>
                </w:tcPr>
                <w:p w14:paraId="201B59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52.02</w:t>
                  </w:r>
                </w:p>
              </w:tc>
              <w:tc>
                <w:tcPr>
                  <w:tcW w:w="707" w:type="dxa"/>
                  <w:tcBorders>
                    <w:tl2br w:val="nil"/>
                    <w:tr2bl w:val="nil"/>
                  </w:tcBorders>
                  <w:shd w:val="clear" w:color="auto" w:fill="auto"/>
                  <w:vAlign w:val="center"/>
                </w:tcPr>
                <w:p w14:paraId="0DC0EE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11956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3A276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31.02</w:t>
                  </w:r>
                </w:p>
              </w:tc>
              <w:tc>
                <w:tcPr>
                  <w:tcW w:w="887" w:type="dxa"/>
                  <w:tcBorders>
                    <w:tl2br w:val="nil"/>
                    <w:tr2bl w:val="nil"/>
                  </w:tcBorders>
                  <w:shd w:val="clear" w:color="auto" w:fill="auto"/>
                  <w:vAlign w:val="center"/>
                </w:tcPr>
                <w:p w14:paraId="74A410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6B53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F68E1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846" w:type="dxa"/>
                  <w:vMerge w:val="continue"/>
                  <w:tcBorders>
                    <w:tl2br w:val="nil"/>
                    <w:tr2bl w:val="nil"/>
                  </w:tcBorders>
                  <w:shd w:val="clear" w:color="auto" w:fill="auto"/>
                  <w:vAlign w:val="center"/>
                </w:tcPr>
                <w:p w14:paraId="43D8C39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ABA74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40</w:t>
                  </w:r>
                </w:p>
              </w:tc>
              <w:tc>
                <w:tcPr>
                  <w:tcW w:w="675" w:type="dxa"/>
                  <w:tcBorders>
                    <w:tl2br w:val="nil"/>
                    <w:tr2bl w:val="nil"/>
                  </w:tcBorders>
                  <w:shd w:val="clear" w:color="auto" w:fill="auto"/>
                  <w:vAlign w:val="center"/>
                </w:tcPr>
                <w:p w14:paraId="7C048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0AC17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97F90F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798C9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209.39</w:t>
                  </w:r>
                </w:p>
              </w:tc>
              <w:tc>
                <w:tcPr>
                  <w:tcW w:w="876" w:type="dxa"/>
                  <w:tcBorders>
                    <w:tl2br w:val="nil"/>
                    <w:tr2bl w:val="nil"/>
                  </w:tcBorders>
                  <w:shd w:val="clear" w:color="auto" w:fill="auto"/>
                  <w:vAlign w:val="center"/>
                </w:tcPr>
                <w:p w14:paraId="31AB74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116.92</w:t>
                  </w:r>
                </w:p>
              </w:tc>
              <w:tc>
                <w:tcPr>
                  <w:tcW w:w="476" w:type="dxa"/>
                  <w:tcBorders>
                    <w:tl2br w:val="nil"/>
                    <w:tr2bl w:val="nil"/>
                  </w:tcBorders>
                  <w:shd w:val="clear" w:color="auto" w:fill="auto"/>
                  <w:vAlign w:val="center"/>
                </w:tcPr>
                <w:p w14:paraId="429011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D580C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898" w:type="dxa"/>
                  <w:tcBorders>
                    <w:tl2br w:val="nil"/>
                    <w:tr2bl w:val="nil"/>
                  </w:tcBorders>
                  <w:shd w:val="clear" w:color="auto" w:fill="auto"/>
                  <w:vAlign w:val="center"/>
                </w:tcPr>
                <w:p w14:paraId="785A2D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51.90</w:t>
                  </w:r>
                </w:p>
              </w:tc>
              <w:tc>
                <w:tcPr>
                  <w:tcW w:w="707" w:type="dxa"/>
                  <w:tcBorders>
                    <w:tl2br w:val="nil"/>
                    <w:tr2bl w:val="nil"/>
                  </w:tcBorders>
                  <w:shd w:val="clear" w:color="auto" w:fill="auto"/>
                  <w:vAlign w:val="center"/>
                </w:tcPr>
                <w:p w14:paraId="786BC5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E8298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B5F0F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30.90</w:t>
                  </w:r>
                </w:p>
              </w:tc>
              <w:tc>
                <w:tcPr>
                  <w:tcW w:w="887" w:type="dxa"/>
                  <w:tcBorders>
                    <w:tl2br w:val="nil"/>
                    <w:tr2bl w:val="nil"/>
                  </w:tcBorders>
                  <w:shd w:val="clear" w:color="auto" w:fill="auto"/>
                  <w:vAlign w:val="center"/>
                </w:tcPr>
                <w:p w14:paraId="616C41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321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1620F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846" w:type="dxa"/>
                  <w:vMerge w:val="continue"/>
                  <w:tcBorders>
                    <w:tl2br w:val="nil"/>
                    <w:tr2bl w:val="nil"/>
                  </w:tcBorders>
                  <w:shd w:val="clear" w:color="auto" w:fill="auto"/>
                  <w:vAlign w:val="center"/>
                </w:tcPr>
                <w:p w14:paraId="0390BD8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73212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75" w:type="dxa"/>
                  <w:tcBorders>
                    <w:tl2br w:val="nil"/>
                    <w:tr2bl w:val="nil"/>
                  </w:tcBorders>
                  <w:shd w:val="clear" w:color="auto" w:fill="auto"/>
                  <w:vAlign w:val="center"/>
                </w:tcPr>
                <w:p w14:paraId="128CC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34566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8FB807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56A5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203.73</w:t>
                  </w:r>
                </w:p>
              </w:tc>
              <w:tc>
                <w:tcPr>
                  <w:tcW w:w="876" w:type="dxa"/>
                  <w:tcBorders>
                    <w:tl2br w:val="nil"/>
                    <w:tr2bl w:val="nil"/>
                  </w:tcBorders>
                  <w:shd w:val="clear" w:color="auto" w:fill="auto"/>
                  <w:vAlign w:val="center"/>
                </w:tcPr>
                <w:p w14:paraId="70F9B0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52.17</w:t>
                  </w:r>
                </w:p>
              </w:tc>
              <w:tc>
                <w:tcPr>
                  <w:tcW w:w="476" w:type="dxa"/>
                  <w:tcBorders>
                    <w:tl2br w:val="nil"/>
                    <w:tr2bl w:val="nil"/>
                  </w:tcBorders>
                  <w:shd w:val="clear" w:color="auto" w:fill="auto"/>
                  <w:vAlign w:val="center"/>
                </w:tcPr>
                <w:p w14:paraId="6AD38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0103F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898" w:type="dxa"/>
                  <w:tcBorders>
                    <w:tl2br w:val="nil"/>
                    <w:tr2bl w:val="nil"/>
                  </w:tcBorders>
                  <w:shd w:val="clear" w:color="auto" w:fill="auto"/>
                  <w:vAlign w:val="center"/>
                </w:tcPr>
                <w:p w14:paraId="018EB4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53.93</w:t>
                  </w:r>
                </w:p>
              </w:tc>
              <w:tc>
                <w:tcPr>
                  <w:tcW w:w="707" w:type="dxa"/>
                  <w:tcBorders>
                    <w:tl2br w:val="nil"/>
                    <w:tr2bl w:val="nil"/>
                  </w:tcBorders>
                  <w:shd w:val="clear" w:color="auto" w:fill="auto"/>
                  <w:vAlign w:val="center"/>
                </w:tcPr>
                <w:p w14:paraId="0EFBC4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1F245B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25AB7B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32.93</w:t>
                  </w:r>
                </w:p>
              </w:tc>
              <w:tc>
                <w:tcPr>
                  <w:tcW w:w="887" w:type="dxa"/>
                  <w:tcBorders>
                    <w:tl2br w:val="nil"/>
                    <w:tr2bl w:val="nil"/>
                  </w:tcBorders>
                  <w:shd w:val="clear" w:color="auto" w:fill="auto"/>
                  <w:vAlign w:val="center"/>
                </w:tcPr>
                <w:p w14:paraId="02B4F4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46A94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C58B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w:t>
                  </w:r>
                </w:p>
              </w:tc>
              <w:tc>
                <w:tcPr>
                  <w:tcW w:w="846" w:type="dxa"/>
                  <w:vMerge w:val="continue"/>
                  <w:tcBorders>
                    <w:tl2br w:val="nil"/>
                    <w:tr2bl w:val="nil"/>
                  </w:tcBorders>
                  <w:shd w:val="clear" w:color="auto" w:fill="auto"/>
                  <w:vAlign w:val="center"/>
                </w:tcPr>
                <w:p w14:paraId="1604916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C447C3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75" w:type="dxa"/>
                  <w:tcBorders>
                    <w:tl2br w:val="nil"/>
                    <w:tr2bl w:val="nil"/>
                  </w:tcBorders>
                  <w:shd w:val="clear" w:color="auto" w:fill="auto"/>
                  <w:vAlign w:val="center"/>
                </w:tcPr>
                <w:p w14:paraId="2B9373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702E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E2BF2E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09C6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207</w:t>
                  </w:r>
                </w:p>
              </w:tc>
              <w:tc>
                <w:tcPr>
                  <w:tcW w:w="876" w:type="dxa"/>
                  <w:tcBorders>
                    <w:tl2br w:val="nil"/>
                    <w:tr2bl w:val="nil"/>
                  </w:tcBorders>
                  <w:shd w:val="clear" w:color="auto" w:fill="auto"/>
                  <w:vAlign w:val="center"/>
                </w:tcPr>
                <w:p w14:paraId="7BE8C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68.32</w:t>
                  </w:r>
                </w:p>
              </w:tc>
              <w:tc>
                <w:tcPr>
                  <w:tcW w:w="476" w:type="dxa"/>
                  <w:tcBorders>
                    <w:tl2br w:val="nil"/>
                    <w:tr2bl w:val="nil"/>
                  </w:tcBorders>
                  <w:shd w:val="clear" w:color="auto" w:fill="auto"/>
                  <w:vAlign w:val="center"/>
                </w:tcPr>
                <w:p w14:paraId="7256DE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26FE0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898" w:type="dxa"/>
                  <w:tcBorders>
                    <w:tl2br w:val="nil"/>
                    <w:tr2bl w:val="nil"/>
                  </w:tcBorders>
                  <w:shd w:val="clear" w:color="auto" w:fill="auto"/>
                  <w:vAlign w:val="center"/>
                </w:tcPr>
                <w:p w14:paraId="3E65B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53.49</w:t>
                  </w:r>
                </w:p>
              </w:tc>
              <w:tc>
                <w:tcPr>
                  <w:tcW w:w="707" w:type="dxa"/>
                  <w:tcBorders>
                    <w:tl2br w:val="nil"/>
                    <w:tr2bl w:val="nil"/>
                  </w:tcBorders>
                  <w:shd w:val="clear" w:color="auto" w:fill="auto"/>
                  <w:vAlign w:val="center"/>
                </w:tcPr>
                <w:p w14:paraId="4337AD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26F9AD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2799DA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32.49</w:t>
                  </w:r>
                </w:p>
              </w:tc>
              <w:tc>
                <w:tcPr>
                  <w:tcW w:w="887" w:type="dxa"/>
                  <w:tcBorders>
                    <w:tl2br w:val="nil"/>
                    <w:tr2bl w:val="nil"/>
                  </w:tcBorders>
                  <w:shd w:val="clear" w:color="auto" w:fill="auto"/>
                  <w:vAlign w:val="center"/>
                </w:tcPr>
                <w:p w14:paraId="0C03A6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AD1D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44FD5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w:t>
                  </w:r>
                </w:p>
              </w:tc>
              <w:tc>
                <w:tcPr>
                  <w:tcW w:w="846" w:type="dxa"/>
                  <w:vMerge w:val="continue"/>
                  <w:tcBorders>
                    <w:tl2br w:val="nil"/>
                    <w:tr2bl w:val="nil"/>
                  </w:tcBorders>
                  <w:shd w:val="clear" w:color="auto" w:fill="auto"/>
                  <w:vAlign w:val="center"/>
                </w:tcPr>
                <w:p w14:paraId="0960EB9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64DC68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75" w:type="dxa"/>
                  <w:tcBorders>
                    <w:tl2br w:val="nil"/>
                    <w:tr2bl w:val="nil"/>
                  </w:tcBorders>
                  <w:shd w:val="clear" w:color="auto" w:fill="auto"/>
                  <w:vAlign w:val="center"/>
                </w:tcPr>
                <w:p w14:paraId="5C1DAF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5FC02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A568FB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F421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212.13</w:t>
                  </w:r>
                </w:p>
              </w:tc>
              <w:tc>
                <w:tcPr>
                  <w:tcW w:w="876" w:type="dxa"/>
                  <w:tcBorders>
                    <w:tl2br w:val="nil"/>
                    <w:tr2bl w:val="nil"/>
                  </w:tcBorders>
                  <w:shd w:val="clear" w:color="auto" w:fill="auto"/>
                  <w:vAlign w:val="center"/>
                </w:tcPr>
                <w:p w14:paraId="3E3605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82.92</w:t>
                  </w:r>
                </w:p>
              </w:tc>
              <w:tc>
                <w:tcPr>
                  <w:tcW w:w="476" w:type="dxa"/>
                  <w:tcBorders>
                    <w:tl2br w:val="nil"/>
                    <w:tr2bl w:val="nil"/>
                  </w:tcBorders>
                  <w:shd w:val="clear" w:color="auto" w:fill="auto"/>
                  <w:vAlign w:val="center"/>
                </w:tcPr>
                <w:p w14:paraId="01F5D4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040083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898" w:type="dxa"/>
                  <w:tcBorders>
                    <w:tl2br w:val="nil"/>
                    <w:tr2bl w:val="nil"/>
                  </w:tcBorders>
                  <w:shd w:val="clear" w:color="auto" w:fill="auto"/>
                  <w:vAlign w:val="center"/>
                </w:tcPr>
                <w:p w14:paraId="631C96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53.93</w:t>
                  </w:r>
                </w:p>
              </w:tc>
              <w:tc>
                <w:tcPr>
                  <w:tcW w:w="707" w:type="dxa"/>
                  <w:tcBorders>
                    <w:tl2br w:val="nil"/>
                    <w:tr2bl w:val="nil"/>
                  </w:tcBorders>
                  <w:shd w:val="clear" w:color="auto" w:fill="auto"/>
                  <w:vAlign w:val="center"/>
                </w:tcPr>
                <w:p w14:paraId="165EA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1FE250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5E881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32.93</w:t>
                  </w:r>
                </w:p>
              </w:tc>
              <w:tc>
                <w:tcPr>
                  <w:tcW w:w="887" w:type="dxa"/>
                  <w:tcBorders>
                    <w:tl2br w:val="nil"/>
                    <w:tr2bl w:val="nil"/>
                  </w:tcBorders>
                  <w:shd w:val="clear" w:color="auto" w:fill="auto"/>
                  <w:vAlign w:val="center"/>
                </w:tcPr>
                <w:p w14:paraId="7E81DB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263FB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04E2F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846" w:type="dxa"/>
                  <w:vMerge w:val="continue"/>
                  <w:tcBorders>
                    <w:tl2br w:val="nil"/>
                    <w:tr2bl w:val="nil"/>
                  </w:tcBorders>
                  <w:shd w:val="clear" w:color="auto" w:fill="auto"/>
                  <w:vAlign w:val="center"/>
                </w:tcPr>
                <w:p w14:paraId="686991C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503E352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75" w:type="dxa"/>
                  <w:tcBorders>
                    <w:tl2br w:val="nil"/>
                    <w:tr2bl w:val="nil"/>
                  </w:tcBorders>
                  <w:shd w:val="clear" w:color="auto" w:fill="auto"/>
                  <w:vAlign w:val="center"/>
                </w:tcPr>
                <w:p w14:paraId="71112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110B6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6711C6E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2123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215.3</w:t>
                  </w:r>
                </w:p>
              </w:tc>
              <w:tc>
                <w:tcPr>
                  <w:tcW w:w="876" w:type="dxa"/>
                  <w:tcBorders>
                    <w:tl2br w:val="nil"/>
                    <w:tr2bl w:val="nil"/>
                  </w:tcBorders>
                  <w:shd w:val="clear" w:color="auto" w:fill="auto"/>
                  <w:vAlign w:val="center"/>
                </w:tcPr>
                <w:p w14:paraId="128E61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97.49</w:t>
                  </w:r>
                </w:p>
              </w:tc>
              <w:tc>
                <w:tcPr>
                  <w:tcW w:w="476" w:type="dxa"/>
                  <w:tcBorders>
                    <w:tl2br w:val="nil"/>
                    <w:tr2bl w:val="nil"/>
                  </w:tcBorders>
                  <w:shd w:val="clear" w:color="auto" w:fill="auto"/>
                  <w:vAlign w:val="center"/>
                </w:tcPr>
                <w:p w14:paraId="4B09B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578F5A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98" w:type="dxa"/>
                  <w:tcBorders>
                    <w:tl2br w:val="nil"/>
                    <w:tr2bl w:val="nil"/>
                  </w:tcBorders>
                  <w:shd w:val="clear" w:color="auto" w:fill="auto"/>
                  <w:vAlign w:val="center"/>
                </w:tcPr>
                <w:p w14:paraId="159A66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53.67</w:t>
                  </w:r>
                </w:p>
              </w:tc>
              <w:tc>
                <w:tcPr>
                  <w:tcW w:w="707" w:type="dxa"/>
                  <w:tcBorders>
                    <w:tl2br w:val="nil"/>
                    <w:tr2bl w:val="nil"/>
                  </w:tcBorders>
                  <w:shd w:val="clear" w:color="auto" w:fill="auto"/>
                  <w:vAlign w:val="center"/>
                </w:tcPr>
                <w:p w14:paraId="3F4F64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23054B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592565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32.67</w:t>
                  </w:r>
                </w:p>
              </w:tc>
              <w:tc>
                <w:tcPr>
                  <w:tcW w:w="887" w:type="dxa"/>
                  <w:tcBorders>
                    <w:tl2br w:val="nil"/>
                    <w:tr2bl w:val="nil"/>
                  </w:tcBorders>
                  <w:shd w:val="clear" w:color="auto" w:fill="auto"/>
                  <w:vAlign w:val="center"/>
                </w:tcPr>
                <w:p w14:paraId="0059B8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CA40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640AD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846" w:type="dxa"/>
                  <w:vMerge w:val="continue"/>
                  <w:tcBorders>
                    <w:tl2br w:val="nil"/>
                    <w:tr2bl w:val="nil"/>
                  </w:tcBorders>
                  <w:shd w:val="clear" w:color="auto" w:fill="auto"/>
                  <w:vAlign w:val="center"/>
                </w:tcPr>
                <w:p w14:paraId="12733E2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211C04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全自动数控水钻机</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75" w:type="dxa"/>
                  <w:tcBorders>
                    <w:tl2br w:val="nil"/>
                    <w:tr2bl w:val="nil"/>
                  </w:tcBorders>
                  <w:shd w:val="clear" w:color="auto" w:fill="auto"/>
                  <w:vAlign w:val="center"/>
                </w:tcPr>
                <w:p w14:paraId="664F85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ABF36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B179C9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18718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219.09</w:t>
                  </w:r>
                </w:p>
              </w:tc>
              <w:tc>
                <w:tcPr>
                  <w:tcW w:w="876" w:type="dxa"/>
                  <w:tcBorders>
                    <w:tl2br w:val="nil"/>
                    <w:tr2bl w:val="nil"/>
                  </w:tcBorders>
                  <w:shd w:val="clear" w:color="auto" w:fill="auto"/>
                  <w:vAlign w:val="center"/>
                </w:tcPr>
                <w:p w14:paraId="53050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113.89</w:t>
                  </w:r>
                </w:p>
              </w:tc>
              <w:tc>
                <w:tcPr>
                  <w:tcW w:w="476" w:type="dxa"/>
                  <w:tcBorders>
                    <w:tl2br w:val="nil"/>
                    <w:tr2bl w:val="nil"/>
                  </w:tcBorders>
                  <w:shd w:val="clear" w:color="auto" w:fill="auto"/>
                  <w:vAlign w:val="center"/>
                </w:tcPr>
                <w:p w14:paraId="778C6E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830" w:type="dxa"/>
                  <w:tcBorders>
                    <w:tl2br w:val="nil"/>
                    <w:tr2bl w:val="nil"/>
                  </w:tcBorders>
                  <w:shd w:val="clear" w:color="auto" w:fill="auto"/>
                  <w:vAlign w:val="center"/>
                </w:tcPr>
                <w:p w14:paraId="38D4CB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w:t>
                  </w:r>
                </w:p>
              </w:tc>
              <w:tc>
                <w:tcPr>
                  <w:tcW w:w="898" w:type="dxa"/>
                  <w:tcBorders>
                    <w:tl2br w:val="nil"/>
                    <w:tr2bl w:val="nil"/>
                  </w:tcBorders>
                  <w:shd w:val="clear" w:color="auto" w:fill="auto"/>
                  <w:vAlign w:val="center"/>
                </w:tcPr>
                <w:p w14:paraId="6AFF30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53.62</w:t>
                  </w:r>
                </w:p>
              </w:tc>
              <w:tc>
                <w:tcPr>
                  <w:tcW w:w="707" w:type="dxa"/>
                  <w:tcBorders>
                    <w:tl2br w:val="nil"/>
                    <w:tr2bl w:val="nil"/>
                  </w:tcBorders>
                  <w:shd w:val="clear" w:color="auto" w:fill="auto"/>
                  <w:vAlign w:val="center"/>
                </w:tcPr>
                <w:p w14:paraId="5C5A84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昼夜</w:t>
                  </w:r>
                </w:p>
              </w:tc>
              <w:tc>
                <w:tcPr>
                  <w:tcW w:w="857" w:type="dxa"/>
                  <w:tcBorders>
                    <w:tl2br w:val="nil"/>
                    <w:tr2bl w:val="nil"/>
                  </w:tcBorders>
                  <w:shd w:val="clear" w:color="auto" w:fill="auto"/>
                  <w:vAlign w:val="center"/>
                </w:tcPr>
                <w:p w14:paraId="74BCF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03" w:type="dxa"/>
                  <w:tcBorders>
                    <w:tl2br w:val="nil"/>
                    <w:tr2bl w:val="nil"/>
                  </w:tcBorders>
                  <w:shd w:val="clear" w:color="auto" w:fill="auto"/>
                  <w:vAlign w:val="center"/>
                </w:tcPr>
                <w:p w14:paraId="1C21BF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32.62</w:t>
                  </w:r>
                </w:p>
              </w:tc>
              <w:tc>
                <w:tcPr>
                  <w:tcW w:w="887" w:type="dxa"/>
                  <w:tcBorders>
                    <w:tl2br w:val="nil"/>
                    <w:tr2bl w:val="nil"/>
                  </w:tcBorders>
                  <w:shd w:val="clear" w:color="auto" w:fill="auto"/>
                  <w:vAlign w:val="center"/>
                </w:tcPr>
                <w:p w14:paraId="72BA43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r w14:paraId="5B63A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FF57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82</w:t>
                  </w:r>
                </w:p>
              </w:tc>
              <w:tc>
                <w:tcPr>
                  <w:tcW w:w="846" w:type="dxa"/>
                  <w:vMerge w:val="restart"/>
                  <w:tcBorders>
                    <w:tl2br w:val="nil"/>
                    <w:tr2bl w:val="nil"/>
                  </w:tcBorders>
                  <w:shd w:val="clear" w:color="auto" w:fill="auto"/>
                  <w:vAlign w:val="center"/>
                </w:tcPr>
                <w:p w14:paraId="3F513D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烫钻生产（5#厂房）</w:t>
                  </w:r>
                </w:p>
              </w:tc>
              <w:tc>
                <w:tcPr>
                  <w:tcW w:w="1372" w:type="dxa"/>
                  <w:tcBorders>
                    <w:tl2br w:val="nil"/>
                    <w:tr2bl w:val="nil"/>
                  </w:tcBorders>
                  <w:shd w:val="clear" w:color="auto" w:fill="auto"/>
                  <w:vAlign w:val="center"/>
                </w:tcPr>
                <w:p w14:paraId="42C2B7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全自动洗钻机1</w:t>
                  </w:r>
                </w:p>
              </w:tc>
              <w:tc>
                <w:tcPr>
                  <w:tcW w:w="675" w:type="dxa"/>
                  <w:tcBorders>
                    <w:tl2br w:val="nil"/>
                    <w:tr2bl w:val="nil"/>
                  </w:tcBorders>
                  <w:shd w:val="clear" w:color="auto" w:fill="auto"/>
                  <w:vAlign w:val="center"/>
                </w:tcPr>
                <w:p w14:paraId="031DC8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E1015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5EC1A96B">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F1101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275.03</w:t>
                  </w:r>
                </w:p>
              </w:tc>
              <w:tc>
                <w:tcPr>
                  <w:tcW w:w="876" w:type="dxa"/>
                  <w:tcBorders>
                    <w:tl2br w:val="nil"/>
                    <w:tr2bl w:val="nil"/>
                  </w:tcBorders>
                  <w:shd w:val="clear" w:color="auto" w:fill="auto"/>
                  <w:vAlign w:val="center"/>
                </w:tcPr>
                <w:p w14:paraId="676EA1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204.03</w:t>
                  </w:r>
                </w:p>
              </w:tc>
              <w:tc>
                <w:tcPr>
                  <w:tcW w:w="476" w:type="dxa"/>
                  <w:tcBorders>
                    <w:tl2br w:val="nil"/>
                    <w:tr2bl w:val="nil"/>
                  </w:tcBorders>
                  <w:shd w:val="clear" w:color="auto" w:fill="auto"/>
                  <w:vAlign w:val="center"/>
                </w:tcPr>
                <w:p w14:paraId="502675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49881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98" w:type="dxa"/>
                  <w:tcBorders>
                    <w:tl2br w:val="nil"/>
                    <w:tr2bl w:val="nil"/>
                  </w:tcBorders>
                  <w:shd w:val="clear" w:color="auto" w:fill="auto"/>
                  <w:vAlign w:val="center"/>
                </w:tcPr>
                <w:p w14:paraId="48F55E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42.96</w:t>
                  </w:r>
                </w:p>
              </w:tc>
              <w:tc>
                <w:tcPr>
                  <w:tcW w:w="707" w:type="dxa"/>
                  <w:tcBorders>
                    <w:tl2br w:val="nil"/>
                    <w:tr2bl w:val="nil"/>
                  </w:tcBorders>
                  <w:shd w:val="clear" w:color="auto" w:fill="auto"/>
                  <w:vAlign w:val="center"/>
                </w:tcPr>
                <w:p w14:paraId="4FACF3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99466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CB41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21.96</w:t>
                  </w:r>
                </w:p>
              </w:tc>
              <w:tc>
                <w:tcPr>
                  <w:tcW w:w="887" w:type="dxa"/>
                  <w:tcBorders>
                    <w:tl2br w:val="nil"/>
                    <w:tr2bl w:val="nil"/>
                  </w:tcBorders>
                  <w:shd w:val="clear" w:color="auto" w:fill="auto"/>
                  <w:vAlign w:val="center"/>
                </w:tcPr>
                <w:p w14:paraId="612EF0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808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DFDD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846" w:type="dxa"/>
                  <w:vMerge w:val="continue"/>
                  <w:tcBorders>
                    <w:tl2br w:val="nil"/>
                    <w:tr2bl w:val="nil"/>
                  </w:tcBorders>
                  <w:shd w:val="clear" w:color="auto" w:fill="auto"/>
                  <w:vAlign w:val="center"/>
                </w:tcPr>
                <w:p w14:paraId="60B7ECD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72286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全自动洗钻机2</w:t>
                  </w:r>
                </w:p>
              </w:tc>
              <w:tc>
                <w:tcPr>
                  <w:tcW w:w="675" w:type="dxa"/>
                  <w:tcBorders>
                    <w:tl2br w:val="nil"/>
                    <w:tr2bl w:val="nil"/>
                  </w:tcBorders>
                  <w:shd w:val="clear" w:color="auto" w:fill="auto"/>
                  <w:vAlign w:val="center"/>
                </w:tcPr>
                <w:p w14:paraId="4E3CE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CFDCD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173C077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B81B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272.98</w:t>
                  </w:r>
                </w:p>
              </w:tc>
              <w:tc>
                <w:tcPr>
                  <w:tcW w:w="876" w:type="dxa"/>
                  <w:tcBorders>
                    <w:tl2br w:val="nil"/>
                    <w:tr2bl w:val="nil"/>
                  </w:tcBorders>
                  <w:shd w:val="clear" w:color="auto" w:fill="auto"/>
                  <w:vAlign w:val="center"/>
                </w:tcPr>
                <w:p w14:paraId="1B907D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197.66</w:t>
                  </w:r>
                </w:p>
              </w:tc>
              <w:tc>
                <w:tcPr>
                  <w:tcW w:w="476" w:type="dxa"/>
                  <w:tcBorders>
                    <w:tl2br w:val="nil"/>
                    <w:tr2bl w:val="nil"/>
                  </w:tcBorders>
                  <w:shd w:val="clear" w:color="auto" w:fill="auto"/>
                  <w:vAlign w:val="center"/>
                </w:tcPr>
                <w:p w14:paraId="43D9D9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69CA3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898" w:type="dxa"/>
                  <w:tcBorders>
                    <w:tl2br w:val="nil"/>
                    <w:tr2bl w:val="nil"/>
                  </w:tcBorders>
                  <w:shd w:val="clear" w:color="auto" w:fill="auto"/>
                  <w:vAlign w:val="center"/>
                </w:tcPr>
                <w:p w14:paraId="257E96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42.27</w:t>
                  </w:r>
                </w:p>
              </w:tc>
              <w:tc>
                <w:tcPr>
                  <w:tcW w:w="707" w:type="dxa"/>
                  <w:tcBorders>
                    <w:tl2br w:val="nil"/>
                    <w:tr2bl w:val="nil"/>
                  </w:tcBorders>
                  <w:shd w:val="clear" w:color="auto" w:fill="auto"/>
                  <w:vAlign w:val="center"/>
                </w:tcPr>
                <w:p w14:paraId="4994D0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A414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3DE00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21.27</w:t>
                  </w:r>
                </w:p>
              </w:tc>
              <w:tc>
                <w:tcPr>
                  <w:tcW w:w="887" w:type="dxa"/>
                  <w:tcBorders>
                    <w:tl2br w:val="nil"/>
                    <w:tr2bl w:val="nil"/>
                  </w:tcBorders>
                  <w:shd w:val="clear" w:color="auto" w:fill="auto"/>
                  <w:vAlign w:val="center"/>
                </w:tcPr>
                <w:p w14:paraId="57C5AB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E353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1FB00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84</w:t>
                  </w:r>
                </w:p>
              </w:tc>
              <w:tc>
                <w:tcPr>
                  <w:tcW w:w="846" w:type="dxa"/>
                  <w:vMerge w:val="continue"/>
                  <w:tcBorders>
                    <w:tl2br w:val="nil"/>
                    <w:tr2bl w:val="nil"/>
                  </w:tcBorders>
                  <w:shd w:val="clear" w:color="auto" w:fill="auto"/>
                  <w:vAlign w:val="center"/>
                </w:tcPr>
                <w:p w14:paraId="7ACD113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DA0A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全自动洗钻机3</w:t>
                  </w:r>
                </w:p>
              </w:tc>
              <w:tc>
                <w:tcPr>
                  <w:tcW w:w="675" w:type="dxa"/>
                  <w:tcBorders>
                    <w:tl2br w:val="nil"/>
                    <w:tr2bl w:val="nil"/>
                  </w:tcBorders>
                  <w:shd w:val="clear" w:color="auto" w:fill="auto"/>
                  <w:vAlign w:val="center"/>
                </w:tcPr>
                <w:p w14:paraId="2E9FA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8383A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793F577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9EC16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272.07</w:t>
                  </w:r>
                </w:p>
              </w:tc>
              <w:tc>
                <w:tcPr>
                  <w:tcW w:w="876" w:type="dxa"/>
                  <w:tcBorders>
                    <w:tl2br w:val="nil"/>
                    <w:tr2bl w:val="nil"/>
                  </w:tcBorders>
                  <w:shd w:val="clear" w:color="auto" w:fill="auto"/>
                  <w:vAlign w:val="center"/>
                </w:tcPr>
                <w:p w14:paraId="66808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190.38</w:t>
                  </w:r>
                </w:p>
              </w:tc>
              <w:tc>
                <w:tcPr>
                  <w:tcW w:w="476" w:type="dxa"/>
                  <w:tcBorders>
                    <w:tl2br w:val="nil"/>
                    <w:tr2bl w:val="nil"/>
                  </w:tcBorders>
                  <w:shd w:val="clear" w:color="auto" w:fill="auto"/>
                  <w:vAlign w:val="center"/>
                </w:tcPr>
                <w:p w14:paraId="73EDA7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4CCB8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898" w:type="dxa"/>
                  <w:tcBorders>
                    <w:tl2br w:val="nil"/>
                    <w:tr2bl w:val="nil"/>
                  </w:tcBorders>
                  <w:shd w:val="clear" w:color="auto" w:fill="auto"/>
                  <w:vAlign w:val="center"/>
                </w:tcPr>
                <w:p w14:paraId="2E0D99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42.06</w:t>
                  </w:r>
                </w:p>
              </w:tc>
              <w:tc>
                <w:tcPr>
                  <w:tcW w:w="707" w:type="dxa"/>
                  <w:tcBorders>
                    <w:tl2br w:val="nil"/>
                    <w:tr2bl w:val="nil"/>
                  </w:tcBorders>
                  <w:shd w:val="clear" w:color="auto" w:fill="auto"/>
                  <w:vAlign w:val="center"/>
                </w:tcPr>
                <w:p w14:paraId="7B5FC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49969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572F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21.06</w:t>
                  </w:r>
                </w:p>
              </w:tc>
              <w:tc>
                <w:tcPr>
                  <w:tcW w:w="887" w:type="dxa"/>
                  <w:tcBorders>
                    <w:tl2br w:val="nil"/>
                    <w:tr2bl w:val="nil"/>
                  </w:tcBorders>
                  <w:shd w:val="clear" w:color="auto" w:fill="auto"/>
                  <w:vAlign w:val="center"/>
                </w:tcPr>
                <w:p w14:paraId="63C57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3729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40D43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846" w:type="dxa"/>
                  <w:vMerge w:val="continue"/>
                  <w:tcBorders>
                    <w:tl2br w:val="nil"/>
                    <w:tr2bl w:val="nil"/>
                  </w:tcBorders>
                  <w:shd w:val="clear" w:color="auto" w:fill="auto"/>
                  <w:vAlign w:val="center"/>
                </w:tcPr>
                <w:p w14:paraId="71BDF98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D328B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全自动洗钻机4</w:t>
                  </w:r>
                </w:p>
              </w:tc>
              <w:tc>
                <w:tcPr>
                  <w:tcW w:w="675" w:type="dxa"/>
                  <w:tcBorders>
                    <w:tl2br w:val="nil"/>
                    <w:tr2bl w:val="nil"/>
                  </w:tcBorders>
                  <w:shd w:val="clear" w:color="auto" w:fill="auto"/>
                  <w:vAlign w:val="center"/>
                </w:tcPr>
                <w:p w14:paraId="638F1C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2B3F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489280D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690F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270.07</w:t>
                  </w:r>
                </w:p>
              </w:tc>
              <w:tc>
                <w:tcPr>
                  <w:tcW w:w="876" w:type="dxa"/>
                  <w:tcBorders>
                    <w:tl2br w:val="nil"/>
                    <w:tr2bl w:val="nil"/>
                  </w:tcBorders>
                  <w:shd w:val="clear" w:color="auto" w:fill="auto"/>
                  <w:vAlign w:val="center"/>
                </w:tcPr>
                <w:p w14:paraId="4411A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183.28</w:t>
                  </w:r>
                </w:p>
              </w:tc>
              <w:tc>
                <w:tcPr>
                  <w:tcW w:w="476" w:type="dxa"/>
                  <w:tcBorders>
                    <w:tl2br w:val="nil"/>
                    <w:tr2bl w:val="nil"/>
                  </w:tcBorders>
                  <w:shd w:val="clear" w:color="auto" w:fill="auto"/>
                  <w:vAlign w:val="center"/>
                </w:tcPr>
                <w:p w14:paraId="1F2CBF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0C242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898" w:type="dxa"/>
                  <w:tcBorders>
                    <w:tl2br w:val="nil"/>
                    <w:tr2bl w:val="nil"/>
                  </w:tcBorders>
                  <w:shd w:val="clear" w:color="auto" w:fill="auto"/>
                  <w:vAlign w:val="center"/>
                </w:tcPr>
                <w:p w14:paraId="12DC5A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42.13</w:t>
                  </w:r>
                </w:p>
              </w:tc>
              <w:tc>
                <w:tcPr>
                  <w:tcW w:w="707" w:type="dxa"/>
                  <w:tcBorders>
                    <w:tl2br w:val="nil"/>
                    <w:tr2bl w:val="nil"/>
                  </w:tcBorders>
                  <w:shd w:val="clear" w:color="auto" w:fill="auto"/>
                  <w:vAlign w:val="center"/>
                </w:tcPr>
                <w:p w14:paraId="063895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1BDF8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94CF2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21.13</w:t>
                  </w:r>
                </w:p>
              </w:tc>
              <w:tc>
                <w:tcPr>
                  <w:tcW w:w="887" w:type="dxa"/>
                  <w:tcBorders>
                    <w:tl2br w:val="nil"/>
                    <w:tr2bl w:val="nil"/>
                  </w:tcBorders>
                  <w:shd w:val="clear" w:color="auto" w:fill="auto"/>
                  <w:vAlign w:val="center"/>
                </w:tcPr>
                <w:p w14:paraId="52BE9A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307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4102C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846" w:type="dxa"/>
                  <w:vMerge w:val="restart"/>
                  <w:tcBorders>
                    <w:tl2br w:val="nil"/>
                    <w:tr2bl w:val="nil"/>
                  </w:tcBorders>
                  <w:shd w:val="clear" w:color="auto" w:fill="auto"/>
                  <w:vAlign w:val="center"/>
                </w:tcPr>
                <w:p w14:paraId="512F0D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烫钻生产（2#厂房）</w:t>
                  </w:r>
                </w:p>
              </w:tc>
              <w:tc>
                <w:tcPr>
                  <w:tcW w:w="1372" w:type="dxa"/>
                  <w:tcBorders>
                    <w:tl2br w:val="nil"/>
                    <w:tr2bl w:val="nil"/>
                  </w:tcBorders>
                  <w:shd w:val="clear" w:color="auto" w:fill="auto"/>
                  <w:vAlign w:val="center"/>
                </w:tcPr>
                <w:p w14:paraId="4381E1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空压机1</w:t>
                  </w:r>
                </w:p>
              </w:tc>
              <w:tc>
                <w:tcPr>
                  <w:tcW w:w="675" w:type="dxa"/>
                  <w:tcBorders>
                    <w:tl2br w:val="nil"/>
                    <w:tr2bl w:val="nil"/>
                  </w:tcBorders>
                  <w:shd w:val="clear" w:color="auto" w:fill="auto"/>
                  <w:vAlign w:val="center"/>
                </w:tcPr>
                <w:p w14:paraId="41E52B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8E9BD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72547C7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2C70C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83.33</w:t>
                  </w:r>
                </w:p>
              </w:tc>
              <w:tc>
                <w:tcPr>
                  <w:tcW w:w="876" w:type="dxa"/>
                  <w:tcBorders>
                    <w:tl2br w:val="nil"/>
                    <w:tr2bl w:val="nil"/>
                  </w:tcBorders>
                  <w:shd w:val="clear" w:color="auto" w:fill="auto"/>
                  <w:vAlign w:val="center"/>
                </w:tcPr>
                <w:p w14:paraId="79FFCA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164.70</w:t>
                  </w:r>
                </w:p>
              </w:tc>
              <w:tc>
                <w:tcPr>
                  <w:tcW w:w="476" w:type="dxa"/>
                  <w:tcBorders>
                    <w:tl2br w:val="nil"/>
                    <w:tr2bl w:val="nil"/>
                  </w:tcBorders>
                  <w:shd w:val="clear" w:color="auto" w:fill="auto"/>
                  <w:vAlign w:val="center"/>
                </w:tcPr>
                <w:p w14:paraId="0364E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DF617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12.6</w:t>
                  </w:r>
                </w:p>
              </w:tc>
              <w:tc>
                <w:tcPr>
                  <w:tcW w:w="898" w:type="dxa"/>
                  <w:tcBorders>
                    <w:tl2br w:val="nil"/>
                    <w:tr2bl w:val="nil"/>
                  </w:tcBorders>
                  <w:shd w:val="clear" w:color="auto" w:fill="auto"/>
                  <w:vAlign w:val="center"/>
                </w:tcPr>
                <w:p w14:paraId="4E5691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62.45</w:t>
                  </w:r>
                </w:p>
              </w:tc>
              <w:tc>
                <w:tcPr>
                  <w:tcW w:w="707" w:type="dxa"/>
                  <w:tcBorders>
                    <w:tl2br w:val="nil"/>
                    <w:tr2bl w:val="nil"/>
                  </w:tcBorders>
                  <w:shd w:val="clear" w:color="auto" w:fill="auto"/>
                  <w:vAlign w:val="center"/>
                </w:tcPr>
                <w:p w14:paraId="310451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014B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C25FD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41.45</w:t>
                  </w:r>
                </w:p>
              </w:tc>
              <w:tc>
                <w:tcPr>
                  <w:tcW w:w="887" w:type="dxa"/>
                  <w:tcBorders>
                    <w:tl2br w:val="nil"/>
                    <w:tr2bl w:val="nil"/>
                  </w:tcBorders>
                  <w:shd w:val="clear" w:color="auto" w:fill="auto"/>
                  <w:vAlign w:val="center"/>
                </w:tcPr>
                <w:p w14:paraId="762FAC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1B04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06B87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87</w:t>
                  </w:r>
                </w:p>
              </w:tc>
              <w:tc>
                <w:tcPr>
                  <w:tcW w:w="846" w:type="dxa"/>
                  <w:vMerge w:val="continue"/>
                  <w:tcBorders>
                    <w:tl2br w:val="nil"/>
                    <w:tr2bl w:val="nil"/>
                  </w:tcBorders>
                  <w:shd w:val="clear" w:color="auto" w:fill="auto"/>
                  <w:vAlign w:val="center"/>
                </w:tcPr>
                <w:p w14:paraId="54DE44C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16470C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空压机2</w:t>
                  </w:r>
                </w:p>
              </w:tc>
              <w:tc>
                <w:tcPr>
                  <w:tcW w:w="675" w:type="dxa"/>
                  <w:tcBorders>
                    <w:tl2br w:val="nil"/>
                    <w:tr2bl w:val="nil"/>
                  </w:tcBorders>
                  <w:shd w:val="clear" w:color="auto" w:fill="auto"/>
                  <w:vAlign w:val="center"/>
                </w:tcPr>
                <w:p w14:paraId="0C82D2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584DA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594B084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3CF47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96.73</w:t>
                  </w:r>
                </w:p>
              </w:tc>
              <w:tc>
                <w:tcPr>
                  <w:tcW w:w="876" w:type="dxa"/>
                  <w:tcBorders>
                    <w:tl2br w:val="nil"/>
                    <w:tr2bl w:val="nil"/>
                  </w:tcBorders>
                  <w:shd w:val="clear" w:color="auto" w:fill="auto"/>
                  <w:vAlign w:val="center"/>
                </w:tcPr>
                <w:p w14:paraId="3CBEDE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159.45</w:t>
                  </w:r>
                </w:p>
              </w:tc>
              <w:tc>
                <w:tcPr>
                  <w:tcW w:w="476" w:type="dxa"/>
                  <w:tcBorders>
                    <w:tl2br w:val="nil"/>
                    <w:tr2bl w:val="nil"/>
                  </w:tcBorders>
                  <w:shd w:val="clear" w:color="auto" w:fill="auto"/>
                  <w:vAlign w:val="center"/>
                </w:tcPr>
                <w:p w14:paraId="3E310B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C8903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c>
                <w:tcPr>
                  <w:tcW w:w="898" w:type="dxa"/>
                  <w:tcBorders>
                    <w:tl2br w:val="nil"/>
                    <w:tr2bl w:val="nil"/>
                  </w:tcBorders>
                  <w:shd w:val="clear" w:color="auto" w:fill="auto"/>
                  <w:vAlign w:val="center"/>
                </w:tcPr>
                <w:p w14:paraId="39A5A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61.98</w:t>
                  </w:r>
                </w:p>
              </w:tc>
              <w:tc>
                <w:tcPr>
                  <w:tcW w:w="707" w:type="dxa"/>
                  <w:tcBorders>
                    <w:tl2br w:val="nil"/>
                    <w:tr2bl w:val="nil"/>
                  </w:tcBorders>
                  <w:shd w:val="clear" w:color="auto" w:fill="auto"/>
                  <w:vAlign w:val="center"/>
                </w:tcPr>
                <w:p w14:paraId="427B98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BBC25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9E913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40.98</w:t>
                  </w:r>
                </w:p>
              </w:tc>
              <w:tc>
                <w:tcPr>
                  <w:tcW w:w="887" w:type="dxa"/>
                  <w:tcBorders>
                    <w:tl2br w:val="nil"/>
                    <w:tr2bl w:val="nil"/>
                  </w:tcBorders>
                  <w:shd w:val="clear" w:color="auto" w:fill="auto"/>
                  <w:vAlign w:val="center"/>
                </w:tcPr>
                <w:p w14:paraId="2C908C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D44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81026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846" w:type="dxa"/>
                  <w:vMerge w:val="restart"/>
                  <w:tcBorders>
                    <w:tl2br w:val="nil"/>
                    <w:tr2bl w:val="nil"/>
                  </w:tcBorders>
                  <w:shd w:val="clear" w:color="auto" w:fill="auto"/>
                  <w:vAlign w:val="center"/>
                </w:tcPr>
                <w:p w14:paraId="1C4F23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烫钻生产（3#厂房）</w:t>
                  </w:r>
                </w:p>
              </w:tc>
              <w:tc>
                <w:tcPr>
                  <w:tcW w:w="1372" w:type="dxa"/>
                  <w:tcBorders>
                    <w:tl2br w:val="nil"/>
                    <w:tr2bl w:val="nil"/>
                  </w:tcBorders>
                  <w:shd w:val="clear" w:color="auto" w:fill="auto"/>
                  <w:vAlign w:val="center"/>
                </w:tcPr>
                <w:p w14:paraId="7C8125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空压机3</w:t>
                  </w:r>
                </w:p>
              </w:tc>
              <w:tc>
                <w:tcPr>
                  <w:tcW w:w="675" w:type="dxa"/>
                  <w:tcBorders>
                    <w:tl2br w:val="nil"/>
                    <w:tr2bl w:val="nil"/>
                  </w:tcBorders>
                  <w:shd w:val="clear" w:color="auto" w:fill="auto"/>
                  <w:vAlign w:val="center"/>
                </w:tcPr>
                <w:p w14:paraId="67DD59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49DE2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2785BA9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AF5E5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143.04</w:t>
                  </w:r>
                </w:p>
              </w:tc>
              <w:tc>
                <w:tcPr>
                  <w:tcW w:w="876" w:type="dxa"/>
                  <w:tcBorders>
                    <w:tl2br w:val="nil"/>
                    <w:tr2bl w:val="nil"/>
                  </w:tcBorders>
                  <w:shd w:val="clear" w:color="auto" w:fill="auto"/>
                  <w:vAlign w:val="center"/>
                </w:tcPr>
                <w:p w14:paraId="56A60D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146.06</w:t>
                  </w:r>
                </w:p>
              </w:tc>
              <w:tc>
                <w:tcPr>
                  <w:tcW w:w="476" w:type="dxa"/>
                  <w:tcBorders>
                    <w:tl2br w:val="nil"/>
                    <w:tr2bl w:val="nil"/>
                  </w:tcBorders>
                  <w:shd w:val="clear" w:color="auto" w:fill="auto"/>
                  <w:vAlign w:val="center"/>
                </w:tcPr>
                <w:p w14:paraId="20A1BD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D5540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11.6</w:t>
                  </w:r>
                </w:p>
              </w:tc>
              <w:tc>
                <w:tcPr>
                  <w:tcW w:w="898" w:type="dxa"/>
                  <w:tcBorders>
                    <w:tl2br w:val="nil"/>
                    <w:tr2bl w:val="nil"/>
                  </w:tcBorders>
                  <w:shd w:val="clear" w:color="auto" w:fill="auto"/>
                  <w:vAlign w:val="center"/>
                </w:tcPr>
                <w:p w14:paraId="63233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62.04</w:t>
                  </w:r>
                </w:p>
              </w:tc>
              <w:tc>
                <w:tcPr>
                  <w:tcW w:w="707" w:type="dxa"/>
                  <w:tcBorders>
                    <w:tl2br w:val="nil"/>
                    <w:tr2bl w:val="nil"/>
                  </w:tcBorders>
                  <w:shd w:val="clear" w:color="auto" w:fill="auto"/>
                  <w:vAlign w:val="center"/>
                </w:tcPr>
                <w:p w14:paraId="41C500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6A8D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30801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41.04</w:t>
                  </w:r>
                </w:p>
              </w:tc>
              <w:tc>
                <w:tcPr>
                  <w:tcW w:w="887" w:type="dxa"/>
                  <w:tcBorders>
                    <w:tl2br w:val="nil"/>
                    <w:tr2bl w:val="nil"/>
                  </w:tcBorders>
                  <w:shd w:val="clear" w:color="auto" w:fill="auto"/>
                  <w:vAlign w:val="center"/>
                </w:tcPr>
                <w:p w14:paraId="5D9179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7402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D5AE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846" w:type="dxa"/>
                  <w:vMerge w:val="continue"/>
                  <w:tcBorders>
                    <w:tl2br w:val="nil"/>
                    <w:tr2bl w:val="nil"/>
                  </w:tcBorders>
                  <w:shd w:val="clear" w:color="auto" w:fill="auto"/>
                  <w:vAlign w:val="center"/>
                </w:tcPr>
                <w:p w14:paraId="1F7A562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1B76C3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空压机4</w:t>
                  </w:r>
                </w:p>
              </w:tc>
              <w:tc>
                <w:tcPr>
                  <w:tcW w:w="675" w:type="dxa"/>
                  <w:tcBorders>
                    <w:tl2br w:val="nil"/>
                    <w:tr2bl w:val="nil"/>
                  </w:tcBorders>
                  <w:shd w:val="clear" w:color="auto" w:fill="auto"/>
                  <w:vAlign w:val="center"/>
                </w:tcPr>
                <w:p w14:paraId="6288D9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0E48F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260604C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814DE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154.11</w:t>
                  </w:r>
                </w:p>
              </w:tc>
              <w:tc>
                <w:tcPr>
                  <w:tcW w:w="876" w:type="dxa"/>
                  <w:tcBorders>
                    <w:tl2br w:val="nil"/>
                    <w:tr2bl w:val="nil"/>
                  </w:tcBorders>
                  <w:shd w:val="clear" w:color="auto" w:fill="auto"/>
                  <w:vAlign w:val="center"/>
                </w:tcPr>
                <w:p w14:paraId="4E449D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141.98</w:t>
                  </w:r>
                </w:p>
              </w:tc>
              <w:tc>
                <w:tcPr>
                  <w:tcW w:w="476" w:type="dxa"/>
                  <w:tcBorders>
                    <w:tl2br w:val="nil"/>
                    <w:tr2bl w:val="nil"/>
                  </w:tcBorders>
                  <w:shd w:val="clear" w:color="auto" w:fill="auto"/>
                  <w:vAlign w:val="center"/>
                </w:tcPr>
                <w:p w14:paraId="5223EA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40F0F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16.1</w:t>
                  </w:r>
                </w:p>
              </w:tc>
              <w:tc>
                <w:tcPr>
                  <w:tcW w:w="898" w:type="dxa"/>
                  <w:tcBorders>
                    <w:tl2br w:val="nil"/>
                    <w:tr2bl w:val="nil"/>
                  </w:tcBorders>
                  <w:shd w:val="clear" w:color="auto" w:fill="auto"/>
                  <w:vAlign w:val="center"/>
                </w:tcPr>
                <w:p w14:paraId="66C840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61.95</w:t>
                  </w:r>
                </w:p>
              </w:tc>
              <w:tc>
                <w:tcPr>
                  <w:tcW w:w="707" w:type="dxa"/>
                  <w:tcBorders>
                    <w:tl2br w:val="nil"/>
                    <w:tr2bl w:val="nil"/>
                  </w:tcBorders>
                  <w:shd w:val="clear" w:color="auto" w:fill="auto"/>
                  <w:vAlign w:val="center"/>
                </w:tcPr>
                <w:p w14:paraId="435CB5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A9DB9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CB4F5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40.95</w:t>
                  </w:r>
                </w:p>
              </w:tc>
              <w:tc>
                <w:tcPr>
                  <w:tcW w:w="887" w:type="dxa"/>
                  <w:tcBorders>
                    <w:tl2br w:val="nil"/>
                    <w:tr2bl w:val="nil"/>
                  </w:tcBorders>
                  <w:shd w:val="clear" w:color="auto" w:fill="auto"/>
                  <w:vAlign w:val="center"/>
                </w:tcPr>
                <w:p w14:paraId="26EA10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FD8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02AFB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846" w:type="dxa"/>
                  <w:vMerge w:val="restart"/>
                  <w:tcBorders>
                    <w:tl2br w:val="nil"/>
                    <w:tr2bl w:val="nil"/>
                  </w:tcBorders>
                  <w:shd w:val="clear" w:color="auto" w:fill="auto"/>
                  <w:vAlign w:val="center"/>
                </w:tcPr>
                <w:p w14:paraId="08C9FA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烫钻生产（4#厂房）</w:t>
                  </w:r>
                </w:p>
              </w:tc>
              <w:tc>
                <w:tcPr>
                  <w:tcW w:w="1372" w:type="dxa"/>
                  <w:tcBorders>
                    <w:tl2br w:val="nil"/>
                    <w:tr2bl w:val="nil"/>
                  </w:tcBorders>
                  <w:shd w:val="clear" w:color="auto" w:fill="auto"/>
                  <w:vAlign w:val="center"/>
                </w:tcPr>
                <w:p w14:paraId="1E154F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空压机5</w:t>
                  </w:r>
                </w:p>
              </w:tc>
              <w:tc>
                <w:tcPr>
                  <w:tcW w:w="675" w:type="dxa"/>
                  <w:tcBorders>
                    <w:tl2br w:val="nil"/>
                    <w:tr2bl w:val="nil"/>
                  </w:tcBorders>
                  <w:shd w:val="clear" w:color="auto" w:fill="auto"/>
                  <w:vAlign w:val="center"/>
                </w:tcPr>
                <w:p w14:paraId="5278D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B9421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7D232EA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AB1CC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200.71</w:t>
                  </w:r>
                </w:p>
              </w:tc>
              <w:tc>
                <w:tcPr>
                  <w:tcW w:w="876" w:type="dxa"/>
                  <w:tcBorders>
                    <w:tl2br w:val="nil"/>
                    <w:tr2bl w:val="nil"/>
                  </w:tcBorders>
                  <w:shd w:val="clear" w:color="auto" w:fill="auto"/>
                  <w:vAlign w:val="center"/>
                </w:tcPr>
                <w:p w14:paraId="632E2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127.71</w:t>
                  </w:r>
                </w:p>
              </w:tc>
              <w:tc>
                <w:tcPr>
                  <w:tcW w:w="476" w:type="dxa"/>
                  <w:tcBorders>
                    <w:tl2br w:val="nil"/>
                    <w:tr2bl w:val="nil"/>
                  </w:tcBorders>
                  <w:shd w:val="clear" w:color="auto" w:fill="auto"/>
                  <w:vAlign w:val="center"/>
                </w:tcPr>
                <w:p w14:paraId="4D1C92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4398B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c>
                <w:tcPr>
                  <w:tcW w:w="898" w:type="dxa"/>
                  <w:tcBorders>
                    <w:tl2br w:val="nil"/>
                    <w:tr2bl w:val="nil"/>
                  </w:tcBorders>
                  <w:shd w:val="clear" w:color="auto" w:fill="auto"/>
                  <w:vAlign w:val="center"/>
                </w:tcPr>
                <w:p w14:paraId="02B1AC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62.28</w:t>
                  </w:r>
                </w:p>
              </w:tc>
              <w:tc>
                <w:tcPr>
                  <w:tcW w:w="707" w:type="dxa"/>
                  <w:tcBorders>
                    <w:tl2br w:val="nil"/>
                    <w:tr2bl w:val="nil"/>
                  </w:tcBorders>
                  <w:shd w:val="clear" w:color="auto" w:fill="auto"/>
                  <w:vAlign w:val="center"/>
                </w:tcPr>
                <w:p w14:paraId="327F58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0E11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3C9AF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41.28</w:t>
                  </w:r>
                </w:p>
              </w:tc>
              <w:tc>
                <w:tcPr>
                  <w:tcW w:w="887" w:type="dxa"/>
                  <w:tcBorders>
                    <w:tl2br w:val="nil"/>
                    <w:tr2bl w:val="nil"/>
                  </w:tcBorders>
                  <w:shd w:val="clear" w:color="auto" w:fill="auto"/>
                  <w:vAlign w:val="center"/>
                </w:tcPr>
                <w:p w14:paraId="6AC48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2DFE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51A0B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846" w:type="dxa"/>
                  <w:vMerge w:val="continue"/>
                  <w:tcBorders>
                    <w:tl2br w:val="nil"/>
                    <w:tr2bl w:val="nil"/>
                  </w:tcBorders>
                  <w:shd w:val="clear" w:color="auto" w:fill="auto"/>
                  <w:vAlign w:val="center"/>
                </w:tcPr>
                <w:p w14:paraId="2048089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12E7F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空压机6</w:t>
                  </w:r>
                </w:p>
              </w:tc>
              <w:tc>
                <w:tcPr>
                  <w:tcW w:w="675" w:type="dxa"/>
                  <w:tcBorders>
                    <w:tl2br w:val="nil"/>
                    <w:tr2bl w:val="nil"/>
                  </w:tcBorders>
                  <w:shd w:val="clear" w:color="auto" w:fill="auto"/>
                  <w:vAlign w:val="center"/>
                </w:tcPr>
                <w:p w14:paraId="76A517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100D6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32334A2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F867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212.36</w:t>
                  </w:r>
                </w:p>
              </w:tc>
              <w:tc>
                <w:tcPr>
                  <w:tcW w:w="876" w:type="dxa"/>
                  <w:tcBorders>
                    <w:tl2br w:val="nil"/>
                    <w:tr2bl w:val="nil"/>
                  </w:tcBorders>
                  <w:shd w:val="clear" w:color="auto" w:fill="auto"/>
                  <w:vAlign w:val="center"/>
                </w:tcPr>
                <w:p w14:paraId="416A0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124.50</w:t>
                  </w:r>
                </w:p>
              </w:tc>
              <w:tc>
                <w:tcPr>
                  <w:tcW w:w="476" w:type="dxa"/>
                  <w:tcBorders>
                    <w:tl2br w:val="nil"/>
                    <w:tr2bl w:val="nil"/>
                  </w:tcBorders>
                  <w:shd w:val="clear" w:color="auto" w:fill="auto"/>
                  <w:vAlign w:val="center"/>
                </w:tcPr>
                <w:p w14:paraId="5983C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AF3AD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898" w:type="dxa"/>
                  <w:tcBorders>
                    <w:tl2br w:val="nil"/>
                    <w:tr2bl w:val="nil"/>
                  </w:tcBorders>
                  <w:shd w:val="clear" w:color="auto" w:fill="auto"/>
                  <w:vAlign w:val="center"/>
                </w:tcPr>
                <w:p w14:paraId="2A8E95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62.10</w:t>
                  </w:r>
                </w:p>
              </w:tc>
              <w:tc>
                <w:tcPr>
                  <w:tcW w:w="707" w:type="dxa"/>
                  <w:tcBorders>
                    <w:tl2br w:val="nil"/>
                    <w:tr2bl w:val="nil"/>
                  </w:tcBorders>
                  <w:shd w:val="clear" w:color="auto" w:fill="auto"/>
                  <w:vAlign w:val="center"/>
                </w:tcPr>
                <w:p w14:paraId="3D1232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E917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B06C7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41.10</w:t>
                  </w:r>
                </w:p>
              </w:tc>
              <w:tc>
                <w:tcPr>
                  <w:tcW w:w="887" w:type="dxa"/>
                  <w:tcBorders>
                    <w:tl2br w:val="nil"/>
                    <w:tr2bl w:val="nil"/>
                  </w:tcBorders>
                  <w:shd w:val="clear" w:color="auto" w:fill="auto"/>
                  <w:vAlign w:val="center"/>
                </w:tcPr>
                <w:p w14:paraId="5B7C3C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89C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F89C9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92</w:t>
                  </w:r>
                </w:p>
              </w:tc>
              <w:tc>
                <w:tcPr>
                  <w:tcW w:w="846" w:type="dxa"/>
                  <w:vMerge w:val="restart"/>
                  <w:tcBorders>
                    <w:tl2br w:val="nil"/>
                    <w:tr2bl w:val="nil"/>
                  </w:tcBorders>
                  <w:shd w:val="clear" w:color="auto" w:fill="auto"/>
                  <w:vAlign w:val="center"/>
                </w:tcPr>
                <w:p w14:paraId="03BF57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烫钻生产（5#厂房）</w:t>
                  </w:r>
                </w:p>
              </w:tc>
              <w:tc>
                <w:tcPr>
                  <w:tcW w:w="1372" w:type="dxa"/>
                  <w:tcBorders>
                    <w:tl2br w:val="nil"/>
                    <w:tr2bl w:val="nil"/>
                  </w:tcBorders>
                  <w:shd w:val="clear" w:color="auto" w:fill="auto"/>
                  <w:vAlign w:val="center"/>
                </w:tcPr>
                <w:p w14:paraId="415EE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空压机7</w:t>
                  </w:r>
                </w:p>
              </w:tc>
              <w:tc>
                <w:tcPr>
                  <w:tcW w:w="675" w:type="dxa"/>
                  <w:tcBorders>
                    <w:tl2br w:val="nil"/>
                    <w:tr2bl w:val="nil"/>
                  </w:tcBorders>
                  <w:shd w:val="clear" w:color="auto" w:fill="auto"/>
                  <w:vAlign w:val="center"/>
                </w:tcPr>
                <w:p w14:paraId="53B0A7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E22E8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448EB40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E35F4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269.50</w:t>
                  </w:r>
                </w:p>
              </w:tc>
              <w:tc>
                <w:tcPr>
                  <w:tcW w:w="876" w:type="dxa"/>
                  <w:tcBorders>
                    <w:tl2br w:val="nil"/>
                    <w:tr2bl w:val="nil"/>
                  </w:tcBorders>
                  <w:shd w:val="clear" w:color="auto" w:fill="auto"/>
                  <w:vAlign w:val="center"/>
                </w:tcPr>
                <w:p w14:paraId="58D8C0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173.63</w:t>
                  </w:r>
                </w:p>
              </w:tc>
              <w:tc>
                <w:tcPr>
                  <w:tcW w:w="476" w:type="dxa"/>
                  <w:tcBorders>
                    <w:tl2br w:val="nil"/>
                    <w:tr2bl w:val="nil"/>
                  </w:tcBorders>
                  <w:shd w:val="clear" w:color="auto" w:fill="auto"/>
                  <w:vAlign w:val="center"/>
                </w:tcPr>
                <w:p w14:paraId="4D9AB3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E478E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w:t>
                  </w:r>
                </w:p>
              </w:tc>
              <w:tc>
                <w:tcPr>
                  <w:tcW w:w="898" w:type="dxa"/>
                  <w:tcBorders>
                    <w:tl2br w:val="nil"/>
                    <w:tr2bl w:val="nil"/>
                  </w:tcBorders>
                  <w:shd w:val="clear" w:color="auto" w:fill="auto"/>
                  <w:vAlign w:val="center"/>
                </w:tcPr>
                <w:p w14:paraId="726413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62.55</w:t>
                  </w:r>
                </w:p>
              </w:tc>
              <w:tc>
                <w:tcPr>
                  <w:tcW w:w="707" w:type="dxa"/>
                  <w:tcBorders>
                    <w:tl2br w:val="nil"/>
                    <w:tr2bl w:val="nil"/>
                  </w:tcBorders>
                  <w:shd w:val="clear" w:color="auto" w:fill="auto"/>
                  <w:vAlign w:val="center"/>
                </w:tcPr>
                <w:p w14:paraId="13BE59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6332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F119B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41.55</w:t>
                  </w:r>
                </w:p>
              </w:tc>
              <w:tc>
                <w:tcPr>
                  <w:tcW w:w="887" w:type="dxa"/>
                  <w:tcBorders>
                    <w:tl2br w:val="nil"/>
                    <w:tr2bl w:val="nil"/>
                  </w:tcBorders>
                  <w:shd w:val="clear" w:color="auto" w:fill="auto"/>
                  <w:vAlign w:val="center"/>
                </w:tcPr>
                <w:p w14:paraId="635CED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886F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100FB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846" w:type="dxa"/>
                  <w:vMerge w:val="continue"/>
                  <w:tcBorders>
                    <w:tl2br w:val="nil"/>
                    <w:tr2bl w:val="nil"/>
                  </w:tcBorders>
                  <w:shd w:val="clear" w:color="auto" w:fill="auto"/>
                  <w:vAlign w:val="center"/>
                </w:tcPr>
                <w:p w14:paraId="0738423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493D38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空压机8</w:t>
                  </w:r>
                </w:p>
              </w:tc>
              <w:tc>
                <w:tcPr>
                  <w:tcW w:w="675" w:type="dxa"/>
                  <w:tcBorders>
                    <w:tl2br w:val="nil"/>
                    <w:tr2bl w:val="nil"/>
                  </w:tcBorders>
                  <w:shd w:val="clear" w:color="auto" w:fill="auto"/>
                  <w:vAlign w:val="center"/>
                </w:tcPr>
                <w:p w14:paraId="29E6B8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7014D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6A291D7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A239F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282.46</w:t>
                  </w:r>
                </w:p>
              </w:tc>
              <w:tc>
                <w:tcPr>
                  <w:tcW w:w="876" w:type="dxa"/>
                  <w:tcBorders>
                    <w:tl2br w:val="nil"/>
                    <w:tr2bl w:val="nil"/>
                  </w:tcBorders>
                  <w:shd w:val="clear" w:color="auto" w:fill="auto"/>
                  <w:vAlign w:val="center"/>
                </w:tcPr>
                <w:p w14:paraId="09BF87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170.14</w:t>
                  </w:r>
                </w:p>
              </w:tc>
              <w:tc>
                <w:tcPr>
                  <w:tcW w:w="476" w:type="dxa"/>
                  <w:tcBorders>
                    <w:tl2br w:val="nil"/>
                    <w:tr2bl w:val="nil"/>
                  </w:tcBorders>
                  <w:shd w:val="clear" w:color="auto" w:fill="auto"/>
                  <w:vAlign w:val="center"/>
                </w:tcPr>
                <w:p w14:paraId="3F5212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7586E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14.5</w:t>
                  </w:r>
                </w:p>
              </w:tc>
              <w:tc>
                <w:tcPr>
                  <w:tcW w:w="898" w:type="dxa"/>
                  <w:tcBorders>
                    <w:tl2br w:val="nil"/>
                    <w:tr2bl w:val="nil"/>
                  </w:tcBorders>
                  <w:shd w:val="clear" w:color="auto" w:fill="auto"/>
                  <w:vAlign w:val="center"/>
                </w:tcPr>
                <w:p w14:paraId="1A5621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62.32</w:t>
                  </w:r>
                </w:p>
              </w:tc>
              <w:tc>
                <w:tcPr>
                  <w:tcW w:w="707" w:type="dxa"/>
                  <w:tcBorders>
                    <w:tl2br w:val="nil"/>
                    <w:tr2bl w:val="nil"/>
                  </w:tcBorders>
                  <w:shd w:val="clear" w:color="auto" w:fill="auto"/>
                  <w:vAlign w:val="center"/>
                </w:tcPr>
                <w:p w14:paraId="2ECFD2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5F496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4639F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41.32</w:t>
                  </w:r>
                </w:p>
              </w:tc>
              <w:tc>
                <w:tcPr>
                  <w:tcW w:w="887" w:type="dxa"/>
                  <w:tcBorders>
                    <w:tl2br w:val="nil"/>
                    <w:tr2bl w:val="nil"/>
                  </w:tcBorders>
                  <w:shd w:val="clear" w:color="auto" w:fill="auto"/>
                  <w:vAlign w:val="center"/>
                </w:tcPr>
                <w:p w14:paraId="0BADFB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AE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0A52E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94</w:t>
                  </w:r>
                </w:p>
              </w:tc>
              <w:tc>
                <w:tcPr>
                  <w:tcW w:w="846" w:type="dxa"/>
                  <w:vMerge w:val="continue"/>
                  <w:tcBorders>
                    <w:tl2br w:val="nil"/>
                    <w:tr2bl w:val="nil"/>
                  </w:tcBorders>
                  <w:shd w:val="clear" w:color="auto" w:fill="auto"/>
                  <w:vAlign w:val="center"/>
                </w:tcPr>
                <w:p w14:paraId="14EE1A4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003DF8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空压机9</w:t>
                  </w:r>
                </w:p>
              </w:tc>
              <w:tc>
                <w:tcPr>
                  <w:tcW w:w="675" w:type="dxa"/>
                  <w:tcBorders>
                    <w:tl2br w:val="nil"/>
                    <w:tr2bl w:val="nil"/>
                  </w:tcBorders>
                  <w:shd w:val="clear" w:color="auto" w:fill="auto"/>
                  <w:vAlign w:val="center"/>
                </w:tcPr>
                <w:p w14:paraId="4412D7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BA0B0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205E63C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5C5E0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257.75</w:t>
                  </w:r>
                </w:p>
              </w:tc>
              <w:tc>
                <w:tcPr>
                  <w:tcW w:w="876" w:type="dxa"/>
                  <w:tcBorders>
                    <w:tl2br w:val="nil"/>
                    <w:tr2bl w:val="nil"/>
                  </w:tcBorders>
                  <w:shd w:val="clear" w:color="auto" w:fill="auto"/>
                  <w:vAlign w:val="center"/>
                </w:tcPr>
                <w:p w14:paraId="706A1E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123.29</w:t>
                  </w:r>
                </w:p>
              </w:tc>
              <w:tc>
                <w:tcPr>
                  <w:tcW w:w="476" w:type="dxa"/>
                  <w:tcBorders>
                    <w:tl2br w:val="nil"/>
                    <w:tr2bl w:val="nil"/>
                  </w:tcBorders>
                  <w:shd w:val="clear" w:color="auto" w:fill="auto"/>
                  <w:vAlign w:val="center"/>
                </w:tcPr>
                <w:p w14:paraId="03863C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61B0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w:t>
                  </w:r>
                </w:p>
              </w:tc>
              <w:tc>
                <w:tcPr>
                  <w:tcW w:w="898" w:type="dxa"/>
                  <w:tcBorders>
                    <w:tl2br w:val="nil"/>
                    <w:tr2bl w:val="nil"/>
                  </w:tcBorders>
                  <w:shd w:val="clear" w:color="auto" w:fill="auto"/>
                  <w:vAlign w:val="center"/>
                </w:tcPr>
                <w:p w14:paraId="5C30D6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62.13</w:t>
                  </w:r>
                </w:p>
              </w:tc>
              <w:tc>
                <w:tcPr>
                  <w:tcW w:w="707" w:type="dxa"/>
                  <w:tcBorders>
                    <w:tl2br w:val="nil"/>
                    <w:tr2bl w:val="nil"/>
                  </w:tcBorders>
                  <w:shd w:val="clear" w:color="auto" w:fill="auto"/>
                  <w:vAlign w:val="center"/>
                </w:tcPr>
                <w:p w14:paraId="29C806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B789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898BF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41.13</w:t>
                  </w:r>
                </w:p>
              </w:tc>
              <w:tc>
                <w:tcPr>
                  <w:tcW w:w="887" w:type="dxa"/>
                  <w:tcBorders>
                    <w:tl2br w:val="nil"/>
                    <w:tr2bl w:val="nil"/>
                  </w:tcBorders>
                  <w:shd w:val="clear" w:color="auto" w:fill="auto"/>
                  <w:vAlign w:val="center"/>
                </w:tcPr>
                <w:p w14:paraId="0C5AE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01D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693C1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846" w:type="dxa"/>
                  <w:vMerge w:val="continue"/>
                  <w:tcBorders>
                    <w:tl2br w:val="nil"/>
                    <w:tr2bl w:val="nil"/>
                  </w:tcBorders>
                  <w:shd w:val="clear" w:color="auto" w:fill="auto"/>
                  <w:vAlign w:val="center"/>
                </w:tcPr>
                <w:p w14:paraId="6DF339E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3E9268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空压机10</w:t>
                  </w:r>
                </w:p>
              </w:tc>
              <w:tc>
                <w:tcPr>
                  <w:tcW w:w="675" w:type="dxa"/>
                  <w:tcBorders>
                    <w:tl2br w:val="nil"/>
                    <w:tr2bl w:val="nil"/>
                  </w:tcBorders>
                  <w:shd w:val="clear" w:color="auto" w:fill="auto"/>
                  <w:vAlign w:val="center"/>
                </w:tcPr>
                <w:p w14:paraId="7D3D17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D8D02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54FCD5E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437BD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269.34</w:t>
                  </w:r>
                </w:p>
              </w:tc>
              <w:tc>
                <w:tcPr>
                  <w:tcW w:w="876" w:type="dxa"/>
                  <w:tcBorders>
                    <w:tl2br w:val="nil"/>
                    <w:tr2bl w:val="nil"/>
                  </w:tcBorders>
                  <w:shd w:val="clear" w:color="auto" w:fill="auto"/>
                  <w:vAlign w:val="center"/>
                </w:tcPr>
                <w:p w14:paraId="19C18D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120.16</w:t>
                  </w:r>
                </w:p>
              </w:tc>
              <w:tc>
                <w:tcPr>
                  <w:tcW w:w="476" w:type="dxa"/>
                  <w:tcBorders>
                    <w:tl2br w:val="nil"/>
                    <w:tr2bl w:val="nil"/>
                  </w:tcBorders>
                  <w:shd w:val="clear" w:color="auto" w:fill="auto"/>
                  <w:vAlign w:val="center"/>
                </w:tcPr>
                <w:p w14:paraId="4D789A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0EDE98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14.5</w:t>
                  </w:r>
                </w:p>
              </w:tc>
              <w:tc>
                <w:tcPr>
                  <w:tcW w:w="898" w:type="dxa"/>
                  <w:tcBorders>
                    <w:tl2br w:val="nil"/>
                    <w:tr2bl w:val="nil"/>
                  </w:tcBorders>
                  <w:shd w:val="clear" w:color="auto" w:fill="auto"/>
                  <w:vAlign w:val="center"/>
                </w:tcPr>
                <w:p w14:paraId="02C1B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61.98</w:t>
                  </w:r>
                </w:p>
              </w:tc>
              <w:tc>
                <w:tcPr>
                  <w:tcW w:w="707" w:type="dxa"/>
                  <w:tcBorders>
                    <w:tl2br w:val="nil"/>
                    <w:tr2bl w:val="nil"/>
                  </w:tcBorders>
                  <w:shd w:val="clear" w:color="auto" w:fill="auto"/>
                  <w:vAlign w:val="center"/>
                </w:tcPr>
                <w:p w14:paraId="5A49A7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CE363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0D8F3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40.98</w:t>
                  </w:r>
                </w:p>
              </w:tc>
              <w:tc>
                <w:tcPr>
                  <w:tcW w:w="887" w:type="dxa"/>
                  <w:tcBorders>
                    <w:tl2br w:val="nil"/>
                    <w:tr2bl w:val="nil"/>
                  </w:tcBorders>
                  <w:shd w:val="clear" w:color="auto" w:fill="auto"/>
                  <w:vAlign w:val="center"/>
                </w:tcPr>
                <w:p w14:paraId="365837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F28C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7A07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846" w:type="dxa"/>
                  <w:vMerge w:val="restart"/>
                  <w:tcBorders>
                    <w:tl2br w:val="nil"/>
                    <w:tr2bl w:val="nil"/>
                  </w:tcBorders>
                  <w:shd w:val="clear" w:color="auto" w:fill="auto"/>
                  <w:vAlign w:val="center"/>
                </w:tcPr>
                <w:p w14:paraId="62B4FB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烫钻生产（2#厂房）</w:t>
                  </w:r>
                </w:p>
              </w:tc>
              <w:tc>
                <w:tcPr>
                  <w:tcW w:w="1372" w:type="dxa"/>
                  <w:tcBorders>
                    <w:tl2br w:val="nil"/>
                    <w:tr2bl w:val="nil"/>
                  </w:tcBorders>
                  <w:shd w:val="clear" w:color="auto" w:fill="auto"/>
                  <w:noWrap/>
                  <w:vAlign w:val="center"/>
                </w:tcPr>
                <w:p w14:paraId="5C1F02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冷干机1</w:t>
                  </w:r>
                </w:p>
              </w:tc>
              <w:tc>
                <w:tcPr>
                  <w:tcW w:w="675" w:type="dxa"/>
                  <w:tcBorders>
                    <w:tl2br w:val="nil"/>
                    <w:tr2bl w:val="nil"/>
                  </w:tcBorders>
                  <w:shd w:val="clear" w:color="auto" w:fill="auto"/>
                  <w:vAlign w:val="center"/>
                </w:tcPr>
                <w:p w14:paraId="416230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84969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B12BB4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20A06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85.41</w:t>
                  </w:r>
                </w:p>
              </w:tc>
              <w:tc>
                <w:tcPr>
                  <w:tcW w:w="876" w:type="dxa"/>
                  <w:tcBorders>
                    <w:tl2br w:val="nil"/>
                    <w:tr2bl w:val="nil"/>
                  </w:tcBorders>
                  <w:shd w:val="clear" w:color="auto" w:fill="auto"/>
                  <w:vAlign w:val="center"/>
                </w:tcPr>
                <w:p w14:paraId="0B1F38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170.08</w:t>
                  </w:r>
                </w:p>
              </w:tc>
              <w:tc>
                <w:tcPr>
                  <w:tcW w:w="476" w:type="dxa"/>
                  <w:tcBorders>
                    <w:tl2br w:val="nil"/>
                    <w:tr2bl w:val="nil"/>
                  </w:tcBorders>
                  <w:shd w:val="clear" w:color="auto" w:fill="auto"/>
                  <w:vAlign w:val="center"/>
                </w:tcPr>
                <w:p w14:paraId="0C6304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E967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898" w:type="dxa"/>
                  <w:tcBorders>
                    <w:tl2br w:val="nil"/>
                    <w:tr2bl w:val="nil"/>
                  </w:tcBorders>
                  <w:shd w:val="clear" w:color="auto" w:fill="auto"/>
                  <w:vAlign w:val="center"/>
                </w:tcPr>
                <w:p w14:paraId="27377E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47.11</w:t>
                  </w:r>
                </w:p>
              </w:tc>
              <w:tc>
                <w:tcPr>
                  <w:tcW w:w="707" w:type="dxa"/>
                  <w:tcBorders>
                    <w:tl2br w:val="nil"/>
                    <w:tr2bl w:val="nil"/>
                  </w:tcBorders>
                  <w:shd w:val="clear" w:color="auto" w:fill="auto"/>
                  <w:vAlign w:val="center"/>
                </w:tcPr>
                <w:p w14:paraId="448DDB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68BE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018E2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26.11</w:t>
                  </w:r>
                </w:p>
              </w:tc>
              <w:tc>
                <w:tcPr>
                  <w:tcW w:w="887" w:type="dxa"/>
                  <w:tcBorders>
                    <w:tl2br w:val="nil"/>
                    <w:tr2bl w:val="nil"/>
                  </w:tcBorders>
                  <w:shd w:val="clear" w:color="auto" w:fill="auto"/>
                  <w:vAlign w:val="center"/>
                </w:tcPr>
                <w:p w14:paraId="09E7B8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C646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87836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97</w:t>
                  </w:r>
                </w:p>
              </w:tc>
              <w:tc>
                <w:tcPr>
                  <w:tcW w:w="846" w:type="dxa"/>
                  <w:vMerge w:val="continue"/>
                  <w:tcBorders>
                    <w:tl2br w:val="nil"/>
                    <w:tr2bl w:val="nil"/>
                  </w:tcBorders>
                  <w:shd w:val="clear" w:color="auto" w:fill="auto"/>
                  <w:vAlign w:val="center"/>
                </w:tcPr>
                <w:p w14:paraId="190FCAF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2CC9C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冷干机2</w:t>
                  </w:r>
                </w:p>
              </w:tc>
              <w:tc>
                <w:tcPr>
                  <w:tcW w:w="675" w:type="dxa"/>
                  <w:tcBorders>
                    <w:tl2br w:val="nil"/>
                    <w:tr2bl w:val="nil"/>
                  </w:tcBorders>
                  <w:shd w:val="clear" w:color="auto" w:fill="auto"/>
                  <w:vAlign w:val="center"/>
                </w:tcPr>
                <w:p w14:paraId="3AC07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0FAB0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389A81F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216DE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99.10</w:t>
                  </w:r>
                </w:p>
              </w:tc>
              <w:tc>
                <w:tcPr>
                  <w:tcW w:w="876" w:type="dxa"/>
                  <w:tcBorders>
                    <w:tl2br w:val="nil"/>
                    <w:tr2bl w:val="nil"/>
                  </w:tcBorders>
                  <w:shd w:val="clear" w:color="auto" w:fill="auto"/>
                  <w:vAlign w:val="center"/>
                </w:tcPr>
                <w:p w14:paraId="10FD06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165.13</w:t>
                  </w:r>
                </w:p>
              </w:tc>
              <w:tc>
                <w:tcPr>
                  <w:tcW w:w="476" w:type="dxa"/>
                  <w:tcBorders>
                    <w:tl2br w:val="nil"/>
                    <w:tr2bl w:val="nil"/>
                  </w:tcBorders>
                  <w:shd w:val="clear" w:color="auto" w:fill="auto"/>
                  <w:vAlign w:val="center"/>
                </w:tcPr>
                <w:p w14:paraId="1D8B8F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B2316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898" w:type="dxa"/>
                  <w:tcBorders>
                    <w:tl2br w:val="nil"/>
                    <w:tr2bl w:val="nil"/>
                  </w:tcBorders>
                  <w:shd w:val="clear" w:color="auto" w:fill="auto"/>
                  <w:vAlign w:val="center"/>
                </w:tcPr>
                <w:p w14:paraId="77C0C8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46.97</w:t>
                  </w:r>
                </w:p>
              </w:tc>
              <w:tc>
                <w:tcPr>
                  <w:tcW w:w="707" w:type="dxa"/>
                  <w:tcBorders>
                    <w:tl2br w:val="nil"/>
                    <w:tr2bl w:val="nil"/>
                  </w:tcBorders>
                  <w:shd w:val="clear" w:color="auto" w:fill="auto"/>
                  <w:vAlign w:val="center"/>
                </w:tcPr>
                <w:p w14:paraId="5B6C67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9657A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23B54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25.97</w:t>
                  </w:r>
                </w:p>
              </w:tc>
              <w:tc>
                <w:tcPr>
                  <w:tcW w:w="887" w:type="dxa"/>
                  <w:tcBorders>
                    <w:tl2br w:val="nil"/>
                    <w:tr2bl w:val="nil"/>
                  </w:tcBorders>
                  <w:shd w:val="clear" w:color="auto" w:fill="auto"/>
                  <w:vAlign w:val="center"/>
                </w:tcPr>
                <w:p w14:paraId="204149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3E90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2D891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98</w:t>
                  </w:r>
                </w:p>
              </w:tc>
              <w:tc>
                <w:tcPr>
                  <w:tcW w:w="846" w:type="dxa"/>
                  <w:vMerge w:val="restart"/>
                  <w:tcBorders>
                    <w:tl2br w:val="nil"/>
                    <w:tr2bl w:val="nil"/>
                  </w:tcBorders>
                  <w:shd w:val="clear" w:color="auto" w:fill="auto"/>
                  <w:vAlign w:val="center"/>
                </w:tcPr>
                <w:p w14:paraId="44B0B1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烫钻生产（3#厂房）</w:t>
                  </w:r>
                </w:p>
              </w:tc>
              <w:tc>
                <w:tcPr>
                  <w:tcW w:w="1372" w:type="dxa"/>
                  <w:tcBorders>
                    <w:tl2br w:val="nil"/>
                    <w:tr2bl w:val="nil"/>
                  </w:tcBorders>
                  <w:shd w:val="clear" w:color="auto" w:fill="auto"/>
                  <w:noWrap/>
                  <w:vAlign w:val="center"/>
                </w:tcPr>
                <w:p w14:paraId="72BD4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冷干机3</w:t>
                  </w:r>
                </w:p>
              </w:tc>
              <w:tc>
                <w:tcPr>
                  <w:tcW w:w="675" w:type="dxa"/>
                  <w:tcBorders>
                    <w:tl2br w:val="nil"/>
                    <w:tr2bl w:val="nil"/>
                  </w:tcBorders>
                  <w:shd w:val="clear" w:color="auto" w:fill="auto"/>
                  <w:vAlign w:val="center"/>
                </w:tcPr>
                <w:p w14:paraId="416BB9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53D31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BF2547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7479C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144.83</w:t>
                  </w:r>
                </w:p>
              </w:tc>
              <w:tc>
                <w:tcPr>
                  <w:tcW w:w="876" w:type="dxa"/>
                  <w:tcBorders>
                    <w:tl2br w:val="nil"/>
                    <w:tr2bl w:val="nil"/>
                  </w:tcBorders>
                  <w:shd w:val="clear" w:color="auto" w:fill="auto"/>
                  <w:vAlign w:val="center"/>
                </w:tcPr>
                <w:p w14:paraId="3FC411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151.73</w:t>
                  </w:r>
                </w:p>
              </w:tc>
              <w:tc>
                <w:tcPr>
                  <w:tcW w:w="476" w:type="dxa"/>
                  <w:tcBorders>
                    <w:tl2br w:val="nil"/>
                    <w:tr2bl w:val="nil"/>
                  </w:tcBorders>
                  <w:shd w:val="clear" w:color="auto" w:fill="auto"/>
                  <w:vAlign w:val="center"/>
                </w:tcPr>
                <w:p w14:paraId="031B0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961C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14.5</w:t>
                  </w:r>
                </w:p>
              </w:tc>
              <w:tc>
                <w:tcPr>
                  <w:tcW w:w="898" w:type="dxa"/>
                  <w:tcBorders>
                    <w:tl2br w:val="nil"/>
                    <w:tr2bl w:val="nil"/>
                  </w:tcBorders>
                  <w:shd w:val="clear" w:color="auto" w:fill="auto"/>
                  <w:vAlign w:val="center"/>
                </w:tcPr>
                <w:p w14:paraId="02DECA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47.19</w:t>
                  </w:r>
                </w:p>
              </w:tc>
              <w:tc>
                <w:tcPr>
                  <w:tcW w:w="707" w:type="dxa"/>
                  <w:tcBorders>
                    <w:tl2br w:val="nil"/>
                    <w:tr2bl w:val="nil"/>
                  </w:tcBorders>
                  <w:shd w:val="clear" w:color="auto" w:fill="auto"/>
                  <w:vAlign w:val="center"/>
                </w:tcPr>
                <w:p w14:paraId="1279AF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F8491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F525A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26.19</w:t>
                  </w:r>
                </w:p>
              </w:tc>
              <w:tc>
                <w:tcPr>
                  <w:tcW w:w="887" w:type="dxa"/>
                  <w:tcBorders>
                    <w:tl2br w:val="nil"/>
                    <w:tr2bl w:val="nil"/>
                  </w:tcBorders>
                  <w:shd w:val="clear" w:color="auto" w:fill="auto"/>
                  <w:vAlign w:val="center"/>
                </w:tcPr>
                <w:p w14:paraId="5164F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F8AB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E00F5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99</w:t>
                  </w:r>
                </w:p>
              </w:tc>
              <w:tc>
                <w:tcPr>
                  <w:tcW w:w="846" w:type="dxa"/>
                  <w:vMerge w:val="continue"/>
                  <w:tcBorders>
                    <w:tl2br w:val="nil"/>
                    <w:tr2bl w:val="nil"/>
                  </w:tcBorders>
                  <w:shd w:val="clear" w:color="auto" w:fill="auto"/>
                  <w:vAlign w:val="center"/>
                </w:tcPr>
                <w:p w14:paraId="71C1B4E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56A03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冷干机4</w:t>
                  </w:r>
                </w:p>
              </w:tc>
              <w:tc>
                <w:tcPr>
                  <w:tcW w:w="675" w:type="dxa"/>
                  <w:tcBorders>
                    <w:tl2br w:val="nil"/>
                    <w:tr2bl w:val="nil"/>
                  </w:tcBorders>
                  <w:shd w:val="clear" w:color="auto" w:fill="auto"/>
                  <w:vAlign w:val="center"/>
                </w:tcPr>
                <w:p w14:paraId="1B552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593BC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924D6C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B4658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155.61</w:t>
                  </w:r>
                </w:p>
              </w:tc>
              <w:tc>
                <w:tcPr>
                  <w:tcW w:w="876" w:type="dxa"/>
                  <w:tcBorders>
                    <w:tl2br w:val="nil"/>
                    <w:tr2bl w:val="nil"/>
                  </w:tcBorders>
                  <w:shd w:val="clear" w:color="auto" w:fill="auto"/>
                  <w:vAlign w:val="center"/>
                </w:tcPr>
                <w:p w14:paraId="120ED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145.90</w:t>
                  </w:r>
                </w:p>
              </w:tc>
              <w:tc>
                <w:tcPr>
                  <w:tcW w:w="476" w:type="dxa"/>
                  <w:tcBorders>
                    <w:tl2br w:val="nil"/>
                    <w:tr2bl w:val="nil"/>
                  </w:tcBorders>
                  <w:shd w:val="clear" w:color="auto" w:fill="auto"/>
                  <w:vAlign w:val="center"/>
                </w:tcPr>
                <w:p w14:paraId="3DA2E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7FAB6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w:t>
                  </w:r>
                </w:p>
              </w:tc>
              <w:tc>
                <w:tcPr>
                  <w:tcW w:w="898" w:type="dxa"/>
                  <w:tcBorders>
                    <w:tl2br w:val="nil"/>
                    <w:tr2bl w:val="nil"/>
                  </w:tcBorders>
                  <w:shd w:val="clear" w:color="auto" w:fill="auto"/>
                  <w:vAlign w:val="center"/>
                </w:tcPr>
                <w:p w14:paraId="6443DF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47.07</w:t>
                  </w:r>
                </w:p>
              </w:tc>
              <w:tc>
                <w:tcPr>
                  <w:tcW w:w="707" w:type="dxa"/>
                  <w:tcBorders>
                    <w:tl2br w:val="nil"/>
                    <w:tr2bl w:val="nil"/>
                  </w:tcBorders>
                  <w:shd w:val="clear" w:color="auto" w:fill="auto"/>
                  <w:vAlign w:val="center"/>
                </w:tcPr>
                <w:p w14:paraId="1007AF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6CB4B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4F2F4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26.07</w:t>
                  </w:r>
                </w:p>
              </w:tc>
              <w:tc>
                <w:tcPr>
                  <w:tcW w:w="887" w:type="dxa"/>
                  <w:tcBorders>
                    <w:tl2br w:val="nil"/>
                    <w:tr2bl w:val="nil"/>
                  </w:tcBorders>
                  <w:shd w:val="clear" w:color="auto" w:fill="auto"/>
                  <w:vAlign w:val="center"/>
                </w:tcPr>
                <w:p w14:paraId="30B334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CC14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6427B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846" w:type="dxa"/>
                  <w:vMerge w:val="restart"/>
                  <w:tcBorders>
                    <w:tl2br w:val="nil"/>
                    <w:tr2bl w:val="nil"/>
                  </w:tcBorders>
                  <w:shd w:val="clear" w:color="auto" w:fill="auto"/>
                  <w:vAlign w:val="center"/>
                </w:tcPr>
                <w:p w14:paraId="15FCB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烫钻生产（4#厂房）</w:t>
                  </w:r>
                </w:p>
              </w:tc>
              <w:tc>
                <w:tcPr>
                  <w:tcW w:w="1372" w:type="dxa"/>
                  <w:tcBorders>
                    <w:tl2br w:val="nil"/>
                    <w:tr2bl w:val="nil"/>
                  </w:tcBorders>
                  <w:shd w:val="clear" w:color="auto" w:fill="auto"/>
                  <w:noWrap/>
                  <w:vAlign w:val="center"/>
                </w:tcPr>
                <w:p w14:paraId="7665CC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冷干机5</w:t>
                  </w:r>
                </w:p>
              </w:tc>
              <w:tc>
                <w:tcPr>
                  <w:tcW w:w="675" w:type="dxa"/>
                  <w:tcBorders>
                    <w:tl2br w:val="nil"/>
                    <w:tr2bl w:val="nil"/>
                  </w:tcBorders>
                  <w:shd w:val="clear" w:color="auto" w:fill="auto"/>
                  <w:vAlign w:val="center"/>
                </w:tcPr>
                <w:p w14:paraId="35FCCA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FEA1C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0C2827D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F6C0A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203.08</w:t>
                  </w:r>
                </w:p>
              </w:tc>
              <w:tc>
                <w:tcPr>
                  <w:tcW w:w="876" w:type="dxa"/>
                  <w:tcBorders>
                    <w:tl2br w:val="nil"/>
                    <w:tr2bl w:val="nil"/>
                  </w:tcBorders>
                  <w:shd w:val="clear" w:color="auto" w:fill="auto"/>
                  <w:vAlign w:val="center"/>
                </w:tcPr>
                <w:p w14:paraId="17C552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133.09</w:t>
                  </w:r>
                </w:p>
              </w:tc>
              <w:tc>
                <w:tcPr>
                  <w:tcW w:w="476" w:type="dxa"/>
                  <w:tcBorders>
                    <w:tl2br w:val="nil"/>
                    <w:tr2bl w:val="nil"/>
                  </w:tcBorders>
                  <w:shd w:val="clear" w:color="auto" w:fill="auto"/>
                  <w:vAlign w:val="center"/>
                </w:tcPr>
                <w:p w14:paraId="6EE40C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A98CA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898" w:type="dxa"/>
                  <w:tcBorders>
                    <w:tl2br w:val="nil"/>
                    <w:tr2bl w:val="nil"/>
                  </w:tcBorders>
                  <w:shd w:val="clear" w:color="auto" w:fill="auto"/>
                  <w:vAlign w:val="center"/>
                </w:tcPr>
                <w:p w14:paraId="1DF8EC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47.99</w:t>
                  </w:r>
                </w:p>
              </w:tc>
              <w:tc>
                <w:tcPr>
                  <w:tcW w:w="707" w:type="dxa"/>
                  <w:tcBorders>
                    <w:tl2br w:val="nil"/>
                    <w:tr2bl w:val="nil"/>
                  </w:tcBorders>
                  <w:shd w:val="clear" w:color="auto" w:fill="auto"/>
                  <w:vAlign w:val="center"/>
                </w:tcPr>
                <w:p w14:paraId="313D57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1E10E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810B0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26.99</w:t>
                  </w:r>
                </w:p>
              </w:tc>
              <w:tc>
                <w:tcPr>
                  <w:tcW w:w="887" w:type="dxa"/>
                  <w:tcBorders>
                    <w:tl2br w:val="nil"/>
                    <w:tr2bl w:val="nil"/>
                  </w:tcBorders>
                  <w:shd w:val="clear" w:color="auto" w:fill="auto"/>
                  <w:vAlign w:val="center"/>
                </w:tcPr>
                <w:p w14:paraId="7BB681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19D8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697A1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846" w:type="dxa"/>
                  <w:vMerge w:val="continue"/>
                  <w:tcBorders>
                    <w:tl2br w:val="nil"/>
                    <w:tr2bl w:val="nil"/>
                  </w:tcBorders>
                  <w:shd w:val="clear" w:color="auto" w:fill="auto"/>
                  <w:vAlign w:val="center"/>
                </w:tcPr>
                <w:p w14:paraId="46F5016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7E69A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冷干机6</w:t>
                  </w:r>
                </w:p>
              </w:tc>
              <w:tc>
                <w:tcPr>
                  <w:tcW w:w="675" w:type="dxa"/>
                  <w:tcBorders>
                    <w:tl2br w:val="nil"/>
                    <w:tr2bl w:val="nil"/>
                  </w:tcBorders>
                  <w:shd w:val="clear" w:color="auto" w:fill="auto"/>
                  <w:vAlign w:val="center"/>
                </w:tcPr>
                <w:p w14:paraId="45E12C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1180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574562C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FFFF5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214.73</w:t>
                  </w:r>
                </w:p>
              </w:tc>
              <w:tc>
                <w:tcPr>
                  <w:tcW w:w="876" w:type="dxa"/>
                  <w:tcBorders>
                    <w:tl2br w:val="nil"/>
                    <w:tr2bl w:val="nil"/>
                  </w:tcBorders>
                  <w:shd w:val="clear" w:color="auto" w:fill="auto"/>
                  <w:vAlign w:val="center"/>
                </w:tcPr>
                <w:p w14:paraId="0B9D5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128.72</w:t>
                  </w:r>
                </w:p>
              </w:tc>
              <w:tc>
                <w:tcPr>
                  <w:tcW w:w="476" w:type="dxa"/>
                  <w:tcBorders>
                    <w:tl2br w:val="nil"/>
                    <w:tr2bl w:val="nil"/>
                  </w:tcBorders>
                  <w:shd w:val="clear" w:color="auto" w:fill="auto"/>
                  <w:vAlign w:val="center"/>
                </w:tcPr>
                <w:p w14:paraId="4B603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B296C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w:t>
                  </w:r>
                </w:p>
              </w:tc>
              <w:tc>
                <w:tcPr>
                  <w:tcW w:w="898" w:type="dxa"/>
                  <w:tcBorders>
                    <w:tl2br w:val="nil"/>
                    <w:tr2bl w:val="nil"/>
                  </w:tcBorders>
                  <w:shd w:val="clear" w:color="auto" w:fill="auto"/>
                  <w:vAlign w:val="center"/>
                </w:tcPr>
                <w:p w14:paraId="2662D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47.78</w:t>
                  </w:r>
                </w:p>
              </w:tc>
              <w:tc>
                <w:tcPr>
                  <w:tcW w:w="707" w:type="dxa"/>
                  <w:tcBorders>
                    <w:tl2br w:val="nil"/>
                    <w:tr2bl w:val="nil"/>
                  </w:tcBorders>
                  <w:shd w:val="clear" w:color="auto" w:fill="auto"/>
                  <w:vAlign w:val="center"/>
                </w:tcPr>
                <w:p w14:paraId="71B97F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0A0AF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0B7DC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26.78</w:t>
                  </w:r>
                </w:p>
              </w:tc>
              <w:tc>
                <w:tcPr>
                  <w:tcW w:w="887" w:type="dxa"/>
                  <w:tcBorders>
                    <w:tl2br w:val="nil"/>
                    <w:tr2bl w:val="nil"/>
                  </w:tcBorders>
                  <w:shd w:val="clear" w:color="auto" w:fill="auto"/>
                  <w:vAlign w:val="center"/>
                </w:tcPr>
                <w:p w14:paraId="03558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2502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459A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846" w:type="dxa"/>
                  <w:vMerge w:val="restart"/>
                  <w:tcBorders>
                    <w:tl2br w:val="nil"/>
                    <w:tr2bl w:val="nil"/>
                  </w:tcBorders>
                  <w:shd w:val="clear" w:color="auto" w:fill="auto"/>
                  <w:vAlign w:val="center"/>
                </w:tcPr>
                <w:p w14:paraId="38EF5D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烫钻生产（5#厂房）</w:t>
                  </w:r>
                </w:p>
              </w:tc>
              <w:tc>
                <w:tcPr>
                  <w:tcW w:w="1372" w:type="dxa"/>
                  <w:tcBorders>
                    <w:tl2br w:val="nil"/>
                    <w:tr2bl w:val="nil"/>
                  </w:tcBorders>
                  <w:shd w:val="clear" w:color="auto" w:fill="auto"/>
                  <w:noWrap/>
                  <w:vAlign w:val="center"/>
                </w:tcPr>
                <w:p w14:paraId="03012B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冷干机7</w:t>
                  </w:r>
                </w:p>
              </w:tc>
              <w:tc>
                <w:tcPr>
                  <w:tcW w:w="675" w:type="dxa"/>
                  <w:tcBorders>
                    <w:tl2br w:val="nil"/>
                    <w:tr2bl w:val="nil"/>
                  </w:tcBorders>
                  <w:shd w:val="clear" w:color="auto" w:fill="auto"/>
                  <w:vAlign w:val="center"/>
                </w:tcPr>
                <w:p w14:paraId="75B71B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CFDA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04C6D1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1C783D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265.98</w:t>
                  </w:r>
                </w:p>
              </w:tc>
              <w:tc>
                <w:tcPr>
                  <w:tcW w:w="876" w:type="dxa"/>
                  <w:tcBorders>
                    <w:tl2br w:val="nil"/>
                    <w:tr2bl w:val="nil"/>
                  </w:tcBorders>
                  <w:shd w:val="clear" w:color="auto" w:fill="auto"/>
                  <w:vAlign w:val="center"/>
                </w:tcPr>
                <w:p w14:paraId="5A9B82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174.75</w:t>
                  </w:r>
                </w:p>
              </w:tc>
              <w:tc>
                <w:tcPr>
                  <w:tcW w:w="476" w:type="dxa"/>
                  <w:tcBorders>
                    <w:tl2br w:val="nil"/>
                    <w:tr2bl w:val="nil"/>
                  </w:tcBorders>
                  <w:shd w:val="clear" w:color="auto" w:fill="auto"/>
                  <w:vAlign w:val="center"/>
                </w:tcPr>
                <w:p w14:paraId="20B297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8F33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898" w:type="dxa"/>
                  <w:tcBorders>
                    <w:tl2br w:val="nil"/>
                    <w:tr2bl w:val="nil"/>
                  </w:tcBorders>
                  <w:shd w:val="clear" w:color="auto" w:fill="auto"/>
                  <w:vAlign w:val="center"/>
                </w:tcPr>
                <w:p w14:paraId="629833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47.19</w:t>
                  </w:r>
                </w:p>
              </w:tc>
              <w:tc>
                <w:tcPr>
                  <w:tcW w:w="707" w:type="dxa"/>
                  <w:tcBorders>
                    <w:tl2br w:val="nil"/>
                    <w:tr2bl w:val="nil"/>
                  </w:tcBorders>
                  <w:shd w:val="clear" w:color="auto" w:fill="auto"/>
                  <w:vAlign w:val="center"/>
                </w:tcPr>
                <w:p w14:paraId="7EB2C2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7B77B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CF545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26.19</w:t>
                  </w:r>
                </w:p>
              </w:tc>
              <w:tc>
                <w:tcPr>
                  <w:tcW w:w="887" w:type="dxa"/>
                  <w:tcBorders>
                    <w:tl2br w:val="nil"/>
                    <w:tr2bl w:val="nil"/>
                  </w:tcBorders>
                  <w:shd w:val="clear" w:color="auto" w:fill="auto"/>
                  <w:vAlign w:val="center"/>
                </w:tcPr>
                <w:p w14:paraId="2A4E29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4B0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287E0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846" w:type="dxa"/>
                  <w:vMerge w:val="continue"/>
                  <w:tcBorders>
                    <w:tl2br w:val="nil"/>
                    <w:tr2bl w:val="nil"/>
                  </w:tcBorders>
                  <w:shd w:val="clear" w:color="auto" w:fill="auto"/>
                  <w:vAlign w:val="center"/>
                </w:tcPr>
                <w:p w14:paraId="41C2308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66E564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冷干机8</w:t>
                  </w:r>
                </w:p>
              </w:tc>
              <w:tc>
                <w:tcPr>
                  <w:tcW w:w="675" w:type="dxa"/>
                  <w:tcBorders>
                    <w:tl2br w:val="nil"/>
                    <w:tr2bl w:val="nil"/>
                  </w:tcBorders>
                  <w:shd w:val="clear" w:color="auto" w:fill="auto"/>
                  <w:vAlign w:val="center"/>
                </w:tcPr>
                <w:p w14:paraId="3D80E9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39F7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123613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49965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286.80</w:t>
                  </w:r>
                </w:p>
              </w:tc>
              <w:tc>
                <w:tcPr>
                  <w:tcW w:w="876" w:type="dxa"/>
                  <w:tcBorders>
                    <w:tl2br w:val="nil"/>
                    <w:tr2bl w:val="nil"/>
                  </w:tcBorders>
                  <w:shd w:val="clear" w:color="auto" w:fill="auto"/>
                  <w:vAlign w:val="center"/>
                </w:tcPr>
                <w:p w14:paraId="2BA731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168.15</w:t>
                  </w:r>
                </w:p>
              </w:tc>
              <w:tc>
                <w:tcPr>
                  <w:tcW w:w="476" w:type="dxa"/>
                  <w:tcBorders>
                    <w:tl2br w:val="nil"/>
                    <w:tr2bl w:val="nil"/>
                  </w:tcBorders>
                  <w:shd w:val="clear" w:color="auto" w:fill="auto"/>
                  <w:vAlign w:val="center"/>
                </w:tcPr>
                <w:p w14:paraId="25BCE2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E8983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898" w:type="dxa"/>
                  <w:tcBorders>
                    <w:tl2br w:val="nil"/>
                    <w:tr2bl w:val="nil"/>
                  </w:tcBorders>
                  <w:shd w:val="clear" w:color="auto" w:fill="auto"/>
                  <w:vAlign w:val="center"/>
                </w:tcPr>
                <w:p w14:paraId="4950CE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46.57</w:t>
                  </w:r>
                </w:p>
              </w:tc>
              <w:tc>
                <w:tcPr>
                  <w:tcW w:w="707" w:type="dxa"/>
                  <w:tcBorders>
                    <w:tl2br w:val="nil"/>
                    <w:tr2bl w:val="nil"/>
                  </w:tcBorders>
                  <w:shd w:val="clear" w:color="auto" w:fill="auto"/>
                  <w:vAlign w:val="center"/>
                </w:tcPr>
                <w:p w14:paraId="6BE5F1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84EB7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9EE16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25.57</w:t>
                  </w:r>
                </w:p>
              </w:tc>
              <w:tc>
                <w:tcPr>
                  <w:tcW w:w="887" w:type="dxa"/>
                  <w:tcBorders>
                    <w:tl2br w:val="nil"/>
                    <w:tr2bl w:val="nil"/>
                  </w:tcBorders>
                  <w:shd w:val="clear" w:color="auto" w:fill="auto"/>
                  <w:vAlign w:val="center"/>
                </w:tcPr>
                <w:p w14:paraId="365CDC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719F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35A08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846" w:type="dxa"/>
                  <w:vMerge w:val="continue"/>
                  <w:tcBorders>
                    <w:tl2br w:val="nil"/>
                    <w:tr2bl w:val="nil"/>
                  </w:tcBorders>
                  <w:shd w:val="clear" w:color="auto" w:fill="auto"/>
                  <w:vAlign w:val="center"/>
                </w:tcPr>
                <w:p w14:paraId="2E15CDC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F34D2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冷干机9</w:t>
                  </w:r>
                </w:p>
              </w:tc>
              <w:tc>
                <w:tcPr>
                  <w:tcW w:w="675" w:type="dxa"/>
                  <w:tcBorders>
                    <w:tl2br w:val="nil"/>
                    <w:tr2bl w:val="nil"/>
                  </w:tcBorders>
                  <w:shd w:val="clear" w:color="auto" w:fill="auto"/>
                  <w:vAlign w:val="center"/>
                </w:tcPr>
                <w:p w14:paraId="7BF1F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DE4A4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499816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D2125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254.37</w:t>
                  </w:r>
                </w:p>
              </w:tc>
              <w:tc>
                <w:tcPr>
                  <w:tcW w:w="876" w:type="dxa"/>
                  <w:tcBorders>
                    <w:tl2br w:val="nil"/>
                    <w:tr2bl w:val="nil"/>
                  </w:tcBorders>
                  <w:shd w:val="clear" w:color="auto" w:fill="auto"/>
                  <w:vAlign w:val="center"/>
                </w:tcPr>
                <w:p w14:paraId="75887E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123.99</w:t>
                  </w:r>
                </w:p>
              </w:tc>
              <w:tc>
                <w:tcPr>
                  <w:tcW w:w="476" w:type="dxa"/>
                  <w:tcBorders>
                    <w:tl2br w:val="nil"/>
                    <w:tr2bl w:val="nil"/>
                  </w:tcBorders>
                  <w:shd w:val="clear" w:color="auto" w:fill="auto"/>
                  <w:vAlign w:val="center"/>
                </w:tcPr>
                <w:p w14:paraId="7CF14E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BEF1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898" w:type="dxa"/>
                  <w:tcBorders>
                    <w:tl2br w:val="nil"/>
                    <w:tr2bl w:val="nil"/>
                  </w:tcBorders>
                  <w:shd w:val="clear" w:color="auto" w:fill="auto"/>
                  <w:vAlign w:val="center"/>
                </w:tcPr>
                <w:p w14:paraId="74962B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47.55</w:t>
                  </w:r>
                </w:p>
              </w:tc>
              <w:tc>
                <w:tcPr>
                  <w:tcW w:w="707" w:type="dxa"/>
                  <w:tcBorders>
                    <w:tl2br w:val="nil"/>
                    <w:tr2bl w:val="nil"/>
                  </w:tcBorders>
                  <w:shd w:val="clear" w:color="auto" w:fill="auto"/>
                  <w:vAlign w:val="center"/>
                </w:tcPr>
                <w:p w14:paraId="54A338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49FED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FEBF5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26.55</w:t>
                  </w:r>
                </w:p>
              </w:tc>
              <w:tc>
                <w:tcPr>
                  <w:tcW w:w="887" w:type="dxa"/>
                  <w:tcBorders>
                    <w:tl2br w:val="nil"/>
                    <w:tr2bl w:val="nil"/>
                  </w:tcBorders>
                  <w:shd w:val="clear" w:color="auto" w:fill="auto"/>
                  <w:vAlign w:val="center"/>
                </w:tcPr>
                <w:p w14:paraId="46AF6C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481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380FA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846" w:type="dxa"/>
                  <w:vMerge w:val="continue"/>
                  <w:tcBorders>
                    <w:tl2br w:val="nil"/>
                    <w:tr2bl w:val="nil"/>
                  </w:tcBorders>
                  <w:shd w:val="clear" w:color="auto" w:fill="auto"/>
                  <w:vAlign w:val="center"/>
                </w:tcPr>
                <w:p w14:paraId="1F9AE98A">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6C3737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冷干机10</w:t>
                  </w:r>
                </w:p>
              </w:tc>
              <w:tc>
                <w:tcPr>
                  <w:tcW w:w="675" w:type="dxa"/>
                  <w:tcBorders>
                    <w:tl2br w:val="nil"/>
                    <w:tr2bl w:val="nil"/>
                  </w:tcBorders>
                  <w:shd w:val="clear" w:color="auto" w:fill="auto"/>
                  <w:vAlign w:val="center"/>
                </w:tcPr>
                <w:p w14:paraId="56C931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0BE33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5CDF30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9FD1F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268.36</w:t>
                  </w:r>
                </w:p>
              </w:tc>
              <w:tc>
                <w:tcPr>
                  <w:tcW w:w="876" w:type="dxa"/>
                  <w:tcBorders>
                    <w:tl2br w:val="nil"/>
                    <w:tr2bl w:val="nil"/>
                  </w:tcBorders>
                  <w:shd w:val="clear" w:color="auto" w:fill="auto"/>
                  <w:vAlign w:val="center"/>
                </w:tcPr>
                <w:p w14:paraId="683A5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115.23</w:t>
                  </w:r>
                </w:p>
              </w:tc>
              <w:tc>
                <w:tcPr>
                  <w:tcW w:w="476" w:type="dxa"/>
                  <w:tcBorders>
                    <w:tl2br w:val="nil"/>
                    <w:tr2bl w:val="nil"/>
                  </w:tcBorders>
                  <w:shd w:val="clear" w:color="auto" w:fill="auto"/>
                  <w:vAlign w:val="center"/>
                </w:tcPr>
                <w:p w14:paraId="2E2D00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8F26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898" w:type="dxa"/>
                  <w:tcBorders>
                    <w:tl2br w:val="nil"/>
                    <w:tr2bl w:val="nil"/>
                  </w:tcBorders>
                  <w:shd w:val="clear" w:color="auto" w:fill="auto"/>
                  <w:vAlign w:val="center"/>
                </w:tcPr>
                <w:p w14:paraId="5380AA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46.95</w:t>
                  </w:r>
                </w:p>
              </w:tc>
              <w:tc>
                <w:tcPr>
                  <w:tcW w:w="707" w:type="dxa"/>
                  <w:tcBorders>
                    <w:tl2br w:val="nil"/>
                    <w:tr2bl w:val="nil"/>
                  </w:tcBorders>
                  <w:shd w:val="clear" w:color="auto" w:fill="auto"/>
                  <w:vAlign w:val="center"/>
                </w:tcPr>
                <w:p w14:paraId="7F3A12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61D89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09775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25.95</w:t>
                  </w:r>
                </w:p>
              </w:tc>
              <w:tc>
                <w:tcPr>
                  <w:tcW w:w="887" w:type="dxa"/>
                  <w:tcBorders>
                    <w:tl2br w:val="nil"/>
                    <w:tr2bl w:val="nil"/>
                  </w:tcBorders>
                  <w:shd w:val="clear" w:color="auto" w:fill="auto"/>
                  <w:vAlign w:val="center"/>
                </w:tcPr>
                <w:p w14:paraId="0DB293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641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1EC5C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846" w:type="dxa"/>
                  <w:vMerge w:val="restart"/>
                  <w:tcBorders>
                    <w:tl2br w:val="nil"/>
                    <w:tr2bl w:val="nil"/>
                  </w:tcBorders>
                  <w:shd w:val="clear" w:color="auto" w:fill="auto"/>
                  <w:vAlign w:val="center"/>
                </w:tcPr>
                <w:p w14:paraId="70045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烫钻生产（6#厂房）</w:t>
                  </w:r>
                </w:p>
              </w:tc>
              <w:tc>
                <w:tcPr>
                  <w:tcW w:w="1372" w:type="dxa"/>
                  <w:tcBorders>
                    <w:tl2br w:val="nil"/>
                    <w:tr2bl w:val="nil"/>
                  </w:tcBorders>
                  <w:shd w:val="clear" w:color="auto" w:fill="auto"/>
                  <w:noWrap/>
                  <w:vAlign w:val="center"/>
                </w:tcPr>
                <w:p w14:paraId="540CF2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w:t>
                  </w:r>
                </w:p>
              </w:tc>
              <w:tc>
                <w:tcPr>
                  <w:tcW w:w="675" w:type="dxa"/>
                  <w:tcBorders>
                    <w:tl2br w:val="nil"/>
                    <w:tr2bl w:val="nil"/>
                  </w:tcBorders>
                  <w:shd w:val="clear" w:color="auto" w:fill="auto"/>
                  <w:vAlign w:val="center"/>
                </w:tcPr>
                <w:p w14:paraId="054A36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875BB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3DB6CEE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D9282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103.37</w:t>
                  </w:r>
                </w:p>
              </w:tc>
              <w:tc>
                <w:tcPr>
                  <w:tcW w:w="876" w:type="dxa"/>
                  <w:tcBorders>
                    <w:tl2br w:val="nil"/>
                    <w:tr2bl w:val="nil"/>
                  </w:tcBorders>
                  <w:shd w:val="clear" w:color="auto" w:fill="auto"/>
                  <w:vAlign w:val="center"/>
                </w:tcPr>
                <w:p w14:paraId="7EDE9A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197.99</w:t>
                  </w:r>
                </w:p>
              </w:tc>
              <w:tc>
                <w:tcPr>
                  <w:tcW w:w="476" w:type="dxa"/>
                  <w:tcBorders>
                    <w:tl2br w:val="nil"/>
                    <w:tr2bl w:val="nil"/>
                  </w:tcBorders>
                  <w:shd w:val="clear" w:color="auto" w:fill="auto"/>
                  <w:vAlign w:val="center"/>
                </w:tcPr>
                <w:p w14:paraId="7398F0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C076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898" w:type="dxa"/>
                  <w:tcBorders>
                    <w:tl2br w:val="nil"/>
                    <w:tr2bl w:val="nil"/>
                  </w:tcBorders>
                  <w:shd w:val="clear" w:color="auto" w:fill="auto"/>
                  <w:vAlign w:val="center"/>
                </w:tcPr>
                <w:p w14:paraId="0DFA21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57.62</w:t>
                  </w:r>
                </w:p>
              </w:tc>
              <w:tc>
                <w:tcPr>
                  <w:tcW w:w="707" w:type="dxa"/>
                  <w:tcBorders>
                    <w:tl2br w:val="nil"/>
                    <w:tr2bl w:val="nil"/>
                  </w:tcBorders>
                  <w:shd w:val="clear" w:color="auto" w:fill="auto"/>
                  <w:vAlign w:val="center"/>
                </w:tcPr>
                <w:p w14:paraId="33B1F9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147392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42957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36.62</w:t>
                  </w:r>
                </w:p>
              </w:tc>
              <w:tc>
                <w:tcPr>
                  <w:tcW w:w="887" w:type="dxa"/>
                  <w:tcBorders>
                    <w:tl2br w:val="nil"/>
                    <w:tr2bl w:val="nil"/>
                  </w:tcBorders>
                  <w:shd w:val="clear" w:color="auto" w:fill="auto"/>
                  <w:vAlign w:val="center"/>
                </w:tcPr>
                <w:p w14:paraId="4A4195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9F4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DF03C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846" w:type="dxa"/>
                  <w:vMerge w:val="continue"/>
                  <w:tcBorders>
                    <w:tl2br w:val="nil"/>
                    <w:tr2bl w:val="nil"/>
                  </w:tcBorders>
                  <w:shd w:val="clear" w:color="auto" w:fill="auto"/>
                  <w:vAlign w:val="center"/>
                </w:tcPr>
                <w:p w14:paraId="10A3EC4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2790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大圆磨2</w:t>
                  </w:r>
                </w:p>
              </w:tc>
              <w:tc>
                <w:tcPr>
                  <w:tcW w:w="675" w:type="dxa"/>
                  <w:tcBorders>
                    <w:tl2br w:val="nil"/>
                    <w:tr2bl w:val="nil"/>
                  </w:tcBorders>
                  <w:shd w:val="clear" w:color="auto" w:fill="auto"/>
                  <w:vAlign w:val="center"/>
                </w:tcPr>
                <w:p w14:paraId="26ABA6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7286D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5B03150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11E0C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105.19</w:t>
                  </w:r>
                </w:p>
              </w:tc>
              <w:tc>
                <w:tcPr>
                  <w:tcW w:w="876" w:type="dxa"/>
                  <w:tcBorders>
                    <w:tl2br w:val="nil"/>
                    <w:tr2bl w:val="nil"/>
                  </w:tcBorders>
                  <w:shd w:val="clear" w:color="auto" w:fill="auto"/>
                  <w:vAlign w:val="center"/>
                </w:tcPr>
                <w:p w14:paraId="4656DF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205.82</w:t>
                  </w:r>
                </w:p>
              </w:tc>
              <w:tc>
                <w:tcPr>
                  <w:tcW w:w="476" w:type="dxa"/>
                  <w:tcBorders>
                    <w:tl2br w:val="nil"/>
                    <w:tr2bl w:val="nil"/>
                  </w:tcBorders>
                  <w:shd w:val="clear" w:color="auto" w:fill="auto"/>
                  <w:vAlign w:val="center"/>
                </w:tcPr>
                <w:p w14:paraId="608C3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537FE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11.6</w:t>
                  </w:r>
                </w:p>
              </w:tc>
              <w:tc>
                <w:tcPr>
                  <w:tcW w:w="898" w:type="dxa"/>
                  <w:tcBorders>
                    <w:tl2br w:val="nil"/>
                    <w:tr2bl w:val="nil"/>
                  </w:tcBorders>
                  <w:shd w:val="clear" w:color="auto" w:fill="auto"/>
                  <w:vAlign w:val="center"/>
                </w:tcPr>
                <w:p w14:paraId="135354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57.02</w:t>
                  </w:r>
                </w:p>
              </w:tc>
              <w:tc>
                <w:tcPr>
                  <w:tcW w:w="707" w:type="dxa"/>
                  <w:tcBorders>
                    <w:tl2br w:val="nil"/>
                    <w:tr2bl w:val="nil"/>
                  </w:tcBorders>
                  <w:shd w:val="clear" w:color="auto" w:fill="auto"/>
                  <w:vAlign w:val="center"/>
                </w:tcPr>
                <w:p w14:paraId="6D73E9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6F674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427EC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36.02</w:t>
                  </w:r>
                </w:p>
              </w:tc>
              <w:tc>
                <w:tcPr>
                  <w:tcW w:w="887" w:type="dxa"/>
                  <w:tcBorders>
                    <w:tl2br w:val="nil"/>
                    <w:tr2bl w:val="nil"/>
                  </w:tcBorders>
                  <w:shd w:val="clear" w:color="auto" w:fill="auto"/>
                  <w:vAlign w:val="center"/>
                </w:tcPr>
                <w:p w14:paraId="1F3D4A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6D43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0AC1E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846" w:type="dxa"/>
                  <w:vMerge w:val="continue"/>
                  <w:tcBorders>
                    <w:tl2br w:val="nil"/>
                    <w:tr2bl w:val="nil"/>
                  </w:tcBorders>
                  <w:shd w:val="clear" w:color="auto" w:fill="auto"/>
                  <w:vAlign w:val="center"/>
                </w:tcPr>
                <w:p w14:paraId="41FF002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94B5F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大圆磨3</w:t>
                  </w:r>
                </w:p>
              </w:tc>
              <w:tc>
                <w:tcPr>
                  <w:tcW w:w="675" w:type="dxa"/>
                  <w:tcBorders>
                    <w:tl2br w:val="nil"/>
                    <w:tr2bl w:val="nil"/>
                  </w:tcBorders>
                  <w:shd w:val="clear" w:color="auto" w:fill="auto"/>
                  <w:vAlign w:val="center"/>
                </w:tcPr>
                <w:p w14:paraId="501237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2952A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38F41E1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31D7A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107.55</w:t>
                  </w:r>
                </w:p>
              </w:tc>
              <w:tc>
                <w:tcPr>
                  <w:tcW w:w="876" w:type="dxa"/>
                  <w:tcBorders>
                    <w:tl2br w:val="nil"/>
                    <w:tr2bl w:val="nil"/>
                  </w:tcBorders>
                  <w:shd w:val="clear" w:color="auto" w:fill="auto"/>
                  <w:vAlign w:val="center"/>
                </w:tcPr>
                <w:p w14:paraId="2B8227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213.10</w:t>
                  </w:r>
                </w:p>
              </w:tc>
              <w:tc>
                <w:tcPr>
                  <w:tcW w:w="476" w:type="dxa"/>
                  <w:tcBorders>
                    <w:tl2br w:val="nil"/>
                    <w:tr2bl w:val="nil"/>
                  </w:tcBorders>
                  <w:shd w:val="clear" w:color="auto" w:fill="auto"/>
                  <w:vAlign w:val="center"/>
                </w:tcPr>
                <w:p w14:paraId="0C419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1B5F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898" w:type="dxa"/>
                  <w:tcBorders>
                    <w:tl2br w:val="nil"/>
                    <w:tr2bl w:val="nil"/>
                  </w:tcBorders>
                  <w:shd w:val="clear" w:color="auto" w:fill="auto"/>
                  <w:vAlign w:val="center"/>
                </w:tcPr>
                <w:p w14:paraId="74E5A3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56.97</w:t>
                  </w:r>
                </w:p>
              </w:tc>
              <w:tc>
                <w:tcPr>
                  <w:tcW w:w="707" w:type="dxa"/>
                  <w:tcBorders>
                    <w:tl2br w:val="nil"/>
                    <w:tr2bl w:val="nil"/>
                  </w:tcBorders>
                  <w:shd w:val="clear" w:color="auto" w:fill="auto"/>
                  <w:vAlign w:val="center"/>
                </w:tcPr>
                <w:p w14:paraId="32F2BD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4B432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072F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35.97</w:t>
                  </w:r>
                </w:p>
              </w:tc>
              <w:tc>
                <w:tcPr>
                  <w:tcW w:w="887" w:type="dxa"/>
                  <w:tcBorders>
                    <w:tl2br w:val="nil"/>
                    <w:tr2bl w:val="nil"/>
                  </w:tcBorders>
                  <w:shd w:val="clear" w:color="auto" w:fill="auto"/>
                  <w:vAlign w:val="center"/>
                </w:tcPr>
                <w:p w14:paraId="32A132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5972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C695D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846" w:type="dxa"/>
                  <w:vMerge w:val="continue"/>
                  <w:tcBorders>
                    <w:tl2br w:val="nil"/>
                    <w:tr2bl w:val="nil"/>
                  </w:tcBorders>
                  <w:shd w:val="clear" w:color="auto" w:fill="auto"/>
                  <w:vAlign w:val="center"/>
                </w:tcPr>
                <w:p w14:paraId="6C679AF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6317F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大圆磨4</w:t>
                  </w:r>
                </w:p>
              </w:tc>
              <w:tc>
                <w:tcPr>
                  <w:tcW w:w="675" w:type="dxa"/>
                  <w:tcBorders>
                    <w:tl2br w:val="nil"/>
                    <w:tr2bl w:val="nil"/>
                  </w:tcBorders>
                  <w:shd w:val="clear" w:color="auto" w:fill="auto"/>
                  <w:vAlign w:val="center"/>
                </w:tcPr>
                <w:p w14:paraId="53D5C8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A2FA0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633A598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49364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109.56</w:t>
                  </w:r>
                </w:p>
              </w:tc>
              <w:tc>
                <w:tcPr>
                  <w:tcW w:w="876" w:type="dxa"/>
                  <w:tcBorders>
                    <w:tl2br w:val="nil"/>
                    <w:tr2bl w:val="nil"/>
                  </w:tcBorders>
                  <w:shd w:val="clear" w:color="auto" w:fill="auto"/>
                  <w:vAlign w:val="center"/>
                </w:tcPr>
                <w:p w14:paraId="3161BB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220.20</w:t>
                  </w:r>
                </w:p>
              </w:tc>
              <w:tc>
                <w:tcPr>
                  <w:tcW w:w="476" w:type="dxa"/>
                  <w:tcBorders>
                    <w:tl2br w:val="nil"/>
                    <w:tr2bl w:val="nil"/>
                  </w:tcBorders>
                  <w:shd w:val="clear" w:color="auto" w:fill="auto"/>
                  <w:vAlign w:val="center"/>
                </w:tcPr>
                <w:p w14:paraId="62CBA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6073E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12.4</w:t>
                  </w:r>
                </w:p>
              </w:tc>
              <w:tc>
                <w:tcPr>
                  <w:tcW w:w="898" w:type="dxa"/>
                  <w:tcBorders>
                    <w:tl2br w:val="nil"/>
                    <w:tr2bl w:val="nil"/>
                  </w:tcBorders>
                  <w:shd w:val="clear" w:color="auto" w:fill="auto"/>
                  <w:vAlign w:val="center"/>
                </w:tcPr>
                <w:p w14:paraId="1EC54A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56.89</w:t>
                  </w:r>
                </w:p>
              </w:tc>
              <w:tc>
                <w:tcPr>
                  <w:tcW w:w="707" w:type="dxa"/>
                  <w:tcBorders>
                    <w:tl2br w:val="nil"/>
                    <w:tr2bl w:val="nil"/>
                  </w:tcBorders>
                  <w:shd w:val="clear" w:color="auto" w:fill="auto"/>
                  <w:vAlign w:val="center"/>
                </w:tcPr>
                <w:p w14:paraId="64303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4756C6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B7404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35.89</w:t>
                  </w:r>
                </w:p>
              </w:tc>
              <w:tc>
                <w:tcPr>
                  <w:tcW w:w="887" w:type="dxa"/>
                  <w:tcBorders>
                    <w:tl2br w:val="nil"/>
                    <w:tr2bl w:val="nil"/>
                  </w:tcBorders>
                  <w:shd w:val="clear" w:color="auto" w:fill="auto"/>
                  <w:vAlign w:val="center"/>
                </w:tcPr>
                <w:p w14:paraId="4DDCF1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E40A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E8AD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846" w:type="dxa"/>
                  <w:vMerge w:val="continue"/>
                  <w:tcBorders>
                    <w:tl2br w:val="nil"/>
                    <w:tr2bl w:val="nil"/>
                  </w:tcBorders>
                  <w:shd w:val="clear" w:color="auto" w:fill="auto"/>
                  <w:vAlign w:val="center"/>
                </w:tcPr>
                <w:p w14:paraId="65F2130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93B25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大圆磨5</w:t>
                  </w:r>
                </w:p>
              </w:tc>
              <w:tc>
                <w:tcPr>
                  <w:tcW w:w="675" w:type="dxa"/>
                  <w:tcBorders>
                    <w:tl2br w:val="nil"/>
                    <w:tr2bl w:val="nil"/>
                  </w:tcBorders>
                  <w:shd w:val="clear" w:color="auto" w:fill="auto"/>
                  <w:vAlign w:val="center"/>
                </w:tcPr>
                <w:p w14:paraId="2DE8B4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4D0D3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1A6B579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C8E1F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110.83</w:t>
                  </w:r>
                </w:p>
              </w:tc>
              <w:tc>
                <w:tcPr>
                  <w:tcW w:w="876" w:type="dxa"/>
                  <w:tcBorders>
                    <w:tl2br w:val="nil"/>
                    <w:tr2bl w:val="nil"/>
                  </w:tcBorders>
                  <w:shd w:val="clear" w:color="auto" w:fill="auto"/>
                  <w:vAlign w:val="center"/>
                </w:tcPr>
                <w:p w14:paraId="40C58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226.93</w:t>
                  </w:r>
                </w:p>
              </w:tc>
              <w:tc>
                <w:tcPr>
                  <w:tcW w:w="476" w:type="dxa"/>
                  <w:tcBorders>
                    <w:tl2br w:val="nil"/>
                    <w:tr2bl w:val="nil"/>
                  </w:tcBorders>
                  <w:shd w:val="clear" w:color="auto" w:fill="auto"/>
                  <w:vAlign w:val="center"/>
                </w:tcPr>
                <w:p w14:paraId="49C2D7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F11D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898" w:type="dxa"/>
                  <w:tcBorders>
                    <w:tl2br w:val="nil"/>
                    <w:tr2bl w:val="nil"/>
                  </w:tcBorders>
                  <w:shd w:val="clear" w:color="auto" w:fill="auto"/>
                  <w:vAlign w:val="center"/>
                </w:tcPr>
                <w:p w14:paraId="7A7B05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56.88</w:t>
                  </w:r>
                </w:p>
              </w:tc>
              <w:tc>
                <w:tcPr>
                  <w:tcW w:w="707" w:type="dxa"/>
                  <w:tcBorders>
                    <w:tl2br w:val="nil"/>
                    <w:tr2bl w:val="nil"/>
                  </w:tcBorders>
                  <w:shd w:val="clear" w:color="auto" w:fill="auto"/>
                  <w:vAlign w:val="center"/>
                </w:tcPr>
                <w:p w14:paraId="1D5B2B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4FC259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0A5B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35.88</w:t>
                  </w:r>
                </w:p>
              </w:tc>
              <w:tc>
                <w:tcPr>
                  <w:tcW w:w="887" w:type="dxa"/>
                  <w:tcBorders>
                    <w:tl2br w:val="nil"/>
                    <w:tr2bl w:val="nil"/>
                  </w:tcBorders>
                  <w:shd w:val="clear" w:color="auto" w:fill="auto"/>
                  <w:vAlign w:val="center"/>
                </w:tcPr>
                <w:p w14:paraId="0D73E0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937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8E2E4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111</w:t>
                  </w:r>
                </w:p>
              </w:tc>
              <w:tc>
                <w:tcPr>
                  <w:tcW w:w="846" w:type="dxa"/>
                  <w:vMerge w:val="continue"/>
                  <w:tcBorders>
                    <w:tl2br w:val="nil"/>
                    <w:tr2bl w:val="nil"/>
                  </w:tcBorders>
                  <w:shd w:val="clear" w:color="auto" w:fill="auto"/>
                  <w:vAlign w:val="center"/>
                </w:tcPr>
                <w:p w14:paraId="5B81300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8841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大圆磨6</w:t>
                  </w:r>
                </w:p>
              </w:tc>
              <w:tc>
                <w:tcPr>
                  <w:tcW w:w="675" w:type="dxa"/>
                  <w:tcBorders>
                    <w:tl2br w:val="nil"/>
                    <w:tr2bl w:val="nil"/>
                  </w:tcBorders>
                  <w:shd w:val="clear" w:color="auto" w:fill="auto"/>
                  <w:vAlign w:val="center"/>
                </w:tcPr>
                <w:p w14:paraId="4EBFBA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555E4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650F075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BD56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112.29</w:t>
                  </w:r>
                </w:p>
              </w:tc>
              <w:tc>
                <w:tcPr>
                  <w:tcW w:w="876" w:type="dxa"/>
                  <w:tcBorders>
                    <w:tl2br w:val="nil"/>
                    <w:tr2bl w:val="nil"/>
                  </w:tcBorders>
                  <w:shd w:val="clear" w:color="auto" w:fill="auto"/>
                  <w:vAlign w:val="center"/>
                </w:tcPr>
                <w:p w14:paraId="317388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233.85</w:t>
                  </w:r>
                </w:p>
              </w:tc>
              <w:tc>
                <w:tcPr>
                  <w:tcW w:w="476" w:type="dxa"/>
                  <w:tcBorders>
                    <w:tl2br w:val="nil"/>
                    <w:tr2bl w:val="nil"/>
                  </w:tcBorders>
                  <w:shd w:val="clear" w:color="auto" w:fill="auto"/>
                  <w:vAlign w:val="center"/>
                </w:tcPr>
                <w:p w14:paraId="3BD017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D3869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8" w:type="dxa"/>
                  <w:tcBorders>
                    <w:tl2br w:val="nil"/>
                    <w:tr2bl w:val="nil"/>
                  </w:tcBorders>
                  <w:shd w:val="clear" w:color="auto" w:fill="auto"/>
                  <w:vAlign w:val="center"/>
                </w:tcPr>
                <w:p w14:paraId="4D4C87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56.95</w:t>
                  </w:r>
                </w:p>
              </w:tc>
              <w:tc>
                <w:tcPr>
                  <w:tcW w:w="707" w:type="dxa"/>
                  <w:tcBorders>
                    <w:tl2br w:val="nil"/>
                    <w:tr2bl w:val="nil"/>
                  </w:tcBorders>
                  <w:shd w:val="clear" w:color="auto" w:fill="auto"/>
                  <w:vAlign w:val="center"/>
                </w:tcPr>
                <w:p w14:paraId="3EA4B8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5DB25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5464A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35.95</w:t>
                  </w:r>
                </w:p>
              </w:tc>
              <w:tc>
                <w:tcPr>
                  <w:tcW w:w="887" w:type="dxa"/>
                  <w:tcBorders>
                    <w:tl2br w:val="nil"/>
                    <w:tr2bl w:val="nil"/>
                  </w:tcBorders>
                  <w:shd w:val="clear" w:color="auto" w:fill="auto"/>
                  <w:vAlign w:val="center"/>
                </w:tcPr>
                <w:p w14:paraId="2524CB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DC04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7EC04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846" w:type="dxa"/>
                  <w:vMerge w:val="continue"/>
                  <w:tcBorders>
                    <w:tl2br w:val="nil"/>
                    <w:tr2bl w:val="nil"/>
                  </w:tcBorders>
                  <w:shd w:val="clear" w:color="auto" w:fill="auto"/>
                  <w:vAlign w:val="center"/>
                </w:tcPr>
                <w:p w14:paraId="0F568ACF">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59EC5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大圆磨7</w:t>
                  </w:r>
                </w:p>
              </w:tc>
              <w:tc>
                <w:tcPr>
                  <w:tcW w:w="675" w:type="dxa"/>
                  <w:tcBorders>
                    <w:tl2br w:val="nil"/>
                    <w:tr2bl w:val="nil"/>
                  </w:tcBorders>
                  <w:shd w:val="clear" w:color="auto" w:fill="auto"/>
                  <w:vAlign w:val="center"/>
                </w:tcPr>
                <w:p w14:paraId="73586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B7E5E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182AD73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BD0B3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114.29</w:t>
                  </w:r>
                </w:p>
              </w:tc>
              <w:tc>
                <w:tcPr>
                  <w:tcW w:w="876" w:type="dxa"/>
                  <w:tcBorders>
                    <w:tl2br w:val="nil"/>
                    <w:tr2bl w:val="nil"/>
                  </w:tcBorders>
                  <w:shd w:val="clear" w:color="auto" w:fill="auto"/>
                  <w:vAlign w:val="center"/>
                </w:tcPr>
                <w:p w14:paraId="3FC9B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239.31</w:t>
                  </w:r>
                </w:p>
              </w:tc>
              <w:tc>
                <w:tcPr>
                  <w:tcW w:w="476" w:type="dxa"/>
                  <w:tcBorders>
                    <w:tl2br w:val="nil"/>
                    <w:tr2bl w:val="nil"/>
                  </w:tcBorders>
                  <w:shd w:val="clear" w:color="auto" w:fill="auto"/>
                  <w:vAlign w:val="center"/>
                </w:tcPr>
                <w:p w14:paraId="2460FB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2A35F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898" w:type="dxa"/>
                  <w:tcBorders>
                    <w:tl2br w:val="nil"/>
                    <w:tr2bl w:val="nil"/>
                  </w:tcBorders>
                  <w:shd w:val="clear" w:color="auto" w:fill="auto"/>
                  <w:vAlign w:val="center"/>
                </w:tcPr>
                <w:p w14:paraId="5FC3A3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58.40</w:t>
                  </w:r>
                </w:p>
              </w:tc>
              <w:tc>
                <w:tcPr>
                  <w:tcW w:w="707" w:type="dxa"/>
                  <w:tcBorders>
                    <w:tl2br w:val="nil"/>
                    <w:tr2bl w:val="nil"/>
                  </w:tcBorders>
                  <w:shd w:val="clear" w:color="auto" w:fill="auto"/>
                  <w:vAlign w:val="center"/>
                </w:tcPr>
                <w:p w14:paraId="4BEFA7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87BC0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48517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37.40</w:t>
                  </w:r>
                </w:p>
              </w:tc>
              <w:tc>
                <w:tcPr>
                  <w:tcW w:w="887" w:type="dxa"/>
                  <w:tcBorders>
                    <w:tl2br w:val="nil"/>
                    <w:tr2bl w:val="nil"/>
                  </w:tcBorders>
                  <w:shd w:val="clear" w:color="auto" w:fill="auto"/>
                  <w:vAlign w:val="center"/>
                </w:tcPr>
                <w:p w14:paraId="266A8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B7A8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FA06B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846" w:type="dxa"/>
                  <w:vMerge w:val="continue"/>
                  <w:tcBorders>
                    <w:tl2br w:val="nil"/>
                    <w:tr2bl w:val="nil"/>
                  </w:tcBorders>
                  <w:shd w:val="clear" w:color="auto" w:fill="auto"/>
                  <w:vAlign w:val="center"/>
                </w:tcPr>
                <w:p w14:paraId="6137DC4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A3711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大圆磨8</w:t>
                  </w:r>
                </w:p>
              </w:tc>
              <w:tc>
                <w:tcPr>
                  <w:tcW w:w="675" w:type="dxa"/>
                  <w:tcBorders>
                    <w:tl2br w:val="nil"/>
                    <w:tr2bl w:val="nil"/>
                  </w:tcBorders>
                  <w:shd w:val="clear" w:color="auto" w:fill="auto"/>
                  <w:vAlign w:val="center"/>
                </w:tcPr>
                <w:p w14:paraId="51647A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EC827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30E49EB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54ED0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122.66</w:t>
                  </w:r>
                </w:p>
              </w:tc>
              <w:tc>
                <w:tcPr>
                  <w:tcW w:w="876" w:type="dxa"/>
                  <w:tcBorders>
                    <w:tl2br w:val="nil"/>
                    <w:tr2bl w:val="nil"/>
                  </w:tcBorders>
                  <w:shd w:val="clear" w:color="auto" w:fill="auto"/>
                  <w:vAlign w:val="center"/>
                </w:tcPr>
                <w:p w14:paraId="67C51D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236.76</w:t>
                  </w:r>
                </w:p>
              </w:tc>
              <w:tc>
                <w:tcPr>
                  <w:tcW w:w="476" w:type="dxa"/>
                  <w:tcBorders>
                    <w:tl2br w:val="nil"/>
                    <w:tr2bl w:val="nil"/>
                  </w:tcBorders>
                  <w:shd w:val="clear" w:color="auto" w:fill="auto"/>
                  <w:vAlign w:val="center"/>
                </w:tcPr>
                <w:p w14:paraId="61072A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A1F0B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898" w:type="dxa"/>
                  <w:tcBorders>
                    <w:tl2br w:val="nil"/>
                    <w:tr2bl w:val="nil"/>
                  </w:tcBorders>
                  <w:shd w:val="clear" w:color="auto" w:fill="auto"/>
                  <w:vAlign w:val="center"/>
                </w:tcPr>
                <w:p w14:paraId="273F3E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58.40</w:t>
                  </w:r>
                </w:p>
              </w:tc>
              <w:tc>
                <w:tcPr>
                  <w:tcW w:w="707" w:type="dxa"/>
                  <w:tcBorders>
                    <w:tl2br w:val="nil"/>
                    <w:tr2bl w:val="nil"/>
                  </w:tcBorders>
                  <w:shd w:val="clear" w:color="auto" w:fill="auto"/>
                  <w:vAlign w:val="center"/>
                </w:tcPr>
                <w:p w14:paraId="0A7472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FC74A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B206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37.40</w:t>
                  </w:r>
                </w:p>
              </w:tc>
              <w:tc>
                <w:tcPr>
                  <w:tcW w:w="887" w:type="dxa"/>
                  <w:tcBorders>
                    <w:tl2br w:val="nil"/>
                    <w:tr2bl w:val="nil"/>
                  </w:tcBorders>
                  <w:shd w:val="clear" w:color="auto" w:fill="auto"/>
                  <w:vAlign w:val="center"/>
                </w:tcPr>
                <w:p w14:paraId="292AC7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6768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907C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846" w:type="dxa"/>
                  <w:vMerge w:val="continue"/>
                  <w:tcBorders>
                    <w:tl2br w:val="nil"/>
                    <w:tr2bl w:val="nil"/>
                  </w:tcBorders>
                  <w:shd w:val="clear" w:color="auto" w:fill="auto"/>
                  <w:vAlign w:val="center"/>
                </w:tcPr>
                <w:p w14:paraId="303D996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2F743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大圆磨9</w:t>
                  </w:r>
                </w:p>
              </w:tc>
              <w:tc>
                <w:tcPr>
                  <w:tcW w:w="675" w:type="dxa"/>
                  <w:tcBorders>
                    <w:tl2br w:val="nil"/>
                    <w:tr2bl w:val="nil"/>
                  </w:tcBorders>
                  <w:shd w:val="clear" w:color="auto" w:fill="auto"/>
                  <w:vAlign w:val="center"/>
                </w:tcPr>
                <w:p w14:paraId="7F30F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879C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14B5660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6AB08B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129.30</w:t>
                  </w:r>
                </w:p>
              </w:tc>
              <w:tc>
                <w:tcPr>
                  <w:tcW w:w="876" w:type="dxa"/>
                  <w:tcBorders>
                    <w:tl2br w:val="nil"/>
                    <w:tr2bl w:val="nil"/>
                  </w:tcBorders>
                  <w:shd w:val="clear" w:color="auto" w:fill="auto"/>
                  <w:vAlign w:val="center"/>
                </w:tcPr>
                <w:p w14:paraId="390331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233.78</w:t>
                  </w:r>
                </w:p>
              </w:tc>
              <w:tc>
                <w:tcPr>
                  <w:tcW w:w="476" w:type="dxa"/>
                  <w:tcBorders>
                    <w:tl2br w:val="nil"/>
                    <w:tr2bl w:val="nil"/>
                  </w:tcBorders>
                  <w:shd w:val="clear" w:color="auto" w:fill="auto"/>
                  <w:vAlign w:val="center"/>
                </w:tcPr>
                <w:p w14:paraId="4CB893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4806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w:t>
                  </w:r>
                </w:p>
              </w:tc>
              <w:tc>
                <w:tcPr>
                  <w:tcW w:w="898" w:type="dxa"/>
                  <w:tcBorders>
                    <w:tl2br w:val="nil"/>
                    <w:tr2bl w:val="nil"/>
                  </w:tcBorders>
                  <w:shd w:val="clear" w:color="auto" w:fill="auto"/>
                  <w:vAlign w:val="center"/>
                </w:tcPr>
                <w:p w14:paraId="76FA0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57.98</w:t>
                  </w:r>
                </w:p>
              </w:tc>
              <w:tc>
                <w:tcPr>
                  <w:tcW w:w="707" w:type="dxa"/>
                  <w:tcBorders>
                    <w:tl2br w:val="nil"/>
                    <w:tr2bl w:val="nil"/>
                  </w:tcBorders>
                  <w:shd w:val="clear" w:color="auto" w:fill="auto"/>
                  <w:vAlign w:val="center"/>
                </w:tcPr>
                <w:p w14:paraId="6306D0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CEFDB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23856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36.98</w:t>
                  </w:r>
                </w:p>
              </w:tc>
              <w:tc>
                <w:tcPr>
                  <w:tcW w:w="887" w:type="dxa"/>
                  <w:tcBorders>
                    <w:tl2br w:val="nil"/>
                    <w:tr2bl w:val="nil"/>
                  </w:tcBorders>
                  <w:shd w:val="clear" w:color="auto" w:fill="auto"/>
                  <w:vAlign w:val="center"/>
                </w:tcPr>
                <w:p w14:paraId="399DE2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E09D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DAA8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846" w:type="dxa"/>
                  <w:vMerge w:val="continue"/>
                  <w:tcBorders>
                    <w:tl2br w:val="nil"/>
                    <w:tr2bl w:val="nil"/>
                  </w:tcBorders>
                  <w:shd w:val="clear" w:color="auto" w:fill="auto"/>
                  <w:vAlign w:val="center"/>
                </w:tcPr>
                <w:p w14:paraId="2F30EF9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5788C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大圆磨10</w:t>
                  </w:r>
                </w:p>
              </w:tc>
              <w:tc>
                <w:tcPr>
                  <w:tcW w:w="675" w:type="dxa"/>
                  <w:tcBorders>
                    <w:tl2br w:val="nil"/>
                    <w:tr2bl w:val="nil"/>
                  </w:tcBorders>
                  <w:shd w:val="clear" w:color="auto" w:fill="auto"/>
                  <w:vAlign w:val="center"/>
                </w:tcPr>
                <w:p w14:paraId="08CDE4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74C7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618F477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7705E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137.98</w:t>
                  </w:r>
                </w:p>
              </w:tc>
              <w:tc>
                <w:tcPr>
                  <w:tcW w:w="876" w:type="dxa"/>
                  <w:tcBorders>
                    <w:tl2br w:val="nil"/>
                    <w:tr2bl w:val="nil"/>
                  </w:tcBorders>
                  <w:shd w:val="clear" w:color="auto" w:fill="auto"/>
                  <w:vAlign w:val="center"/>
                </w:tcPr>
                <w:p w14:paraId="04B6B3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230.58</w:t>
                  </w:r>
                </w:p>
              </w:tc>
              <w:tc>
                <w:tcPr>
                  <w:tcW w:w="476" w:type="dxa"/>
                  <w:tcBorders>
                    <w:tl2br w:val="nil"/>
                    <w:tr2bl w:val="nil"/>
                  </w:tcBorders>
                  <w:shd w:val="clear" w:color="auto" w:fill="auto"/>
                  <w:vAlign w:val="center"/>
                </w:tcPr>
                <w:p w14:paraId="76C83D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99202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w:t>
                  </w:r>
                </w:p>
              </w:tc>
              <w:tc>
                <w:tcPr>
                  <w:tcW w:w="898" w:type="dxa"/>
                  <w:tcBorders>
                    <w:tl2br w:val="nil"/>
                    <w:tr2bl w:val="nil"/>
                  </w:tcBorders>
                  <w:shd w:val="clear" w:color="auto" w:fill="auto"/>
                  <w:vAlign w:val="center"/>
                </w:tcPr>
                <w:p w14:paraId="7DD4D2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57.71</w:t>
                  </w:r>
                </w:p>
              </w:tc>
              <w:tc>
                <w:tcPr>
                  <w:tcW w:w="707" w:type="dxa"/>
                  <w:tcBorders>
                    <w:tl2br w:val="nil"/>
                    <w:tr2bl w:val="nil"/>
                  </w:tcBorders>
                  <w:shd w:val="clear" w:color="auto" w:fill="auto"/>
                  <w:vAlign w:val="center"/>
                </w:tcPr>
                <w:p w14:paraId="44955A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D5510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ADF51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36.71</w:t>
                  </w:r>
                </w:p>
              </w:tc>
              <w:tc>
                <w:tcPr>
                  <w:tcW w:w="887" w:type="dxa"/>
                  <w:tcBorders>
                    <w:tl2br w:val="nil"/>
                    <w:tr2bl w:val="nil"/>
                  </w:tcBorders>
                  <w:shd w:val="clear" w:color="auto" w:fill="auto"/>
                  <w:vAlign w:val="center"/>
                </w:tcPr>
                <w:p w14:paraId="5E759F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18E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2119E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846" w:type="dxa"/>
                  <w:vMerge w:val="continue"/>
                  <w:tcBorders>
                    <w:tl2br w:val="nil"/>
                    <w:tr2bl w:val="nil"/>
                  </w:tcBorders>
                  <w:shd w:val="clear" w:color="auto" w:fill="auto"/>
                  <w:vAlign w:val="center"/>
                </w:tcPr>
                <w:p w14:paraId="0849FA7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021A7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大圆磨11</w:t>
                  </w:r>
                </w:p>
              </w:tc>
              <w:tc>
                <w:tcPr>
                  <w:tcW w:w="675" w:type="dxa"/>
                  <w:tcBorders>
                    <w:tl2br w:val="nil"/>
                    <w:tr2bl w:val="nil"/>
                  </w:tcBorders>
                  <w:shd w:val="clear" w:color="auto" w:fill="auto"/>
                  <w:vAlign w:val="center"/>
                </w:tcPr>
                <w:p w14:paraId="03C29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409A6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350AC28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0989A4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146.94</w:t>
                  </w:r>
                </w:p>
              </w:tc>
              <w:tc>
                <w:tcPr>
                  <w:tcW w:w="876" w:type="dxa"/>
                  <w:tcBorders>
                    <w:tl2br w:val="nil"/>
                    <w:tr2bl w:val="nil"/>
                  </w:tcBorders>
                  <w:shd w:val="clear" w:color="auto" w:fill="auto"/>
                  <w:vAlign w:val="center"/>
                </w:tcPr>
                <w:p w14:paraId="3E92E4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227.31</w:t>
                  </w:r>
                </w:p>
              </w:tc>
              <w:tc>
                <w:tcPr>
                  <w:tcW w:w="476" w:type="dxa"/>
                  <w:tcBorders>
                    <w:tl2br w:val="nil"/>
                    <w:tr2bl w:val="nil"/>
                  </w:tcBorders>
                  <w:shd w:val="clear" w:color="auto" w:fill="auto"/>
                  <w:vAlign w:val="center"/>
                </w:tcPr>
                <w:p w14:paraId="02AB4B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2E336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w:t>
                  </w:r>
                </w:p>
              </w:tc>
              <w:tc>
                <w:tcPr>
                  <w:tcW w:w="898" w:type="dxa"/>
                  <w:tcBorders>
                    <w:tl2br w:val="nil"/>
                    <w:tr2bl w:val="nil"/>
                  </w:tcBorders>
                  <w:shd w:val="clear" w:color="auto" w:fill="auto"/>
                  <w:vAlign w:val="center"/>
                </w:tcPr>
                <w:p w14:paraId="4F5B0E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57.52</w:t>
                  </w:r>
                </w:p>
              </w:tc>
              <w:tc>
                <w:tcPr>
                  <w:tcW w:w="707" w:type="dxa"/>
                  <w:tcBorders>
                    <w:tl2br w:val="nil"/>
                    <w:tr2bl w:val="nil"/>
                  </w:tcBorders>
                  <w:shd w:val="clear" w:color="auto" w:fill="auto"/>
                  <w:vAlign w:val="center"/>
                </w:tcPr>
                <w:p w14:paraId="1D9F9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8F11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A2FB6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36.52</w:t>
                  </w:r>
                </w:p>
              </w:tc>
              <w:tc>
                <w:tcPr>
                  <w:tcW w:w="887" w:type="dxa"/>
                  <w:tcBorders>
                    <w:tl2br w:val="nil"/>
                    <w:tr2bl w:val="nil"/>
                  </w:tcBorders>
                  <w:shd w:val="clear" w:color="auto" w:fill="auto"/>
                  <w:vAlign w:val="center"/>
                </w:tcPr>
                <w:p w14:paraId="7E79B9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B8FD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7002E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846" w:type="dxa"/>
                  <w:vMerge w:val="continue"/>
                  <w:tcBorders>
                    <w:tl2br w:val="nil"/>
                    <w:tr2bl w:val="nil"/>
                  </w:tcBorders>
                  <w:shd w:val="clear" w:color="auto" w:fill="auto"/>
                  <w:vAlign w:val="center"/>
                </w:tcPr>
                <w:p w14:paraId="51318346">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121E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大圆磨12</w:t>
                  </w:r>
                </w:p>
              </w:tc>
              <w:tc>
                <w:tcPr>
                  <w:tcW w:w="675" w:type="dxa"/>
                  <w:tcBorders>
                    <w:tl2br w:val="nil"/>
                    <w:tr2bl w:val="nil"/>
                  </w:tcBorders>
                  <w:shd w:val="clear" w:color="auto" w:fill="auto"/>
                  <w:vAlign w:val="center"/>
                </w:tcPr>
                <w:p w14:paraId="7898D8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68C56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2C8C973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5034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155.26</w:t>
                  </w:r>
                </w:p>
              </w:tc>
              <w:tc>
                <w:tcPr>
                  <w:tcW w:w="876" w:type="dxa"/>
                  <w:tcBorders>
                    <w:tl2br w:val="nil"/>
                    <w:tr2bl w:val="nil"/>
                  </w:tcBorders>
                  <w:shd w:val="clear" w:color="auto" w:fill="auto"/>
                  <w:vAlign w:val="center"/>
                </w:tcPr>
                <w:p w14:paraId="681831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225.39</w:t>
                  </w:r>
                </w:p>
              </w:tc>
              <w:tc>
                <w:tcPr>
                  <w:tcW w:w="476" w:type="dxa"/>
                  <w:tcBorders>
                    <w:tl2br w:val="nil"/>
                    <w:tr2bl w:val="nil"/>
                  </w:tcBorders>
                  <w:shd w:val="clear" w:color="auto" w:fill="auto"/>
                  <w:vAlign w:val="center"/>
                </w:tcPr>
                <w:p w14:paraId="1FE3A9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5F97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898" w:type="dxa"/>
                  <w:tcBorders>
                    <w:tl2br w:val="nil"/>
                    <w:tr2bl w:val="nil"/>
                  </w:tcBorders>
                  <w:shd w:val="clear" w:color="auto" w:fill="auto"/>
                  <w:vAlign w:val="center"/>
                </w:tcPr>
                <w:p w14:paraId="18DFFB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57.79</w:t>
                  </w:r>
                </w:p>
              </w:tc>
              <w:tc>
                <w:tcPr>
                  <w:tcW w:w="707" w:type="dxa"/>
                  <w:tcBorders>
                    <w:tl2br w:val="nil"/>
                    <w:tr2bl w:val="nil"/>
                  </w:tcBorders>
                  <w:shd w:val="clear" w:color="auto" w:fill="auto"/>
                  <w:vAlign w:val="center"/>
                </w:tcPr>
                <w:p w14:paraId="53D1D3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A2A62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E0A3E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36.79</w:t>
                  </w:r>
                </w:p>
              </w:tc>
              <w:tc>
                <w:tcPr>
                  <w:tcW w:w="887" w:type="dxa"/>
                  <w:tcBorders>
                    <w:tl2br w:val="nil"/>
                    <w:tr2bl w:val="nil"/>
                  </w:tcBorders>
                  <w:shd w:val="clear" w:color="auto" w:fill="auto"/>
                  <w:vAlign w:val="center"/>
                </w:tcPr>
                <w:p w14:paraId="2CCA69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6760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C7683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846" w:type="dxa"/>
                  <w:vMerge w:val="continue"/>
                  <w:tcBorders>
                    <w:tl2br w:val="nil"/>
                    <w:tr2bl w:val="nil"/>
                  </w:tcBorders>
                  <w:shd w:val="clear" w:color="auto" w:fill="auto"/>
                  <w:vAlign w:val="center"/>
                </w:tcPr>
                <w:p w14:paraId="6BDB596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14DAF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大圆磨13</w:t>
                  </w:r>
                </w:p>
              </w:tc>
              <w:tc>
                <w:tcPr>
                  <w:tcW w:w="675" w:type="dxa"/>
                  <w:tcBorders>
                    <w:tl2br w:val="nil"/>
                    <w:tr2bl w:val="nil"/>
                  </w:tcBorders>
                  <w:shd w:val="clear" w:color="auto" w:fill="auto"/>
                  <w:vAlign w:val="center"/>
                </w:tcPr>
                <w:p w14:paraId="4AD29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8486C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1A31CC5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2DE6C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164.30</w:t>
                  </w:r>
                </w:p>
              </w:tc>
              <w:tc>
                <w:tcPr>
                  <w:tcW w:w="876" w:type="dxa"/>
                  <w:tcBorders>
                    <w:tl2br w:val="nil"/>
                    <w:tr2bl w:val="nil"/>
                  </w:tcBorders>
                  <w:shd w:val="clear" w:color="auto" w:fill="auto"/>
                  <w:vAlign w:val="center"/>
                </w:tcPr>
                <w:p w14:paraId="23B1FE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223.00</w:t>
                  </w:r>
                </w:p>
              </w:tc>
              <w:tc>
                <w:tcPr>
                  <w:tcW w:w="476" w:type="dxa"/>
                  <w:tcBorders>
                    <w:tl2br w:val="nil"/>
                    <w:tr2bl w:val="nil"/>
                  </w:tcBorders>
                  <w:shd w:val="clear" w:color="auto" w:fill="auto"/>
                  <w:vAlign w:val="center"/>
                </w:tcPr>
                <w:p w14:paraId="57D687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7548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898" w:type="dxa"/>
                  <w:tcBorders>
                    <w:tl2br w:val="nil"/>
                    <w:tr2bl w:val="nil"/>
                  </w:tcBorders>
                  <w:shd w:val="clear" w:color="auto" w:fill="auto"/>
                  <w:vAlign w:val="center"/>
                </w:tcPr>
                <w:p w14:paraId="7739E8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57.79</w:t>
                  </w:r>
                </w:p>
              </w:tc>
              <w:tc>
                <w:tcPr>
                  <w:tcW w:w="707" w:type="dxa"/>
                  <w:tcBorders>
                    <w:tl2br w:val="nil"/>
                    <w:tr2bl w:val="nil"/>
                  </w:tcBorders>
                  <w:shd w:val="clear" w:color="auto" w:fill="auto"/>
                  <w:vAlign w:val="center"/>
                </w:tcPr>
                <w:p w14:paraId="5541C2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5A090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76154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36.79</w:t>
                  </w:r>
                </w:p>
              </w:tc>
              <w:tc>
                <w:tcPr>
                  <w:tcW w:w="887" w:type="dxa"/>
                  <w:tcBorders>
                    <w:tl2br w:val="nil"/>
                    <w:tr2bl w:val="nil"/>
                  </w:tcBorders>
                  <w:shd w:val="clear" w:color="auto" w:fill="auto"/>
                  <w:vAlign w:val="center"/>
                </w:tcPr>
                <w:p w14:paraId="67AECA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C1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92264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846" w:type="dxa"/>
                  <w:vMerge w:val="continue"/>
                  <w:tcBorders>
                    <w:tl2br w:val="nil"/>
                    <w:tr2bl w:val="nil"/>
                  </w:tcBorders>
                  <w:shd w:val="clear" w:color="auto" w:fill="auto"/>
                  <w:vAlign w:val="center"/>
                </w:tcPr>
                <w:p w14:paraId="12A74FD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6C863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大圆磨14</w:t>
                  </w:r>
                </w:p>
              </w:tc>
              <w:tc>
                <w:tcPr>
                  <w:tcW w:w="675" w:type="dxa"/>
                  <w:tcBorders>
                    <w:tl2br w:val="nil"/>
                    <w:tr2bl w:val="nil"/>
                  </w:tcBorders>
                  <w:shd w:val="clear" w:color="auto" w:fill="auto"/>
                  <w:vAlign w:val="center"/>
                </w:tcPr>
                <w:p w14:paraId="5DC7B9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4E22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0F3B211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D6AFC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171.36</w:t>
                  </w:r>
                </w:p>
              </w:tc>
              <w:tc>
                <w:tcPr>
                  <w:tcW w:w="876" w:type="dxa"/>
                  <w:tcBorders>
                    <w:tl2br w:val="nil"/>
                    <w:tr2bl w:val="nil"/>
                  </w:tcBorders>
                  <w:shd w:val="clear" w:color="auto" w:fill="auto"/>
                  <w:vAlign w:val="center"/>
                </w:tcPr>
                <w:p w14:paraId="1FDDF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220.72</w:t>
                  </w:r>
                </w:p>
              </w:tc>
              <w:tc>
                <w:tcPr>
                  <w:tcW w:w="476" w:type="dxa"/>
                  <w:tcBorders>
                    <w:tl2br w:val="nil"/>
                    <w:tr2bl w:val="nil"/>
                  </w:tcBorders>
                  <w:shd w:val="clear" w:color="auto" w:fill="auto"/>
                  <w:vAlign w:val="center"/>
                </w:tcPr>
                <w:p w14:paraId="4FB6BE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2CD04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w:t>
                  </w:r>
                </w:p>
              </w:tc>
              <w:tc>
                <w:tcPr>
                  <w:tcW w:w="898" w:type="dxa"/>
                  <w:tcBorders>
                    <w:tl2br w:val="nil"/>
                    <w:tr2bl w:val="nil"/>
                  </w:tcBorders>
                  <w:shd w:val="clear" w:color="auto" w:fill="auto"/>
                  <w:vAlign w:val="center"/>
                </w:tcPr>
                <w:p w14:paraId="6A5A0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57.75</w:t>
                  </w:r>
                </w:p>
              </w:tc>
              <w:tc>
                <w:tcPr>
                  <w:tcW w:w="707" w:type="dxa"/>
                  <w:tcBorders>
                    <w:tl2br w:val="nil"/>
                    <w:tr2bl w:val="nil"/>
                  </w:tcBorders>
                  <w:shd w:val="clear" w:color="auto" w:fill="auto"/>
                  <w:vAlign w:val="center"/>
                </w:tcPr>
                <w:p w14:paraId="4AFC8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A2481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5D2E5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36.75</w:t>
                  </w:r>
                </w:p>
              </w:tc>
              <w:tc>
                <w:tcPr>
                  <w:tcW w:w="887" w:type="dxa"/>
                  <w:tcBorders>
                    <w:tl2br w:val="nil"/>
                    <w:tr2bl w:val="nil"/>
                  </w:tcBorders>
                  <w:shd w:val="clear" w:color="auto" w:fill="auto"/>
                  <w:vAlign w:val="center"/>
                </w:tcPr>
                <w:p w14:paraId="335E20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C35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089CF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846" w:type="dxa"/>
                  <w:vMerge w:val="continue"/>
                  <w:tcBorders>
                    <w:tl2br w:val="nil"/>
                    <w:tr2bl w:val="nil"/>
                  </w:tcBorders>
                  <w:shd w:val="clear" w:color="auto" w:fill="auto"/>
                  <w:vAlign w:val="center"/>
                </w:tcPr>
                <w:p w14:paraId="0EC5D97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17440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大圆磨15</w:t>
                  </w:r>
                </w:p>
              </w:tc>
              <w:tc>
                <w:tcPr>
                  <w:tcW w:w="675" w:type="dxa"/>
                  <w:tcBorders>
                    <w:tl2br w:val="nil"/>
                    <w:tr2bl w:val="nil"/>
                  </w:tcBorders>
                  <w:shd w:val="clear" w:color="auto" w:fill="auto"/>
                  <w:vAlign w:val="center"/>
                </w:tcPr>
                <w:p w14:paraId="3981D7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7EB5A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4F8D391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0799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178.64</w:t>
                  </w:r>
                </w:p>
              </w:tc>
              <w:tc>
                <w:tcPr>
                  <w:tcW w:w="876" w:type="dxa"/>
                  <w:tcBorders>
                    <w:tl2br w:val="nil"/>
                    <w:tr2bl w:val="nil"/>
                  </w:tcBorders>
                  <w:shd w:val="clear" w:color="auto" w:fill="auto"/>
                  <w:vAlign w:val="center"/>
                </w:tcPr>
                <w:p w14:paraId="575270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218.68</w:t>
                  </w:r>
                </w:p>
              </w:tc>
              <w:tc>
                <w:tcPr>
                  <w:tcW w:w="476" w:type="dxa"/>
                  <w:tcBorders>
                    <w:tl2br w:val="nil"/>
                    <w:tr2bl w:val="nil"/>
                  </w:tcBorders>
                  <w:shd w:val="clear" w:color="auto" w:fill="auto"/>
                  <w:vAlign w:val="center"/>
                </w:tcPr>
                <w:p w14:paraId="7B12A1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06B0B7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898" w:type="dxa"/>
                  <w:tcBorders>
                    <w:tl2br w:val="nil"/>
                    <w:tr2bl w:val="nil"/>
                  </w:tcBorders>
                  <w:shd w:val="clear" w:color="auto" w:fill="auto"/>
                  <w:vAlign w:val="center"/>
                </w:tcPr>
                <w:p w14:paraId="4C8D7A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57.68</w:t>
                  </w:r>
                </w:p>
              </w:tc>
              <w:tc>
                <w:tcPr>
                  <w:tcW w:w="707" w:type="dxa"/>
                  <w:tcBorders>
                    <w:tl2br w:val="nil"/>
                    <w:tr2bl w:val="nil"/>
                  </w:tcBorders>
                  <w:shd w:val="clear" w:color="auto" w:fill="auto"/>
                  <w:vAlign w:val="center"/>
                </w:tcPr>
                <w:p w14:paraId="70BDBC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96AFB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ECEB4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36.68</w:t>
                  </w:r>
                </w:p>
              </w:tc>
              <w:tc>
                <w:tcPr>
                  <w:tcW w:w="887" w:type="dxa"/>
                  <w:tcBorders>
                    <w:tl2br w:val="nil"/>
                    <w:tr2bl w:val="nil"/>
                  </w:tcBorders>
                  <w:shd w:val="clear" w:color="auto" w:fill="auto"/>
                  <w:vAlign w:val="center"/>
                </w:tcPr>
                <w:p w14:paraId="5FEEA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F82C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2F17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846" w:type="dxa"/>
                  <w:vMerge w:val="continue"/>
                  <w:tcBorders>
                    <w:tl2br w:val="nil"/>
                    <w:tr2bl w:val="nil"/>
                  </w:tcBorders>
                  <w:shd w:val="clear" w:color="auto" w:fill="auto"/>
                  <w:vAlign w:val="center"/>
                </w:tcPr>
                <w:p w14:paraId="6727CAE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D8BE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大圆磨16</w:t>
                  </w:r>
                </w:p>
              </w:tc>
              <w:tc>
                <w:tcPr>
                  <w:tcW w:w="675" w:type="dxa"/>
                  <w:tcBorders>
                    <w:tl2br w:val="nil"/>
                    <w:tr2bl w:val="nil"/>
                  </w:tcBorders>
                  <w:shd w:val="clear" w:color="auto" w:fill="auto"/>
                  <w:vAlign w:val="center"/>
                </w:tcPr>
                <w:p w14:paraId="6D8433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DF1EA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57F8E49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3D5EEF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184.90</w:t>
                  </w:r>
                </w:p>
              </w:tc>
              <w:tc>
                <w:tcPr>
                  <w:tcW w:w="876" w:type="dxa"/>
                  <w:tcBorders>
                    <w:tl2br w:val="nil"/>
                    <w:tr2bl w:val="nil"/>
                  </w:tcBorders>
                  <w:shd w:val="clear" w:color="auto" w:fill="auto"/>
                  <w:vAlign w:val="center"/>
                </w:tcPr>
                <w:p w14:paraId="7B7E44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216.52</w:t>
                  </w:r>
                </w:p>
              </w:tc>
              <w:tc>
                <w:tcPr>
                  <w:tcW w:w="476" w:type="dxa"/>
                  <w:tcBorders>
                    <w:tl2br w:val="nil"/>
                    <w:tr2bl w:val="nil"/>
                  </w:tcBorders>
                  <w:shd w:val="clear" w:color="auto" w:fill="auto"/>
                  <w:vAlign w:val="center"/>
                </w:tcPr>
                <w:p w14:paraId="59F1BC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9EE9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898" w:type="dxa"/>
                  <w:tcBorders>
                    <w:tl2br w:val="nil"/>
                    <w:tr2bl w:val="nil"/>
                  </w:tcBorders>
                  <w:shd w:val="clear" w:color="auto" w:fill="auto"/>
                  <w:vAlign w:val="center"/>
                </w:tcPr>
                <w:p w14:paraId="12DD3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57.65</w:t>
                  </w:r>
                </w:p>
              </w:tc>
              <w:tc>
                <w:tcPr>
                  <w:tcW w:w="707" w:type="dxa"/>
                  <w:tcBorders>
                    <w:tl2br w:val="nil"/>
                    <w:tr2bl w:val="nil"/>
                  </w:tcBorders>
                  <w:shd w:val="clear" w:color="auto" w:fill="auto"/>
                  <w:vAlign w:val="center"/>
                </w:tcPr>
                <w:p w14:paraId="32FE2D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1CF2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6B72A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36.65</w:t>
                  </w:r>
                </w:p>
              </w:tc>
              <w:tc>
                <w:tcPr>
                  <w:tcW w:w="887" w:type="dxa"/>
                  <w:tcBorders>
                    <w:tl2br w:val="nil"/>
                    <w:tr2bl w:val="nil"/>
                  </w:tcBorders>
                  <w:shd w:val="clear" w:color="auto" w:fill="auto"/>
                  <w:vAlign w:val="center"/>
                </w:tcPr>
                <w:p w14:paraId="20988F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D2C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AEF85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846" w:type="dxa"/>
                  <w:vMerge w:val="continue"/>
                  <w:tcBorders>
                    <w:tl2br w:val="nil"/>
                    <w:tr2bl w:val="nil"/>
                  </w:tcBorders>
                  <w:shd w:val="clear" w:color="auto" w:fill="auto"/>
                  <w:vAlign w:val="center"/>
                </w:tcPr>
                <w:p w14:paraId="2D8BC9D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7196E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剪边机1</w:t>
                  </w:r>
                </w:p>
              </w:tc>
              <w:tc>
                <w:tcPr>
                  <w:tcW w:w="675" w:type="dxa"/>
                  <w:tcBorders>
                    <w:tl2br w:val="nil"/>
                    <w:tr2bl w:val="nil"/>
                  </w:tcBorders>
                  <w:shd w:val="clear" w:color="auto" w:fill="auto"/>
                  <w:vAlign w:val="center"/>
                </w:tcPr>
                <w:p w14:paraId="7E0850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CFA82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51A301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4AEFE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110.76</w:t>
                  </w:r>
                </w:p>
              </w:tc>
              <w:tc>
                <w:tcPr>
                  <w:tcW w:w="876" w:type="dxa"/>
                  <w:tcBorders>
                    <w:tl2br w:val="nil"/>
                    <w:tr2bl w:val="nil"/>
                  </w:tcBorders>
                  <w:shd w:val="clear" w:color="auto" w:fill="auto"/>
                  <w:vAlign w:val="center"/>
                </w:tcPr>
                <w:p w14:paraId="234D00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198.31</w:t>
                  </w:r>
                </w:p>
              </w:tc>
              <w:tc>
                <w:tcPr>
                  <w:tcW w:w="476" w:type="dxa"/>
                  <w:tcBorders>
                    <w:tl2br w:val="nil"/>
                    <w:tr2bl w:val="nil"/>
                  </w:tcBorders>
                  <w:shd w:val="clear" w:color="auto" w:fill="auto"/>
                  <w:vAlign w:val="center"/>
                </w:tcPr>
                <w:p w14:paraId="493F3A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262B4D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898" w:type="dxa"/>
                  <w:tcBorders>
                    <w:tl2br w:val="nil"/>
                    <w:tr2bl w:val="nil"/>
                  </w:tcBorders>
                  <w:shd w:val="clear" w:color="auto" w:fill="auto"/>
                  <w:vAlign w:val="center"/>
                </w:tcPr>
                <w:p w14:paraId="409CE4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47.04</w:t>
                  </w:r>
                </w:p>
              </w:tc>
              <w:tc>
                <w:tcPr>
                  <w:tcW w:w="707" w:type="dxa"/>
                  <w:tcBorders>
                    <w:tl2br w:val="nil"/>
                    <w:tr2bl w:val="nil"/>
                  </w:tcBorders>
                  <w:shd w:val="clear" w:color="auto" w:fill="auto"/>
                  <w:vAlign w:val="center"/>
                </w:tcPr>
                <w:p w14:paraId="419C21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E5B67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A3D9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26.04</w:t>
                  </w:r>
                </w:p>
              </w:tc>
              <w:tc>
                <w:tcPr>
                  <w:tcW w:w="887" w:type="dxa"/>
                  <w:tcBorders>
                    <w:tl2br w:val="nil"/>
                    <w:tr2bl w:val="nil"/>
                  </w:tcBorders>
                  <w:shd w:val="clear" w:color="auto" w:fill="auto"/>
                  <w:vAlign w:val="center"/>
                </w:tcPr>
                <w:p w14:paraId="4E5AA0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16C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0D3B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846" w:type="dxa"/>
                  <w:vMerge w:val="continue"/>
                  <w:tcBorders>
                    <w:tl2br w:val="nil"/>
                    <w:tr2bl w:val="nil"/>
                  </w:tcBorders>
                  <w:shd w:val="clear" w:color="auto" w:fill="auto"/>
                  <w:vAlign w:val="center"/>
                </w:tcPr>
                <w:p w14:paraId="21D2746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A4580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剪边机2</w:t>
                  </w:r>
                </w:p>
              </w:tc>
              <w:tc>
                <w:tcPr>
                  <w:tcW w:w="675" w:type="dxa"/>
                  <w:tcBorders>
                    <w:tl2br w:val="nil"/>
                    <w:tr2bl w:val="nil"/>
                  </w:tcBorders>
                  <w:shd w:val="clear" w:color="auto" w:fill="auto"/>
                  <w:vAlign w:val="center"/>
                </w:tcPr>
                <w:p w14:paraId="03F86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F2C43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94AAF0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vAlign w:val="center"/>
                </w:tcPr>
                <w:p w14:paraId="5E2542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114.29</w:t>
                  </w:r>
                </w:p>
              </w:tc>
              <w:tc>
                <w:tcPr>
                  <w:tcW w:w="876" w:type="dxa"/>
                  <w:tcBorders>
                    <w:tl2br w:val="nil"/>
                    <w:tr2bl w:val="nil"/>
                  </w:tcBorders>
                  <w:shd w:val="clear" w:color="auto" w:fill="auto"/>
                  <w:vAlign w:val="center"/>
                </w:tcPr>
                <w:p w14:paraId="3D0AFD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209.80</w:t>
                  </w:r>
                </w:p>
              </w:tc>
              <w:tc>
                <w:tcPr>
                  <w:tcW w:w="476" w:type="dxa"/>
                  <w:tcBorders>
                    <w:tl2br w:val="nil"/>
                    <w:tr2bl w:val="nil"/>
                  </w:tcBorders>
                  <w:shd w:val="clear" w:color="auto" w:fill="auto"/>
                  <w:vAlign w:val="center"/>
                </w:tcPr>
                <w:p w14:paraId="7DA45E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6440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19.5</w:t>
                  </w:r>
                </w:p>
              </w:tc>
              <w:tc>
                <w:tcPr>
                  <w:tcW w:w="898" w:type="dxa"/>
                  <w:tcBorders>
                    <w:tl2br w:val="nil"/>
                    <w:tr2bl w:val="nil"/>
                  </w:tcBorders>
                  <w:shd w:val="clear" w:color="auto" w:fill="auto"/>
                  <w:vAlign w:val="center"/>
                </w:tcPr>
                <w:p w14:paraId="02E2DA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46.31</w:t>
                  </w:r>
                </w:p>
              </w:tc>
              <w:tc>
                <w:tcPr>
                  <w:tcW w:w="707" w:type="dxa"/>
                  <w:tcBorders>
                    <w:tl2br w:val="nil"/>
                    <w:tr2bl w:val="nil"/>
                  </w:tcBorders>
                  <w:shd w:val="clear" w:color="auto" w:fill="auto"/>
                  <w:vAlign w:val="center"/>
                </w:tcPr>
                <w:p w14:paraId="4EC2AB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F9A13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B41B7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25.31</w:t>
                  </w:r>
                </w:p>
              </w:tc>
              <w:tc>
                <w:tcPr>
                  <w:tcW w:w="887" w:type="dxa"/>
                  <w:tcBorders>
                    <w:tl2br w:val="nil"/>
                    <w:tr2bl w:val="nil"/>
                  </w:tcBorders>
                  <w:shd w:val="clear" w:color="auto" w:fill="auto"/>
                  <w:vAlign w:val="center"/>
                </w:tcPr>
                <w:p w14:paraId="45D6F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3E1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7D0AB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846" w:type="dxa"/>
                  <w:vMerge w:val="continue"/>
                  <w:tcBorders>
                    <w:tl2br w:val="nil"/>
                    <w:tr2bl w:val="nil"/>
                  </w:tcBorders>
                  <w:shd w:val="clear" w:color="auto" w:fill="auto"/>
                  <w:vAlign w:val="center"/>
                </w:tcPr>
                <w:p w14:paraId="015BD47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C8FF1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剪边机3</w:t>
                  </w:r>
                </w:p>
              </w:tc>
              <w:tc>
                <w:tcPr>
                  <w:tcW w:w="675" w:type="dxa"/>
                  <w:tcBorders>
                    <w:tl2br w:val="nil"/>
                    <w:tr2bl w:val="nil"/>
                  </w:tcBorders>
                  <w:shd w:val="clear" w:color="auto" w:fill="auto"/>
                  <w:vAlign w:val="center"/>
                </w:tcPr>
                <w:p w14:paraId="52A625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5A92E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89ECE6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548A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118.73</w:t>
                  </w:r>
                </w:p>
              </w:tc>
              <w:tc>
                <w:tcPr>
                  <w:tcW w:w="876" w:type="dxa"/>
                  <w:tcBorders>
                    <w:tl2br w:val="nil"/>
                    <w:tr2bl w:val="nil"/>
                  </w:tcBorders>
                  <w:shd w:val="clear" w:color="auto" w:fill="auto"/>
                  <w:noWrap/>
                  <w:vAlign w:val="center"/>
                </w:tcPr>
                <w:p w14:paraId="373DB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216.17</w:t>
                  </w:r>
                </w:p>
              </w:tc>
              <w:tc>
                <w:tcPr>
                  <w:tcW w:w="476" w:type="dxa"/>
                  <w:tcBorders>
                    <w:tl2br w:val="nil"/>
                    <w:tr2bl w:val="nil"/>
                  </w:tcBorders>
                  <w:shd w:val="clear" w:color="auto" w:fill="auto"/>
                  <w:vAlign w:val="center"/>
                </w:tcPr>
                <w:p w14:paraId="1E29B5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3AFBC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898" w:type="dxa"/>
                  <w:tcBorders>
                    <w:tl2br w:val="nil"/>
                    <w:tr2bl w:val="nil"/>
                  </w:tcBorders>
                  <w:shd w:val="clear" w:color="auto" w:fill="auto"/>
                  <w:vAlign w:val="center"/>
                </w:tcPr>
                <w:p w14:paraId="3E314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46.20</w:t>
                  </w:r>
                </w:p>
              </w:tc>
              <w:tc>
                <w:tcPr>
                  <w:tcW w:w="707" w:type="dxa"/>
                  <w:tcBorders>
                    <w:tl2br w:val="nil"/>
                    <w:tr2bl w:val="nil"/>
                  </w:tcBorders>
                  <w:shd w:val="clear" w:color="auto" w:fill="auto"/>
                  <w:vAlign w:val="center"/>
                </w:tcPr>
                <w:p w14:paraId="53C348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2643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4A178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25.20</w:t>
                  </w:r>
                </w:p>
              </w:tc>
              <w:tc>
                <w:tcPr>
                  <w:tcW w:w="887" w:type="dxa"/>
                  <w:tcBorders>
                    <w:tl2br w:val="nil"/>
                    <w:tr2bl w:val="nil"/>
                  </w:tcBorders>
                  <w:shd w:val="clear" w:color="auto" w:fill="auto"/>
                  <w:vAlign w:val="center"/>
                </w:tcPr>
                <w:p w14:paraId="23981C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AB27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3A5B6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846" w:type="dxa"/>
                  <w:vMerge w:val="continue"/>
                  <w:tcBorders>
                    <w:tl2br w:val="nil"/>
                    <w:tr2bl w:val="nil"/>
                  </w:tcBorders>
                  <w:shd w:val="clear" w:color="auto" w:fill="auto"/>
                  <w:vAlign w:val="center"/>
                </w:tcPr>
                <w:p w14:paraId="094A5CA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4A64A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剪边机4</w:t>
                  </w:r>
                </w:p>
              </w:tc>
              <w:tc>
                <w:tcPr>
                  <w:tcW w:w="675" w:type="dxa"/>
                  <w:tcBorders>
                    <w:tl2br w:val="nil"/>
                    <w:tr2bl w:val="nil"/>
                  </w:tcBorders>
                  <w:shd w:val="clear" w:color="auto" w:fill="auto"/>
                  <w:vAlign w:val="center"/>
                </w:tcPr>
                <w:p w14:paraId="5A5D5F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6369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631ECCD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E281E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121.12</w:t>
                  </w:r>
                </w:p>
              </w:tc>
              <w:tc>
                <w:tcPr>
                  <w:tcW w:w="876" w:type="dxa"/>
                  <w:tcBorders>
                    <w:tl2br w:val="nil"/>
                    <w:tr2bl w:val="nil"/>
                  </w:tcBorders>
                  <w:shd w:val="clear" w:color="auto" w:fill="auto"/>
                  <w:noWrap/>
                  <w:vAlign w:val="center"/>
                </w:tcPr>
                <w:p w14:paraId="55C3F9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222.43</w:t>
                  </w:r>
                </w:p>
              </w:tc>
              <w:tc>
                <w:tcPr>
                  <w:tcW w:w="476" w:type="dxa"/>
                  <w:tcBorders>
                    <w:tl2br w:val="nil"/>
                    <w:tr2bl w:val="nil"/>
                  </w:tcBorders>
                  <w:shd w:val="clear" w:color="auto" w:fill="auto"/>
                  <w:vAlign w:val="center"/>
                </w:tcPr>
                <w:p w14:paraId="265F18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05BFF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898" w:type="dxa"/>
                  <w:tcBorders>
                    <w:tl2br w:val="nil"/>
                    <w:tr2bl w:val="nil"/>
                  </w:tcBorders>
                  <w:shd w:val="clear" w:color="auto" w:fill="auto"/>
                  <w:vAlign w:val="center"/>
                </w:tcPr>
                <w:p w14:paraId="42C239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46.23</w:t>
                  </w:r>
                </w:p>
              </w:tc>
              <w:tc>
                <w:tcPr>
                  <w:tcW w:w="707" w:type="dxa"/>
                  <w:tcBorders>
                    <w:tl2br w:val="nil"/>
                    <w:tr2bl w:val="nil"/>
                  </w:tcBorders>
                  <w:shd w:val="clear" w:color="auto" w:fill="auto"/>
                  <w:vAlign w:val="center"/>
                </w:tcPr>
                <w:p w14:paraId="1C4E5F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A60CD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A6CE7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25.23</w:t>
                  </w:r>
                </w:p>
              </w:tc>
              <w:tc>
                <w:tcPr>
                  <w:tcW w:w="887" w:type="dxa"/>
                  <w:tcBorders>
                    <w:tl2br w:val="nil"/>
                    <w:tr2bl w:val="nil"/>
                  </w:tcBorders>
                  <w:shd w:val="clear" w:color="auto" w:fill="auto"/>
                  <w:vAlign w:val="center"/>
                </w:tcPr>
                <w:p w14:paraId="3A8E71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E1BE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6CD3C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846" w:type="dxa"/>
                  <w:vMerge w:val="continue"/>
                  <w:tcBorders>
                    <w:tl2br w:val="nil"/>
                    <w:tr2bl w:val="nil"/>
                  </w:tcBorders>
                  <w:shd w:val="clear" w:color="auto" w:fill="auto"/>
                  <w:vAlign w:val="center"/>
                </w:tcPr>
                <w:p w14:paraId="40E164B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E8835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剪边机5</w:t>
                  </w:r>
                </w:p>
              </w:tc>
              <w:tc>
                <w:tcPr>
                  <w:tcW w:w="675" w:type="dxa"/>
                  <w:tcBorders>
                    <w:tl2br w:val="nil"/>
                    <w:tr2bl w:val="nil"/>
                  </w:tcBorders>
                  <w:shd w:val="clear" w:color="auto" w:fill="auto"/>
                  <w:vAlign w:val="center"/>
                </w:tcPr>
                <w:p w14:paraId="67D32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80FFD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0423903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6FC1E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128.74</w:t>
                  </w:r>
                </w:p>
              </w:tc>
              <w:tc>
                <w:tcPr>
                  <w:tcW w:w="876" w:type="dxa"/>
                  <w:tcBorders>
                    <w:tl2br w:val="nil"/>
                    <w:tr2bl w:val="nil"/>
                  </w:tcBorders>
                  <w:shd w:val="clear" w:color="auto" w:fill="auto"/>
                  <w:noWrap/>
                  <w:vAlign w:val="center"/>
                </w:tcPr>
                <w:p w14:paraId="72967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225.39</w:t>
                  </w:r>
                </w:p>
              </w:tc>
              <w:tc>
                <w:tcPr>
                  <w:tcW w:w="476" w:type="dxa"/>
                  <w:tcBorders>
                    <w:tl2br w:val="nil"/>
                    <w:tr2bl w:val="nil"/>
                  </w:tcBorders>
                  <w:shd w:val="clear" w:color="auto" w:fill="auto"/>
                  <w:vAlign w:val="center"/>
                </w:tcPr>
                <w:p w14:paraId="2F9AFC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92E59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w:t>
                  </w:r>
                </w:p>
              </w:tc>
              <w:tc>
                <w:tcPr>
                  <w:tcW w:w="898" w:type="dxa"/>
                  <w:tcBorders>
                    <w:tl2br w:val="nil"/>
                    <w:tr2bl w:val="nil"/>
                  </w:tcBorders>
                  <w:shd w:val="clear" w:color="auto" w:fill="auto"/>
                  <w:vAlign w:val="center"/>
                </w:tcPr>
                <w:p w14:paraId="5044E9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46.48</w:t>
                  </w:r>
                </w:p>
              </w:tc>
              <w:tc>
                <w:tcPr>
                  <w:tcW w:w="707" w:type="dxa"/>
                  <w:tcBorders>
                    <w:tl2br w:val="nil"/>
                    <w:tr2bl w:val="nil"/>
                  </w:tcBorders>
                  <w:shd w:val="clear" w:color="auto" w:fill="auto"/>
                  <w:vAlign w:val="center"/>
                </w:tcPr>
                <w:p w14:paraId="1BEE2B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8F8BB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311C6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25.48</w:t>
                  </w:r>
                </w:p>
              </w:tc>
              <w:tc>
                <w:tcPr>
                  <w:tcW w:w="887" w:type="dxa"/>
                  <w:tcBorders>
                    <w:tl2br w:val="nil"/>
                    <w:tr2bl w:val="nil"/>
                  </w:tcBorders>
                  <w:shd w:val="clear" w:color="auto" w:fill="auto"/>
                  <w:vAlign w:val="center"/>
                </w:tcPr>
                <w:p w14:paraId="7DBBF4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20CE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C7F1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846" w:type="dxa"/>
                  <w:vMerge w:val="continue"/>
                  <w:tcBorders>
                    <w:tl2br w:val="nil"/>
                    <w:tr2bl w:val="nil"/>
                  </w:tcBorders>
                  <w:shd w:val="clear" w:color="auto" w:fill="auto"/>
                  <w:vAlign w:val="center"/>
                </w:tcPr>
                <w:p w14:paraId="4E03EB3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F9617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剪边机6</w:t>
                  </w:r>
                </w:p>
              </w:tc>
              <w:tc>
                <w:tcPr>
                  <w:tcW w:w="675" w:type="dxa"/>
                  <w:tcBorders>
                    <w:tl2br w:val="nil"/>
                    <w:tr2bl w:val="nil"/>
                  </w:tcBorders>
                  <w:shd w:val="clear" w:color="auto" w:fill="auto"/>
                  <w:vAlign w:val="center"/>
                </w:tcPr>
                <w:p w14:paraId="3EF62A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919A2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894585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61D25F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141.25</w:t>
                  </w:r>
                </w:p>
              </w:tc>
              <w:tc>
                <w:tcPr>
                  <w:tcW w:w="876" w:type="dxa"/>
                  <w:tcBorders>
                    <w:tl2br w:val="nil"/>
                    <w:tr2bl w:val="nil"/>
                  </w:tcBorders>
                  <w:shd w:val="clear" w:color="auto" w:fill="auto"/>
                  <w:noWrap/>
                  <w:vAlign w:val="center"/>
                </w:tcPr>
                <w:p w14:paraId="4BC03E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220.84</w:t>
                  </w:r>
                </w:p>
              </w:tc>
              <w:tc>
                <w:tcPr>
                  <w:tcW w:w="476" w:type="dxa"/>
                  <w:tcBorders>
                    <w:tl2br w:val="nil"/>
                    <w:tr2bl w:val="nil"/>
                  </w:tcBorders>
                  <w:shd w:val="clear" w:color="auto" w:fill="auto"/>
                  <w:vAlign w:val="center"/>
                </w:tcPr>
                <w:p w14:paraId="0F2E5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34AAE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898" w:type="dxa"/>
                  <w:tcBorders>
                    <w:tl2br w:val="nil"/>
                    <w:tr2bl w:val="nil"/>
                  </w:tcBorders>
                  <w:shd w:val="clear" w:color="auto" w:fill="auto"/>
                  <w:vAlign w:val="center"/>
                </w:tcPr>
                <w:p w14:paraId="34CF44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46.46</w:t>
                  </w:r>
                </w:p>
              </w:tc>
              <w:tc>
                <w:tcPr>
                  <w:tcW w:w="707" w:type="dxa"/>
                  <w:tcBorders>
                    <w:tl2br w:val="nil"/>
                    <w:tr2bl w:val="nil"/>
                  </w:tcBorders>
                  <w:shd w:val="clear" w:color="auto" w:fill="auto"/>
                  <w:vAlign w:val="center"/>
                </w:tcPr>
                <w:p w14:paraId="2F90D5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F43D9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90534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25.46</w:t>
                  </w:r>
                </w:p>
              </w:tc>
              <w:tc>
                <w:tcPr>
                  <w:tcW w:w="887" w:type="dxa"/>
                  <w:tcBorders>
                    <w:tl2br w:val="nil"/>
                    <w:tr2bl w:val="nil"/>
                  </w:tcBorders>
                  <w:shd w:val="clear" w:color="auto" w:fill="auto"/>
                  <w:vAlign w:val="center"/>
                </w:tcPr>
                <w:p w14:paraId="79E1E1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E15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B3201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846" w:type="dxa"/>
                  <w:vMerge w:val="continue"/>
                  <w:tcBorders>
                    <w:tl2br w:val="nil"/>
                    <w:tr2bl w:val="nil"/>
                  </w:tcBorders>
                  <w:shd w:val="clear" w:color="auto" w:fill="auto"/>
                  <w:vAlign w:val="center"/>
                </w:tcPr>
                <w:p w14:paraId="0EE162D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FF0F0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剪边机7</w:t>
                  </w:r>
                </w:p>
              </w:tc>
              <w:tc>
                <w:tcPr>
                  <w:tcW w:w="675" w:type="dxa"/>
                  <w:tcBorders>
                    <w:tl2br w:val="nil"/>
                    <w:tr2bl w:val="nil"/>
                  </w:tcBorders>
                  <w:shd w:val="clear" w:color="auto" w:fill="auto"/>
                  <w:vAlign w:val="center"/>
                </w:tcPr>
                <w:p w14:paraId="049FEA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44E8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FA4E9F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9D66E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156.73</w:t>
                  </w:r>
                </w:p>
              </w:tc>
              <w:tc>
                <w:tcPr>
                  <w:tcW w:w="876" w:type="dxa"/>
                  <w:tcBorders>
                    <w:tl2br w:val="nil"/>
                    <w:tr2bl w:val="nil"/>
                  </w:tcBorders>
                  <w:shd w:val="clear" w:color="auto" w:fill="auto"/>
                  <w:noWrap/>
                  <w:vAlign w:val="center"/>
                </w:tcPr>
                <w:p w14:paraId="0DB093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215.15</w:t>
                  </w:r>
                </w:p>
              </w:tc>
              <w:tc>
                <w:tcPr>
                  <w:tcW w:w="476" w:type="dxa"/>
                  <w:tcBorders>
                    <w:tl2br w:val="nil"/>
                    <w:tr2bl w:val="nil"/>
                  </w:tcBorders>
                  <w:shd w:val="clear" w:color="auto" w:fill="auto"/>
                  <w:vAlign w:val="center"/>
                </w:tcPr>
                <w:p w14:paraId="7F18A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65E57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898" w:type="dxa"/>
                  <w:tcBorders>
                    <w:tl2br w:val="nil"/>
                    <w:tr2bl w:val="nil"/>
                  </w:tcBorders>
                  <w:shd w:val="clear" w:color="auto" w:fill="auto"/>
                  <w:vAlign w:val="center"/>
                </w:tcPr>
                <w:p w14:paraId="49D0BC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46.36</w:t>
                  </w:r>
                </w:p>
              </w:tc>
              <w:tc>
                <w:tcPr>
                  <w:tcW w:w="707" w:type="dxa"/>
                  <w:tcBorders>
                    <w:tl2br w:val="nil"/>
                    <w:tr2bl w:val="nil"/>
                  </w:tcBorders>
                  <w:shd w:val="clear" w:color="auto" w:fill="auto"/>
                  <w:vAlign w:val="center"/>
                </w:tcPr>
                <w:p w14:paraId="340E7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7B485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4EAAE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25.36</w:t>
                  </w:r>
                </w:p>
              </w:tc>
              <w:tc>
                <w:tcPr>
                  <w:tcW w:w="887" w:type="dxa"/>
                  <w:tcBorders>
                    <w:tl2br w:val="nil"/>
                    <w:tr2bl w:val="nil"/>
                  </w:tcBorders>
                  <w:shd w:val="clear" w:color="auto" w:fill="auto"/>
                  <w:vAlign w:val="center"/>
                </w:tcPr>
                <w:p w14:paraId="4AE9A7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0512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A3E31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846" w:type="dxa"/>
                  <w:vMerge w:val="continue"/>
                  <w:tcBorders>
                    <w:tl2br w:val="nil"/>
                    <w:tr2bl w:val="nil"/>
                  </w:tcBorders>
                  <w:shd w:val="clear" w:color="auto" w:fill="auto"/>
                  <w:vAlign w:val="center"/>
                </w:tcPr>
                <w:p w14:paraId="5D33173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EB2FC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剪边机8</w:t>
                  </w:r>
                </w:p>
              </w:tc>
              <w:tc>
                <w:tcPr>
                  <w:tcW w:w="675" w:type="dxa"/>
                  <w:tcBorders>
                    <w:tl2br w:val="nil"/>
                    <w:tr2bl w:val="nil"/>
                  </w:tcBorders>
                  <w:shd w:val="clear" w:color="auto" w:fill="auto"/>
                  <w:vAlign w:val="center"/>
                </w:tcPr>
                <w:p w14:paraId="20D8B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0977D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1B0E3AD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ACE5A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169.70</w:t>
                  </w:r>
                </w:p>
              </w:tc>
              <w:tc>
                <w:tcPr>
                  <w:tcW w:w="876" w:type="dxa"/>
                  <w:tcBorders>
                    <w:tl2br w:val="nil"/>
                    <w:tr2bl w:val="nil"/>
                  </w:tcBorders>
                  <w:shd w:val="clear" w:color="auto" w:fill="auto"/>
                  <w:noWrap/>
                  <w:vAlign w:val="center"/>
                </w:tcPr>
                <w:p w14:paraId="546522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211.05</w:t>
                  </w:r>
                </w:p>
              </w:tc>
              <w:tc>
                <w:tcPr>
                  <w:tcW w:w="476" w:type="dxa"/>
                  <w:tcBorders>
                    <w:tl2br w:val="nil"/>
                    <w:tr2bl w:val="nil"/>
                  </w:tcBorders>
                  <w:shd w:val="clear" w:color="auto" w:fill="auto"/>
                  <w:vAlign w:val="center"/>
                </w:tcPr>
                <w:p w14:paraId="52F6F5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477014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w:t>
                  </w:r>
                </w:p>
              </w:tc>
              <w:tc>
                <w:tcPr>
                  <w:tcW w:w="898" w:type="dxa"/>
                  <w:tcBorders>
                    <w:tl2br w:val="nil"/>
                    <w:tr2bl w:val="nil"/>
                  </w:tcBorders>
                  <w:shd w:val="clear" w:color="auto" w:fill="auto"/>
                  <w:vAlign w:val="center"/>
                </w:tcPr>
                <w:p w14:paraId="7FDAC1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46.36</w:t>
                  </w:r>
                </w:p>
              </w:tc>
              <w:tc>
                <w:tcPr>
                  <w:tcW w:w="707" w:type="dxa"/>
                  <w:tcBorders>
                    <w:tl2br w:val="nil"/>
                    <w:tr2bl w:val="nil"/>
                  </w:tcBorders>
                  <w:shd w:val="clear" w:color="auto" w:fill="auto"/>
                  <w:vAlign w:val="center"/>
                </w:tcPr>
                <w:p w14:paraId="50347A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97A34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5A65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25.36</w:t>
                  </w:r>
                </w:p>
              </w:tc>
              <w:tc>
                <w:tcPr>
                  <w:tcW w:w="887" w:type="dxa"/>
                  <w:tcBorders>
                    <w:tl2br w:val="nil"/>
                    <w:tr2bl w:val="nil"/>
                  </w:tcBorders>
                  <w:shd w:val="clear" w:color="auto" w:fill="auto"/>
                  <w:vAlign w:val="center"/>
                </w:tcPr>
                <w:p w14:paraId="5D5B8D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BEB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BF1F3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846" w:type="dxa"/>
                  <w:vMerge w:val="continue"/>
                  <w:tcBorders>
                    <w:tl2br w:val="nil"/>
                    <w:tr2bl w:val="nil"/>
                  </w:tcBorders>
                  <w:shd w:val="clear" w:color="auto" w:fill="auto"/>
                  <w:vAlign w:val="center"/>
                </w:tcPr>
                <w:p w14:paraId="120FB63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E30C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剪边机9</w:t>
                  </w:r>
                </w:p>
              </w:tc>
              <w:tc>
                <w:tcPr>
                  <w:tcW w:w="675" w:type="dxa"/>
                  <w:tcBorders>
                    <w:tl2br w:val="nil"/>
                    <w:tr2bl w:val="nil"/>
                  </w:tcBorders>
                  <w:shd w:val="clear" w:color="auto" w:fill="auto"/>
                  <w:vAlign w:val="center"/>
                </w:tcPr>
                <w:p w14:paraId="5E6233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C6CB2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767A14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9E8C1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177.09</w:t>
                  </w:r>
                </w:p>
              </w:tc>
              <w:tc>
                <w:tcPr>
                  <w:tcW w:w="876" w:type="dxa"/>
                  <w:tcBorders>
                    <w:tl2br w:val="nil"/>
                    <w:tr2bl w:val="nil"/>
                  </w:tcBorders>
                  <w:shd w:val="clear" w:color="auto" w:fill="auto"/>
                  <w:noWrap/>
                  <w:vAlign w:val="center"/>
                </w:tcPr>
                <w:p w14:paraId="5988A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208.62</w:t>
                  </w:r>
                </w:p>
              </w:tc>
              <w:tc>
                <w:tcPr>
                  <w:tcW w:w="476" w:type="dxa"/>
                  <w:tcBorders>
                    <w:tl2br w:val="nil"/>
                    <w:tr2bl w:val="nil"/>
                  </w:tcBorders>
                  <w:shd w:val="clear" w:color="auto" w:fill="auto"/>
                  <w:vAlign w:val="center"/>
                </w:tcPr>
                <w:p w14:paraId="60AEBD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67CF0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17.2</w:t>
                  </w:r>
                </w:p>
              </w:tc>
              <w:tc>
                <w:tcPr>
                  <w:tcW w:w="898" w:type="dxa"/>
                  <w:tcBorders>
                    <w:tl2br w:val="nil"/>
                    <w:tr2bl w:val="nil"/>
                  </w:tcBorders>
                  <w:shd w:val="clear" w:color="auto" w:fill="auto"/>
                  <w:vAlign w:val="center"/>
                </w:tcPr>
                <w:p w14:paraId="3ED76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46.43</w:t>
                  </w:r>
                </w:p>
              </w:tc>
              <w:tc>
                <w:tcPr>
                  <w:tcW w:w="707" w:type="dxa"/>
                  <w:tcBorders>
                    <w:tl2br w:val="nil"/>
                    <w:tr2bl w:val="nil"/>
                  </w:tcBorders>
                  <w:shd w:val="clear" w:color="auto" w:fill="auto"/>
                  <w:vAlign w:val="center"/>
                </w:tcPr>
                <w:p w14:paraId="576E24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62EEF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1891F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25.43</w:t>
                  </w:r>
                </w:p>
              </w:tc>
              <w:tc>
                <w:tcPr>
                  <w:tcW w:w="887" w:type="dxa"/>
                  <w:tcBorders>
                    <w:tl2br w:val="nil"/>
                    <w:tr2bl w:val="nil"/>
                  </w:tcBorders>
                  <w:shd w:val="clear" w:color="auto" w:fill="auto"/>
                  <w:vAlign w:val="center"/>
                </w:tcPr>
                <w:p w14:paraId="0CC45D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EE81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78201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131</w:t>
                  </w:r>
                </w:p>
              </w:tc>
              <w:tc>
                <w:tcPr>
                  <w:tcW w:w="846" w:type="dxa"/>
                  <w:vMerge w:val="continue"/>
                  <w:tcBorders>
                    <w:tl2br w:val="nil"/>
                    <w:tr2bl w:val="nil"/>
                  </w:tcBorders>
                  <w:shd w:val="clear" w:color="auto" w:fill="auto"/>
                  <w:vAlign w:val="center"/>
                </w:tcPr>
                <w:p w14:paraId="6DA5EFF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D488B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剪边机10</w:t>
                  </w:r>
                </w:p>
              </w:tc>
              <w:tc>
                <w:tcPr>
                  <w:tcW w:w="675" w:type="dxa"/>
                  <w:tcBorders>
                    <w:tl2br w:val="nil"/>
                    <w:tr2bl w:val="nil"/>
                  </w:tcBorders>
                  <w:shd w:val="clear" w:color="auto" w:fill="auto"/>
                  <w:vAlign w:val="center"/>
                </w:tcPr>
                <w:p w14:paraId="277140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0EE1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382352A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4DC9D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184.37</w:t>
                  </w:r>
                </w:p>
              </w:tc>
              <w:tc>
                <w:tcPr>
                  <w:tcW w:w="876" w:type="dxa"/>
                  <w:tcBorders>
                    <w:tl2br w:val="nil"/>
                    <w:tr2bl w:val="nil"/>
                  </w:tcBorders>
                  <w:shd w:val="clear" w:color="auto" w:fill="auto"/>
                  <w:noWrap/>
                  <w:vAlign w:val="center"/>
                </w:tcPr>
                <w:p w14:paraId="0DC3B1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207.14</w:t>
                  </w:r>
                </w:p>
              </w:tc>
              <w:tc>
                <w:tcPr>
                  <w:tcW w:w="476" w:type="dxa"/>
                  <w:tcBorders>
                    <w:tl2br w:val="nil"/>
                    <w:tr2bl w:val="nil"/>
                  </w:tcBorders>
                  <w:shd w:val="clear" w:color="auto" w:fill="auto"/>
                  <w:vAlign w:val="center"/>
                </w:tcPr>
                <w:p w14:paraId="7BFF0A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4ADE5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9.6</w:t>
                  </w:r>
                </w:p>
              </w:tc>
              <w:tc>
                <w:tcPr>
                  <w:tcW w:w="898" w:type="dxa"/>
                  <w:tcBorders>
                    <w:tl2br w:val="nil"/>
                    <w:tr2bl w:val="nil"/>
                  </w:tcBorders>
                  <w:shd w:val="clear" w:color="auto" w:fill="auto"/>
                  <w:vAlign w:val="center"/>
                </w:tcPr>
                <w:p w14:paraId="27472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47.47</w:t>
                  </w:r>
                </w:p>
              </w:tc>
              <w:tc>
                <w:tcPr>
                  <w:tcW w:w="707" w:type="dxa"/>
                  <w:tcBorders>
                    <w:tl2br w:val="nil"/>
                    <w:tr2bl w:val="nil"/>
                  </w:tcBorders>
                  <w:shd w:val="clear" w:color="auto" w:fill="auto"/>
                  <w:vAlign w:val="center"/>
                </w:tcPr>
                <w:p w14:paraId="1ED2F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D1C8C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5B064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26.47</w:t>
                  </w:r>
                </w:p>
              </w:tc>
              <w:tc>
                <w:tcPr>
                  <w:tcW w:w="887" w:type="dxa"/>
                  <w:tcBorders>
                    <w:tl2br w:val="nil"/>
                    <w:tr2bl w:val="nil"/>
                  </w:tcBorders>
                  <w:shd w:val="clear" w:color="auto" w:fill="auto"/>
                  <w:vAlign w:val="center"/>
                </w:tcPr>
                <w:p w14:paraId="193EA7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402F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60701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132</w:t>
                  </w:r>
                </w:p>
              </w:tc>
              <w:tc>
                <w:tcPr>
                  <w:tcW w:w="846" w:type="dxa"/>
                  <w:vMerge w:val="restart"/>
                  <w:tcBorders>
                    <w:tl2br w:val="nil"/>
                    <w:tr2bl w:val="nil"/>
                  </w:tcBorders>
                  <w:shd w:val="clear" w:color="auto" w:fill="auto"/>
                  <w:vAlign w:val="center"/>
                </w:tcPr>
                <w:p w14:paraId="72267B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烫钻生产（5#厂房）</w:t>
                  </w:r>
                </w:p>
              </w:tc>
              <w:tc>
                <w:tcPr>
                  <w:tcW w:w="1372" w:type="dxa"/>
                  <w:tcBorders>
                    <w:tl2br w:val="nil"/>
                    <w:tr2bl w:val="nil"/>
                  </w:tcBorders>
                  <w:shd w:val="clear" w:color="auto" w:fill="auto"/>
                  <w:noWrap/>
                  <w:vAlign w:val="center"/>
                </w:tcPr>
                <w:p w14:paraId="702E29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w:t>
                  </w:r>
                </w:p>
              </w:tc>
              <w:tc>
                <w:tcPr>
                  <w:tcW w:w="675" w:type="dxa"/>
                  <w:tcBorders>
                    <w:tl2br w:val="nil"/>
                    <w:tr2bl w:val="nil"/>
                  </w:tcBorders>
                  <w:shd w:val="clear" w:color="auto" w:fill="auto"/>
                  <w:vAlign w:val="center"/>
                </w:tcPr>
                <w:p w14:paraId="2397A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572B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B34CBA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53DEB3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267.6</w:t>
                  </w:r>
                </w:p>
              </w:tc>
              <w:tc>
                <w:tcPr>
                  <w:tcW w:w="876" w:type="dxa"/>
                  <w:tcBorders>
                    <w:tl2br w:val="nil"/>
                    <w:tr2bl w:val="nil"/>
                  </w:tcBorders>
                  <w:shd w:val="clear" w:color="auto" w:fill="auto"/>
                  <w:noWrap/>
                  <w:vAlign w:val="center"/>
                </w:tcPr>
                <w:p w14:paraId="747955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168.42</w:t>
                  </w:r>
                </w:p>
              </w:tc>
              <w:tc>
                <w:tcPr>
                  <w:tcW w:w="476" w:type="dxa"/>
                  <w:tcBorders>
                    <w:tl2br w:val="nil"/>
                    <w:tr2bl w:val="nil"/>
                  </w:tcBorders>
                  <w:shd w:val="clear" w:color="auto" w:fill="auto"/>
                  <w:vAlign w:val="center"/>
                </w:tcPr>
                <w:p w14:paraId="5C3B1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41C906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w:t>
                  </w:r>
                </w:p>
              </w:tc>
              <w:tc>
                <w:tcPr>
                  <w:tcW w:w="898" w:type="dxa"/>
                  <w:tcBorders>
                    <w:tl2br w:val="nil"/>
                    <w:tr2bl w:val="nil"/>
                  </w:tcBorders>
                  <w:shd w:val="clear" w:color="auto" w:fill="auto"/>
                  <w:vAlign w:val="center"/>
                </w:tcPr>
                <w:p w14:paraId="45E9E2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51.86</w:t>
                  </w:r>
                </w:p>
              </w:tc>
              <w:tc>
                <w:tcPr>
                  <w:tcW w:w="707" w:type="dxa"/>
                  <w:tcBorders>
                    <w:tl2br w:val="nil"/>
                    <w:tr2bl w:val="nil"/>
                  </w:tcBorders>
                  <w:shd w:val="clear" w:color="auto" w:fill="auto"/>
                  <w:vAlign w:val="center"/>
                </w:tcPr>
                <w:p w14:paraId="1ABD55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EECE1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580A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30.86</w:t>
                  </w:r>
                </w:p>
              </w:tc>
              <w:tc>
                <w:tcPr>
                  <w:tcW w:w="887" w:type="dxa"/>
                  <w:tcBorders>
                    <w:tl2br w:val="nil"/>
                    <w:tr2bl w:val="nil"/>
                  </w:tcBorders>
                  <w:shd w:val="clear" w:color="auto" w:fill="auto"/>
                  <w:noWrap/>
                  <w:vAlign w:val="center"/>
                </w:tcPr>
                <w:p w14:paraId="198773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B8A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FBC6A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846" w:type="dxa"/>
                  <w:vMerge w:val="continue"/>
                  <w:tcBorders>
                    <w:tl2br w:val="nil"/>
                    <w:tr2bl w:val="nil"/>
                  </w:tcBorders>
                  <w:shd w:val="clear" w:color="auto" w:fill="auto"/>
                  <w:vAlign w:val="center"/>
                </w:tcPr>
                <w:p w14:paraId="3656613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60ABCB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自动吸塑机2</w:t>
                  </w:r>
                </w:p>
              </w:tc>
              <w:tc>
                <w:tcPr>
                  <w:tcW w:w="675" w:type="dxa"/>
                  <w:tcBorders>
                    <w:tl2br w:val="nil"/>
                    <w:tr2bl w:val="nil"/>
                  </w:tcBorders>
                  <w:shd w:val="clear" w:color="auto" w:fill="auto"/>
                  <w:vAlign w:val="center"/>
                </w:tcPr>
                <w:p w14:paraId="3AA17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14CE0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6C115C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4B7908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281.43</w:t>
                  </w:r>
                </w:p>
              </w:tc>
              <w:tc>
                <w:tcPr>
                  <w:tcW w:w="876" w:type="dxa"/>
                  <w:tcBorders>
                    <w:tl2br w:val="nil"/>
                    <w:tr2bl w:val="nil"/>
                  </w:tcBorders>
                  <w:shd w:val="clear" w:color="auto" w:fill="auto"/>
                  <w:noWrap/>
                  <w:vAlign w:val="center"/>
                </w:tcPr>
                <w:p w14:paraId="2F6356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164.6</w:t>
                  </w:r>
                </w:p>
              </w:tc>
              <w:tc>
                <w:tcPr>
                  <w:tcW w:w="476" w:type="dxa"/>
                  <w:tcBorders>
                    <w:tl2br w:val="nil"/>
                    <w:tr2bl w:val="nil"/>
                  </w:tcBorders>
                  <w:shd w:val="clear" w:color="auto" w:fill="auto"/>
                  <w:vAlign w:val="center"/>
                </w:tcPr>
                <w:p w14:paraId="6B905A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8A932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898" w:type="dxa"/>
                  <w:tcBorders>
                    <w:tl2br w:val="nil"/>
                    <w:tr2bl w:val="nil"/>
                  </w:tcBorders>
                  <w:shd w:val="clear" w:color="auto" w:fill="auto"/>
                  <w:vAlign w:val="center"/>
                </w:tcPr>
                <w:p w14:paraId="3BF9E0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51.58</w:t>
                  </w:r>
                </w:p>
              </w:tc>
              <w:tc>
                <w:tcPr>
                  <w:tcW w:w="707" w:type="dxa"/>
                  <w:tcBorders>
                    <w:tl2br w:val="nil"/>
                    <w:tr2bl w:val="nil"/>
                  </w:tcBorders>
                  <w:shd w:val="clear" w:color="auto" w:fill="auto"/>
                  <w:vAlign w:val="center"/>
                </w:tcPr>
                <w:p w14:paraId="23341F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C2CF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B2CB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30.58</w:t>
                  </w:r>
                </w:p>
              </w:tc>
              <w:tc>
                <w:tcPr>
                  <w:tcW w:w="887" w:type="dxa"/>
                  <w:tcBorders>
                    <w:tl2br w:val="nil"/>
                    <w:tr2bl w:val="nil"/>
                  </w:tcBorders>
                  <w:shd w:val="clear" w:color="auto" w:fill="auto"/>
                  <w:vAlign w:val="center"/>
                </w:tcPr>
                <w:p w14:paraId="6600E8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7DB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EBF64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846" w:type="dxa"/>
                  <w:vMerge w:val="continue"/>
                  <w:tcBorders>
                    <w:tl2br w:val="nil"/>
                    <w:tr2bl w:val="nil"/>
                  </w:tcBorders>
                  <w:shd w:val="clear" w:color="auto" w:fill="auto"/>
                  <w:vAlign w:val="center"/>
                </w:tcPr>
                <w:p w14:paraId="6CF07FC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30D48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自动吸塑机3</w:t>
                  </w:r>
                </w:p>
              </w:tc>
              <w:tc>
                <w:tcPr>
                  <w:tcW w:w="675" w:type="dxa"/>
                  <w:tcBorders>
                    <w:tl2br w:val="nil"/>
                    <w:tr2bl w:val="nil"/>
                  </w:tcBorders>
                  <w:shd w:val="clear" w:color="auto" w:fill="auto"/>
                  <w:vAlign w:val="center"/>
                </w:tcPr>
                <w:p w14:paraId="118E75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13FD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E59D00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5290A8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266.5</w:t>
                  </w:r>
                </w:p>
              </w:tc>
              <w:tc>
                <w:tcPr>
                  <w:tcW w:w="876" w:type="dxa"/>
                  <w:tcBorders>
                    <w:tl2br w:val="nil"/>
                    <w:tr2bl w:val="nil"/>
                  </w:tcBorders>
                  <w:shd w:val="clear" w:color="auto" w:fill="auto"/>
                  <w:noWrap/>
                  <w:vAlign w:val="center"/>
                </w:tcPr>
                <w:p w14:paraId="673EDF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161.5</w:t>
                  </w:r>
                </w:p>
              </w:tc>
              <w:tc>
                <w:tcPr>
                  <w:tcW w:w="476" w:type="dxa"/>
                  <w:tcBorders>
                    <w:tl2br w:val="nil"/>
                    <w:tr2bl w:val="nil"/>
                  </w:tcBorders>
                  <w:shd w:val="clear" w:color="auto" w:fill="auto"/>
                  <w:vAlign w:val="center"/>
                </w:tcPr>
                <w:p w14:paraId="375062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59C7F8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13.1</w:t>
                  </w:r>
                </w:p>
              </w:tc>
              <w:tc>
                <w:tcPr>
                  <w:tcW w:w="898" w:type="dxa"/>
                  <w:tcBorders>
                    <w:tl2br w:val="nil"/>
                    <w:tr2bl w:val="nil"/>
                  </w:tcBorders>
                  <w:shd w:val="clear" w:color="auto" w:fill="auto"/>
                  <w:vAlign w:val="center"/>
                </w:tcPr>
                <w:p w14:paraId="5770A7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51.72</w:t>
                  </w:r>
                </w:p>
              </w:tc>
              <w:tc>
                <w:tcPr>
                  <w:tcW w:w="707" w:type="dxa"/>
                  <w:tcBorders>
                    <w:tl2br w:val="nil"/>
                    <w:tr2bl w:val="nil"/>
                  </w:tcBorders>
                  <w:shd w:val="clear" w:color="auto" w:fill="auto"/>
                  <w:vAlign w:val="center"/>
                </w:tcPr>
                <w:p w14:paraId="593F18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5F604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54943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30.72</w:t>
                  </w:r>
                </w:p>
              </w:tc>
              <w:tc>
                <w:tcPr>
                  <w:tcW w:w="887" w:type="dxa"/>
                  <w:tcBorders>
                    <w:tl2br w:val="nil"/>
                    <w:tr2bl w:val="nil"/>
                  </w:tcBorders>
                  <w:shd w:val="clear" w:color="auto" w:fill="auto"/>
                  <w:vAlign w:val="center"/>
                </w:tcPr>
                <w:p w14:paraId="1F3B8B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644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A808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846" w:type="dxa"/>
                  <w:vMerge w:val="continue"/>
                  <w:tcBorders>
                    <w:tl2br w:val="nil"/>
                    <w:tr2bl w:val="nil"/>
                  </w:tcBorders>
                  <w:shd w:val="clear" w:color="auto" w:fill="auto"/>
                  <w:vAlign w:val="center"/>
                </w:tcPr>
                <w:p w14:paraId="678E106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4CD4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自动吸塑机4</w:t>
                  </w:r>
                </w:p>
              </w:tc>
              <w:tc>
                <w:tcPr>
                  <w:tcW w:w="675" w:type="dxa"/>
                  <w:tcBorders>
                    <w:tl2br w:val="nil"/>
                    <w:tr2bl w:val="nil"/>
                  </w:tcBorders>
                  <w:shd w:val="clear" w:color="auto" w:fill="auto"/>
                  <w:vAlign w:val="center"/>
                </w:tcPr>
                <w:p w14:paraId="3EDBB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3242F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298005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20C2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279.06</w:t>
                  </w:r>
                </w:p>
              </w:tc>
              <w:tc>
                <w:tcPr>
                  <w:tcW w:w="876" w:type="dxa"/>
                  <w:tcBorders>
                    <w:tl2br w:val="nil"/>
                    <w:tr2bl w:val="nil"/>
                  </w:tcBorders>
                  <w:shd w:val="clear" w:color="auto" w:fill="auto"/>
                  <w:noWrap/>
                  <w:vAlign w:val="center"/>
                </w:tcPr>
                <w:p w14:paraId="55C00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157.13</w:t>
                  </w:r>
                </w:p>
              </w:tc>
              <w:tc>
                <w:tcPr>
                  <w:tcW w:w="476" w:type="dxa"/>
                  <w:tcBorders>
                    <w:tl2br w:val="nil"/>
                    <w:tr2bl w:val="nil"/>
                  </w:tcBorders>
                  <w:shd w:val="clear" w:color="auto" w:fill="auto"/>
                  <w:vAlign w:val="center"/>
                </w:tcPr>
                <w:p w14:paraId="5A6DD8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5046D1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w:t>
                  </w:r>
                </w:p>
              </w:tc>
              <w:tc>
                <w:tcPr>
                  <w:tcW w:w="898" w:type="dxa"/>
                  <w:tcBorders>
                    <w:tl2br w:val="nil"/>
                    <w:tr2bl w:val="nil"/>
                  </w:tcBorders>
                  <w:shd w:val="clear" w:color="auto" w:fill="auto"/>
                  <w:vAlign w:val="center"/>
                </w:tcPr>
                <w:p w14:paraId="2E91C7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51.52</w:t>
                  </w:r>
                </w:p>
              </w:tc>
              <w:tc>
                <w:tcPr>
                  <w:tcW w:w="707" w:type="dxa"/>
                  <w:tcBorders>
                    <w:tl2br w:val="nil"/>
                    <w:tr2bl w:val="nil"/>
                  </w:tcBorders>
                  <w:shd w:val="clear" w:color="auto" w:fill="auto"/>
                  <w:vAlign w:val="center"/>
                </w:tcPr>
                <w:p w14:paraId="643B0B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A6771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88439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30.52</w:t>
                  </w:r>
                </w:p>
              </w:tc>
              <w:tc>
                <w:tcPr>
                  <w:tcW w:w="887" w:type="dxa"/>
                  <w:tcBorders>
                    <w:tl2br w:val="nil"/>
                    <w:tr2bl w:val="nil"/>
                  </w:tcBorders>
                  <w:shd w:val="clear" w:color="auto" w:fill="auto"/>
                  <w:vAlign w:val="center"/>
                </w:tcPr>
                <w:p w14:paraId="4E646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C8A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70CA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846" w:type="dxa"/>
                  <w:vMerge w:val="continue"/>
                  <w:tcBorders>
                    <w:tl2br w:val="nil"/>
                    <w:tr2bl w:val="nil"/>
                  </w:tcBorders>
                  <w:shd w:val="clear" w:color="auto" w:fill="auto"/>
                  <w:vAlign w:val="center"/>
                </w:tcPr>
                <w:p w14:paraId="023FF58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9DAE4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自动吸塑机5</w:t>
                  </w:r>
                </w:p>
              </w:tc>
              <w:tc>
                <w:tcPr>
                  <w:tcW w:w="675" w:type="dxa"/>
                  <w:tcBorders>
                    <w:tl2br w:val="nil"/>
                    <w:tr2bl w:val="nil"/>
                  </w:tcBorders>
                  <w:shd w:val="clear" w:color="auto" w:fill="auto"/>
                  <w:vAlign w:val="center"/>
                </w:tcPr>
                <w:p w14:paraId="5A99BD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2D554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B2AFA9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CB5F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265.05</w:t>
                  </w:r>
                </w:p>
              </w:tc>
              <w:tc>
                <w:tcPr>
                  <w:tcW w:w="876" w:type="dxa"/>
                  <w:tcBorders>
                    <w:tl2br w:val="nil"/>
                    <w:tr2bl w:val="nil"/>
                  </w:tcBorders>
                  <w:shd w:val="clear" w:color="auto" w:fill="auto"/>
                  <w:noWrap/>
                  <w:vAlign w:val="center"/>
                </w:tcPr>
                <w:p w14:paraId="5F941C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152.95</w:t>
                  </w:r>
                </w:p>
              </w:tc>
              <w:tc>
                <w:tcPr>
                  <w:tcW w:w="476" w:type="dxa"/>
                  <w:tcBorders>
                    <w:tl2br w:val="nil"/>
                    <w:tr2bl w:val="nil"/>
                  </w:tcBorders>
                  <w:shd w:val="clear" w:color="auto" w:fill="auto"/>
                  <w:vAlign w:val="center"/>
                </w:tcPr>
                <w:p w14:paraId="285FB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C5BC9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898" w:type="dxa"/>
                  <w:tcBorders>
                    <w:tl2br w:val="nil"/>
                    <w:tr2bl w:val="nil"/>
                  </w:tcBorders>
                  <w:shd w:val="clear" w:color="auto" w:fill="auto"/>
                  <w:vAlign w:val="center"/>
                </w:tcPr>
                <w:p w14:paraId="374962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51.64</w:t>
                  </w:r>
                </w:p>
              </w:tc>
              <w:tc>
                <w:tcPr>
                  <w:tcW w:w="707" w:type="dxa"/>
                  <w:tcBorders>
                    <w:tl2br w:val="nil"/>
                    <w:tr2bl w:val="nil"/>
                  </w:tcBorders>
                  <w:shd w:val="clear" w:color="auto" w:fill="auto"/>
                  <w:vAlign w:val="center"/>
                </w:tcPr>
                <w:p w14:paraId="5DB535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92E9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B569C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30.64</w:t>
                  </w:r>
                </w:p>
              </w:tc>
              <w:tc>
                <w:tcPr>
                  <w:tcW w:w="887" w:type="dxa"/>
                  <w:tcBorders>
                    <w:tl2br w:val="nil"/>
                    <w:tr2bl w:val="nil"/>
                  </w:tcBorders>
                  <w:shd w:val="clear" w:color="auto" w:fill="auto"/>
                  <w:vAlign w:val="center"/>
                </w:tcPr>
                <w:p w14:paraId="3749AE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B90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705C9A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846" w:type="dxa"/>
                  <w:vMerge w:val="continue"/>
                  <w:tcBorders>
                    <w:tl2br w:val="nil"/>
                    <w:tr2bl w:val="nil"/>
                  </w:tcBorders>
                  <w:shd w:val="clear" w:color="auto" w:fill="auto"/>
                  <w:vAlign w:val="center"/>
                </w:tcPr>
                <w:p w14:paraId="6F3F4DB9">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71332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自动吸塑机6</w:t>
                  </w:r>
                </w:p>
              </w:tc>
              <w:tc>
                <w:tcPr>
                  <w:tcW w:w="675" w:type="dxa"/>
                  <w:tcBorders>
                    <w:tl2br w:val="nil"/>
                    <w:tr2bl w:val="nil"/>
                  </w:tcBorders>
                  <w:shd w:val="clear" w:color="auto" w:fill="auto"/>
                  <w:vAlign w:val="center"/>
                </w:tcPr>
                <w:p w14:paraId="0DEEC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480E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FA1A6C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BE520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277.24</w:t>
                  </w:r>
                </w:p>
              </w:tc>
              <w:tc>
                <w:tcPr>
                  <w:tcW w:w="876" w:type="dxa"/>
                  <w:tcBorders>
                    <w:tl2br w:val="nil"/>
                    <w:tr2bl w:val="nil"/>
                  </w:tcBorders>
                  <w:shd w:val="clear" w:color="auto" w:fill="auto"/>
                  <w:noWrap/>
                  <w:vAlign w:val="center"/>
                </w:tcPr>
                <w:p w14:paraId="12DDE7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148.58</w:t>
                  </w:r>
                </w:p>
              </w:tc>
              <w:tc>
                <w:tcPr>
                  <w:tcW w:w="476" w:type="dxa"/>
                  <w:tcBorders>
                    <w:tl2br w:val="nil"/>
                    <w:tr2bl w:val="nil"/>
                  </w:tcBorders>
                  <w:shd w:val="clear" w:color="auto" w:fill="auto"/>
                  <w:vAlign w:val="center"/>
                </w:tcPr>
                <w:p w14:paraId="1196AC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C22BB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w:t>
                  </w:r>
                </w:p>
              </w:tc>
              <w:tc>
                <w:tcPr>
                  <w:tcW w:w="898" w:type="dxa"/>
                  <w:tcBorders>
                    <w:tl2br w:val="nil"/>
                    <w:tr2bl w:val="nil"/>
                  </w:tcBorders>
                  <w:shd w:val="clear" w:color="auto" w:fill="auto"/>
                  <w:vAlign w:val="center"/>
                </w:tcPr>
                <w:p w14:paraId="1092EA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51.59</w:t>
                  </w:r>
                </w:p>
              </w:tc>
              <w:tc>
                <w:tcPr>
                  <w:tcW w:w="707" w:type="dxa"/>
                  <w:tcBorders>
                    <w:tl2br w:val="nil"/>
                    <w:tr2bl w:val="nil"/>
                  </w:tcBorders>
                  <w:shd w:val="clear" w:color="auto" w:fill="auto"/>
                  <w:vAlign w:val="center"/>
                </w:tcPr>
                <w:p w14:paraId="5F77F1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533EC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8D27D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30.59</w:t>
                  </w:r>
                </w:p>
              </w:tc>
              <w:tc>
                <w:tcPr>
                  <w:tcW w:w="887" w:type="dxa"/>
                  <w:tcBorders>
                    <w:tl2br w:val="nil"/>
                    <w:tr2bl w:val="nil"/>
                  </w:tcBorders>
                  <w:shd w:val="clear" w:color="auto" w:fill="auto"/>
                  <w:vAlign w:val="center"/>
                </w:tcPr>
                <w:p w14:paraId="7CF53C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A076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5FFC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846" w:type="dxa"/>
                  <w:vMerge w:val="continue"/>
                  <w:tcBorders>
                    <w:tl2br w:val="nil"/>
                    <w:tr2bl w:val="nil"/>
                  </w:tcBorders>
                  <w:shd w:val="clear" w:color="auto" w:fill="auto"/>
                  <w:vAlign w:val="center"/>
                </w:tcPr>
                <w:p w14:paraId="41DF1FE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B03C0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自动吸塑机7</w:t>
                  </w:r>
                </w:p>
              </w:tc>
              <w:tc>
                <w:tcPr>
                  <w:tcW w:w="675" w:type="dxa"/>
                  <w:tcBorders>
                    <w:tl2br w:val="nil"/>
                    <w:tr2bl w:val="nil"/>
                  </w:tcBorders>
                  <w:shd w:val="clear" w:color="auto" w:fill="auto"/>
                  <w:vAlign w:val="center"/>
                </w:tcPr>
                <w:p w14:paraId="3AF8F0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2B22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422685B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9477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263.95</w:t>
                  </w:r>
                </w:p>
              </w:tc>
              <w:tc>
                <w:tcPr>
                  <w:tcW w:w="876" w:type="dxa"/>
                  <w:tcBorders>
                    <w:tl2br w:val="nil"/>
                    <w:tr2bl w:val="nil"/>
                  </w:tcBorders>
                  <w:shd w:val="clear" w:color="auto" w:fill="auto"/>
                  <w:noWrap/>
                  <w:vAlign w:val="center"/>
                </w:tcPr>
                <w:p w14:paraId="532322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146.57</w:t>
                  </w:r>
                </w:p>
              </w:tc>
              <w:tc>
                <w:tcPr>
                  <w:tcW w:w="476" w:type="dxa"/>
                  <w:tcBorders>
                    <w:tl2br w:val="nil"/>
                    <w:tr2bl w:val="nil"/>
                  </w:tcBorders>
                  <w:shd w:val="clear" w:color="auto" w:fill="auto"/>
                  <w:vAlign w:val="center"/>
                </w:tcPr>
                <w:p w14:paraId="48F759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300D5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898" w:type="dxa"/>
                  <w:tcBorders>
                    <w:tl2br w:val="nil"/>
                    <w:tr2bl w:val="nil"/>
                  </w:tcBorders>
                  <w:shd w:val="clear" w:color="auto" w:fill="auto"/>
                  <w:vAlign w:val="center"/>
                </w:tcPr>
                <w:p w14:paraId="61F0B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51.57</w:t>
                  </w:r>
                </w:p>
              </w:tc>
              <w:tc>
                <w:tcPr>
                  <w:tcW w:w="707" w:type="dxa"/>
                  <w:tcBorders>
                    <w:tl2br w:val="nil"/>
                    <w:tr2bl w:val="nil"/>
                  </w:tcBorders>
                  <w:shd w:val="clear" w:color="auto" w:fill="auto"/>
                  <w:vAlign w:val="center"/>
                </w:tcPr>
                <w:p w14:paraId="6BF9F8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41B2C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659E6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30.57</w:t>
                  </w:r>
                </w:p>
              </w:tc>
              <w:tc>
                <w:tcPr>
                  <w:tcW w:w="887" w:type="dxa"/>
                  <w:tcBorders>
                    <w:tl2br w:val="nil"/>
                    <w:tr2bl w:val="nil"/>
                  </w:tcBorders>
                  <w:shd w:val="clear" w:color="auto" w:fill="auto"/>
                  <w:vAlign w:val="center"/>
                </w:tcPr>
                <w:p w14:paraId="45DAFE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E8CF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86726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846" w:type="dxa"/>
                  <w:vMerge w:val="continue"/>
                  <w:tcBorders>
                    <w:tl2br w:val="nil"/>
                    <w:tr2bl w:val="nil"/>
                  </w:tcBorders>
                  <w:shd w:val="clear" w:color="auto" w:fill="auto"/>
                  <w:vAlign w:val="center"/>
                </w:tcPr>
                <w:p w14:paraId="66E83C0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400C0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自动吸塑机8</w:t>
                  </w:r>
                </w:p>
              </w:tc>
              <w:tc>
                <w:tcPr>
                  <w:tcW w:w="675" w:type="dxa"/>
                  <w:tcBorders>
                    <w:tl2br w:val="nil"/>
                    <w:tr2bl w:val="nil"/>
                  </w:tcBorders>
                  <w:shd w:val="clear" w:color="auto" w:fill="auto"/>
                  <w:vAlign w:val="center"/>
                </w:tcPr>
                <w:p w14:paraId="029CA1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AE653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BF1CA9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654956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276.33</w:t>
                  </w:r>
                </w:p>
              </w:tc>
              <w:tc>
                <w:tcPr>
                  <w:tcW w:w="876" w:type="dxa"/>
                  <w:tcBorders>
                    <w:tl2br w:val="nil"/>
                    <w:tr2bl w:val="nil"/>
                  </w:tcBorders>
                  <w:shd w:val="clear" w:color="auto" w:fill="auto"/>
                  <w:noWrap/>
                  <w:vAlign w:val="center"/>
                </w:tcPr>
                <w:p w14:paraId="7F7D2F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142.39</w:t>
                  </w:r>
                </w:p>
              </w:tc>
              <w:tc>
                <w:tcPr>
                  <w:tcW w:w="476" w:type="dxa"/>
                  <w:tcBorders>
                    <w:tl2br w:val="nil"/>
                    <w:tr2bl w:val="nil"/>
                  </w:tcBorders>
                  <w:shd w:val="clear" w:color="auto" w:fill="auto"/>
                  <w:vAlign w:val="center"/>
                </w:tcPr>
                <w:p w14:paraId="7BEBBB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3CD5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898" w:type="dxa"/>
                  <w:tcBorders>
                    <w:tl2br w:val="nil"/>
                    <w:tr2bl w:val="nil"/>
                  </w:tcBorders>
                  <w:shd w:val="clear" w:color="auto" w:fill="auto"/>
                  <w:vAlign w:val="center"/>
                </w:tcPr>
                <w:p w14:paraId="105C5A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51.67</w:t>
                  </w:r>
                </w:p>
              </w:tc>
              <w:tc>
                <w:tcPr>
                  <w:tcW w:w="707" w:type="dxa"/>
                  <w:tcBorders>
                    <w:tl2br w:val="nil"/>
                    <w:tr2bl w:val="nil"/>
                  </w:tcBorders>
                  <w:shd w:val="clear" w:color="auto" w:fill="auto"/>
                  <w:vAlign w:val="center"/>
                </w:tcPr>
                <w:p w14:paraId="09D404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E89BE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749546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30.67</w:t>
                  </w:r>
                </w:p>
              </w:tc>
              <w:tc>
                <w:tcPr>
                  <w:tcW w:w="887" w:type="dxa"/>
                  <w:tcBorders>
                    <w:tl2br w:val="nil"/>
                    <w:tr2bl w:val="nil"/>
                  </w:tcBorders>
                  <w:shd w:val="clear" w:color="auto" w:fill="auto"/>
                  <w:vAlign w:val="center"/>
                </w:tcPr>
                <w:p w14:paraId="78E74D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4EED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15D3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846" w:type="dxa"/>
                  <w:vMerge w:val="continue"/>
                  <w:tcBorders>
                    <w:tl2br w:val="nil"/>
                    <w:tr2bl w:val="nil"/>
                  </w:tcBorders>
                  <w:shd w:val="clear" w:color="auto" w:fill="auto"/>
                  <w:vAlign w:val="center"/>
                </w:tcPr>
                <w:p w14:paraId="430E590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CE5D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自动吸塑机9</w:t>
                  </w:r>
                </w:p>
              </w:tc>
              <w:tc>
                <w:tcPr>
                  <w:tcW w:w="675" w:type="dxa"/>
                  <w:tcBorders>
                    <w:tl2br w:val="nil"/>
                    <w:tr2bl w:val="nil"/>
                  </w:tcBorders>
                  <w:shd w:val="clear" w:color="auto" w:fill="auto"/>
                  <w:vAlign w:val="center"/>
                </w:tcPr>
                <w:p w14:paraId="3990C2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9AA1E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79AB3612">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28CDC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262.68</w:t>
                  </w:r>
                </w:p>
              </w:tc>
              <w:tc>
                <w:tcPr>
                  <w:tcW w:w="876" w:type="dxa"/>
                  <w:tcBorders>
                    <w:tl2br w:val="nil"/>
                    <w:tr2bl w:val="nil"/>
                  </w:tcBorders>
                  <w:shd w:val="clear" w:color="auto" w:fill="auto"/>
                  <w:noWrap/>
                  <w:vAlign w:val="center"/>
                </w:tcPr>
                <w:p w14:paraId="111C8E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140.02</w:t>
                  </w:r>
                </w:p>
              </w:tc>
              <w:tc>
                <w:tcPr>
                  <w:tcW w:w="476" w:type="dxa"/>
                  <w:tcBorders>
                    <w:tl2br w:val="nil"/>
                    <w:tr2bl w:val="nil"/>
                  </w:tcBorders>
                  <w:shd w:val="clear" w:color="auto" w:fill="auto"/>
                  <w:vAlign w:val="center"/>
                </w:tcPr>
                <w:p w14:paraId="1921D1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E887F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14.8</w:t>
                  </w:r>
                </w:p>
              </w:tc>
              <w:tc>
                <w:tcPr>
                  <w:tcW w:w="898" w:type="dxa"/>
                  <w:tcBorders>
                    <w:tl2br w:val="nil"/>
                    <w:tr2bl w:val="nil"/>
                  </w:tcBorders>
                  <w:shd w:val="clear" w:color="auto" w:fill="auto"/>
                  <w:vAlign w:val="center"/>
                </w:tcPr>
                <w:p w14:paraId="3CD388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51.53</w:t>
                  </w:r>
                </w:p>
              </w:tc>
              <w:tc>
                <w:tcPr>
                  <w:tcW w:w="707" w:type="dxa"/>
                  <w:tcBorders>
                    <w:tl2br w:val="nil"/>
                    <w:tr2bl w:val="nil"/>
                  </w:tcBorders>
                  <w:shd w:val="clear" w:color="auto" w:fill="auto"/>
                  <w:vAlign w:val="center"/>
                </w:tcPr>
                <w:p w14:paraId="38601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4A99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FECA2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30.53</w:t>
                  </w:r>
                </w:p>
              </w:tc>
              <w:tc>
                <w:tcPr>
                  <w:tcW w:w="887" w:type="dxa"/>
                  <w:tcBorders>
                    <w:tl2br w:val="nil"/>
                    <w:tr2bl w:val="nil"/>
                  </w:tcBorders>
                  <w:shd w:val="clear" w:color="auto" w:fill="auto"/>
                  <w:vAlign w:val="center"/>
                </w:tcPr>
                <w:p w14:paraId="20D587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38C9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8923F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846" w:type="dxa"/>
                  <w:vMerge w:val="continue"/>
                  <w:tcBorders>
                    <w:tl2br w:val="nil"/>
                    <w:tr2bl w:val="nil"/>
                  </w:tcBorders>
                  <w:shd w:val="clear" w:color="auto" w:fill="auto"/>
                  <w:vAlign w:val="center"/>
                </w:tcPr>
                <w:p w14:paraId="6561EAF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D57D8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自动吸塑机10</w:t>
                  </w:r>
                </w:p>
              </w:tc>
              <w:tc>
                <w:tcPr>
                  <w:tcW w:w="675" w:type="dxa"/>
                  <w:tcBorders>
                    <w:tl2br w:val="nil"/>
                    <w:tr2bl w:val="nil"/>
                  </w:tcBorders>
                  <w:shd w:val="clear" w:color="auto" w:fill="auto"/>
                  <w:vAlign w:val="center"/>
                </w:tcPr>
                <w:p w14:paraId="67F3A3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7D87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6412EB0">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1921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275.32</w:t>
                  </w:r>
                </w:p>
              </w:tc>
              <w:tc>
                <w:tcPr>
                  <w:tcW w:w="876" w:type="dxa"/>
                  <w:tcBorders>
                    <w:tl2br w:val="nil"/>
                    <w:tr2bl w:val="nil"/>
                  </w:tcBorders>
                  <w:shd w:val="clear" w:color="auto" w:fill="auto"/>
                  <w:noWrap/>
                  <w:vAlign w:val="center"/>
                </w:tcPr>
                <w:p w14:paraId="34F9C1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136.79</w:t>
                  </w:r>
                </w:p>
              </w:tc>
              <w:tc>
                <w:tcPr>
                  <w:tcW w:w="476" w:type="dxa"/>
                  <w:tcBorders>
                    <w:tl2br w:val="nil"/>
                    <w:tr2bl w:val="nil"/>
                  </w:tcBorders>
                  <w:shd w:val="clear" w:color="auto" w:fill="auto"/>
                  <w:vAlign w:val="center"/>
                </w:tcPr>
                <w:p w14:paraId="7FC6F6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18C73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13.1</w:t>
                  </w:r>
                </w:p>
              </w:tc>
              <w:tc>
                <w:tcPr>
                  <w:tcW w:w="898" w:type="dxa"/>
                  <w:tcBorders>
                    <w:tl2br w:val="nil"/>
                    <w:tr2bl w:val="nil"/>
                  </w:tcBorders>
                  <w:shd w:val="clear" w:color="auto" w:fill="auto"/>
                  <w:vAlign w:val="center"/>
                </w:tcPr>
                <w:p w14:paraId="18AB1D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51.72</w:t>
                  </w:r>
                </w:p>
              </w:tc>
              <w:tc>
                <w:tcPr>
                  <w:tcW w:w="707" w:type="dxa"/>
                  <w:tcBorders>
                    <w:tl2br w:val="nil"/>
                    <w:tr2bl w:val="nil"/>
                  </w:tcBorders>
                  <w:shd w:val="clear" w:color="auto" w:fill="auto"/>
                  <w:vAlign w:val="center"/>
                </w:tcPr>
                <w:p w14:paraId="774346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5EC19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F112B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30.72</w:t>
                  </w:r>
                </w:p>
              </w:tc>
              <w:tc>
                <w:tcPr>
                  <w:tcW w:w="887" w:type="dxa"/>
                  <w:tcBorders>
                    <w:tl2br w:val="nil"/>
                    <w:tr2bl w:val="nil"/>
                  </w:tcBorders>
                  <w:shd w:val="clear" w:color="auto" w:fill="auto"/>
                  <w:vAlign w:val="center"/>
                </w:tcPr>
                <w:p w14:paraId="6E9ABC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D964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93EC9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846" w:type="dxa"/>
                  <w:vMerge w:val="continue"/>
                  <w:tcBorders>
                    <w:tl2br w:val="nil"/>
                    <w:tr2bl w:val="nil"/>
                  </w:tcBorders>
                  <w:shd w:val="clear" w:color="auto" w:fill="auto"/>
                  <w:vAlign w:val="center"/>
                </w:tcPr>
                <w:p w14:paraId="11A8AA6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B6E3E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自动吸塑机11</w:t>
                  </w:r>
                </w:p>
              </w:tc>
              <w:tc>
                <w:tcPr>
                  <w:tcW w:w="675" w:type="dxa"/>
                  <w:tcBorders>
                    <w:tl2br w:val="nil"/>
                    <w:tr2bl w:val="nil"/>
                  </w:tcBorders>
                  <w:shd w:val="clear" w:color="auto" w:fill="auto"/>
                  <w:vAlign w:val="center"/>
                </w:tcPr>
                <w:p w14:paraId="2A67C1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CBCE8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17AF849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8238F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261.67</w:t>
                  </w:r>
                </w:p>
              </w:tc>
              <w:tc>
                <w:tcPr>
                  <w:tcW w:w="876" w:type="dxa"/>
                  <w:tcBorders>
                    <w:tl2br w:val="nil"/>
                    <w:tr2bl w:val="nil"/>
                  </w:tcBorders>
                  <w:shd w:val="clear" w:color="auto" w:fill="auto"/>
                  <w:noWrap/>
                  <w:vAlign w:val="center"/>
                </w:tcPr>
                <w:p w14:paraId="7D496A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134.79</w:t>
                  </w:r>
                </w:p>
              </w:tc>
              <w:tc>
                <w:tcPr>
                  <w:tcW w:w="476" w:type="dxa"/>
                  <w:tcBorders>
                    <w:tl2br w:val="nil"/>
                    <w:tr2bl w:val="nil"/>
                  </w:tcBorders>
                  <w:shd w:val="clear" w:color="auto" w:fill="auto"/>
                  <w:vAlign w:val="center"/>
                </w:tcPr>
                <w:p w14:paraId="32C2B0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5AFE8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98" w:type="dxa"/>
                  <w:tcBorders>
                    <w:tl2br w:val="nil"/>
                    <w:tr2bl w:val="nil"/>
                  </w:tcBorders>
                  <w:shd w:val="clear" w:color="auto" w:fill="auto"/>
                  <w:vAlign w:val="center"/>
                </w:tcPr>
                <w:p w14:paraId="001A7F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51.51</w:t>
                  </w:r>
                </w:p>
              </w:tc>
              <w:tc>
                <w:tcPr>
                  <w:tcW w:w="707" w:type="dxa"/>
                  <w:tcBorders>
                    <w:tl2br w:val="nil"/>
                    <w:tr2bl w:val="nil"/>
                  </w:tcBorders>
                  <w:shd w:val="clear" w:color="auto" w:fill="auto"/>
                  <w:vAlign w:val="center"/>
                </w:tcPr>
                <w:p w14:paraId="01F77A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5A954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98F30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30.51</w:t>
                  </w:r>
                </w:p>
              </w:tc>
              <w:tc>
                <w:tcPr>
                  <w:tcW w:w="887" w:type="dxa"/>
                  <w:tcBorders>
                    <w:tl2br w:val="nil"/>
                    <w:tr2bl w:val="nil"/>
                  </w:tcBorders>
                  <w:shd w:val="clear" w:color="auto" w:fill="auto"/>
                  <w:vAlign w:val="center"/>
                </w:tcPr>
                <w:p w14:paraId="2114B8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546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FFA0C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143</w:t>
                  </w:r>
                </w:p>
              </w:tc>
              <w:tc>
                <w:tcPr>
                  <w:tcW w:w="846" w:type="dxa"/>
                  <w:vMerge w:val="continue"/>
                  <w:tcBorders>
                    <w:tl2br w:val="nil"/>
                    <w:tr2bl w:val="nil"/>
                  </w:tcBorders>
                  <w:shd w:val="clear" w:color="auto" w:fill="auto"/>
                  <w:vAlign w:val="center"/>
                </w:tcPr>
                <w:p w14:paraId="27B324F1">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EBDE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自动吸塑机12</w:t>
                  </w:r>
                </w:p>
              </w:tc>
              <w:tc>
                <w:tcPr>
                  <w:tcW w:w="675" w:type="dxa"/>
                  <w:tcBorders>
                    <w:tl2br w:val="nil"/>
                    <w:tr2bl w:val="nil"/>
                  </w:tcBorders>
                  <w:shd w:val="clear" w:color="auto" w:fill="auto"/>
                  <w:vAlign w:val="center"/>
                </w:tcPr>
                <w:p w14:paraId="2897CC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BA082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64D2FF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04CE9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273.31</w:t>
                  </w:r>
                </w:p>
              </w:tc>
              <w:tc>
                <w:tcPr>
                  <w:tcW w:w="876" w:type="dxa"/>
                  <w:tcBorders>
                    <w:tl2br w:val="nil"/>
                    <w:tr2bl w:val="nil"/>
                  </w:tcBorders>
                  <w:shd w:val="clear" w:color="auto" w:fill="auto"/>
                  <w:noWrap/>
                  <w:vAlign w:val="center"/>
                </w:tcPr>
                <w:p w14:paraId="495CB2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131.85</w:t>
                  </w:r>
                </w:p>
              </w:tc>
              <w:tc>
                <w:tcPr>
                  <w:tcW w:w="476" w:type="dxa"/>
                  <w:tcBorders>
                    <w:tl2br w:val="nil"/>
                    <w:tr2bl w:val="nil"/>
                  </w:tcBorders>
                  <w:shd w:val="clear" w:color="auto" w:fill="auto"/>
                  <w:vAlign w:val="center"/>
                </w:tcPr>
                <w:p w14:paraId="4269AD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484AF2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w:t>
                  </w:r>
                </w:p>
              </w:tc>
              <w:tc>
                <w:tcPr>
                  <w:tcW w:w="898" w:type="dxa"/>
                  <w:tcBorders>
                    <w:tl2br w:val="nil"/>
                    <w:tr2bl w:val="nil"/>
                  </w:tcBorders>
                  <w:shd w:val="clear" w:color="auto" w:fill="auto"/>
                  <w:vAlign w:val="center"/>
                </w:tcPr>
                <w:p w14:paraId="4543A3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51.63</w:t>
                  </w:r>
                </w:p>
              </w:tc>
              <w:tc>
                <w:tcPr>
                  <w:tcW w:w="707" w:type="dxa"/>
                  <w:tcBorders>
                    <w:tl2br w:val="nil"/>
                    <w:tr2bl w:val="nil"/>
                  </w:tcBorders>
                  <w:shd w:val="clear" w:color="auto" w:fill="auto"/>
                  <w:vAlign w:val="center"/>
                </w:tcPr>
                <w:p w14:paraId="0BFE44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0B6D7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3357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30.63</w:t>
                  </w:r>
                </w:p>
              </w:tc>
              <w:tc>
                <w:tcPr>
                  <w:tcW w:w="887" w:type="dxa"/>
                  <w:tcBorders>
                    <w:tl2br w:val="nil"/>
                    <w:tr2bl w:val="nil"/>
                  </w:tcBorders>
                  <w:shd w:val="clear" w:color="auto" w:fill="auto"/>
                  <w:vAlign w:val="center"/>
                </w:tcPr>
                <w:p w14:paraId="08CEA1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83C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476D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846" w:type="dxa"/>
                  <w:vMerge w:val="continue"/>
                  <w:tcBorders>
                    <w:tl2br w:val="nil"/>
                    <w:tr2bl w:val="nil"/>
                  </w:tcBorders>
                  <w:shd w:val="clear" w:color="auto" w:fill="auto"/>
                  <w:vAlign w:val="center"/>
                </w:tcPr>
                <w:p w14:paraId="7A774A1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C735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自动吸塑机13</w:t>
                  </w:r>
                </w:p>
              </w:tc>
              <w:tc>
                <w:tcPr>
                  <w:tcW w:w="675" w:type="dxa"/>
                  <w:tcBorders>
                    <w:tl2br w:val="nil"/>
                    <w:tr2bl w:val="nil"/>
                  </w:tcBorders>
                  <w:shd w:val="clear" w:color="auto" w:fill="auto"/>
                  <w:vAlign w:val="center"/>
                </w:tcPr>
                <w:p w14:paraId="3E5123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6072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0AC22CD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53228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261.08</w:t>
                  </w:r>
                </w:p>
              </w:tc>
              <w:tc>
                <w:tcPr>
                  <w:tcW w:w="876" w:type="dxa"/>
                  <w:tcBorders>
                    <w:tl2br w:val="nil"/>
                    <w:tr2bl w:val="nil"/>
                  </w:tcBorders>
                  <w:shd w:val="clear" w:color="auto" w:fill="auto"/>
                  <w:noWrap/>
                  <w:vAlign w:val="center"/>
                </w:tcPr>
                <w:p w14:paraId="3C477E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130.71</w:t>
                  </w:r>
                </w:p>
              </w:tc>
              <w:tc>
                <w:tcPr>
                  <w:tcW w:w="476" w:type="dxa"/>
                  <w:tcBorders>
                    <w:tl2br w:val="nil"/>
                    <w:tr2bl w:val="nil"/>
                  </w:tcBorders>
                  <w:shd w:val="clear" w:color="auto" w:fill="auto"/>
                  <w:vAlign w:val="center"/>
                </w:tcPr>
                <w:p w14:paraId="52D45C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A9A3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898" w:type="dxa"/>
                  <w:tcBorders>
                    <w:tl2br w:val="nil"/>
                    <w:tr2bl w:val="nil"/>
                  </w:tcBorders>
                  <w:shd w:val="clear" w:color="auto" w:fill="auto"/>
                  <w:vAlign w:val="center"/>
                </w:tcPr>
                <w:p w14:paraId="522F7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51.47</w:t>
                  </w:r>
                </w:p>
              </w:tc>
              <w:tc>
                <w:tcPr>
                  <w:tcW w:w="707" w:type="dxa"/>
                  <w:tcBorders>
                    <w:tl2br w:val="nil"/>
                    <w:tr2bl w:val="nil"/>
                  </w:tcBorders>
                  <w:shd w:val="clear" w:color="auto" w:fill="auto"/>
                  <w:vAlign w:val="center"/>
                </w:tcPr>
                <w:p w14:paraId="7DC31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10D01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2D994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30.47</w:t>
                  </w:r>
                </w:p>
              </w:tc>
              <w:tc>
                <w:tcPr>
                  <w:tcW w:w="887" w:type="dxa"/>
                  <w:tcBorders>
                    <w:tl2br w:val="nil"/>
                    <w:tr2bl w:val="nil"/>
                  </w:tcBorders>
                  <w:shd w:val="clear" w:color="auto" w:fill="auto"/>
                  <w:vAlign w:val="center"/>
                </w:tcPr>
                <w:p w14:paraId="50DDFF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FA6F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BCF6B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846" w:type="dxa"/>
                  <w:vMerge w:val="continue"/>
                  <w:tcBorders>
                    <w:tl2br w:val="nil"/>
                    <w:tr2bl w:val="nil"/>
                  </w:tcBorders>
                  <w:shd w:val="clear" w:color="auto" w:fill="auto"/>
                  <w:vAlign w:val="center"/>
                </w:tcPr>
                <w:p w14:paraId="6F6DEFC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1B362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自动吸塑机14</w:t>
                  </w:r>
                </w:p>
              </w:tc>
              <w:tc>
                <w:tcPr>
                  <w:tcW w:w="675" w:type="dxa"/>
                  <w:tcBorders>
                    <w:tl2br w:val="nil"/>
                    <w:tr2bl w:val="nil"/>
                  </w:tcBorders>
                  <w:shd w:val="clear" w:color="auto" w:fill="auto"/>
                  <w:vAlign w:val="center"/>
                </w:tcPr>
                <w:p w14:paraId="5DFC6F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7F764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28FCF9D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D9DFC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272.39</w:t>
                  </w:r>
                </w:p>
              </w:tc>
              <w:tc>
                <w:tcPr>
                  <w:tcW w:w="876" w:type="dxa"/>
                  <w:tcBorders>
                    <w:tl2br w:val="nil"/>
                    <w:tr2bl w:val="nil"/>
                  </w:tcBorders>
                  <w:shd w:val="clear" w:color="auto" w:fill="auto"/>
                  <w:noWrap/>
                  <w:vAlign w:val="center"/>
                </w:tcPr>
                <w:p w14:paraId="69DE2F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127.80</w:t>
                  </w:r>
                </w:p>
              </w:tc>
              <w:tc>
                <w:tcPr>
                  <w:tcW w:w="476" w:type="dxa"/>
                  <w:tcBorders>
                    <w:tl2br w:val="nil"/>
                    <w:tr2bl w:val="nil"/>
                  </w:tcBorders>
                  <w:shd w:val="clear" w:color="auto" w:fill="auto"/>
                  <w:vAlign w:val="center"/>
                </w:tcPr>
                <w:p w14:paraId="054834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726ED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898" w:type="dxa"/>
                  <w:tcBorders>
                    <w:tl2br w:val="nil"/>
                    <w:tr2bl w:val="nil"/>
                  </w:tcBorders>
                  <w:shd w:val="clear" w:color="auto" w:fill="auto"/>
                  <w:vAlign w:val="center"/>
                </w:tcPr>
                <w:p w14:paraId="647446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51.66</w:t>
                  </w:r>
                </w:p>
              </w:tc>
              <w:tc>
                <w:tcPr>
                  <w:tcW w:w="707" w:type="dxa"/>
                  <w:tcBorders>
                    <w:tl2br w:val="nil"/>
                    <w:tr2bl w:val="nil"/>
                  </w:tcBorders>
                  <w:shd w:val="clear" w:color="auto" w:fill="auto"/>
                  <w:vAlign w:val="center"/>
                </w:tcPr>
                <w:p w14:paraId="5BAC21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24DA3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9C0BA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30.66</w:t>
                  </w:r>
                </w:p>
              </w:tc>
              <w:tc>
                <w:tcPr>
                  <w:tcW w:w="887" w:type="dxa"/>
                  <w:tcBorders>
                    <w:tl2br w:val="nil"/>
                    <w:tr2bl w:val="nil"/>
                  </w:tcBorders>
                  <w:shd w:val="clear" w:color="auto" w:fill="auto"/>
                  <w:vAlign w:val="center"/>
                </w:tcPr>
                <w:p w14:paraId="4DB5E6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6662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5D9BC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846" w:type="dxa"/>
                  <w:vMerge w:val="continue"/>
                  <w:tcBorders>
                    <w:tl2br w:val="nil"/>
                    <w:tr2bl w:val="nil"/>
                  </w:tcBorders>
                  <w:shd w:val="clear" w:color="auto" w:fill="auto"/>
                  <w:vAlign w:val="center"/>
                </w:tcPr>
                <w:p w14:paraId="58E73D7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66210F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自动卸钻机1</w:t>
                  </w:r>
                </w:p>
              </w:tc>
              <w:tc>
                <w:tcPr>
                  <w:tcW w:w="675" w:type="dxa"/>
                  <w:tcBorders>
                    <w:tl2br w:val="nil"/>
                    <w:tr2bl w:val="nil"/>
                  </w:tcBorders>
                  <w:shd w:val="clear" w:color="auto" w:fill="auto"/>
                  <w:vAlign w:val="center"/>
                </w:tcPr>
                <w:p w14:paraId="056D5A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D7CAC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0DC763C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EE650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254.98</w:t>
                  </w:r>
                </w:p>
              </w:tc>
              <w:tc>
                <w:tcPr>
                  <w:tcW w:w="876" w:type="dxa"/>
                  <w:tcBorders>
                    <w:tl2br w:val="nil"/>
                    <w:tr2bl w:val="nil"/>
                  </w:tcBorders>
                  <w:shd w:val="clear" w:color="auto" w:fill="auto"/>
                  <w:noWrap/>
                  <w:vAlign w:val="center"/>
                </w:tcPr>
                <w:p w14:paraId="10D118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119.83</w:t>
                  </w:r>
                </w:p>
              </w:tc>
              <w:tc>
                <w:tcPr>
                  <w:tcW w:w="476" w:type="dxa"/>
                  <w:tcBorders>
                    <w:tl2br w:val="nil"/>
                    <w:tr2bl w:val="nil"/>
                  </w:tcBorders>
                  <w:shd w:val="clear" w:color="auto" w:fill="auto"/>
                  <w:vAlign w:val="center"/>
                </w:tcPr>
                <w:p w14:paraId="2BBB2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44C9F1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12.3</w:t>
                  </w:r>
                </w:p>
              </w:tc>
              <w:tc>
                <w:tcPr>
                  <w:tcW w:w="898" w:type="dxa"/>
                  <w:tcBorders>
                    <w:tl2br w:val="nil"/>
                    <w:tr2bl w:val="nil"/>
                  </w:tcBorders>
                  <w:shd w:val="clear" w:color="auto" w:fill="auto"/>
                  <w:vAlign w:val="center"/>
                </w:tcPr>
                <w:p w14:paraId="4E298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41.83</w:t>
                  </w:r>
                </w:p>
              </w:tc>
              <w:tc>
                <w:tcPr>
                  <w:tcW w:w="707" w:type="dxa"/>
                  <w:tcBorders>
                    <w:tl2br w:val="nil"/>
                    <w:tr2bl w:val="nil"/>
                  </w:tcBorders>
                  <w:shd w:val="clear" w:color="auto" w:fill="auto"/>
                  <w:vAlign w:val="center"/>
                </w:tcPr>
                <w:p w14:paraId="163514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6C60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B9A9C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20.83</w:t>
                  </w:r>
                </w:p>
              </w:tc>
              <w:tc>
                <w:tcPr>
                  <w:tcW w:w="887" w:type="dxa"/>
                  <w:tcBorders>
                    <w:tl2br w:val="nil"/>
                    <w:tr2bl w:val="nil"/>
                  </w:tcBorders>
                  <w:shd w:val="clear" w:color="auto" w:fill="auto"/>
                  <w:vAlign w:val="center"/>
                </w:tcPr>
                <w:p w14:paraId="38EA08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BAF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0A4A0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846" w:type="dxa"/>
                  <w:vMerge w:val="continue"/>
                  <w:tcBorders>
                    <w:tl2br w:val="nil"/>
                    <w:tr2bl w:val="nil"/>
                  </w:tcBorders>
                  <w:shd w:val="clear" w:color="auto" w:fill="auto"/>
                  <w:vAlign w:val="center"/>
                </w:tcPr>
                <w:p w14:paraId="088EE93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1112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自动卸钻机2</w:t>
                  </w:r>
                </w:p>
              </w:tc>
              <w:tc>
                <w:tcPr>
                  <w:tcW w:w="675" w:type="dxa"/>
                  <w:tcBorders>
                    <w:tl2br w:val="nil"/>
                    <w:tr2bl w:val="nil"/>
                  </w:tcBorders>
                  <w:shd w:val="clear" w:color="auto" w:fill="auto"/>
                  <w:vAlign w:val="center"/>
                </w:tcPr>
                <w:p w14:paraId="630232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D304D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3BD9746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8C8A7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254.07</w:t>
                  </w:r>
                </w:p>
              </w:tc>
              <w:tc>
                <w:tcPr>
                  <w:tcW w:w="876" w:type="dxa"/>
                  <w:tcBorders>
                    <w:tl2br w:val="nil"/>
                    <w:tr2bl w:val="nil"/>
                  </w:tcBorders>
                  <w:shd w:val="clear" w:color="auto" w:fill="auto"/>
                  <w:noWrap/>
                  <w:vAlign w:val="center"/>
                </w:tcPr>
                <w:p w14:paraId="109F38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112.89</w:t>
                  </w:r>
                </w:p>
              </w:tc>
              <w:tc>
                <w:tcPr>
                  <w:tcW w:w="476" w:type="dxa"/>
                  <w:tcBorders>
                    <w:tl2br w:val="nil"/>
                    <w:tr2bl w:val="nil"/>
                  </w:tcBorders>
                  <w:shd w:val="clear" w:color="auto" w:fill="auto"/>
                  <w:vAlign w:val="center"/>
                </w:tcPr>
                <w:p w14:paraId="19A74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DE384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13.2</w:t>
                  </w:r>
                </w:p>
              </w:tc>
              <w:tc>
                <w:tcPr>
                  <w:tcW w:w="898" w:type="dxa"/>
                  <w:tcBorders>
                    <w:tl2br w:val="nil"/>
                    <w:tr2bl w:val="nil"/>
                  </w:tcBorders>
                  <w:shd w:val="clear" w:color="auto" w:fill="auto"/>
                  <w:vAlign w:val="center"/>
                </w:tcPr>
                <w:p w14:paraId="776B00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41.70</w:t>
                  </w:r>
                </w:p>
              </w:tc>
              <w:tc>
                <w:tcPr>
                  <w:tcW w:w="707" w:type="dxa"/>
                  <w:tcBorders>
                    <w:tl2br w:val="nil"/>
                    <w:tr2bl w:val="nil"/>
                  </w:tcBorders>
                  <w:shd w:val="clear" w:color="auto" w:fill="auto"/>
                  <w:vAlign w:val="center"/>
                </w:tcPr>
                <w:p w14:paraId="67695B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3D3B9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5F0C4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20.70</w:t>
                  </w:r>
                </w:p>
              </w:tc>
              <w:tc>
                <w:tcPr>
                  <w:tcW w:w="887" w:type="dxa"/>
                  <w:tcBorders>
                    <w:tl2br w:val="nil"/>
                    <w:tr2bl w:val="nil"/>
                  </w:tcBorders>
                  <w:shd w:val="clear" w:color="auto" w:fill="auto"/>
                  <w:vAlign w:val="center"/>
                </w:tcPr>
                <w:p w14:paraId="34BC33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C15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5B60F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846" w:type="dxa"/>
                  <w:vMerge w:val="continue"/>
                  <w:tcBorders>
                    <w:tl2br w:val="nil"/>
                    <w:tr2bl w:val="nil"/>
                  </w:tcBorders>
                  <w:shd w:val="clear" w:color="auto" w:fill="auto"/>
                  <w:vAlign w:val="center"/>
                </w:tcPr>
                <w:p w14:paraId="04D7ECCA">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425D2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自动卸钻机3</w:t>
                  </w:r>
                </w:p>
              </w:tc>
              <w:tc>
                <w:tcPr>
                  <w:tcW w:w="675" w:type="dxa"/>
                  <w:tcBorders>
                    <w:tl2br w:val="nil"/>
                    <w:tr2bl w:val="nil"/>
                  </w:tcBorders>
                  <w:shd w:val="clear" w:color="auto" w:fill="auto"/>
                  <w:vAlign w:val="center"/>
                </w:tcPr>
                <w:p w14:paraId="1CF07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6153C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6B33CBE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7849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252.59</w:t>
                  </w:r>
                </w:p>
              </w:tc>
              <w:tc>
                <w:tcPr>
                  <w:tcW w:w="876" w:type="dxa"/>
                  <w:tcBorders>
                    <w:tl2br w:val="nil"/>
                    <w:tr2bl w:val="nil"/>
                  </w:tcBorders>
                  <w:shd w:val="clear" w:color="auto" w:fill="auto"/>
                  <w:noWrap/>
                  <w:vAlign w:val="center"/>
                </w:tcPr>
                <w:p w14:paraId="37D35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105.83</w:t>
                  </w:r>
                </w:p>
              </w:tc>
              <w:tc>
                <w:tcPr>
                  <w:tcW w:w="476" w:type="dxa"/>
                  <w:tcBorders>
                    <w:tl2br w:val="nil"/>
                    <w:tr2bl w:val="nil"/>
                  </w:tcBorders>
                  <w:shd w:val="clear" w:color="auto" w:fill="auto"/>
                  <w:vAlign w:val="center"/>
                </w:tcPr>
                <w:p w14:paraId="01084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A7E03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898" w:type="dxa"/>
                  <w:tcBorders>
                    <w:tl2br w:val="nil"/>
                    <w:tr2bl w:val="nil"/>
                  </w:tcBorders>
                  <w:shd w:val="clear" w:color="auto" w:fill="auto"/>
                  <w:vAlign w:val="center"/>
                </w:tcPr>
                <w:p w14:paraId="56677E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41.64</w:t>
                  </w:r>
                </w:p>
              </w:tc>
              <w:tc>
                <w:tcPr>
                  <w:tcW w:w="707" w:type="dxa"/>
                  <w:tcBorders>
                    <w:tl2br w:val="nil"/>
                    <w:tr2bl w:val="nil"/>
                  </w:tcBorders>
                  <w:shd w:val="clear" w:color="auto" w:fill="auto"/>
                  <w:vAlign w:val="center"/>
                </w:tcPr>
                <w:p w14:paraId="3D3FCD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AD16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78E6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20.64</w:t>
                  </w:r>
                </w:p>
              </w:tc>
              <w:tc>
                <w:tcPr>
                  <w:tcW w:w="887" w:type="dxa"/>
                  <w:tcBorders>
                    <w:tl2br w:val="nil"/>
                    <w:tr2bl w:val="nil"/>
                  </w:tcBorders>
                  <w:shd w:val="clear" w:color="auto" w:fill="auto"/>
                  <w:vAlign w:val="center"/>
                </w:tcPr>
                <w:p w14:paraId="5C902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3FD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FF62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846" w:type="dxa"/>
                  <w:vMerge w:val="continue"/>
                  <w:tcBorders>
                    <w:tl2br w:val="nil"/>
                    <w:tr2bl w:val="nil"/>
                  </w:tcBorders>
                  <w:shd w:val="clear" w:color="auto" w:fill="auto"/>
                  <w:vAlign w:val="center"/>
                </w:tcPr>
                <w:p w14:paraId="50C1336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FD8B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自动卸钻机4</w:t>
                  </w:r>
                </w:p>
              </w:tc>
              <w:tc>
                <w:tcPr>
                  <w:tcW w:w="675" w:type="dxa"/>
                  <w:tcBorders>
                    <w:tl2br w:val="nil"/>
                    <w:tr2bl w:val="nil"/>
                  </w:tcBorders>
                  <w:shd w:val="clear" w:color="auto" w:fill="auto"/>
                  <w:vAlign w:val="center"/>
                </w:tcPr>
                <w:p w14:paraId="7035D0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3A32F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3B11CA18">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4B611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251.11</w:t>
                  </w:r>
                </w:p>
              </w:tc>
              <w:tc>
                <w:tcPr>
                  <w:tcW w:w="876" w:type="dxa"/>
                  <w:tcBorders>
                    <w:tl2br w:val="nil"/>
                    <w:tr2bl w:val="nil"/>
                  </w:tcBorders>
                  <w:shd w:val="clear" w:color="auto" w:fill="auto"/>
                  <w:noWrap/>
                  <w:vAlign w:val="center"/>
                </w:tcPr>
                <w:p w14:paraId="3C5F6B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99.01</w:t>
                  </w:r>
                </w:p>
              </w:tc>
              <w:tc>
                <w:tcPr>
                  <w:tcW w:w="476" w:type="dxa"/>
                  <w:tcBorders>
                    <w:tl2br w:val="nil"/>
                    <w:tr2bl w:val="nil"/>
                  </w:tcBorders>
                  <w:shd w:val="clear" w:color="auto" w:fill="auto"/>
                  <w:vAlign w:val="center"/>
                </w:tcPr>
                <w:p w14:paraId="2F236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B6866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w:t>
                  </w:r>
                </w:p>
              </w:tc>
              <w:tc>
                <w:tcPr>
                  <w:tcW w:w="898" w:type="dxa"/>
                  <w:tcBorders>
                    <w:tl2br w:val="nil"/>
                    <w:tr2bl w:val="nil"/>
                  </w:tcBorders>
                  <w:shd w:val="clear" w:color="auto" w:fill="auto"/>
                  <w:vAlign w:val="center"/>
                </w:tcPr>
                <w:p w14:paraId="275509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41.63</w:t>
                  </w:r>
                </w:p>
              </w:tc>
              <w:tc>
                <w:tcPr>
                  <w:tcW w:w="707" w:type="dxa"/>
                  <w:tcBorders>
                    <w:tl2br w:val="nil"/>
                    <w:tr2bl w:val="nil"/>
                  </w:tcBorders>
                  <w:shd w:val="clear" w:color="auto" w:fill="auto"/>
                  <w:vAlign w:val="center"/>
                </w:tcPr>
                <w:p w14:paraId="0A03F2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89635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62424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20.63</w:t>
                  </w:r>
                </w:p>
              </w:tc>
              <w:tc>
                <w:tcPr>
                  <w:tcW w:w="887" w:type="dxa"/>
                  <w:tcBorders>
                    <w:tl2br w:val="nil"/>
                    <w:tr2bl w:val="nil"/>
                  </w:tcBorders>
                  <w:shd w:val="clear" w:color="auto" w:fill="auto"/>
                  <w:vAlign w:val="center"/>
                </w:tcPr>
                <w:p w14:paraId="7247C5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C5A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C209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846" w:type="dxa"/>
                  <w:vMerge w:val="continue"/>
                  <w:tcBorders>
                    <w:tl2br w:val="nil"/>
                    <w:tr2bl w:val="nil"/>
                  </w:tcBorders>
                  <w:shd w:val="clear" w:color="auto" w:fill="auto"/>
                  <w:vAlign w:val="center"/>
                </w:tcPr>
                <w:p w14:paraId="6839E6E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1D47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自动卸钻机5</w:t>
                  </w:r>
                </w:p>
              </w:tc>
              <w:tc>
                <w:tcPr>
                  <w:tcW w:w="675" w:type="dxa"/>
                  <w:tcBorders>
                    <w:tl2br w:val="nil"/>
                    <w:tr2bl w:val="nil"/>
                  </w:tcBorders>
                  <w:shd w:val="clear" w:color="auto" w:fill="auto"/>
                  <w:vAlign w:val="center"/>
                </w:tcPr>
                <w:p w14:paraId="62736E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60CB8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14F45A56">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681F1E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249.29</w:t>
                  </w:r>
                </w:p>
              </w:tc>
              <w:tc>
                <w:tcPr>
                  <w:tcW w:w="876" w:type="dxa"/>
                  <w:tcBorders>
                    <w:tl2br w:val="nil"/>
                    <w:tr2bl w:val="nil"/>
                  </w:tcBorders>
                  <w:shd w:val="clear" w:color="auto" w:fill="auto"/>
                  <w:noWrap/>
                  <w:vAlign w:val="center"/>
                </w:tcPr>
                <w:p w14:paraId="66C2CF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91.61</w:t>
                  </w:r>
                </w:p>
              </w:tc>
              <w:tc>
                <w:tcPr>
                  <w:tcW w:w="476" w:type="dxa"/>
                  <w:tcBorders>
                    <w:tl2br w:val="nil"/>
                    <w:tr2bl w:val="nil"/>
                  </w:tcBorders>
                  <w:shd w:val="clear" w:color="auto" w:fill="auto"/>
                  <w:vAlign w:val="center"/>
                </w:tcPr>
                <w:p w14:paraId="5E599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574511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898" w:type="dxa"/>
                  <w:tcBorders>
                    <w:tl2br w:val="nil"/>
                    <w:tr2bl w:val="nil"/>
                  </w:tcBorders>
                  <w:shd w:val="clear" w:color="auto" w:fill="auto"/>
                  <w:vAlign w:val="center"/>
                </w:tcPr>
                <w:p w14:paraId="34189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41.58</w:t>
                  </w:r>
                </w:p>
              </w:tc>
              <w:tc>
                <w:tcPr>
                  <w:tcW w:w="707" w:type="dxa"/>
                  <w:tcBorders>
                    <w:tl2br w:val="nil"/>
                    <w:tr2bl w:val="nil"/>
                  </w:tcBorders>
                  <w:shd w:val="clear" w:color="auto" w:fill="auto"/>
                  <w:vAlign w:val="center"/>
                </w:tcPr>
                <w:p w14:paraId="283C98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C6E83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4E2D4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20.58</w:t>
                  </w:r>
                </w:p>
              </w:tc>
              <w:tc>
                <w:tcPr>
                  <w:tcW w:w="887" w:type="dxa"/>
                  <w:tcBorders>
                    <w:tl2br w:val="nil"/>
                    <w:tr2bl w:val="nil"/>
                  </w:tcBorders>
                  <w:shd w:val="clear" w:color="auto" w:fill="auto"/>
                  <w:vAlign w:val="center"/>
                </w:tcPr>
                <w:p w14:paraId="53C727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846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0FDBB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151</w:t>
                  </w:r>
                </w:p>
              </w:tc>
              <w:tc>
                <w:tcPr>
                  <w:tcW w:w="846" w:type="dxa"/>
                  <w:vMerge w:val="continue"/>
                  <w:tcBorders>
                    <w:tl2br w:val="nil"/>
                    <w:tr2bl w:val="nil"/>
                  </w:tcBorders>
                  <w:shd w:val="clear" w:color="auto" w:fill="auto"/>
                  <w:vAlign w:val="center"/>
                </w:tcPr>
                <w:p w14:paraId="53F073A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6649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烘箱/烘道1</w:t>
                  </w:r>
                </w:p>
              </w:tc>
              <w:tc>
                <w:tcPr>
                  <w:tcW w:w="675" w:type="dxa"/>
                  <w:tcBorders>
                    <w:tl2br w:val="nil"/>
                    <w:tr2bl w:val="nil"/>
                  </w:tcBorders>
                  <w:shd w:val="clear" w:color="auto" w:fill="auto"/>
                  <w:vAlign w:val="center"/>
                </w:tcPr>
                <w:p w14:paraId="46E33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DF206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5C5A381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F41CC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281.03</w:t>
                  </w:r>
                </w:p>
              </w:tc>
              <w:tc>
                <w:tcPr>
                  <w:tcW w:w="876" w:type="dxa"/>
                  <w:tcBorders>
                    <w:tl2br w:val="nil"/>
                    <w:tr2bl w:val="nil"/>
                  </w:tcBorders>
                  <w:shd w:val="clear" w:color="auto" w:fill="auto"/>
                  <w:noWrap/>
                  <w:vAlign w:val="center"/>
                </w:tcPr>
                <w:p w14:paraId="725029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201.87</w:t>
                  </w:r>
                </w:p>
              </w:tc>
              <w:tc>
                <w:tcPr>
                  <w:tcW w:w="476" w:type="dxa"/>
                  <w:tcBorders>
                    <w:tl2br w:val="nil"/>
                    <w:tr2bl w:val="nil"/>
                  </w:tcBorders>
                  <w:shd w:val="clear" w:color="auto" w:fill="auto"/>
                  <w:vAlign w:val="center"/>
                </w:tcPr>
                <w:p w14:paraId="4BC800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717706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98" w:type="dxa"/>
                  <w:tcBorders>
                    <w:tl2br w:val="nil"/>
                    <w:tr2bl w:val="nil"/>
                  </w:tcBorders>
                  <w:shd w:val="clear" w:color="auto" w:fill="auto"/>
                  <w:vAlign w:val="center"/>
                </w:tcPr>
                <w:p w14:paraId="2759E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42.96</w:t>
                  </w:r>
                </w:p>
              </w:tc>
              <w:tc>
                <w:tcPr>
                  <w:tcW w:w="707" w:type="dxa"/>
                  <w:tcBorders>
                    <w:tl2br w:val="nil"/>
                    <w:tr2bl w:val="nil"/>
                  </w:tcBorders>
                  <w:shd w:val="clear" w:color="auto" w:fill="auto"/>
                  <w:vAlign w:val="center"/>
                </w:tcPr>
                <w:p w14:paraId="67036C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83036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B59C4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21.96</w:t>
                  </w:r>
                </w:p>
              </w:tc>
              <w:tc>
                <w:tcPr>
                  <w:tcW w:w="887" w:type="dxa"/>
                  <w:tcBorders>
                    <w:tl2br w:val="nil"/>
                    <w:tr2bl w:val="nil"/>
                  </w:tcBorders>
                  <w:shd w:val="clear" w:color="auto" w:fill="auto"/>
                  <w:vAlign w:val="center"/>
                </w:tcPr>
                <w:p w14:paraId="6A4088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175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E42BC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846" w:type="dxa"/>
                  <w:vMerge w:val="continue"/>
                  <w:tcBorders>
                    <w:tl2br w:val="nil"/>
                    <w:tr2bl w:val="nil"/>
                  </w:tcBorders>
                  <w:shd w:val="clear" w:color="auto" w:fill="auto"/>
                  <w:vAlign w:val="center"/>
                </w:tcPr>
                <w:p w14:paraId="0EAA800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88DF8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烘箱/烘道2</w:t>
                  </w:r>
                </w:p>
              </w:tc>
              <w:tc>
                <w:tcPr>
                  <w:tcW w:w="675" w:type="dxa"/>
                  <w:tcBorders>
                    <w:tl2br w:val="nil"/>
                    <w:tr2bl w:val="nil"/>
                  </w:tcBorders>
                  <w:shd w:val="clear" w:color="auto" w:fill="auto"/>
                  <w:vAlign w:val="center"/>
                </w:tcPr>
                <w:p w14:paraId="44ACE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5072D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4B699CBB">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594B1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279.60</w:t>
                  </w:r>
                </w:p>
              </w:tc>
              <w:tc>
                <w:tcPr>
                  <w:tcW w:w="876" w:type="dxa"/>
                  <w:tcBorders>
                    <w:tl2br w:val="nil"/>
                    <w:tr2bl w:val="nil"/>
                  </w:tcBorders>
                  <w:shd w:val="clear" w:color="auto" w:fill="auto"/>
                  <w:noWrap/>
                  <w:vAlign w:val="center"/>
                </w:tcPr>
                <w:p w14:paraId="1C1904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194.97</w:t>
                  </w:r>
                </w:p>
              </w:tc>
              <w:tc>
                <w:tcPr>
                  <w:tcW w:w="476" w:type="dxa"/>
                  <w:tcBorders>
                    <w:tl2br w:val="nil"/>
                    <w:tr2bl w:val="nil"/>
                  </w:tcBorders>
                  <w:shd w:val="clear" w:color="auto" w:fill="auto"/>
                  <w:vAlign w:val="center"/>
                </w:tcPr>
                <w:p w14:paraId="26BDF6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1BCC4C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w:t>
                  </w:r>
                </w:p>
              </w:tc>
              <w:tc>
                <w:tcPr>
                  <w:tcW w:w="898" w:type="dxa"/>
                  <w:tcBorders>
                    <w:tl2br w:val="nil"/>
                    <w:tr2bl w:val="nil"/>
                  </w:tcBorders>
                  <w:shd w:val="clear" w:color="auto" w:fill="auto"/>
                  <w:vAlign w:val="center"/>
                </w:tcPr>
                <w:p w14:paraId="0C703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41.50</w:t>
                  </w:r>
                </w:p>
              </w:tc>
              <w:tc>
                <w:tcPr>
                  <w:tcW w:w="707" w:type="dxa"/>
                  <w:tcBorders>
                    <w:tl2br w:val="nil"/>
                    <w:tr2bl w:val="nil"/>
                  </w:tcBorders>
                  <w:shd w:val="clear" w:color="auto" w:fill="auto"/>
                  <w:vAlign w:val="center"/>
                </w:tcPr>
                <w:p w14:paraId="4CBDE0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67E7C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B7795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20.50</w:t>
                  </w:r>
                </w:p>
              </w:tc>
              <w:tc>
                <w:tcPr>
                  <w:tcW w:w="887" w:type="dxa"/>
                  <w:tcBorders>
                    <w:tl2br w:val="nil"/>
                    <w:tr2bl w:val="nil"/>
                  </w:tcBorders>
                  <w:shd w:val="clear" w:color="auto" w:fill="auto"/>
                  <w:vAlign w:val="center"/>
                </w:tcPr>
                <w:p w14:paraId="17B256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60AC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95CCE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846" w:type="dxa"/>
                  <w:vMerge w:val="continue"/>
                  <w:tcBorders>
                    <w:tl2br w:val="nil"/>
                    <w:tr2bl w:val="nil"/>
                  </w:tcBorders>
                  <w:shd w:val="clear" w:color="auto" w:fill="auto"/>
                  <w:vAlign w:val="center"/>
                </w:tcPr>
                <w:p w14:paraId="5544D1F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23DBF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烘箱/烘道3</w:t>
                  </w:r>
                </w:p>
              </w:tc>
              <w:tc>
                <w:tcPr>
                  <w:tcW w:w="675" w:type="dxa"/>
                  <w:tcBorders>
                    <w:tl2br w:val="nil"/>
                    <w:tr2bl w:val="nil"/>
                  </w:tcBorders>
                  <w:shd w:val="clear" w:color="auto" w:fill="auto"/>
                  <w:vAlign w:val="center"/>
                </w:tcPr>
                <w:p w14:paraId="4961BA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B7D92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1BFCE3B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44DDA9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278.11</w:t>
                  </w:r>
                </w:p>
              </w:tc>
              <w:tc>
                <w:tcPr>
                  <w:tcW w:w="876" w:type="dxa"/>
                  <w:tcBorders>
                    <w:tl2br w:val="nil"/>
                    <w:tr2bl w:val="nil"/>
                  </w:tcBorders>
                  <w:shd w:val="clear" w:color="auto" w:fill="auto"/>
                  <w:noWrap/>
                  <w:vAlign w:val="center"/>
                </w:tcPr>
                <w:p w14:paraId="316F38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188.00</w:t>
                  </w:r>
                </w:p>
              </w:tc>
              <w:tc>
                <w:tcPr>
                  <w:tcW w:w="476" w:type="dxa"/>
                  <w:tcBorders>
                    <w:tl2br w:val="nil"/>
                    <w:tr2bl w:val="nil"/>
                  </w:tcBorders>
                  <w:shd w:val="clear" w:color="auto" w:fill="auto"/>
                  <w:vAlign w:val="center"/>
                </w:tcPr>
                <w:p w14:paraId="52A00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346659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w:t>
                  </w:r>
                </w:p>
              </w:tc>
              <w:tc>
                <w:tcPr>
                  <w:tcW w:w="898" w:type="dxa"/>
                  <w:tcBorders>
                    <w:tl2br w:val="nil"/>
                    <w:tr2bl w:val="nil"/>
                  </w:tcBorders>
                  <w:shd w:val="clear" w:color="auto" w:fill="auto"/>
                  <w:vAlign w:val="center"/>
                </w:tcPr>
                <w:p w14:paraId="1AE7F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41.33</w:t>
                  </w:r>
                </w:p>
              </w:tc>
              <w:tc>
                <w:tcPr>
                  <w:tcW w:w="707" w:type="dxa"/>
                  <w:tcBorders>
                    <w:tl2br w:val="nil"/>
                    <w:tr2bl w:val="nil"/>
                  </w:tcBorders>
                  <w:shd w:val="clear" w:color="auto" w:fill="auto"/>
                  <w:vAlign w:val="center"/>
                </w:tcPr>
                <w:p w14:paraId="2A59A1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429CC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34E1F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20.33</w:t>
                  </w:r>
                </w:p>
              </w:tc>
              <w:tc>
                <w:tcPr>
                  <w:tcW w:w="887" w:type="dxa"/>
                  <w:tcBorders>
                    <w:tl2br w:val="nil"/>
                    <w:tr2bl w:val="nil"/>
                  </w:tcBorders>
                  <w:shd w:val="clear" w:color="auto" w:fill="auto"/>
                  <w:vAlign w:val="center"/>
                </w:tcPr>
                <w:p w14:paraId="61C7C2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FFA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A1578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846" w:type="dxa"/>
                  <w:vMerge w:val="continue"/>
                  <w:tcBorders>
                    <w:tl2br w:val="nil"/>
                    <w:tr2bl w:val="nil"/>
                  </w:tcBorders>
                  <w:shd w:val="clear" w:color="auto" w:fill="auto"/>
                  <w:vAlign w:val="center"/>
                </w:tcPr>
                <w:p w14:paraId="7F4CE5B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01EDA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烘箱/烘道4</w:t>
                  </w:r>
                </w:p>
              </w:tc>
              <w:tc>
                <w:tcPr>
                  <w:tcW w:w="675" w:type="dxa"/>
                  <w:tcBorders>
                    <w:tl2br w:val="nil"/>
                    <w:tr2bl w:val="nil"/>
                  </w:tcBorders>
                  <w:shd w:val="clear" w:color="auto" w:fill="auto"/>
                  <w:vAlign w:val="center"/>
                </w:tcPr>
                <w:p w14:paraId="1A0099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875AB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012DBE6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4B3DF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276.62</w:t>
                  </w:r>
                </w:p>
              </w:tc>
              <w:tc>
                <w:tcPr>
                  <w:tcW w:w="876" w:type="dxa"/>
                  <w:tcBorders>
                    <w:tl2br w:val="nil"/>
                    <w:tr2bl w:val="nil"/>
                  </w:tcBorders>
                  <w:shd w:val="clear" w:color="auto" w:fill="auto"/>
                  <w:noWrap/>
                  <w:vAlign w:val="center"/>
                </w:tcPr>
                <w:p w14:paraId="25B5FB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180.96</w:t>
                  </w:r>
                </w:p>
              </w:tc>
              <w:tc>
                <w:tcPr>
                  <w:tcW w:w="476" w:type="dxa"/>
                  <w:tcBorders>
                    <w:tl2br w:val="nil"/>
                    <w:tr2bl w:val="nil"/>
                  </w:tcBorders>
                  <w:shd w:val="clear" w:color="auto" w:fill="auto"/>
                  <w:vAlign w:val="center"/>
                </w:tcPr>
                <w:p w14:paraId="40071E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5FF517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18.1</w:t>
                  </w:r>
                </w:p>
              </w:tc>
              <w:tc>
                <w:tcPr>
                  <w:tcW w:w="898" w:type="dxa"/>
                  <w:tcBorders>
                    <w:tl2br w:val="nil"/>
                    <w:tr2bl w:val="nil"/>
                  </w:tcBorders>
                  <w:shd w:val="clear" w:color="auto" w:fill="auto"/>
                  <w:vAlign w:val="center"/>
                </w:tcPr>
                <w:p w14:paraId="1AEDAE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41.29</w:t>
                  </w:r>
                </w:p>
              </w:tc>
              <w:tc>
                <w:tcPr>
                  <w:tcW w:w="707" w:type="dxa"/>
                  <w:tcBorders>
                    <w:tl2br w:val="nil"/>
                    <w:tr2bl w:val="nil"/>
                  </w:tcBorders>
                  <w:shd w:val="clear" w:color="auto" w:fill="auto"/>
                  <w:vAlign w:val="center"/>
                </w:tcPr>
                <w:p w14:paraId="09FB8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571251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07FC9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20.29</w:t>
                  </w:r>
                </w:p>
              </w:tc>
              <w:tc>
                <w:tcPr>
                  <w:tcW w:w="887" w:type="dxa"/>
                  <w:tcBorders>
                    <w:tl2br w:val="nil"/>
                    <w:tr2bl w:val="nil"/>
                  </w:tcBorders>
                  <w:shd w:val="clear" w:color="auto" w:fill="auto"/>
                  <w:vAlign w:val="center"/>
                </w:tcPr>
                <w:p w14:paraId="3A25F6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4CED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A38A3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155</w:t>
                  </w:r>
                </w:p>
              </w:tc>
              <w:tc>
                <w:tcPr>
                  <w:tcW w:w="846" w:type="dxa"/>
                  <w:vMerge w:val="continue"/>
                  <w:tcBorders>
                    <w:tl2br w:val="nil"/>
                    <w:tr2bl w:val="nil"/>
                  </w:tcBorders>
                  <w:shd w:val="clear" w:color="auto" w:fill="auto"/>
                  <w:vAlign w:val="center"/>
                </w:tcPr>
                <w:p w14:paraId="0E6877BF">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52708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分筛机1</w:t>
                  </w:r>
                </w:p>
              </w:tc>
              <w:tc>
                <w:tcPr>
                  <w:tcW w:w="675" w:type="dxa"/>
                  <w:tcBorders>
                    <w:tl2br w:val="nil"/>
                    <w:tr2bl w:val="nil"/>
                  </w:tcBorders>
                  <w:shd w:val="clear" w:color="auto" w:fill="auto"/>
                  <w:vAlign w:val="center"/>
                </w:tcPr>
                <w:p w14:paraId="1F954B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5464C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68C4FCA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DFB88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w:t>
                  </w:r>
                </w:p>
              </w:tc>
              <w:tc>
                <w:tcPr>
                  <w:tcW w:w="876" w:type="dxa"/>
                  <w:tcBorders>
                    <w:tl2br w:val="nil"/>
                    <w:tr2bl w:val="nil"/>
                  </w:tcBorders>
                  <w:shd w:val="clear" w:color="auto" w:fill="auto"/>
                  <w:noWrap/>
                  <w:vAlign w:val="center"/>
                </w:tcPr>
                <w:p w14:paraId="7C1FB6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200.21</w:t>
                  </w:r>
                </w:p>
              </w:tc>
              <w:tc>
                <w:tcPr>
                  <w:tcW w:w="476" w:type="dxa"/>
                  <w:tcBorders>
                    <w:tl2br w:val="nil"/>
                    <w:tr2bl w:val="nil"/>
                  </w:tcBorders>
                  <w:shd w:val="clear" w:color="auto" w:fill="auto"/>
                  <w:vAlign w:val="center"/>
                </w:tcPr>
                <w:p w14:paraId="2D8C98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1617A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w:t>
                  </w:r>
                </w:p>
              </w:tc>
              <w:tc>
                <w:tcPr>
                  <w:tcW w:w="898" w:type="dxa"/>
                  <w:tcBorders>
                    <w:tl2br w:val="nil"/>
                    <w:tr2bl w:val="nil"/>
                  </w:tcBorders>
                  <w:shd w:val="clear" w:color="auto" w:fill="auto"/>
                  <w:vAlign w:val="center"/>
                </w:tcPr>
                <w:p w14:paraId="0DD8C2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47.92</w:t>
                  </w:r>
                </w:p>
              </w:tc>
              <w:tc>
                <w:tcPr>
                  <w:tcW w:w="707" w:type="dxa"/>
                  <w:tcBorders>
                    <w:tl2br w:val="nil"/>
                    <w:tr2bl w:val="nil"/>
                  </w:tcBorders>
                  <w:shd w:val="clear" w:color="auto" w:fill="auto"/>
                  <w:vAlign w:val="center"/>
                </w:tcPr>
                <w:p w14:paraId="44C67B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A6531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18945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26.92</w:t>
                  </w:r>
                </w:p>
              </w:tc>
              <w:tc>
                <w:tcPr>
                  <w:tcW w:w="887" w:type="dxa"/>
                  <w:tcBorders>
                    <w:tl2br w:val="nil"/>
                    <w:tr2bl w:val="nil"/>
                  </w:tcBorders>
                  <w:shd w:val="clear" w:color="auto" w:fill="auto"/>
                  <w:vAlign w:val="center"/>
                </w:tcPr>
                <w:p w14:paraId="490ACD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5F4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C2ED2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846" w:type="dxa"/>
                  <w:vMerge w:val="continue"/>
                  <w:tcBorders>
                    <w:tl2br w:val="nil"/>
                    <w:tr2bl w:val="nil"/>
                  </w:tcBorders>
                  <w:shd w:val="clear" w:color="auto" w:fill="auto"/>
                  <w:vAlign w:val="center"/>
                </w:tcPr>
                <w:p w14:paraId="101F629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B59F0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分筛机2</w:t>
                  </w:r>
                </w:p>
              </w:tc>
              <w:tc>
                <w:tcPr>
                  <w:tcW w:w="675" w:type="dxa"/>
                  <w:tcBorders>
                    <w:tl2br w:val="nil"/>
                    <w:tr2bl w:val="nil"/>
                  </w:tcBorders>
                  <w:shd w:val="clear" w:color="auto" w:fill="auto"/>
                  <w:vAlign w:val="center"/>
                </w:tcPr>
                <w:p w14:paraId="5020D0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2CB03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5FDF2283">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5306F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295.19</w:t>
                  </w:r>
                </w:p>
              </w:tc>
              <w:tc>
                <w:tcPr>
                  <w:tcW w:w="876" w:type="dxa"/>
                  <w:tcBorders>
                    <w:tl2br w:val="nil"/>
                    <w:tr2bl w:val="nil"/>
                  </w:tcBorders>
                  <w:shd w:val="clear" w:color="auto" w:fill="auto"/>
                  <w:noWrap/>
                  <w:vAlign w:val="center"/>
                </w:tcPr>
                <w:p w14:paraId="31FE46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198.02</w:t>
                  </w:r>
                </w:p>
              </w:tc>
              <w:tc>
                <w:tcPr>
                  <w:tcW w:w="476" w:type="dxa"/>
                  <w:tcBorders>
                    <w:tl2br w:val="nil"/>
                    <w:tr2bl w:val="nil"/>
                  </w:tcBorders>
                  <w:shd w:val="clear" w:color="auto" w:fill="auto"/>
                  <w:vAlign w:val="center"/>
                </w:tcPr>
                <w:p w14:paraId="11E78A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04312D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w:t>
                  </w:r>
                </w:p>
              </w:tc>
              <w:tc>
                <w:tcPr>
                  <w:tcW w:w="898" w:type="dxa"/>
                  <w:tcBorders>
                    <w:tl2br w:val="nil"/>
                    <w:tr2bl w:val="nil"/>
                  </w:tcBorders>
                  <w:shd w:val="clear" w:color="auto" w:fill="auto"/>
                  <w:vAlign w:val="center"/>
                </w:tcPr>
                <w:p w14:paraId="471EB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48.10</w:t>
                  </w:r>
                </w:p>
              </w:tc>
              <w:tc>
                <w:tcPr>
                  <w:tcW w:w="707" w:type="dxa"/>
                  <w:tcBorders>
                    <w:tl2br w:val="nil"/>
                    <w:tr2bl w:val="nil"/>
                  </w:tcBorders>
                  <w:shd w:val="clear" w:color="auto" w:fill="auto"/>
                  <w:vAlign w:val="center"/>
                </w:tcPr>
                <w:p w14:paraId="1F951F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7425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C038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27.10</w:t>
                  </w:r>
                </w:p>
              </w:tc>
              <w:tc>
                <w:tcPr>
                  <w:tcW w:w="887" w:type="dxa"/>
                  <w:tcBorders>
                    <w:tl2br w:val="nil"/>
                    <w:tr2bl w:val="nil"/>
                  </w:tcBorders>
                  <w:shd w:val="clear" w:color="auto" w:fill="auto"/>
                  <w:vAlign w:val="center"/>
                </w:tcPr>
                <w:p w14:paraId="07EAA6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373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C7568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846" w:type="dxa"/>
                  <w:vMerge w:val="continue"/>
                  <w:tcBorders>
                    <w:tl2br w:val="nil"/>
                    <w:tr2bl w:val="nil"/>
                  </w:tcBorders>
                  <w:shd w:val="clear" w:color="auto" w:fill="auto"/>
                  <w:vAlign w:val="center"/>
                </w:tcPr>
                <w:p w14:paraId="0380D10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B26A9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分筛机3</w:t>
                  </w:r>
                </w:p>
              </w:tc>
              <w:tc>
                <w:tcPr>
                  <w:tcW w:w="675" w:type="dxa"/>
                  <w:tcBorders>
                    <w:tl2br w:val="nil"/>
                    <w:tr2bl w:val="nil"/>
                  </w:tcBorders>
                  <w:shd w:val="clear" w:color="auto" w:fill="auto"/>
                  <w:vAlign w:val="center"/>
                </w:tcPr>
                <w:p w14:paraId="4FD7B0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FC9E1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795C23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2F33A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286.82</w:t>
                  </w:r>
                </w:p>
              </w:tc>
              <w:tc>
                <w:tcPr>
                  <w:tcW w:w="876" w:type="dxa"/>
                  <w:tcBorders>
                    <w:tl2br w:val="nil"/>
                    <w:tr2bl w:val="nil"/>
                  </w:tcBorders>
                  <w:shd w:val="clear" w:color="auto" w:fill="auto"/>
                  <w:noWrap/>
                  <w:vAlign w:val="center"/>
                </w:tcPr>
                <w:p w14:paraId="6166DE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192.38</w:t>
                  </w:r>
                </w:p>
              </w:tc>
              <w:tc>
                <w:tcPr>
                  <w:tcW w:w="476" w:type="dxa"/>
                  <w:tcBorders>
                    <w:tl2br w:val="nil"/>
                    <w:tr2bl w:val="nil"/>
                  </w:tcBorders>
                  <w:shd w:val="clear" w:color="auto" w:fill="auto"/>
                  <w:vAlign w:val="center"/>
                </w:tcPr>
                <w:p w14:paraId="4B3247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866A5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15.6</w:t>
                  </w:r>
                </w:p>
              </w:tc>
              <w:tc>
                <w:tcPr>
                  <w:tcW w:w="898" w:type="dxa"/>
                  <w:tcBorders>
                    <w:tl2br w:val="nil"/>
                    <w:tr2bl w:val="nil"/>
                  </w:tcBorders>
                  <w:shd w:val="clear" w:color="auto" w:fill="auto"/>
                  <w:vAlign w:val="center"/>
                </w:tcPr>
                <w:p w14:paraId="72131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46.46</w:t>
                  </w:r>
                </w:p>
              </w:tc>
              <w:tc>
                <w:tcPr>
                  <w:tcW w:w="707" w:type="dxa"/>
                  <w:tcBorders>
                    <w:tl2br w:val="nil"/>
                    <w:tr2bl w:val="nil"/>
                  </w:tcBorders>
                  <w:shd w:val="clear" w:color="auto" w:fill="auto"/>
                  <w:vAlign w:val="center"/>
                </w:tcPr>
                <w:p w14:paraId="784838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237D9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E289F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25.46</w:t>
                  </w:r>
                </w:p>
              </w:tc>
              <w:tc>
                <w:tcPr>
                  <w:tcW w:w="887" w:type="dxa"/>
                  <w:tcBorders>
                    <w:tl2br w:val="nil"/>
                    <w:tr2bl w:val="nil"/>
                  </w:tcBorders>
                  <w:shd w:val="clear" w:color="auto" w:fill="auto"/>
                  <w:vAlign w:val="center"/>
                </w:tcPr>
                <w:p w14:paraId="15069F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5E7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380E6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846" w:type="dxa"/>
                  <w:vMerge w:val="continue"/>
                  <w:tcBorders>
                    <w:tl2br w:val="nil"/>
                    <w:tr2bl w:val="nil"/>
                  </w:tcBorders>
                  <w:shd w:val="clear" w:color="auto" w:fill="auto"/>
                  <w:vAlign w:val="center"/>
                </w:tcPr>
                <w:p w14:paraId="2974C47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CA5A3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分筛机4</w:t>
                  </w:r>
                </w:p>
              </w:tc>
              <w:tc>
                <w:tcPr>
                  <w:tcW w:w="675" w:type="dxa"/>
                  <w:tcBorders>
                    <w:tl2br w:val="nil"/>
                    <w:tr2bl w:val="nil"/>
                  </w:tcBorders>
                  <w:shd w:val="clear" w:color="auto" w:fill="auto"/>
                  <w:vAlign w:val="center"/>
                </w:tcPr>
                <w:p w14:paraId="1F6594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B0A8F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53ABCD2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F334A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293.19</w:t>
                  </w:r>
                </w:p>
              </w:tc>
              <w:tc>
                <w:tcPr>
                  <w:tcW w:w="876" w:type="dxa"/>
                  <w:tcBorders>
                    <w:tl2br w:val="nil"/>
                    <w:tr2bl w:val="nil"/>
                  </w:tcBorders>
                  <w:shd w:val="clear" w:color="auto" w:fill="auto"/>
                  <w:noWrap/>
                  <w:vAlign w:val="center"/>
                </w:tcPr>
                <w:p w14:paraId="147E0D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190.2</w:t>
                  </w:r>
                </w:p>
              </w:tc>
              <w:tc>
                <w:tcPr>
                  <w:tcW w:w="476" w:type="dxa"/>
                  <w:tcBorders>
                    <w:tl2br w:val="nil"/>
                    <w:tr2bl w:val="nil"/>
                  </w:tcBorders>
                  <w:shd w:val="clear" w:color="auto" w:fill="auto"/>
                  <w:vAlign w:val="center"/>
                </w:tcPr>
                <w:p w14:paraId="20B0EF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DD78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898" w:type="dxa"/>
                  <w:tcBorders>
                    <w:tl2br w:val="nil"/>
                    <w:tr2bl w:val="nil"/>
                  </w:tcBorders>
                  <w:shd w:val="clear" w:color="auto" w:fill="auto"/>
                  <w:vAlign w:val="center"/>
                </w:tcPr>
                <w:p w14:paraId="7E562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47.43</w:t>
                  </w:r>
                </w:p>
              </w:tc>
              <w:tc>
                <w:tcPr>
                  <w:tcW w:w="707" w:type="dxa"/>
                  <w:tcBorders>
                    <w:tl2br w:val="nil"/>
                    <w:tr2bl w:val="nil"/>
                  </w:tcBorders>
                  <w:shd w:val="clear" w:color="auto" w:fill="auto"/>
                  <w:vAlign w:val="center"/>
                </w:tcPr>
                <w:p w14:paraId="3730B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A1D8C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FD846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26.43</w:t>
                  </w:r>
                </w:p>
              </w:tc>
              <w:tc>
                <w:tcPr>
                  <w:tcW w:w="887" w:type="dxa"/>
                  <w:tcBorders>
                    <w:tl2br w:val="nil"/>
                    <w:tr2bl w:val="nil"/>
                  </w:tcBorders>
                  <w:shd w:val="clear" w:color="auto" w:fill="auto"/>
                  <w:vAlign w:val="center"/>
                </w:tcPr>
                <w:p w14:paraId="687DF3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672A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24EC50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846" w:type="dxa"/>
                  <w:vMerge w:val="continue"/>
                  <w:tcBorders>
                    <w:tl2br w:val="nil"/>
                    <w:tr2bl w:val="nil"/>
                  </w:tcBorders>
                  <w:shd w:val="clear" w:color="auto" w:fill="auto"/>
                  <w:vAlign w:val="center"/>
                </w:tcPr>
                <w:p w14:paraId="07E464C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809F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分筛机5</w:t>
                  </w:r>
                </w:p>
              </w:tc>
              <w:tc>
                <w:tcPr>
                  <w:tcW w:w="675" w:type="dxa"/>
                  <w:tcBorders>
                    <w:tl2br w:val="nil"/>
                    <w:tr2bl w:val="nil"/>
                  </w:tcBorders>
                  <w:shd w:val="clear" w:color="auto" w:fill="auto"/>
                  <w:vAlign w:val="center"/>
                </w:tcPr>
                <w:p w14:paraId="57007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E23A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6A0A3E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08AA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285.54</w:t>
                  </w:r>
                </w:p>
              </w:tc>
              <w:tc>
                <w:tcPr>
                  <w:tcW w:w="876" w:type="dxa"/>
                  <w:tcBorders>
                    <w:tl2br w:val="nil"/>
                    <w:tr2bl w:val="nil"/>
                  </w:tcBorders>
                  <w:shd w:val="clear" w:color="auto" w:fill="auto"/>
                  <w:noWrap/>
                  <w:vAlign w:val="center"/>
                </w:tcPr>
                <w:p w14:paraId="6E8902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185.83</w:t>
                  </w:r>
                </w:p>
              </w:tc>
              <w:tc>
                <w:tcPr>
                  <w:tcW w:w="476" w:type="dxa"/>
                  <w:tcBorders>
                    <w:tl2br w:val="nil"/>
                    <w:tr2bl w:val="nil"/>
                  </w:tcBorders>
                  <w:shd w:val="clear" w:color="auto" w:fill="auto"/>
                  <w:vAlign w:val="center"/>
                </w:tcPr>
                <w:p w14:paraId="6E479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65C8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15.7</w:t>
                  </w:r>
                </w:p>
              </w:tc>
              <w:tc>
                <w:tcPr>
                  <w:tcW w:w="898" w:type="dxa"/>
                  <w:tcBorders>
                    <w:tl2br w:val="nil"/>
                    <w:tr2bl w:val="nil"/>
                  </w:tcBorders>
                  <w:shd w:val="clear" w:color="auto" w:fill="auto"/>
                  <w:vAlign w:val="center"/>
                </w:tcPr>
                <w:p w14:paraId="2AAC88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46.45</w:t>
                  </w:r>
                </w:p>
              </w:tc>
              <w:tc>
                <w:tcPr>
                  <w:tcW w:w="707" w:type="dxa"/>
                  <w:tcBorders>
                    <w:tl2br w:val="nil"/>
                    <w:tr2bl w:val="nil"/>
                  </w:tcBorders>
                  <w:shd w:val="clear" w:color="auto" w:fill="auto"/>
                  <w:vAlign w:val="center"/>
                </w:tcPr>
                <w:p w14:paraId="6619B5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B1FFC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5F41E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25.45</w:t>
                  </w:r>
                </w:p>
              </w:tc>
              <w:tc>
                <w:tcPr>
                  <w:tcW w:w="887" w:type="dxa"/>
                  <w:tcBorders>
                    <w:tl2br w:val="nil"/>
                    <w:tr2bl w:val="nil"/>
                  </w:tcBorders>
                  <w:shd w:val="clear" w:color="auto" w:fill="auto"/>
                  <w:vAlign w:val="center"/>
                </w:tcPr>
                <w:p w14:paraId="03EF70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0F5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8C7D8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846" w:type="dxa"/>
                  <w:vMerge w:val="continue"/>
                  <w:tcBorders>
                    <w:tl2br w:val="nil"/>
                    <w:tr2bl w:val="nil"/>
                  </w:tcBorders>
                  <w:shd w:val="clear" w:color="auto" w:fill="auto"/>
                  <w:vAlign w:val="center"/>
                </w:tcPr>
                <w:p w14:paraId="1346114A">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5D1CD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分筛机6</w:t>
                  </w:r>
                </w:p>
              </w:tc>
              <w:tc>
                <w:tcPr>
                  <w:tcW w:w="675" w:type="dxa"/>
                  <w:tcBorders>
                    <w:tl2br w:val="nil"/>
                    <w:tr2bl w:val="nil"/>
                  </w:tcBorders>
                  <w:shd w:val="clear" w:color="auto" w:fill="auto"/>
                  <w:vAlign w:val="center"/>
                </w:tcPr>
                <w:p w14:paraId="74CB1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A1BFC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6A23C3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5D82EA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291.92</w:t>
                  </w:r>
                </w:p>
              </w:tc>
              <w:tc>
                <w:tcPr>
                  <w:tcW w:w="876" w:type="dxa"/>
                  <w:tcBorders>
                    <w:tl2br w:val="nil"/>
                    <w:tr2bl w:val="nil"/>
                  </w:tcBorders>
                  <w:shd w:val="clear" w:color="auto" w:fill="auto"/>
                  <w:noWrap/>
                  <w:vAlign w:val="center"/>
                </w:tcPr>
                <w:p w14:paraId="45B967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184.01</w:t>
                  </w:r>
                </w:p>
              </w:tc>
              <w:tc>
                <w:tcPr>
                  <w:tcW w:w="476" w:type="dxa"/>
                  <w:tcBorders>
                    <w:tl2br w:val="nil"/>
                    <w:tr2bl w:val="nil"/>
                  </w:tcBorders>
                  <w:shd w:val="clear" w:color="auto" w:fill="auto"/>
                  <w:vAlign w:val="center"/>
                </w:tcPr>
                <w:p w14:paraId="49939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4CB79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898" w:type="dxa"/>
                  <w:tcBorders>
                    <w:tl2br w:val="nil"/>
                    <w:tr2bl w:val="nil"/>
                  </w:tcBorders>
                  <w:shd w:val="clear" w:color="auto" w:fill="auto"/>
                  <w:vAlign w:val="center"/>
                </w:tcPr>
                <w:p w14:paraId="30F893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47.58</w:t>
                  </w:r>
                </w:p>
              </w:tc>
              <w:tc>
                <w:tcPr>
                  <w:tcW w:w="707" w:type="dxa"/>
                  <w:tcBorders>
                    <w:tl2br w:val="nil"/>
                    <w:tr2bl w:val="nil"/>
                  </w:tcBorders>
                  <w:shd w:val="clear" w:color="auto" w:fill="auto"/>
                  <w:vAlign w:val="center"/>
                </w:tcPr>
                <w:p w14:paraId="086A7C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6EB9C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78281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26.58</w:t>
                  </w:r>
                </w:p>
              </w:tc>
              <w:tc>
                <w:tcPr>
                  <w:tcW w:w="887" w:type="dxa"/>
                  <w:tcBorders>
                    <w:tl2br w:val="nil"/>
                    <w:tr2bl w:val="nil"/>
                  </w:tcBorders>
                  <w:shd w:val="clear" w:color="auto" w:fill="auto"/>
                  <w:vAlign w:val="center"/>
                </w:tcPr>
                <w:p w14:paraId="5724D3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EC57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74DE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846" w:type="dxa"/>
                  <w:vMerge w:val="continue"/>
                  <w:tcBorders>
                    <w:tl2br w:val="nil"/>
                    <w:tr2bl w:val="nil"/>
                  </w:tcBorders>
                  <w:shd w:val="clear" w:color="auto" w:fill="auto"/>
                  <w:vAlign w:val="center"/>
                </w:tcPr>
                <w:p w14:paraId="1336673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69C68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分筛机7</w:t>
                  </w:r>
                </w:p>
              </w:tc>
              <w:tc>
                <w:tcPr>
                  <w:tcW w:w="675" w:type="dxa"/>
                  <w:tcBorders>
                    <w:tl2br w:val="nil"/>
                    <w:tr2bl w:val="nil"/>
                  </w:tcBorders>
                  <w:shd w:val="clear" w:color="auto" w:fill="auto"/>
                  <w:vAlign w:val="center"/>
                </w:tcPr>
                <w:p w14:paraId="213B60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A0B22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BB05BEE">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612B55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284.27</w:t>
                  </w:r>
                </w:p>
              </w:tc>
              <w:tc>
                <w:tcPr>
                  <w:tcW w:w="876" w:type="dxa"/>
                  <w:tcBorders>
                    <w:tl2br w:val="nil"/>
                    <w:tr2bl w:val="nil"/>
                  </w:tcBorders>
                  <w:shd w:val="clear" w:color="auto" w:fill="auto"/>
                  <w:noWrap/>
                  <w:vAlign w:val="center"/>
                </w:tcPr>
                <w:p w14:paraId="354EC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180.37</w:t>
                  </w:r>
                </w:p>
              </w:tc>
              <w:tc>
                <w:tcPr>
                  <w:tcW w:w="476" w:type="dxa"/>
                  <w:tcBorders>
                    <w:tl2br w:val="nil"/>
                    <w:tr2bl w:val="nil"/>
                  </w:tcBorders>
                  <w:shd w:val="clear" w:color="auto" w:fill="auto"/>
                  <w:vAlign w:val="center"/>
                </w:tcPr>
                <w:p w14:paraId="11E94A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A191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15.6</w:t>
                  </w:r>
                </w:p>
              </w:tc>
              <w:tc>
                <w:tcPr>
                  <w:tcW w:w="898" w:type="dxa"/>
                  <w:tcBorders>
                    <w:tl2br w:val="nil"/>
                    <w:tr2bl w:val="nil"/>
                  </w:tcBorders>
                  <w:shd w:val="clear" w:color="auto" w:fill="auto"/>
                  <w:vAlign w:val="center"/>
                </w:tcPr>
                <w:p w14:paraId="08070E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46.46</w:t>
                  </w:r>
                </w:p>
              </w:tc>
              <w:tc>
                <w:tcPr>
                  <w:tcW w:w="707" w:type="dxa"/>
                  <w:tcBorders>
                    <w:tl2br w:val="nil"/>
                    <w:tr2bl w:val="nil"/>
                  </w:tcBorders>
                  <w:shd w:val="clear" w:color="auto" w:fill="auto"/>
                  <w:vAlign w:val="center"/>
                </w:tcPr>
                <w:p w14:paraId="5B3FB0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5ECC8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A07D6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25.46</w:t>
                  </w:r>
                </w:p>
              </w:tc>
              <w:tc>
                <w:tcPr>
                  <w:tcW w:w="887" w:type="dxa"/>
                  <w:tcBorders>
                    <w:tl2br w:val="nil"/>
                    <w:tr2bl w:val="nil"/>
                  </w:tcBorders>
                  <w:shd w:val="clear" w:color="auto" w:fill="auto"/>
                  <w:vAlign w:val="center"/>
                </w:tcPr>
                <w:p w14:paraId="63AFB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20CA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439A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846" w:type="dxa"/>
                  <w:vMerge w:val="continue"/>
                  <w:tcBorders>
                    <w:tl2br w:val="nil"/>
                    <w:tr2bl w:val="nil"/>
                  </w:tcBorders>
                  <w:shd w:val="clear" w:color="auto" w:fill="auto"/>
                  <w:vAlign w:val="center"/>
                </w:tcPr>
                <w:p w14:paraId="2A33E25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29006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分筛机8</w:t>
                  </w:r>
                </w:p>
              </w:tc>
              <w:tc>
                <w:tcPr>
                  <w:tcW w:w="675" w:type="dxa"/>
                  <w:tcBorders>
                    <w:tl2br w:val="nil"/>
                    <w:tr2bl w:val="nil"/>
                  </w:tcBorders>
                  <w:shd w:val="clear" w:color="auto" w:fill="auto"/>
                  <w:vAlign w:val="center"/>
                </w:tcPr>
                <w:p w14:paraId="66943A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2B6C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60D6C1B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B89BD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290.98</w:t>
                  </w:r>
                </w:p>
              </w:tc>
              <w:tc>
                <w:tcPr>
                  <w:tcW w:w="876" w:type="dxa"/>
                  <w:tcBorders>
                    <w:tl2br w:val="nil"/>
                    <w:tr2bl w:val="nil"/>
                  </w:tcBorders>
                  <w:shd w:val="clear" w:color="auto" w:fill="auto"/>
                  <w:noWrap/>
                  <w:vAlign w:val="center"/>
                </w:tcPr>
                <w:p w14:paraId="49B6F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179.65</w:t>
                  </w:r>
                </w:p>
              </w:tc>
              <w:tc>
                <w:tcPr>
                  <w:tcW w:w="476" w:type="dxa"/>
                  <w:tcBorders>
                    <w:tl2br w:val="nil"/>
                    <w:tr2bl w:val="nil"/>
                  </w:tcBorders>
                  <w:shd w:val="clear" w:color="auto" w:fill="auto"/>
                  <w:vAlign w:val="center"/>
                </w:tcPr>
                <w:p w14:paraId="003E3C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8568F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w:t>
                  </w:r>
                </w:p>
              </w:tc>
              <w:tc>
                <w:tcPr>
                  <w:tcW w:w="898" w:type="dxa"/>
                  <w:tcBorders>
                    <w:tl2br w:val="nil"/>
                    <w:tr2bl w:val="nil"/>
                  </w:tcBorders>
                  <w:shd w:val="clear" w:color="auto" w:fill="auto"/>
                  <w:vAlign w:val="center"/>
                </w:tcPr>
                <w:p w14:paraId="6EE966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47.65</w:t>
                  </w:r>
                </w:p>
              </w:tc>
              <w:tc>
                <w:tcPr>
                  <w:tcW w:w="707" w:type="dxa"/>
                  <w:tcBorders>
                    <w:tl2br w:val="nil"/>
                    <w:tr2bl w:val="nil"/>
                  </w:tcBorders>
                  <w:shd w:val="clear" w:color="auto" w:fill="auto"/>
                  <w:vAlign w:val="center"/>
                </w:tcPr>
                <w:p w14:paraId="72EA8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ED408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15FE32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26.65</w:t>
                  </w:r>
                </w:p>
              </w:tc>
              <w:tc>
                <w:tcPr>
                  <w:tcW w:w="887" w:type="dxa"/>
                  <w:tcBorders>
                    <w:tl2br w:val="nil"/>
                    <w:tr2bl w:val="nil"/>
                  </w:tcBorders>
                  <w:shd w:val="clear" w:color="auto" w:fill="auto"/>
                  <w:vAlign w:val="center"/>
                </w:tcPr>
                <w:p w14:paraId="7D6B5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6CC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73DC9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163</w:t>
                  </w:r>
                </w:p>
              </w:tc>
              <w:tc>
                <w:tcPr>
                  <w:tcW w:w="846" w:type="dxa"/>
                  <w:vMerge w:val="continue"/>
                  <w:tcBorders>
                    <w:tl2br w:val="nil"/>
                    <w:tr2bl w:val="nil"/>
                  </w:tcBorders>
                  <w:shd w:val="clear" w:color="auto" w:fill="auto"/>
                  <w:vAlign w:val="center"/>
                </w:tcPr>
                <w:p w14:paraId="61486B60">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1638A3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分筛机9</w:t>
                  </w:r>
                </w:p>
              </w:tc>
              <w:tc>
                <w:tcPr>
                  <w:tcW w:w="675" w:type="dxa"/>
                  <w:tcBorders>
                    <w:tl2br w:val="nil"/>
                    <w:tr2bl w:val="nil"/>
                  </w:tcBorders>
                  <w:shd w:val="clear" w:color="auto" w:fill="auto"/>
                  <w:vAlign w:val="center"/>
                </w:tcPr>
                <w:p w14:paraId="268496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D91F7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284679FA">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E2A9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283.02</w:t>
                  </w:r>
                </w:p>
              </w:tc>
              <w:tc>
                <w:tcPr>
                  <w:tcW w:w="876" w:type="dxa"/>
                  <w:tcBorders>
                    <w:tl2br w:val="nil"/>
                    <w:tr2bl w:val="nil"/>
                  </w:tcBorders>
                  <w:shd w:val="clear" w:color="auto" w:fill="auto"/>
                  <w:noWrap/>
                  <w:vAlign w:val="center"/>
                </w:tcPr>
                <w:p w14:paraId="002DE1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176.80</w:t>
                  </w:r>
                </w:p>
              </w:tc>
              <w:tc>
                <w:tcPr>
                  <w:tcW w:w="476" w:type="dxa"/>
                  <w:tcBorders>
                    <w:tl2br w:val="nil"/>
                    <w:tr2bl w:val="nil"/>
                  </w:tcBorders>
                  <w:shd w:val="clear" w:color="auto" w:fill="auto"/>
                  <w:vAlign w:val="center"/>
                </w:tcPr>
                <w:p w14:paraId="2F2A2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3A8A5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898" w:type="dxa"/>
                  <w:tcBorders>
                    <w:tl2br w:val="nil"/>
                    <w:tr2bl w:val="nil"/>
                  </w:tcBorders>
                  <w:shd w:val="clear" w:color="auto" w:fill="auto"/>
                  <w:vAlign w:val="center"/>
                </w:tcPr>
                <w:p w14:paraId="7A5CB3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46.43</w:t>
                  </w:r>
                </w:p>
              </w:tc>
              <w:tc>
                <w:tcPr>
                  <w:tcW w:w="707" w:type="dxa"/>
                  <w:tcBorders>
                    <w:tl2br w:val="nil"/>
                    <w:tr2bl w:val="nil"/>
                  </w:tcBorders>
                  <w:shd w:val="clear" w:color="auto" w:fill="auto"/>
                  <w:vAlign w:val="center"/>
                </w:tcPr>
                <w:p w14:paraId="3EE33A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303A07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C5184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25.43</w:t>
                  </w:r>
                </w:p>
              </w:tc>
              <w:tc>
                <w:tcPr>
                  <w:tcW w:w="887" w:type="dxa"/>
                  <w:tcBorders>
                    <w:tl2br w:val="nil"/>
                    <w:tr2bl w:val="nil"/>
                  </w:tcBorders>
                  <w:shd w:val="clear" w:color="auto" w:fill="auto"/>
                  <w:vAlign w:val="center"/>
                </w:tcPr>
                <w:p w14:paraId="4A8F46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DB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FCFB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846" w:type="dxa"/>
                  <w:vMerge w:val="continue"/>
                  <w:tcBorders>
                    <w:tl2br w:val="nil"/>
                    <w:tr2bl w:val="nil"/>
                  </w:tcBorders>
                  <w:shd w:val="clear" w:color="auto" w:fill="auto"/>
                  <w:vAlign w:val="center"/>
                </w:tcPr>
                <w:p w14:paraId="08BF67BC">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C94D0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分筛机10</w:t>
                  </w:r>
                </w:p>
              </w:tc>
              <w:tc>
                <w:tcPr>
                  <w:tcW w:w="675" w:type="dxa"/>
                  <w:tcBorders>
                    <w:tl2br w:val="nil"/>
                    <w:tr2bl w:val="nil"/>
                  </w:tcBorders>
                  <w:shd w:val="clear" w:color="auto" w:fill="auto"/>
                  <w:vAlign w:val="center"/>
                </w:tcPr>
                <w:p w14:paraId="29CF43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A4F17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4CFF3D0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5FA83C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289.35</w:t>
                  </w:r>
                </w:p>
              </w:tc>
              <w:tc>
                <w:tcPr>
                  <w:tcW w:w="876" w:type="dxa"/>
                  <w:tcBorders>
                    <w:tl2br w:val="nil"/>
                    <w:tr2bl w:val="nil"/>
                  </w:tcBorders>
                  <w:shd w:val="clear" w:color="auto" w:fill="auto"/>
                  <w:noWrap/>
                  <w:vAlign w:val="center"/>
                </w:tcPr>
                <w:p w14:paraId="122886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175.17</w:t>
                  </w:r>
                </w:p>
              </w:tc>
              <w:tc>
                <w:tcPr>
                  <w:tcW w:w="476" w:type="dxa"/>
                  <w:tcBorders>
                    <w:tl2br w:val="nil"/>
                    <w:tr2bl w:val="nil"/>
                  </w:tcBorders>
                  <w:shd w:val="clear" w:color="auto" w:fill="auto"/>
                  <w:vAlign w:val="center"/>
                </w:tcPr>
                <w:p w14:paraId="7FBF83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AAAA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w:t>
                  </w:r>
                </w:p>
              </w:tc>
              <w:tc>
                <w:tcPr>
                  <w:tcW w:w="898" w:type="dxa"/>
                  <w:tcBorders>
                    <w:tl2br w:val="nil"/>
                    <w:tr2bl w:val="nil"/>
                  </w:tcBorders>
                  <w:shd w:val="clear" w:color="auto" w:fill="auto"/>
                  <w:vAlign w:val="center"/>
                </w:tcPr>
                <w:p w14:paraId="0ADF8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47.46</w:t>
                  </w:r>
                </w:p>
              </w:tc>
              <w:tc>
                <w:tcPr>
                  <w:tcW w:w="707" w:type="dxa"/>
                  <w:tcBorders>
                    <w:tl2br w:val="nil"/>
                    <w:tr2bl w:val="nil"/>
                  </w:tcBorders>
                  <w:shd w:val="clear" w:color="auto" w:fill="auto"/>
                  <w:vAlign w:val="center"/>
                </w:tcPr>
                <w:p w14:paraId="396272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126E2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5AA3F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26.46</w:t>
                  </w:r>
                </w:p>
              </w:tc>
              <w:tc>
                <w:tcPr>
                  <w:tcW w:w="887" w:type="dxa"/>
                  <w:tcBorders>
                    <w:tl2br w:val="nil"/>
                    <w:tr2bl w:val="nil"/>
                  </w:tcBorders>
                  <w:shd w:val="clear" w:color="auto" w:fill="auto"/>
                  <w:vAlign w:val="center"/>
                </w:tcPr>
                <w:p w14:paraId="7F3296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3F10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0264E5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846" w:type="dxa"/>
                  <w:vMerge w:val="restart"/>
                  <w:tcBorders>
                    <w:tl2br w:val="nil"/>
                    <w:tr2bl w:val="nil"/>
                  </w:tcBorders>
                  <w:shd w:val="clear" w:color="auto" w:fill="auto"/>
                  <w:vAlign w:val="center"/>
                </w:tcPr>
                <w:p w14:paraId="10CC19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PVC塑片生产（1#厂房）</w:t>
                  </w:r>
                </w:p>
              </w:tc>
              <w:tc>
                <w:tcPr>
                  <w:tcW w:w="1372" w:type="dxa"/>
                  <w:tcBorders>
                    <w:tl2br w:val="nil"/>
                    <w:tr2bl w:val="nil"/>
                  </w:tcBorders>
                  <w:shd w:val="clear" w:color="auto" w:fill="auto"/>
                  <w:noWrap/>
                  <w:vAlign w:val="center"/>
                </w:tcPr>
                <w:p w14:paraId="2F7936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混料机</w:t>
                  </w:r>
                </w:p>
              </w:tc>
              <w:tc>
                <w:tcPr>
                  <w:tcW w:w="675" w:type="dxa"/>
                  <w:tcBorders>
                    <w:tl2br w:val="nil"/>
                    <w:tr2bl w:val="nil"/>
                  </w:tcBorders>
                  <w:shd w:val="clear" w:color="auto" w:fill="auto"/>
                  <w:vAlign w:val="center"/>
                </w:tcPr>
                <w:p w14:paraId="5308AB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B1F94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6FF85BAD">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2BABCE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213.92</w:t>
                  </w:r>
                </w:p>
              </w:tc>
              <w:tc>
                <w:tcPr>
                  <w:tcW w:w="876" w:type="dxa"/>
                  <w:tcBorders>
                    <w:tl2br w:val="nil"/>
                    <w:tr2bl w:val="nil"/>
                  </w:tcBorders>
                  <w:shd w:val="clear" w:color="auto" w:fill="auto"/>
                  <w:noWrap/>
                  <w:vAlign w:val="center"/>
                </w:tcPr>
                <w:p w14:paraId="2E3EBE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476" w:type="dxa"/>
                  <w:tcBorders>
                    <w:tl2br w:val="nil"/>
                    <w:tr2bl w:val="nil"/>
                  </w:tcBorders>
                  <w:shd w:val="clear" w:color="auto" w:fill="auto"/>
                  <w:vAlign w:val="center"/>
                </w:tcPr>
                <w:p w14:paraId="61A786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7B9BC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12.8</w:t>
                  </w:r>
                </w:p>
              </w:tc>
              <w:tc>
                <w:tcPr>
                  <w:tcW w:w="898" w:type="dxa"/>
                  <w:tcBorders>
                    <w:tl2br w:val="nil"/>
                    <w:tr2bl w:val="nil"/>
                  </w:tcBorders>
                  <w:shd w:val="clear" w:color="auto" w:fill="auto"/>
                  <w:vAlign w:val="center"/>
                </w:tcPr>
                <w:p w14:paraId="5B4F2E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39.89</w:t>
                  </w:r>
                </w:p>
              </w:tc>
              <w:tc>
                <w:tcPr>
                  <w:tcW w:w="707" w:type="dxa"/>
                  <w:tcBorders>
                    <w:tl2br w:val="nil"/>
                    <w:tr2bl w:val="nil"/>
                  </w:tcBorders>
                  <w:shd w:val="clear" w:color="auto" w:fill="auto"/>
                  <w:vAlign w:val="center"/>
                </w:tcPr>
                <w:p w14:paraId="7AF429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D3898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58676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18.89</w:t>
                  </w:r>
                </w:p>
              </w:tc>
              <w:tc>
                <w:tcPr>
                  <w:tcW w:w="887" w:type="dxa"/>
                  <w:tcBorders>
                    <w:tl2br w:val="nil"/>
                    <w:tr2bl w:val="nil"/>
                  </w:tcBorders>
                  <w:shd w:val="clear" w:color="auto" w:fill="auto"/>
                  <w:vAlign w:val="center"/>
                </w:tcPr>
                <w:p w14:paraId="7B249B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5863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3488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846" w:type="dxa"/>
                  <w:vMerge w:val="continue"/>
                  <w:tcBorders>
                    <w:tl2br w:val="nil"/>
                    <w:tr2bl w:val="nil"/>
                  </w:tcBorders>
                  <w:shd w:val="clear" w:color="auto" w:fill="auto"/>
                  <w:vAlign w:val="center"/>
                </w:tcPr>
                <w:p w14:paraId="01724132">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266B0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挤出机</w:t>
                  </w:r>
                </w:p>
              </w:tc>
              <w:tc>
                <w:tcPr>
                  <w:tcW w:w="675" w:type="dxa"/>
                  <w:tcBorders>
                    <w:tl2br w:val="nil"/>
                    <w:tr2bl w:val="nil"/>
                  </w:tcBorders>
                  <w:shd w:val="clear" w:color="auto" w:fill="auto"/>
                  <w:vAlign w:val="center"/>
                </w:tcPr>
                <w:p w14:paraId="42A216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9FAEB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50446BAC">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60996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211.59</w:t>
                  </w:r>
                </w:p>
              </w:tc>
              <w:tc>
                <w:tcPr>
                  <w:tcW w:w="876" w:type="dxa"/>
                  <w:tcBorders>
                    <w:tl2br w:val="nil"/>
                    <w:tr2bl w:val="nil"/>
                  </w:tcBorders>
                  <w:shd w:val="clear" w:color="auto" w:fill="auto"/>
                  <w:noWrap/>
                  <w:vAlign w:val="center"/>
                </w:tcPr>
                <w:p w14:paraId="552E37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-16.93</w:t>
                  </w:r>
                </w:p>
              </w:tc>
              <w:tc>
                <w:tcPr>
                  <w:tcW w:w="476" w:type="dxa"/>
                  <w:tcBorders>
                    <w:tl2br w:val="nil"/>
                    <w:tr2bl w:val="nil"/>
                  </w:tcBorders>
                  <w:shd w:val="clear" w:color="auto" w:fill="auto"/>
                  <w:vAlign w:val="center"/>
                </w:tcPr>
                <w:p w14:paraId="65A918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F458F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w:t>
                  </w:r>
                </w:p>
              </w:tc>
              <w:tc>
                <w:tcPr>
                  <w:tcW w:w="898" w:type="dxa"/>
                  <w:tcBorders>
                    <w:tl2br w:val="nil"/>
                    <w:tr2bl w:val="nil"/>
                  </w:tcBorders>
                  <w:shd w:val="clear" w:color="auto" w:fill="auto"/>
                  <w:vAlign w:val="center"/>
                </w:tcPr>
                <w:p w14:paraId="7707C5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48.83</w:t>
                  </w:r>
                </w:p>
              </w:tc>
              <w:tc>
                <w:tcPr>
                  <w:tcW w:w="707" w:type="dxa"/>
                  <w:tcBorders>
                    <w:tl2br w:val="nil"/>
                    <w:tr2bl w:val="nil"/>
                  </w:tcBorders>
                  <w:shd w:val="clear" w:color="auto" w:fill="auto"/>
                  <w:vAlign w:val="center"/>
                </w:tcPr>
                <w:p w14:paraId="3F7677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3AAF0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6CBC4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27.83</w:t>
                  </w:r>
                </w:p>
              </w:tc>
              <w:tc>
                <w:tcPr>
                  <w:tcW w:w="887" w:type="dxa"/>
                  <w:tcBorders>
                    <w:tl2br w:val="nil"/>
                    <w:tr2bl w:val="nil"/>
                  </w:tcBorders>
                  <w:shd w:val="clear" w:color="auto" w:fill="auto"/>
                  <w:vAlign w:val="center"/>
                </w:tcPr>
                <w:p w14:paraId="705D0B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C58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E906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846" w:type="dxa"/>
                  <w:vMerge w:val="continue"/>
                  <w:tcBorders>
                    <w:tl2br w:val="nil"/>
                    <w:tr2bl w:val="nil"/>
                  </w:tcBorders>
                  <w:shd w:val="clear" w:color="auto" w:fill="auto"/>
                  <w:vAlign w:val="center"/>
                </w:tcPr>
                <w:p w14:paraId="5440B90A">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57545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675" w:type="dxa"/>
                  <w:tcBorders>
                    <w:tl2br w:val="nil"/>
                    <w:tr2bl w:val="nil"/>
                  </w:tcBorders>
                  <w:shd w:val="clear" w:color="auto" w:fill="auto"/>
                  <w:vAlign w:val="center"/>
                </w:tcPr>
                <w:p w14:paraId="667DD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308939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75551C74">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02DCB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208.68</w:t>
                  </w:r>
                </w:p>
              </w:tc>
              <w:tc>
                <w:tcPr>
                  <w:tcW w:w="876" w:type="dxa"/>
                  <w:tcBorders>
                    <w:tl2br w:val="nil"/>
                    <w:tr2bl w:val="nil"/>
                  </w:tcBorders>
                  <w:shd w:val="clear" w:color="auto" w:fill="auto"/>
                  <w:noWrap/>
                  <w:vAlign w:val="center"/>
                </w:tcPr>
                <w:p w14:paraId="062E94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476" w:type="dxa"/>
                  <w:tcBorders>
                    <w:tl2br w:val="nil"/>
                    <w:tr2bl w:val="nil"/>
                  </w:tcBorders>
                  <w:shd w:val="clear" w:color="auto" w:fill="auto"/>
                  <w:vAlign w:val="center"/>
                </w:tcPr>
                <w:p w14:paraId="553460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63946A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898" w:type="dxa"/>
                  <w:tcBorders>
                    <w:tl2br w:val="nil"/>
                    <w:tr2bl w:val="nil"/>
                  </w:tcBorders>
                  <w:shd w:val="clear" w:color="auto" w:fill="auto"/>
                  <w:vAlign w:val="center"/>
                </w:tcPr>
                <w:p w14:paraId="47A9BB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58.80</w:t>
                  </w:r>
                </w:p>
              </w:tc>
              <w:tc>
                <w:tcPr>
                  <w:tcW w:w="707" w:type="dxa"/>
                  <w:tcBorders>
                    <w:tl2br w:val="nil"/>
                    <w:tr2bl w:val="nil"/>
                  </w:tcBorders>
                  <w:shd w:val="clear" w:color="auto" w:fill="auto"/>
                  <w:vAlign w:val="center"/>
                </w:tcPr>
                <w:p w14:paraId="6821D5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C9A60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C2305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37.80</w:t>
                  </w:r>
                </w:p>
              </w:tc>
              <w:tc>
                <w:tcPr>
                  <w:tcW w:w="887" w:type="dxa"/>
                  <w:tcBorders>
                    <w:tl2br w:val="nil"/>
                    <w:tr2bl w:val="nil"/>
                  </w:tcBorders>
                  <w:shd w:val="clear" w:color="auto" w:fill="auto"/>
                  <w:vAlign w:val="center"/>
                </w:tcPr>
                <w:p w14:paraId="3A904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C17C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A53F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846" w:type="dxa"/>
                  <w:vMerge w:val="continue"/>
                  <w:tcBorders>
                    <w:tl2br w:val="nil"/>
                    <w:tr2bl w:val="nil"/>
                  </w:tcBorders>
                  <w:shd w:val="clear" w:color="auto" w:fill="auto"/>
                  <w:vAlign w:val="center"/>
                </w:tcPr>
                <w:p w14:paraId="0D471225">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19A15C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水平辊筒</w:t>
                  </w:r>
                </w:p>
              </w:tc>
              <w:tc>
                <w:tcPr>
                  <w:tcW w:w="675" w:type="dxa"/>
                  <w:tcBorders>
                    <w:tl2br w:val="nil"/>
                    <w:tr2bl w:val="nil"/>
                  </w:tcBorders>
                  <w:shd w:val="clear" w:color="auto" w:fill="auto"/>
                  <w:vAlign w:val="center"/>
                </w:tcPr>
                <w:p w14:paraId="1AF4B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492359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321CD58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3FB190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206.18</w:t>
                  </w:r>
                </w:p>
              </w:tc>
              <w:tc>
                <w:tcPr>
                  <w:tcW w:w="876" w:type="dxa"/>
                  <w:tcBorders>
                    <w:tl2br w:val="nil"/>
                    <w:tr2bl w:val="nil"/>
                  </w:tcBorders>
                  <w:shd w:val="clear" w:color="auto" w:fill="auto"/>
                  <w:noWrap/>
                  <w:vAlign w:val="center"/>
                </w:tcPr>
                <w:p w14:paraId="737898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-37.68</w:t>
                  </w:r>
                </w:p>
              </w:tc>
              <w:tc>
                <w:tcPr>
                  <w:tcW w:w="476" w:type="dxa"/>
                  <w:tcBorders>
                    <w:tl2br w:val="nil"/>
                    <w:tr2bl w:val="nil"/>
                  </w:tcBorders>
                  <w:shd w:val="clear" w:color="auto" w:fill="auto"/>
                  <w:vAlign w:val="center"/>
                </w:tcPr>
                <w:p w14:paraId="6A5064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46E081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c>
                <w:tcPr>
                  <w:tcW w:w="898" w:type="dxa"/>
                  <w:tcBorders>
                    <w:tl2br w:val="nil"/>
                    <w:tr2bl w:val="nil"/>
                  </w:tcBorders>
                  <w:shd w:val="clear" w:color="auto" w:fill="auto"/>
                  <w:vAlign w:val="center"/>
                </w:tcPr>
                <w:p w14:paraId="3382E9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44.33</w:t>
                  </w:r>
                </w:p>
              </w:tc>
              <w:tc>
                <w:tcPr>
                  <w:tcW w:w="707" w:type="dxa"/>
                  <w:tcBorders>
                    <w:tl2br w:val="nil"/>
                    <w:tr2bl w:val="nil"/>
                  </w:tcBorders>
                  <w:shd w:val="clear" w:color="auto" w:fill="auto"/>
                  <w:vAlign w:val="center"/>
                </w:tcPr>
                <w:p w14:paraId="2BD72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4C964C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F9CFC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23.33</w:t>
                  </w:r>
                </w:p>
              </w:tc>
              <w:tc>
                <w:tcPr>
                  <w:tcW w:w="887" w:type="dxa"/>
                  <w:tcBorders>
                    <w:tl2br w:val="nil"/>
                    <w:tr2bl w:val="nil"/>
                  </w:tcBorders>
                  <w:shd w:val="clear" w:color="auto" w:fill="auto"/>
                  <w:vAlign w:val="center"/>
                </w:tcPr>
                <w:p w14:paraId="1DA212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6BB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144605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846" w:type="dxa"/>
                  <w:vMerge w:val="continue"/>
                  <w:tcBorders>
                    <w:tl2br w:val="nil"/>
                    <w:tr2bl w:val="nil"/>
                  </w:tcBorders>
                  <w:shd w:val="clear" w:color="auto" w:fill="auto"/>
                  <w:vAlign w:val="center"/>
                </w:tcPr>
                <w:p w14:paraId="453EB8B7">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vAlign w:val="center"/>
                </w:tcPr>
                <w:p w14:paraId="7BB1F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切片机</w:t>
                  </w:r>
                </w:p>
              </w:tc>
              <w:tc>
                <w:tcPr>
                  <w:tcW w:w="675" w:type="dxa"/>
                  <w:tcBorders>
                    <w:tl2br w:val="nil"/>
                    <w:tr2bl w:val="nil"/>
                  </w:tcBorders>
                  <w:shd w:val="clear" w:color="auto" w:fill="auto"/>
                  <w:vAlign w:val="center"/>
                </w:tcPr>
                <w:p w14:paraId="116541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F623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6B7E8A85">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08E4C4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204.82</w:t>
                  </w:r>
                </w:p>
              </w:tc>
              <w:tc>
                <w:tcPr>
                  <w:tcW w:w="876" w:type="dxa"/>
                  <w:tcBorders>
                    <w:tl2br w:val="nil"/>
                    <w:tr2bl w:val="nil"/>
                  </w:tcBorders>
                  <w:shd w:val="clear" w:color="auto" w:fill="auto"/>
                  <w:noWrap/>
                  <w:vAlign w:val="center"/>
                </w:tcPr>
                <w:p w14:paraId="6CA67B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-42.95</w:t>
                  </w:r>
                </w:p>
              </w:tc>
              <w:tc>
                <w:tcPr>
                  <w:tcW w:w="476" w:type="dxa"/>
                  <w:tcBorders>
                    <w:tl2br w:val="nil"/>
                    <w:tr2bl w:val="nil"/>
                  </w:tcBorders>
                  <w:shd w:val="clear" w:color="auto" w:fill="auto"/>
                  <w:vAlign w:val="center"/>
                </w:tcPr>
                <w:p w14:paraId="38CF7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7C5F85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898" w:type="dxa"/>
                  <w:tcBorders>
                    <w:tl2br w:val="nil"/>
                    <w:tr2bl w:val="nil"/>
                  </w:tcBorders>
                  <w:shd w:val="clear" w:color="auto" w:fill="auto"/>
                  <w:vAlign w:val="center"/>
                </w:tcPr>
                <w:p w14:paraId="269C83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45.54</w:t>
                  </w:r>
                </w:p>
              </w:tc>
              <w:tc>
                <w:tcPr>
                  <w:tcW w:w="707" w:type="dxa"/>
                  <w:tcBorders>
                    <w:tl2br w:val="nil"/>
                    <w:tr2bl w:val="nil"/>
                  </w:tcBorders>
                  <w:shd w:val="clear" w:color="auto" w:fill="auto"/>
                  <w:vAlign w:val="center"/>
                </w:tcPr>
                <w:p w14:paraId="2AF1B1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307F2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6A5ABF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24.54</w:t>
                  </w:r>
                </w:p>
              </w:tc>
              <w:tc>
                <w:tcPr>
                  <w:tcW w:w="887" w:type="dxa"/>
                  <w:tcBorders>
                    <w:tl2br w:val="nil"/>
                    <w:tr2bl w:val="nil"/>
                  </w:tcBorders>
                  <w:shd w:val="clear" w:color="auto" w:fill="auto"/>
                  <w:vAlign w:val="center"/>
                </w:tcPr>
                <w:p w14:paraId="1F7A81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E51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75F21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846" w:type="dxa"/>
                  <w:vMerge w:val="restart"/>
                  <w:tcBorders>
                    <w:tl2br w:val="nil"/>
                    <w:tr2bl w:val="nil"/>
                  </w:tcBorders>
                  <w:shd w:val="clear" w:color="auto" w:fill="auto"/>
                  <w:vAlign w:val="center"/>
                </w:tcPr>
                <w:p w14:paraId="168CD6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抛轮修复（6#厂房）</w:t>
                  </w:r>
                </w:p>
              </w:tc>
              <w:tc>
                <w:tcPr>
                  <w:tcW w:w="1372" w:type="dxa"/>
                  <w:tcBorders>
                    <w:tl2br w:val="nil"/>
                    <w:tr2bl w:val="nil"/>
                  </w:tcBorders>
                  <w:shd w:val="clear" w:color="auto" w:fill="auto"/>
                  <w:noWrap/>
                  <w:vAlign w:val="center"/>
                </w:tcPr>
                <w:p w14:paraId="71325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拌料机</w:t>
                  </w:r>
                </w:p>
              </w:tc>
              <w:tc>
                <w:tcPr>
                  <w:tcW w:w="675" w:type="dxa"/>
                  <w:tcBorders>
                    <w:tl2br w:val="nil"/>
                    <w:tr2bl w:val="nil"/>
                  </w:tcBorders>
                  <w:shd w:val="clear" w:color="auto" w:fill="auto"/>
                  <w:vAlign w:val="center"/>
                </w:tcPr>
                <w:p w14:paraId="6A9C21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0A9D2F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5AE61721">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2FD4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133.25</w:t>
                  </w:r>
                </w:p>
              </w:tc>
              <w:tc>
                <w:tcPr>
                  <w:tcW w:w="876" w:type="dxa"/>
                  <w:tcBorders>
                    <w:tl2br w:val="nil"/>
                    <w:tr2bl w:val="nil"/>
                  </w:tcBorders>
                  <w:shd w:val="clear" w:color="auto" w:fill="auto"/>
                  <w:noWrap/>
                  <w:vAlign w:val="center"/>
                </w:tcPr>
                <w:p w14:paraId="6C2643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185.03</w:t>
                  </w:r>
                </w:p>
              </w:tc>
              <w:tc>
                <w:tcPr>
                  <w:tcW w:w="476" w:type="dxa"/>
                  <w:tcBorders>
                    <w:tl2br w:val="nil"/>
                    <w:tr2bl w:val="nil"/>
                  </w:tcBorders>
                  <w:shd w:val="clear" w:color="auto" w:fill="auto"/>
                  <w:vAlign w:val="center"/>
                </w:tcPr>
                <w:p w14:paraId="78313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34344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898" w:type="dxa"/>
                  <w:tcBorders>
                    <w:tl2br w:val="nil"/>
                    <w:tr2bl w:val="nil"/>
                  </w:tcBorders>
                  <w:shd w:val="clear" w:color="auto" w:fill="auto"/>
                  <w:vAlign w:val="center"/>
                </w:tcPr>
                <w:p w14:paraId="625370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45.21</w:t>
                  </w:r>
                </w:p>
              </w:tc>
              <w:tc>
                <w:tcPr>
                  <w:tcW w:w="707" w:type="dxa"/>
                  <w:tcBorders>
                    <w:tl2br w:val="nil"/>
                    <w:tr2bl w:val="nil"/>
                  </w:tcBorders>
                  <w:shd w:val="clear" w:color="auto" w:fill="auto"/>
                  <w:vAlign w:val="center"/>
                </w:tcPr>
                <w:p w14:paraId="7B4B4F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23BCC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39B0F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24.21</w:t>
                  </w:r>
                </w:p>
              </w:tc>
              <w:tc>
                <w:tcPr>
                  <w:tcW w:w="887" w:type="dxa"/>
                  <w:tcBorders>
                    <w:tl2br w:val="nil"/>
                    <w:tr2bl w:val="nil"/>
                  </w:tcBorders>
                  <w:shd w:val="clear" w:color="auto" w:fill="auto"/>
                  <w:vAlign w:val="center"/>
                </w:tcPr>
                <w:p w14:paraId="67B50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83E3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BFD77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846" w:type="dxa"/>
                  <w:vMerge w:val="continue"/>
                  <w:tcBorders>
                    <w:tl2br w:val="nil"/>
                    <w:tr2bl w:val="nil"/>
                  </w:tcBorders>
                  <w:shd w:val="clear" w:color="auto" w:fill="auto"/>
                  <w:vAlign w:val="center"/>
                </w:tcPr>
                <w:p w14:paraId="3412496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CDE07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抛轮生产机</w:t>
                  </w:r>
                </w:p>
              </w:tc>
              <w:tc>
                <w:tcPr>
                  <w:tcW w:w="675" w:type="dxa"/>
                  <w:tcBorders>
                    <w:tl2br w:val="nil"/>
                    <w:tr2bl w:val="nil"/>
                  </w:tcBorders>
                  <w:shd w:val="clear" w:color="auto" w:fill="auto"/>
                  <w:vAlign w:val="center"/>
                </w:tcPr>
                <w:p w14:paraId="6A1674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26362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00" w:type="dxa"/>
                  <w:vMerge w:val="continue"/>
                  <w:tcBorders>
                    <w:tl2br w:val="nil"/>
                    <w:tr2bl w:val="nil"/>
                  </w:tcBorders>
                  <w:shd w:val="clear" w:color="auto" w:fill="auto"/>
                  <w:vAlign w:val="center"/>
                </w:tcPr>
                <w:p w14:paraId="350212C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DF70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135.08</w:t>
                  </w:r>
                </w:p>
              </w:tc>
              <w:tc>
                <w:tcPr>
                  <w:tcW w:w="876" w:type="dxa"/>
                  <w:tcBorders>
                    <w:tl2br w:val="nil"/>
                    <w:tr2bl w:val="nil"/>
                  </w:tcBorders>
                  <w:shd w:val="clear" w:color="auto" w:fill="auto"/>
                  <w:noWrap/>
                  <w:vAlign w:val="center"/>
                </w:tcPr>
                <w:p w14:paraId="5E67F1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192.34</w:t>
                  </w:r>
                </w:p>
              </w:tc>
              <w:tc>
                <w:tcPr>
                  <w:tcW w:w="476" w:type="dxa"/>
                  <w:tcBorders>
                    <w:tl2br w:val="nil"/>
                    <w:tr2bl w:val="nil"/>
                  </w:tcBorders>
                  <w:shd w:val="clear" w:color="auto" w:fill="auto"/>
                  <w:vAlign w:val="center"/>
                </w:tcPr>
                <w:p w14:paraId="4CF14A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1B4F1D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898" w:type="dxa"/>
                  <w:tcBorders>
                    <w:tl2br w:val="nil"/>
                    <w:tr2bl w:val="nil"/>
                  </w:tcBorders>
                  <w:shd w:val="clear" w:color="auto" w:fill="auto"/>
                  <w:vAlign w:val="center"/>
                </w:tcPr>
                <w:p w14:paraId="195E97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51.88</w:t>
                  </w:r>
                </w:p>
              </w:tc>
              <w:tc>
                <w:tcPr>
                  <w:tcW w:w="707" w:type="dxa"/>
                  <w:tcBorders>
                    <w:tl2br w:val="nil"/>
                    <w:tr2bl w:val="nil"/>
                  </w:tcBorders>
                  <w:shd w:val="clear" w:color="auto" w:fill="auto"/>
                  <w:vAlign w:val="center"/>
                </w:tcPr>
                <w:p w14:paraId="3A36E2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7BF9D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3B639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30.88</w:t>
                  </w:r>
                </w:p>
              </w:tc>
              <w:tc>
                <w:tcPr>
                  <w:tcW w:w="887" w:type="dxa"/>
                  <w:tcBorders>
                    <w:tl2br w:val="nil"/>
                    <w:tr2bl w:val="nil"/>
                  </w:tcBorders>
                  <w:shd w:val="clear" w:color="auto" w:fill="auto"/>
                  <w:vAlign w:val="center"/>
                </w:tcPr>
                <w:p w14:paraId="0DF34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66B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66F64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846" w:type="dxa"/>
                  <w:vMerge w:val="continue"/>
                  <w:tcBorders>
                    <w:tl2br w:val="nil"/>
                    <w:tr2bl w:val="nil"/>
                  </w:tcBorders>
                  <w:shd w:val="clear" w:color="auto" w:fill="auto"/>
                  <w:vAlign w:val="center"/>
                </w:tcPr>
                <w:p w14:paraId="0BBE9883">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90A50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电烘箱</w:t>
                  </w:r>
                </w:p>
              </w:tc>
              <w:tc>
                <w:tcPr>
                  <w:tcW w:w="675" w:type="dxa"/>
                  <w:tcBorders>
                    <w:tl2br w:val="nil"/>
                    <w:tr2bl w:val="nil"/>
                  </w:tcBorders>
                  <w:shd w:val="clear" w:color="auto" w:fill="auto"/>
                  <w:vAlign w:val="center"/>
                </w:tcPr>
                <w:p w14:paraId="20FD08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37366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600" w:type="dxa"/>
                  <w:vMerge w:val="continue"/>
                  <w:tcBorders>
                    <w:tl2br w:val="nil"/>
                    <w:tr2bl w:val="nil"/>
                  </w:tcBorders>
                  <w:shd w:val="clear" w:color="auto" w:fill="auto"/>
                  <w:vAlign w:val="center"/>
                </w:tcPr>
                <w:p w14:paraId="641D52E9">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CF22F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136.46</w:t>
                  </w:r>
                </w:p>
              </w:tc>
              <w:tc>
                <w:tcPr>
                  <w:tcW w:w="876" w:type="dxa"/>
                  <w:tcBorders>
                    <w:tl2br w:val="nil"/>
                    <w:tr2bl w:val="nil"/>
                  </w:tcBorders>
                  <w:shd w:val="clear" w:color="auto" w:fill="auto"/>
                  <w:noWrap/>
                  <w:vAlign w:val="center"/>
                </w:tcPr>
                <w:p w14:paraId="76C01F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197.38</w:t>
                  </w:r>
                </w:p>
              </w:tc>
              <w:tc>
                <w:tcPr>
                  <w:tcW w:w="476" w:type="dxa"/>
                  <w:tcBorders>
                    <w:tl2br w:val="nil"/>
                    <w:tr2bl w:val="nil"/>
                  </w:tcBorders>
                  <w:shd w:val="clear" w:color="auto" w:fill="auto"/>
                  <w:vAlign w:val="center"/>
                </w:tcPr>
                <w:p w14:paraId="6EB234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3B666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w:t>
                  </w:r>
                </w:p>
              </w:tc>
              <w:tc>
                <w:tcPr>
                  <w:tcW w:w="898" w:type="dxa"/>
                  <w:tcBorders>
                    <w:tl2br w:val="nil"/>
                    <w:tr2bl w:val="nil"/>
                  </w:tcBorders>
                  <w:shd w:val="clear" w:color="auto" w:fill="auto"/>
                  <w:vAlign w:val="center"/>
                </w:tcPr>
                <w:p w14:paraId="1FBA6C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41.42</w:t>
                  </w:r>
                </w:p>
              </w:tc>
              <w:tc>
                <w:tcPr>
                  <w:tcW w:w="707" w:type="dxa"/>
                  <w:tcBorders>
                    <w:tl2br w:val="nil"/>
                    <w:tr2bl w:val="nil"/>
                  </w:tcBorders>
                  <w:shd w:val="clear" w:color="auto" w:fill="auto"/>
                  <w:vAlign w:val="center"/>
                </w:tcPr>
                <w:p w14:paraId="03778B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33881B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3BA42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20.42</w:t>
                  </w:r>
                </w:p>
              </w:tc>
              <w:tc>
                <w:tcPr>
                  <w:tcW w:w="887" w:type="dxa"/>
                  <w:tcBorders>
                    <w:tl2br w:val="nil"/>
                    <w:tr2bl w:val="nil"/>
                  </w:tcBorders>
                  <w:shd w:val="clear" w:color="auto" w:fill="auto"/>
                  <w:vAlign w:val="center"/>
                </w:tcPr>
                <w:p w14:paraId="6541B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E5E8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7DB26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846" w:type="dxa"/>
                  <w:vMerge w:val="continue"/>
                  <w:tcBorders>
                    <w:tl2br w:val="nil"/>
                    <w:tr2bl w:val="nil"/>
                  </w:tcBorders>
                  <w:shd w:val="clear" w:color="auto" w:fill="auto"/>
                  <w:vAlign w:val="center"/>
                </w:tcPr>
                <w:p w14:paraId="73D04DEB">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076DB8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675" w:type="dxa"/>
                  <w:tcBorders>
                    <w:tl2br w:val="nil"/>
                    <w:tr2bl w:val="nil"/>
                  </w:tcBorders>
                  <w:shd w:val="clear" w:color="auto" w:fill="auto"/>
                  <w:vAlign w:val="center"/>
                </w:tcPr>
                <w:p w14:paraId="2C99DE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8CE01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00" w:type="dxa"/>
                  <w:vMerge w:val="continue"/>
                  <w:tcBorders>
                    <w:tl2br w:val="nil"/>
                    <w:tr2bl w:val="nil"/>
                  </w:tcBorders>
                  <w:shd w:val="clear" w:color="auto" w:fill="auto"/>
                  <w:vAlign w:val="center"/>
                </w:tcPr>
                <w:p w14:paraId="35F359E7">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1194EC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141.96</w:t>
                  </w:r>
                </w:p>
              </w:tc>
              <w:tc>
                <w:tcPr>
                  <w:tcW w:w="876" w:type="dxa"/>
                  <w:tcBorders>
                    <w:tl2br w:val="nil"/>
                    <w:tr2bl w:val="nil"/>
                  </w:tcBorders>
                  <w:shd w:val="clear" w:color="auto" w:fill="auto"/>
                  <w:noWrap/>
                  <w:vAlign w:val="center"/>
                </w:tcPr>
                <w:p w14:paraId="6A2538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196.12</w:t>
                  </w:r>
                </w:p>
              </w:tc>
              <w:tc>
                <w:tcPr>
                  <w:tcW w:w="476" w:type="dxa"/>
                  <w:tcBorders>
                    <w:tl2br w:val="nil"/>
                    <w:tr2bl w:val="nil"/>
                  </w:tcBorders>
                  <w:shd w:val="clear" w:color="auto" w:fill="auto"/>
                  <w:vAlign w:val="center"/>
                </w:tcPr>
                <w:p w14:paraId="08E0E9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2B1BE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c>
                <w:tcPr>
                  <w:tcW w:w="898" w:type="dxa"/>
                  <w:tcBorders>
                    <w:tl2br w:val="nil"/>
                    <w:tr2bl w:val="nil"/>
                  </w:tcBorders>
                  <w:shd w:val="clear" w:color="auto" w:fill="auto"/>
                  <w:vAlign w:val="center"/>
                </w:tcPr>
                <w:p w14:paraId="0CF9B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56.38</w:t>
                  </w:r>
                </w:p>
              </w:tc>
              <w:tc>
                <w:tcPr>
                  <w:tcW w:w="707" w:type="dxa"/>
                  <w:tcBorders>
                    <w:tl2br w:val="nil"/>
                    <w:tr2bl w:val="nil"/>
                  </w:tcBorders>
                  <w:shd w:val="clear" w:color="auto" w:fill="auto"/>
                  <w:vAlign w:val="center"/>
                </w:tcPr>
                <w:p w14:paraId="3E58E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70A80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93C5C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35.38</w:t>
                  </w:r>
                </w:p>
              </w:tc>
              <w:tc>
                <w:tcPr>
                  <w:tcW w:w="887" w:type="dxa"/>
                  <w:tcBorders>
                    <w:tl2br w:val="nil"/>
                    <w:tr2bl w:val="nil"/>
                  </w:tcBorders>
                  <w:shd w:val="clear" w:color="auto" w:fill="auto"/>
                  <w:vAlign w:val="center"/>
                </w:tcPr>
                <w:p w14:paraId="0BFB26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3C03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A246E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174</w:t>
                  </w:r>
                </w:p>
              </w:tc>
              <w:tc>
                <w:tcPr>
                  <w:tcW w:w="846" w:type="dxa"/>
                  <w:vMerge w:val="continue"/>
                  <w:tcBorders>
                    <w:tl2br w:val="nil"/>
                    <w:tr2bl w:val="nil"/>
                  </w:tcBorders>
                  <w:shd w:val="clear" w:color="auto" w:fill="auto"/>
                  <w:vAlign w:val="center"/>
                </w:tcPr>
                <w:p w14:paraId="0C8AF3F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91F11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675" w:type="dxa"/>
                  <w:tcBorders>
                    <w:tl2br w:val="nil"/>
                    <w:tr2bl w:val="nil"/>
                  </w:tcBorders>
                  <w:shd w:val="clear" w:color="auto" w:fill="auto"/>
                  <w:vAlign w:val="center"/>
                </w:tcPr>
                <w:p w14:paraId="2FA866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64057F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00" w:type="dxa"/>
                  <w:vMerge w:val="continue"/>
                  <w:tcBorders>
                    <w:tl2br w:val="nil"/>
                    <w:tr2bl w:val="nil"/>
                  </w:tcBorders>
                  <w:shd w:val="clear" w:color="auto" w:fill="auto"/>
                  <w:vAlign w:val="center"/>
                </w:tcPr>
                <w:p w14:paraId="7487189F">
                  <w:pPr>
                    <w:jc w:val="center"/>
                    <w:rPr>
                      <w:rFonts w:hint="default" w:ascii="Times New Roman" w:hAnsi="Times New Roman" w:eastAsia="宋体" w:cs="Times New Roman"/>
                      <w:i w:val="0"/>
                      <w:iCs w:val="0"/>
                      <w:color w:val="auto"/>
                      <w:sz w:val="21"/>
                      <w:szCs w:val="21"/>
                      <w:highlight w:val="none"/>
                      <w:u w:val="none"/>
                    </w:rPr>
                  </w:pPr>
                </w:p>
              </w:tc>
              <w:tc>
                <w:tcPr>
                  <w:tcW w:w="933" w:type="dxa"/>
                  <w:tcBorders>
                    <w:tl2br w:val="nil"/>
                    <w:tr2bl w:val="nil"/>
                  </w:tcBorders>
                  <w:shd w:val="clear" w:color="auto" w:fill="auto"/>
                  <w:noWrap/>
                  <w:vAlign w:val="center"/>
                </w:tcPr>
                <w:p w14:paraId="7F7735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140.55</w:t>
                  </w:r>
                </w:p>
              </w:tc>
              <w:tc>
                <w:tcPr>
                  <w:tcW w:w="876" w:type="dxa"/>
                  <w:tcBorders>
                    <w:tl2br w:val="nil"/>
                    <w:tr2bl w:val="nil"/>
                  </w:tcBorders>
                  <w:shd w:val="clear" w:color="auto" w:fill="auto"/>
                  <w:noWrap/>
                  <w:vAlign w:val="center"/>
                </w:tcPr>
                <w:p w14:paraId="03DE59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189.91</w:t>
                  </w:r>
                </w:p>
              </w:tc>
              <w:tc>
                <w:tcPr>
                  <w:tcW w:w="476" w:type="dxa"/>
                  <w:tcBorders>
                    <w:tl2br w:val="nil"/>
                    <w:tr2bl w:val="nil"/>
                  </w:tcBorders>
                  <w:shd w:val="clear" w:color="auto" w:fill="auto"/>
                  <w:vAlign w:val="center"/>
                </w:tcPr>
                <w:p w14:paraId="6CD199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C9050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8" w:type="dxa"/>
                  <w:tcBorders>
                    <w:tl2br w:val="nil"/>
                    <w:tr2bl w:val="nil"/>
                  </w:tcBorders>
                  <w:shd w:val="clear" w:color="auto" w:fill="auto"/>
                  <w:vAlign w:val="center"/>
                </w:tcPr>
                <w:p w14:paraId="3433B6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46.95</w:t>
                  </w:r>
                </w:p>
              </w:tc>
              <w:tc>
                <w:tcPr>
                  <w:tcW w:w="707" w:type="dxa"/>
                  <w:tcBorders>
                    <w:tl2br w:val="nil"/>
                    <w:tr2bl w:val="nil"/>
                  </w:tcBorders>
                  <w:shd w:val="clear" w:color="auto" w:fill="auto"/>
                  <w:vAlign w:val="center"/>
                </w:tcPr>
                <w:p w14:paraId="2359F6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857" w:type="dxa"/>
                  <w:tcBorders>
                    <w:tl2br w:val="nil"/>
                    <w:tr2bl w:val="nil"/>
                  </w:tcBorders>
                  <w:shd w:val="clear" w:color="auto" w:fill="auto"/>
                  <w:vAlign w:val="center"/>
                </w:tcPr>
                <w:p w14:paraId="5DB271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5E57F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25.95</w:t>
                  </w:r>
                </w:p>
              </w:tc>
              <w:tc>
                <w:tcPr>
                  <w:tcW w:w="887" w:type="dxa"/>
                  <w:tcBorders>
                    <w:tl2br w:val="nil"/>
                    <w:tr2bl w:val="nil"/>
                  </w:tcBorders>
                  <w:shd w:val="clear" w:color="auto" w:fill="auto"/>
                  <w:vAlign w:val="center"/>
                </w:tcPr>
                <w:p w14:paraId="1AB1E9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695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648FF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846" w:type="dxa"/>
                  <w:vMerge w:val="restart"/>
                  <w:tcBorders>
                    <w:tl2br w:val="nil"/>
                    <w:tr2bl w:val="nil"/>
                  </w:tcBorders>
                  <w:shd w:val="clear" w:color="auto" w:fill="auto"/>
                  <w:noWrap/>
                  <w:vAlign w:val="center"/>
                </w:tcPr>
                <w:p w14:paraId="2672D4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1#厂房</w:t>
                  </w:r>
                </w:p>
              </w:tc>
              <w:tc>
                <w:tcPr>
                  <w:tcW w:w="1372" w:type="dxa"/>
                  <w:tcBorders>
                    <w:tl2br w:val="nil"/>
                    <w:tr2bl w:val="nil"/>
                  </w:tcBorders>
                  <w:shd w:val="clear" w:color="auto" w:fill="auto"/>
                  <w:noWrap/>
                  <w:vAlign w:val="center"/>
                </w:tcPr>
                <w:p w14:paraId="3EDF2B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风机1</w:t>
                  </w:r>
                </w:p>
              </w:tc>
              <w:tc>
                <w:tcPr>
                  <w:tcW w:w="675" w:type="dxa"/>
                  <w:tcBorders>
                    <w:tl2br w:val="nil"/>
                    <w:tr2bl w:val="nil"/>
                  </w:tcBorders>
                  <w:shd w:val="clear" w:color="auto" w:fill="auto"/>
                  <w:vAlign w:val="center"/>
                </w:tcPr>
                <w:p w14:paraId="4C8F8B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2172EE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00" w:type="dxa"/>
                  <w:vMerge w:val="continue"/>
                  <w:tcBorders>
                    <w:tl2br w:val="nil"/>
                    <w:tr2bl w:val="nil"/>
                  </w:tcBorders>
                  <w:shd w:val="clear" w:color="auto" w:fill="auto"/>
                  <w:vAlign w:val="center"/>
                </w:tcPr>
                <w:p w14:paraId="5D5FCC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5C1F7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84.2</w:t>
                  </w:r>
                </w:p>
              </w:tc>
              <w:tc>
                <w:tcPr>
                  <w:tcW w:w="876" w:type="dxa"/>
                  <w:tcBorders>
                    <w:tl2br w:val="nil"/>
                    <w:tr2bl w:val="nil"/>
                  </w:tcBorders>
                  <w:shd w:val="clear" w:color="auto" w:fill="auto"/>
                  <w:noWrap/>
                  <w:vAlign w:val="center"/>
                </w:tcPr>
                <w:p w14:paraId="563709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-16.98</w:t>
                  </w:r>
                </w:p>
              </w:tc>
              <w:tc>
                <w:tcPr>
                  <w:tcW w:w="476" w:type="dxa"/>
                  <w:tcBorders>
                    <w:tl2br w:val="nil"/>
                    <w:tr2bl w:val="nil"/>
                  </w:tcBorders>
                  <w:shd w:val="clear" w:color="auto" w:fill="auto"/>
                  <w:vAlign w:val="center"/>
                </w:tcPr>
                <w:p w14:paraId="5A3CD7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3D4C9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w:t>
                  </w:r>
                </w:p>
              </w:tc>
              <w:tc>
                <w:tcPr>
                  <w:tcW w:w="898" w:type="dxa"/>
                  <w:tcBorders>
                    <w:tl2br w:val="nil"/>
                    <w:tr2bl w:val="nil"/>
                  </w:tcBorders>
                  <w:shd w:val="clear" w:color="auto" w:fill="auto"/>
                  <w:vAlign w:val="center"/>
                </w:tcPr>
                <w:p w14:paraId="010FC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76.65</w:t>
                  </w:r>
                </w:p>
              </w:tc>
              <w:tc>
                <w:tcPr>
                  <w:tcW w:w="707" w:type="dxa"/>
                  <w:tcBorders>
                    <w:tl2br w:val="nil"/>
                    <w:tr2bl w:val="nil"/>
                  </w:tcBorders>
                  <w:shd w:val="clear" w:color="auto" w:fill="auto"/>
                  <w:vAlign w:val="center"/>
                </w:tcPr>
                <w:p w14:paraId="161494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22CBFC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2E740E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55.65</w:t>
                  </w:r>
                </w:p>
              </w:tc>
              <w:tc>
                <w:tcPr>
                  <w:tcW w:w="887" w:type="dxa"/>
                  <w:tcBorders>
                    <w:tl2br w:val="nil"/>
                    <w:tr2bl w:val="nil"/>
                  </w:tcBorders>
                  <w:shd w:val="clear" w:color="auto" w:fill="auto"/>
                  <w:vAlign w:val="center"/>
                </w:tcPr>
                <w:p w14:paraId="695895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9D17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405BC4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176</w:t>
                  </w:r>
                </w:p>
              </w:tc>
              <w:tc>
                <w:tcPr>
                  <w:tcW w:w="846" w:type="dxa"/>
                  <w:vMerge w:val="continue"/>
                  <w:tcBorders>
                    <w:tl2br w:val="nil"/>
                    <w:tr2bl w:val="nil"/>
                  </w:tcBorders>
                  <w:shd w:val="clear" w:color="auto" w:fill="auto"/>
                  <w:noWrap/>
                  <w:vAlign w:val="center"/>
                </w:tcPr>
                <w:p w14:paraId="413544EE">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5A8564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风机2</w:t>
                  </w:r>
                </w:p>
              </w:tc>
              <w:tc>
                <w:tcPr>
                  <w:tcW w:w="675" w:type="dxa"/>
                  <w:tcBorders>
                    <w:tl2br w:val="nil"/>
                    <w:tr2bl w:val="nil"/>
                  </w:tcBorders>
                  <w:shd w:val="clear" w:color="auto" w:fill="auto"/>
                  <w:vAlign w:val="center"/>
                </w:tcPr>
                <w:p w14:paraId="49BB3D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6CBB6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00" w:type="dxa"/>
                  <w:vMerge w:val="continue"/>
                  <w:tcBorders>
                    <w:tl2br w:val="nil"/>
                    <w:tr2bl w:val="nil"/>
                  </w:tcBorders>
                  <w:shd w:val="clear" w:color="auto" w:fill="auto"/>
                  <w:vAlign w:val="center"/>
                </w:tcPr>
                <w:p w14:paraId="0FC83C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36AAA5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223.55</w:t>
                  </w:r>
                </w:p>
              </w:tc>
              <w:tc>
                <w:tcPr>
                  <w:tcW w:w="876" w:type="dxa"/>
                  <w:tcBorders>
                    <w:tl2br w:val="nil"/>
                    <w:tr2bl w:val="nil"/>
                  </w:tcBorders>
                  <w:shd w:val="clear" w:color="auto" w:fill="auto"/>
                  <w:noWrap/>
                  <w:vAlign w:val="center"/>
                </w:tcPr>
                <w:p w14:paraId="57EF8F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-50.74</w:t>
                  </w:r>
                </w:p>
              </w:tc>
              <w:tc>
                <w:tcPr>
                  <w:tcW w:w="476" w:type="dxa"/>
                  <w:tcBorders>
                    <w:tl2br w:val="nil"/>
                    <w:tr2bl w:val="nil"/>
                  </w:tcBorders>
                  <w:shd w:val="clear" w:color="auto" w:fill="auto"/>
                  <w:vAlign w:val="center"/>
                </w:tcPr>
                <w:p w14:paraId="4800A0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2C37AC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3.6</w:t>
                  </w:r>
                </w:p>
              </w:tc>
              <w:tc>
                <w:tcPr>
                  <w:tcW w:w="898" w:type="dxa"/>
                  <w:tcBorders>
                    <w:tl2br w:val="nil"/>
                    <w:tr2bl w:val="nil"/>
                  </w:tcBorders>
                  <w:shd w:val="clear" w:color="auto" w:fill="auto"/>
                  <w:vAlign w:val="center"/>
                </w:tcPr>
                <w:p w14:paraId="1F381E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71.58</w:t>
                  </w:r>
                </w:p>
              </w:tc>
              <w:tc>
                <w:tcPr>
                  <w:tcW w:w="707" w:type="dxa"/>
                  <w:tcBorders>
                    <w:tl2br w:val="nil"/>
                    <w:tr2bl w:val="nil"/>
                  </w:tcBorders>
                  <w:shd w:val="clear" w:color="auto" w:fill="auto"/>
                  <w:vAlign w:val="center"/>
                </w:tcPr>
                <w:p w14:paraId="6B466A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037DE1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7F41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50.58</w:t>
                  </w:r>
                </w:p>
              </w:tc>
              <w:tc>
                <w:tcPr>
                  <w:tcW w:w="887" w:type="dxa"/>
                  <w:tcBorders>
                    <w:tl2br w:val="nil"/>
                    <w:tr2bl w:val="nil"/>
                  </w:tcBorders>
                  <w:shd w:val="clear" w:color="auto" w:fill="auto"/>
                  <w:vAlign w:val="center"/>
                </w:tcPr>
                <w:p w14:paraId="420E7B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BD7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524D19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846" w:type="dxa"/>
                  <w:vMerge w:val="continue"/>
                  <w:tcBorders>
                    <w:tl2br w:val="nil"/>
                    <w:tr2bl w:val="nil"/>
                  </w:tcBorders>
                  <w:shd w:val="clear" w:color="auto" w:fill="auto"/>
                  <w:noWrap/>
                  <w:vAlign w:val="center"/>
                </w:tcPr>
                <w:p w14:paraId="6C5083ED">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4152E5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风机3</w:t>
                  </w:r>
                </w:p>
              </w:tc>
              <w:tc>
                <w:tcPr>
                  <w:tcW w:w="675" w:type="dxa"/>
                  <w:tcBorders>
                    <w:tl2br w:val="nil"/>
                    <w:tr2bl w:val="nil"/>
                  </w:tcBorders>
                  <w:shd w:val="clear" w:color="auto" w:fill="auto"/>
                  <w:vAlign w:val="center"/>
                </w:tcPr>
                <w:p w14:paraId="7E7A53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7B133B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00" w:type="dxa"/>
                  <w:vMerge w:val="continue"/>
                  <w:tcBorders>
                    <w:tl2br w:val="nil"/>
                    <w:tr2bl w:val="nil"/>
                  </w:tcBorders>
                  <w:shd w:val="clear" w:color="auto" w:fill="auto"/>
                  <w:vAlign w:val="center"/>
                </w:tcPr>
                <w:p w14:paraId="62D2BD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731FEC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225.58</w:t>
                  </w:r>
                </w:p>
              </w:tc>
              <w:tc>
                <w:tcPr>
                  <w:tcW w:w="876" w:type="dxa"/>
                  <w:tcBorders>
                    <w:tl2br w:val="nil"/>
                    <w:tr2bl w:val="nil"/>
                  </w:tcBorders>
                  <w:shd w:val="clear" w:color="auto" w:fill="auto"/>
                  <w:noWrap/>
                  <w:vAlign w:val="center"/>
                </w:tcPr>
                <w:p w14:paraId="62960C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-43.63</w:t>
                  </w:r>
                </w:p>
              </w:tc>
              <w:tc>
                <w:tcPr>
                  <w:tcW w:w="476" w:type="dxa"/>
                  <w:tcBorders>
                    <w:tl2br w:val="nil"/>
                    <w:tr2bl w:val="nil"/>
                  </w:tcBorders>
                  <w:shd w:val="clear" w:color="auto" w:fill="auto"/>
                  <w:vAlign w:val="center"/>
                </w:tcPr>
                <w:p w14:paraId="7886A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0451D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3.1</w:t>
                  </w:r>
                </w:p>
              </w:tc>
              <w:tc>
                <w:tcPr>
                  <w:tcW w:w="898" w:type="dxa"/>
                  <w:tcBorders>
                    <w:tl2br w:val="nil"/>
                    <w:tr2bl w:val="nil"/>
                  </w:tcBorders>
                  <w:shd w:val="clear" w:color="auto" w:fill="auto"/>
                  <w:vAlign w:val="center"/>
                </w:tcPr>
                <w:p w14:paraId="14D7C8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72.71</w:t>
                  </w:r>
                </w:p>
              </w:tc>
              <w:tc>
                <w:tcPr>
                  <w:tcW w:w="707" w:type="dxa"/>
                  <w:tcBorders>
                    <w:tl2br w:val="nil"/>
                    <w:tr2bl w:val="nil"/>
                  </w:tcBorders>
                  <w:shd w:val="clear" w:color="auto" w:fill="auto"/>
                  <w:vAlign w:val="center"/>
                </w:tcPr>
                <w:p w14:paraId="557AF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F050F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95F21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51.71</w:t>
                  </w:r>
                </w:p>
              </w:tc>
              <w:tc>
                <w:tcPr>
                  <w:tcW w:w="887" w:type="dxa"/>
                  <w:tcBorders>
                    <w:tl2br w:val="nil"/>
                    <w:tr2bl w:val="nil"/>
                  </w:tcBorders>
                  <w:shd w:val="clear" w:color="auto" w:fill="auto"/>
                  <w:vAlign w:val="center"/>
                </w:tcPr>
                <w:p w14:paraId="63B999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22AE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A4037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846" w:type="dxa"/>
                  <w:vMerge w:val="restart"/>
                  <w:tcBorders>
                    <w:tl2br w:val="nil"/>
                    <w:tr2bl w:val="nil"/>
                  </w:tcBorders>
                  <w:shd w:val="clear" w:color="auto" w:fill="auto"/>
                  <w:noWrap/>
                  <w:vAlign w:val="center"/>
                </w:tcPr>
                <w:p w14:paraId="018814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6#厂房</w:t>
                  </w:r>
                </w:p>
              </w:tc>
              <w:tc>
                <w:tcPr>
                  <w:tcW w:w="1372" w:type="dxa"/>
                  <w:tcBorders>
                    <w:tl2br w:val="nil"/>
                    <w:tr2bl w:val="nil"/>
                  </w:tcBorders>
                  <w:shd w:val="clear" w:color="auto" w:fill="auto"/>
                  <w:noWrap/>
                  <w:vAlign w:val="center"/>
                </w:tcPr>
                <w:p w14:paraId="6711B7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风机4</w:t>
                  </w:r>
                </w:p>
              </w:tc>
              <w:tc>
                <w:tcPr>
                  <w:tcW w:w="675" w:type="dxa"/>
                  <w:tcBorders>
                    <w:tl2br w:val="nil"/>
                    <w:tr2bl w:val="nil"/>
                  </w:tcBorders>
                  <w:shd w:val="clear" w:color="auto" w:fill="auto"/>
                  <w:vAlign w:val="center"/>
                </w:tcPr>
                <w:p w14:paraId="2FD7D2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528994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00" w:type="dxa"/>
                  <w:vMerge w:val="continue"/>
                  <w:tcBorders>
                    <w:tl2br w:val="nil"/>
                    <w:tr2bl w:val="nil"/>
                  </w:tcBorders>
                  <w:shd w:val="clear" w:color="auto" w:fill="auto"/>
                  <w:vAlign w:val="center"/>
                </w:tcPr>
                <w:p w14:paraId="4B037E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noWrap/>
                  <w:vAlign w:val="center"/>
                </w:tcPr>
                <w:p w14:paraId="293D9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128.94</w:t>
                  </w:r>
                </w:p>
              </w:tc>
              <w:tc>
                <w:tcPr>
                  <w:tcW w:w="876" w:type="dxa"/>
                  <w:tcBorders>
                    <w:tl2br w:val="nil"/>
                    <w:tr2bl w:val="nil"/>
                  </w:tcBorders>
                  <w:shd w:val="clear" w:color="auto" w:fill="auto"/>
                  <w:noWrap/>
                  <w:vAlign w:val="center"/>
                </w:tcPr>
                <w:p w14:paraId="43DAC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182.84</w:t>
                  </w:r>
                </w:p>
              </w:tc>
              <w:tc>
                <w:tcPr>
                  <w:tcW w:w="476" w:type="dxa"/>
                  <w:tcBorders>
                    <w:tl2br w:val="nil"/>
                    <w:tr2bl w:val="nil"/>
                  </w:tcBorders>
                  <w:shd w:val="clear" w:color="auto" w:fill="auto"/>
                  <w:vAlign w:val="center"/>
                </w:tcPr>
                <w:p w14:paraId="436F0F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noWrap/>
                  <w:vAlign w:val="center"/>
                </w:tcPr>
                <w:p w14:paraId="372BF7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w:t>
                  </w:r>
                </w:p>
              </w:tc>
              <w:tc>
                <w:tcPr>
                  <w:tcW w:w="898" w:type="dxa"/>
                  <w:tcBorders>
                    <w:tl2br w:val="nil"/>
                    <w:tr2bl w:val="nil"/>
                  </w:tcBorders>
                  <w:shd w:val="clear" w:color="auto" w:fill="auto"/>
                  <w:vAlign w:val="center"/>
                </w:tcPr>
                <w:p w14:paraId="76AA96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76.81</w:t>
                  </w:r>
                </w:p>
              </w:tc>
              <w:tc>
                <w:tcPr>
                  <w:tcW w:w="707" w:type="dxa"/>
                  <w:tcBorders>
                    <w:tl2br w:val="nil"/>
                    <w:tr2bl w:val="nil"/>
                  </w:tcBorders>
                  <w:shd w:val="clear" w:color="auto" w:fill="auto"/>
                  <w:vAlign w:val="center"/>
                </w:tcPr>
                <w:p w14:paraId="2CF5B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71297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4E1F2F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55.81</w:t>
                  </w:r>
                </w:p>
              </w:tc>
              <w:tc>
                <w:tcPr>
                  <w:tcW w:w="887" w:type="dxa"/>
                  <w:tcBorders>
                    <w:tl2br w:val="nil"/>
                    <w:tr2bl w:val="nil"/>
                  </w:tcBorders>
                  <w:shd w:val="clear" w:color="auto" w:fill="auto"/>
                  <w:vAlign w:val="center"/>
                </w:tcPr>
                <w:p w14:paraId="492748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771A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631E94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846" w:type="dxa"/>
                  <w:vMerge w:val="continue"/>
                  <w:tcBorders>
                    <w:tl2br w:val="nil"/>
                    <w:tr2bl w:val="nil"/>
                  </w:tcBorders>
                  <w:shd w:val="clear" w:color="auto" w:fill="auto"/>
                  <w:noWrap/>
                  <w:vAlign w:val="center"/>
                </w:tcPr>
                <w:p w14:paraId="2DA8CCE8">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36153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水泵9</w:t>
                  </w:r>
                </w:p>
              </w:tc>
              <w:tc>
                <w:tcPr>
                  <w:tcW w:w="675" w:type="dxa"/>
                  <w:tcBorders>
                    <w:tl2br w:val="nil"/>
                    <w:tr2bl w:val="nil"/>
                  </w:tcBorders>
                  <w:shd w:val="clear" w:color="auto" w:fill="auto"/>
                  <w:vAlign w:val="center"/>
                </w:tcPr>
                <w:p w14:paraId="53B763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7612E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008796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vAlign w:val="center"/>
                </w:tcPr>
                <w:p w14:paraId="05E8D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132.26</w:t>
                  </w:r>
                </w:p>
              </w:tc>
              <w:tc>
                <w:tcPr>
                  <w:tcW w:w="876" w:type="dxa"/>
                  <w:tcBorders>
                    <w:tl2br w:val="nil"/>
                    <w:tr2bl w:val="nil"/>
                  </w:tcBorders>
                  <w:shd w:val="clear" w:color="auto" w:fill="auto"/>
                  <w:vAlign w:val="center"/>
                </w:tcPr>
                <w:p w14:paraId="4BB55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236.05</w:t>
                  </w:r>
                </w:p>
              </w:tc>
              <w:tc>
                <w:tcPr>
                  <w:tcW w:w="476" w:type="dxa"/>
                  <w:tcBorders>
                    <w:tl2br w:val="nil"/>
                    <w:tr2bl w:val="nil"/>
                  </w:tcBorders>
                  <w:shd w:val="clear" w:color="auto" w:fill="auto"/>
                  <w:vAlign w:val="center"/>
                </w:tcPr>
                <w:p w14:paraId="4B0498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4AC09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898" w:type="dxa"/>
                  <w:tcBorders>
                    <w:tl2br w:val="nil"/>
                    <w:tr2bl w:val="nil"/>
                  </w:tcBorders>
                  <w:shd w:val="clear" w:color="auto" w:fill="auto"/>
                  <w:vAlign w:val="center"/>
                </w:tcPr>
                <w:p w14:paraId="0151AE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64.69</w:t>
                  </w:r>
                </w:p>
              </w:tc>
              <w:tc>
                <w:tcPr>
                  <w:tcW w:w="707" w:type="dxa"/>
                  <w:tcBorders>
                    <w:tl2br w:val="nil"/>
                    <w:tr2bl w:val="nil"/>
                  </w:tcBorders>
                  <w:shd w:val="clear" w:color="auto" w:fill="auto"/>
                  <w:vAlign w:val="center"/>
                </w:tcPr>
                <w:p w14:paraId="391BEF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2E2E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059E54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43.69</w:t>
                  </w:r>
                </w:p>
              </w:tc>
              <w:tc>
                <w:tcPr>
                  <w:tcW w:w="887" w:type="dxa"/>
                  <w:tcBorders>
                    <w:tl2br w:val="nil"/>
                    <w:tr2bl w:val="nil"/>
                  </w:tcBorders>
                  <w:shd w:val="clear" w:color="auto" w:fill="auto"/>
                  <w:vAlign w:val="center"/>
                </w:tcPr>
                <w:p w14:paraId="1D4C0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81AC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2" w:type="dxa"/>
                  <w:tcBorders>
                    <w:tl2br w:val="nil"/>
                    <w:tr2bl w:val="nil"/>
                  </w:tcBorders>
                  <w:shd w:val="clear" w:color="auto" w:fill="auto"/>
                  <w:vAlign w:val="center"/>
                </w:tcPr>
                <w:p w14:paraId="3DC799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846" w:type="dxa"/>
                  <w:vMerge w:val="continue"/>
                  <w:tcBorders>
                    <w:tl2br w:val="nil"/>
                    <w:tr2bl w:val="nil"/>
                  </w:tcBorders>
                  <w:shd w:val="clear" w:color="auto" w:fill="auto"/>
                  <w:noWrap/>
                  <w:vAlign w:val="center"/>
                </w:tcPr>
                <w:p w14:paraId="0AE40014">
                  <w:pPr>
                    <w:jc w:val="center"/>
                    <w:rPr>
                      <w:rFonts w:hint="default" w:ascii="Times New Roman" w:hAnsi="Times New Roman" w:eastAsia="宋体" w:cs="Times New Roman"/>
                      <w:i w:val="0"/>
                      <w:iCs w:val="0"/>
                      <w:color w:val="auto"/>
                      <w:sz w:val="21"/>
                      <w:szCs w:val="21"/>
                      <w:highlight w:val="none"/>
                      <w:u w:val="none"/>
                    </w:rPr>
                  </w:pPr>
                </w:p>
              </w:tc>
              <w:tc>
                <w:tcPr>
                  <w:tcW w:w="1372" w:type="dxa"/>
                  <w:tcBorders>
                    <w:tl2br w:val="nil"/>
                    <w:tr2bl w:val="nil"/>
                  </w:tcBorders>
                  <w:shd w:val="clear" w:color="auto" w:fill="auto"/>
                  <w:noWrap/>
                  <w:vAlign w:val="center"/>
                </w:tcPr>
                <w:p w14:paraId="709030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水泵10</w:t>
                  </w:r>
                </w:p>
              </w:tc>
              <w:tc>
                <w:tcPr>
                  <w:tcW w:w="675" w:type="dxa"/>
                  <w:tcBorders>
                    <w:tl2br w:val="nil"/>
                    <w:tr2bl w:val="nil"/>
                  </w:tcBorders>
                  <w:shd w:val="clear" w:color="auto" w:fill="auto"/>
                  <w:vAlign w:val="center"/>
                </w:tcPr>
                <w:p w14:paraId="1DD4A7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点源</w:t>
                  </w:r>
                </w:p>
              </w:tc>
              <w:tc>
                <w:tcPr>
                  <w:tcW w:w="808" w:type="dxa"/>
                  <w:tcBorders>
                    <w:tl2br w:val="nil"/>
                    <w:tr2bl w:val="nil"/>
                  </w:tcBorders>
                  <w:shd w:val="clear" w:color="auto" w:fill="auto"/>
                  <w:vAlign w:val="center"/>
                </w:tcPr>
                <w:p w14:paraId="1769F9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600" w:type="dxa"/>
                  <w:vMerge w:val="continue"/>
                  <w:tcBorders>
                    <w:tl2br w:val="nil"/>
                    <w:tr2bl w:val="nil"/>
                  </w:tcBorders>
                  <w:shd w:val="clear" w:color="auto" w:fill="auto"/>
                  <w:vAlign w:val="center"/>
                </w:tcPr>
                <w:p w14:paraId="46EFDD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3" w:type="dxa"/>
                  <w:tcBorders>
                    <w:tl2br w:val="nil"/>
                    <w:tr2bl w:val="nil"/>
                  </w:tcBorders>
                  <w:shd w:val="clear" w:color="auto" w:fill="auto"/>
                  <w:vAlign w:val="center"/>
                </w:tcPr>
                <w:p w14:paraId="3D1D8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146.24</w:t>
                  </w:r>
                </w:p>
              </w:tc>
              <w:tc>
                <w:tcPr>
                  <w:tcW w:w="876" w:type="dxa"/>
                  <w:tcBorders>
                    <w:tl2br w:val="nil"/>
                    <w:tr2bl w:val="nil"/>
                  </w:tcBorders>
                  <w:shd w:val="clear" w:color="auto" w:fill="auto"/>
                  <w:vAlign w:val="center"/>
                </w:tcPr>
                <w:p w14:paraId="67AD53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232.27</w:t>
                  </w:r>
                </w:p>
              </w:tc>
              <w:tc>
                <w:tcPr>
                  <w:tcW w:w="476" w:type="dxa"/>
                  <w:tcBorders>
                    <w:tl2br w:val="nil"/>
                    <w:tr2bl w:val="nil"/>
                  </w:tcBorders>
                  <w:shd w:val="clear" w:color="auto" w:fill="auto"/>
                  <w:vAlign w:val="center"/>
                </w:tcPr>
                <w:p w14:paraId="1A0E76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30" w:type="dxa"/>
                  <w:tcBorders>
                    <w:tl2br w:val="nil"/>
                    <w:tr2bl w:val="nil"/>
                  </w:tcBorders>
                  <w:shd w:val="clear" w:color="auto" w:fill="auto"/>
                  <w:vAlign w:val="center"/>
                </w:tcPr>
                <w:p w14:paraId="6815DF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898" w:type="dxa"/>
                  <w:tcBorders>
                    <w:tl2br w:val="nil"/>
                    <w:tr2bl w:val="nil"/>
                  </w:tcBorders>
                  <w:shd w:val="clear" w:color="auto" w:fill="auto"/>
                  <w:vAlign w:val="center"/>
                </w:tcPr>
                <w:p w14:paraId="68F0C0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64.99</w:t>
                  </w:r>
                </w:p>
              </w:tc>
              <w:tc>
                <w:tcPr>
                  <w:tcW w:w="707" w:type="dxa"/>
                  <w:tcBorders>
                    <w:tl2br w:val="nil"/>
                    <w:tr2bl w:val="nil"/>
                  </w:tcBorders>
                  <w:shd w:val="clear" w:color="auto" w:fill="auto"/>
                  <w:vAlign w:val="center"/>
                </w:tcPr>
                <w:p w14:paraId="56F06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昼夜</w:t>
                  </w:r>
                </w:p>
              </w:tc>
              <w:tc>
                <w:tcPr>
                  <w:tcW w:w="857" w:type="dxa"/>
                  <w:tcBorders>
                    <w:tl2br w:val="nil"/>
                    <w:tr2bl w:val="nil"/>
                  </w:tcBorders>
                  <w:shd w:val="clear" w:color="auto" w:fill="auto"/>
                  <w:vAlign w:val="center"/>
                </w:tcPr>
                <w:p w14:paraId="1E1BE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803" w:type="dxa"/>
                  <w:tcBorders>
                    <w:tl2br w:val="nil"/>
                    <w:tr2bl w:val="nil"/>
                  </w:tcBorders>
                  <w:shd w:val="clear" w:color="auto" w:fill="auto"/>
                  <w:vAlign w:val="center"/>
                </w:tcPr>
                <w:p w14:paraId="5495CB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43.99</w:t>
                  </w:r>
                </w:p>
              </w:tc>
              <w:tc>
                <w:tcPr>
                  <w:tcW w:w="887" w:type="dxa"/>
                  <w:tcBorders>
                    <w:tl2br w:val="nil"/>
                    <w:tr2bl w:val="nil"/>
                  </w:tcBorders>
                  <w:shd w:val="clear" w:color="auto" w:fill="auto"/>
                  <w:vAlign w:val="center"/>
                </w:tcPr>
                <w:p w14:paraId="5F1B58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14:paraId="1569E87F">
            <w:pPr>
              <w:pStyle w:val="28"/>
              <w:keepNext w:val="0"/>
              <w:keepLines w:val="0"/>
              <w:pageBreakBefore w:val="0"/>
              <w:kinsoku/>
              <w:overflowPunct/>
              <w:topLinePunct/>
              <w:autoSpaceDE w:val="0"/>
              <w:bidi w:val="0"/>
              <w:rPr>
                <w:rFonts w:hint="default" w:ascii="Times New Roman" w:hAnsi="Times New Roman" w:eastAsia="宋体" w:cs="Times New Roman"/>
                <w:strike w:val="0"/>
                <w:dstrike w:val="0"/>
                <w:color w:val="auto"/>
                <w:highlight w:val="none"/>
              </w:rPr>
            </w:pPr>
          </w:p>
          <w:p w14:paraId="2E4C03B5">
            <w:pPr>
              <w:pStyle w:val="27"/>
              <w:keepNext w:val="0"/>
              <w:keepLines w:val="0"/>
              <w:pageBreakBefore w:val="0"/>
              <w:kinsoku/>
              <w:overflowPunct/>
              <w:topLinePunct/>
              <w:autoSpaceDE w:val="0"/>
              <w:bidi w:val="0"/>
              <w:rPr>
                <w:rFonts w:hint="default" w:ascii="Times New Roman" w:hAnsi="Times New Roman" w:eastAsia="宋体" w:cs="Times New Roman"/>
                <w:strike w:val="0"/>
                <w:dstrike w:val="0"/>
                <w:color w:val="auto"/>
                <w:highlight w:val="none"/>
              </w:rPr>
            </w:pPr>
          </w:p>
          <w:p w14:paraId="1D0EA3B6">
            <w:pPr>
              <w:rPr>
                <w:rFonts w:hint="default" w:ascii="Times New Roman" w:hAnsi="Times New Roman" w:eastAsia="宋体" w:cs="Times New Roman"/>
                <w:color w:val="auto"/>
              </w:rPr>
            </w:pPr>
          </w:p>
          <w:p w14:paraId="7B2900F1">
            <w:pPr>
              <w:pStyle w:val="27"/>
              <w:keepNext w:val="0"/>
              <w:keepLines w:val="0"/>
              <w:pageBreakBefore w:val="0"/>
              <w:kinsoku/>
              <w:overflowPunct/>
              <w:topLinePunct/>
              <w:autoSpaceDE w:val="0"/>
              <w:bidi w:val="0"/>
              <w:rPr>
                <w:rFonts w:hint="default" w:ascii="Times New Roman" w:hAnsi="Times New Roman" w:eastAsia="宋体" w:cs="Times New Roman"/>
                <w:strike w:val="0"/>
                <w:dstrike w:val="0"/>
                <w:color w:val="auto"/>
                <w:highlight w:val="none"/>
              </w:rPr>
            </w:pPr>
          </w:p>
        </w:tc>
      </w:tr>
    </w:tbl>
    <w:p w14:paraId="1DA8C5AD">
      <w:pPr>
        <w:pStyle w:val="28"/>
        <w:keepNext w:val="0"/>
        <w:keepLines w:val="0"/>
        <w:pageBreakBefore w:val="0"/>
        <w:kinsoku/>
        <w:overflowPunct/>
        <w:topLinePunct/>
        <w:autoSpaceDE w:val="0"/>
        <w:bidi w:val="0"/>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CBB6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7" w:hRule="atLeast"/>
          <w:jc w:val="center"/>
        </w:trPr>
        <w:tc>
          <w:tcPr>
            <w:tcW w:w="746" w:type="dxa"/>
            <w:tcMar>
              <w:left w:w="28" w:type="dxa"/>
              <w:right w:w="28" w:type="dxa"/>
            </w:tcMar>
            <w:vAlign w:val="center"/>
          </w:tcPr>
          <w:p w14:paraId="38EE7ADC">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Cs/>
                <w:strike w:val="0"/>
                <w:dstrike w:val="0"/>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运营</w:t>
            </w:r>
          </w:p>
          <w:p w14:paraId="1E1014CC">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Cs/>
                <w:strike w:val="0"/>
                <w:dstrike w:val="0"/>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期环</w:t>
            </w:r>
          </w:p>
          <w:p w14:paraId="0DE0C0F0">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Cs/>
                <w:strike w:val="0"/>
                <w:dstrike w:val="0"/>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境影</w:t>
            </w:r>
          </w:p>
          <w:p w14:paraId="342A67D1">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Cs/>
                <w:strike w:val="0"/>
                <w:dstrike w:val="0"/>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响和</w:t>
            </w:r>
          </w:p>
          <w:p w14:paraId="5FD52AFD">
            <w:pPr>
              <w:keepNext w:val="0"/>
              <w:keepLines w:val="0"/>
              <w:pageBreakBefore w:val="0"/>
              <w:kinsoku/>
              <w:wordWrap/>
              <w:overflowPunct/>
              <w:topLinePunct/>
              <w:autoSpaceDE w:val="0"/>
              <w:bidi w:val="0"/>
              <w:adjustRightInd w:val="0"/>
              <w:snapToGrid w:val="0"/>
              <w:ind w:left="0" w:leftChars="0" w:right="0"/>
              <w:jc w:val="center"/>
              <w:rPr>
                <w:rFonts w:hint="default" w:ascii="Times New Roman" w:hAnsi="Times New Roman" w:eastAsia="宋体" w:cs="Times New Roman"/>
                <w:bCs/>
                <w:strike w:val="0"/>
                <w:dstrike w:val="0"/>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保护</w:t>
            </w:r>
          </w:p>
          <w:p w14:paraId="309D039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strike w:val="0"/>
                <w:dstrike w:val="0"/>
                <w:color w:val="auto"/>
                <w:sz w:val="24"/>
                <w:szCs w:val="24"/>
                <w:highlight w:val="none"/>
              </w:rPr>
              <w:t>措施</w:t>
            </w:r>
          </w:p>
        </w:tc>
        <w:tc>
          <w:tcPr>
            <w:tcW w:w="8162" w:type="dxa"/>
            <w:vAlign w:val="top"/>
          </w:tcPr>
          <w:p w14:paraId="19412DAA">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bCs/>
                <w:color w:val="auto"/>
                <w:sz w:val="24"/>
                <w:szCs w:val="24"/>
                <w:highlight w:val="none"/>
                <w:lang w:val="en-US" w:eastAsia="zh-CN"/>
              </w:rPr>
              <w:t>预测内容</w:t>
            </w:r>
          </w:p>
          <w:p w14:paraId="5D8F7215">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（1）预测范围、点位与评价因子</w:t>
            </w:r>
          </w:p>
          <w:p w14:paraId="1A69511B">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①噪声预测范围为：厂界外1m。</w:t>
            </w:r>
          </w:p>
          <w:p w14:paraId="06E24B13">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②预测点位：厂界噪声，在东、南、西、北厂界各设置一个。</w:t>
            </w:r>
            <w:r>
              <w:rPr>
                <w:rFonts w:hint="default" w:ascii="Times New Roman" w:hAnsi="Times New Roman" w:eastAsia="宋体" w:cs="Times New Roman"/>
                <w:color w:val="auto"/>
                <w:spacing w:val="0"/>
                <w:w w:val="100"/>
                <w:position w:val="0"/>
                <w:sz w:val="24"/>
                <w:szCs w:val="24"/>
                <w:highlight w:val="none"/>
                <w:lang w:val="en-US" w:eastAsia="zh-CN"/>
              </w:rPr>
              <w:t>项目</w:t>
            </w:r>
            <w:r>
              <w:rPr>
                <w:rFonts w:hint="default" w:ascii="Times New Roman" w:hAnsi="Times New Roman" w:eastAsia="宋体" w:cs="Times New Roman"/>
                <w:color w:val="auto"/>
                <w:spacing w:val="0"/>
                <w:w w:val="100"/>
                <w:position w:val="0"/>
                <w:sz w:val="24"/>
                <w:szCs w:val="24"/>
                <w:highlight w:val="none"/>
                <w:lang w:eastAsia="zh-CN"/>
              </w:rPr>
              <w:t>预测点</w:t>
            </w:r>
            <w:r>
              <w:rPr>
                <w:rFonts w:hint="default" w:ascii="Times New Roman" w:hAnsi="Times New Roman" w:eastAsia="宋体" w:cs="Times New Roman"/>
                <w:color w:val="auto"/>
                <w:spacing w:val="0"/>
                <w:w w:val="100"/>
                <w:position w:val="0"/>
                <w:sz w:val="24"/>
                <w:szCs w:val="24"/>
                <w:highlight w:val="none"/>
                <w:lang w:val="en-US" w:eastAsia="zh-CN"/>
              </w:rPr>
              <w:t>及评价点</w:t>
            </w:r>
            <w:r>
              <w:rPr>
                <w:rFonts w:hint="default" w:ascii="Times New Roman" w:hAnsi="Times New Roman" w:eastAsia="宋体" w:cs="Times New Roman"/>
                <w:color w:val="auto"/>
                <w:spacing w:val="0"/>
                <w:w w:val="100"/>
                <w:position w:val="0"/>
                <w:sz w:val="24"/>
                <w:szCs w:val="24"/>
                <w:highlight w:val="none"/>
                <w:lang w:eastAsia="zh-CN"/>
              </w:rPr>
              <w:t>位于站界围墙外1m、距地面1.2m处。以</w:t>
            </w:r>
            <w:r>
              <w:rPr>
                <w:rFonts w:hint="default" w:ascii="Times New Roman" w:hAnsi="Times New Roman" w:eastAsia="宋体" w:cs="Times New Roman"/>
                <w:color w:val="auto"/>
                <w:spacing w:val="0"/>
                <w:w w:val="100"/>
                <w:position w:val="0"/>
                <w:sz w:val="24"/>
                <w:szCs w:val="24"/>
                <w:highlight w:val="none"/>
                <w:lang w:val="en-US" w:eastAsia="zh-CN"/>
              </w:rPr>
              <w:t>项目建成后</w:t>
            </w:r>
            <w:r>
              <w:rPr>
                <w:rFonts w:hint="default" w:ascii="Times New Roman" w:hAnsi="Times New Roman" w:eastAsia="宋体" w:cs="Times New Roman"/>
                <w:color w:val="auto"/>
                <w:spacing w:val="0"/>
                <w:w w:val="100"/>
                <w:position w:val="0"/>
                <w:sz w:val="24"/>
                <w:szCs w:val="24"/>
                <w:highlight w:val="none"/>
                <w:lang w:eastAsia="zh-CN"/>
              </w:rPr>
              <w:t>产生的噪声贡献值作为声环境</w:t>
            </w:r>
            <w:r>
              <w:rPr>
                <w:rFonts w:hint="default" w:ascii="Times New Roman" w:hAnsi="Times New Roman" w:eastAsia="宋体" w:cs="Times New Roman"/>
                <w:color w:val="auto"/>
                <w:spacing w:val="0"/>
                <w:w w:val="100"/>
                <w:position w:val="0"/>
                <w:sz w:val="24"/>
                <w:szCs w:val="24"/>
                <w:highlight w:val="none"/>
                <w:lang w:val="en-US" w:eastAsia="zh-CN"/>
              </w:rPr>
              <w:t>厂界</w:t>
            </w:r>
            <w:r>
              <w:rPr>
                <w:rFonts w:hint="default" w:ascii="Times New Roman" w:hAnsi="Times New Roman" w:eastAsia="宋体" w:cs="Times New Roman"/>
                <w:color w:val="auto"/>
                <w:spacing w:val="0"/>
                <w:w w:val="100"/>
                <w:position w:val="0"/>
                <w:sz w:val="24"/>
                <w:szCs w:val="24"/>
                <w:highlight w:val="none"/>
                <w:lang w:eastAsia="zh-CN"/>
              </w:rPr>
              <w:t>处的预测评价量。</w:t>
            </w:r>
          </w:p>
          <w:p w14:paraId="0ED51F73">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③厂界噪声预测因子：昼夜等效连续A声级。</w:t>
            </w:r>
          </w:p>
          <w:p w14:paraId="3BED02D5">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④基础数据</w:t>
            </w:r>
          </w:p>
          <w:p w14:paraId="628274E0">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w:t>
            </w:r>
            <w:r>
              <w:rPr>
                <w:rFonts w:hint="default" w:ascii="Times New Roman" w:hAnsi="Times New Roman" w:eastAsia="宋体" w:cs="Times New Roman"/>
                <w:color w:val="auto"/>
                <w:sz w:val="24"/>
                <w:highlight w:val="none"/>
                <w:lang w:eastAsia="zh-CN"/>
              </w:rPr>
              <w:t>下表</w:t>
            </w:r>
            <w:r>
              <w:rPr>
                <w:rFonts w:hint="default" w:ascii="Times New Roman" w:hAnsi="Times New Roman" w:eastAsia="宋体" w:cs="Times New Roman"/>
                <w:color w:val="auto"/>
                <w:sz w:val="24"/>
                <w:highlight w:val="none"/>
              </w:rPr>
              <w:t>。</w:t>
            </w:r>
          </w:p>
          <w:p w14:paraId="69528690">
            <w:pPr>
              <w:keepNext w:val="0"/>
              <w:keepLines w:val="0"/>
              <w:pageBreakBefore w:val="0"/>
              <w:widowControl w:val="0"/>
              <w:kinsoku/>
              <w:wordWrap/>
              <w:overflowPunct/>
              <w:topLinePunct/>
              <w:autoSpaceDE w:val="0"/>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表4-</w:t>
            </w:r>
            <w:r>
              <w:rPr>
                <w:rFonts w:hint="default" w:ascii="Times New Roman" w:hAnsi="Times New Roman" w:eastAsia="宋体" w:cs="Times New Roman"/>
                <w:b/>
                <w:bCs/>
                <w:color w:val="auto"/>
                <w:kern w:val="0"/>
                <w:sz w:val="21"/>
                <w:szCs w:val="21"/>
                <w:highlight w:val="none"/>
                <w:lang w:val="en-US" w:eastAsia="zh-CN"/>
              </w:rPr>
              <w:t>1</w:t>
            </w:r>
            <w:r>
              <w:rPr>
                <w:rFonts w:hint="eastAsia" w:cs="Times New Roman"/>
                <w:b/>
                <w:bCs/>
                <w:color w:val="auto"/>
                <w:kern w:val="0"/>
                <w:sz w:val="21"/>
                <w:szCs w:val="21"/>
                <w:highlight w:val="none"/>
                <w:lang w:val="en-US" w:eastAsia="zh-CN"/>
              </w:rPr>
              <w:t>7</w:t>
            </w:r>
            <w:r>
              <w:rPr>
                <w:rFonts w:hint="default"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rPr>
              <w:t>项目噪声环境影响预测基础数据表</w:t>
            </w:r>
          </w:p>
          <w:tbl>
            <w:tblPr>
              <w:tblStyle w:val="2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62"/>
              <w:gridCol w:w="2602"/>
              <w:gridCol w:w="1987"/>
              <w:gridCol w:w="1987"/>
            </w:tblGrid>
            <w:tr w14:paraId="75C5FD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1F39D7E9">
                  <w:pPr>
                    <w:keepNext w:val="0"/>
                    <w:keepLines w:val="0"/>
                    <w:pageBreakBefore w:val="0"/>
                    <w:kinsoku/>
                    <w:overflowPunct/>
                    <w:topLinePunct/>
                    <w:autoSpaceDE w:val="0"/>
                    <w:bidi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639" w:type="pct"/>
                  <w:noWrap w:val="0"/>
                  <w:vAlign w:val="center"/>
                </w:tcPr>
                <w:p w14:paraId="735B2D89">
                  <w:pPr>
                    <w:keepNext w:val="0"/>
                    <w:keepLines w:val="0"/>
                    <w:pageBreakBefore w:val="0"/>
                    <w:kinsoku/>
                    <w:overflowPunct/>
                    <w:topLinePunct/>
                    <w:autoSpaceDE w:val="0"/>
                    <w:bidi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1251" w:type="pct"/>
                  <w:noWrap w:val="0"/>
                  <w:vAlign w:val="center"/>
                </w:tcPr>
                <w:p w14:paraId="09CCF485">
                  <w:pPr>
                    <w:keepNext w:val="0"/>
                    <w:keepLines w:val="0"/>
                    <w:pageBreakBefore w:val="0"/>
                    <w:kinsoku/>
                    <w:overflowPunct/>
                    <w:topLinePunct/>
                    <w:autoSpaceDE w:val="0"/>
                    <w:bidi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1251" w:type="pct"/>
                  <w:noWrap w:val="0"/>
                  <w:vAlign w:val="center"/>
                </w:tcPr>
                <w:p w14:paraId="262BCAEE">
                  <w:pPr>
                    <w:keepNext w:val="0"/>
                    <w:keepLines w:val="0"/>
                    <w:pageBreakBefore w:val="0"/>
                    <w:kinsoku/>
                    <w:overflowPunct/>
                    <w:topLinePunct/>
                    <w:autoSpaceDE w:val="0"/>
                    <w:bidi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数据</w:t>
                  </w:r>
                </w:p>
              </w:tc>
            </w:tr>
            <w:tr w14:paraId="774224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3E5F3805">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14:paraId="50354FAC">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14:paraId="62673E9E">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14:paraId="5062664B">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1.55</w:t>
                  </w:r>
                </w:p>
              </w:tc>
            </w:tr>
            <w:tr w14:paraId="41ED48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3BE4F493">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14:paraId="5FFCAF47">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14:paraId="04AC04FA">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0D364672">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南风</w:t>
                  </w:r>
                </w:p>
              </w:tc>
            </w:tr>
            <w:tr w14:paraId="680F82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03BA7668">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14:paraId="6D4FA57A">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14:paraId="02CB2E1E">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7B39CE3D">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17.16</w:t>
                  </w:r>
                </w:p>
              </w:tc>
            </w:tr>
            <w:tr w14:paraId="688DF8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0E4F3B03">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14:paraId="0664552A">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14:paraId="59B6C24F">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14:paraId="1D43CE68">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70.85</w:t>
                  </w:r>
                </w:p>
              </w:tc>
            </w:tr>
            <w:tr w14:paraId="709D6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58" w:type="pct"/>
                  <w:noWrap w:val="0"/>
                  <w:vAlign w:val="center"/>
                </w:tcPr>
                <w:p w14:paraId="1EF8D333">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14:paraId="34435753">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14:paraId="76FE3F1C">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14:paraId="3B39FD86">
                  <w:pPr>
                    <w:keepNext w:val="0"/>
                    <w:keepLines w:val="0"/>
                    <w:pageBreakBefore w:val="0"/>
                    <w:kinsoku/>
                    <w:overflowPunct/>
                    <w:topLinePunct/>
                    <w:autoSpaceDE w:val="0"/>
                    <w:bidi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color w:val="auto"/>
                      <w:szCs w:val="21"/>
                      <w:highlight w:val="none"/>
                    </w:rPr>
                    <w:t>0.8</w:t>
                  </w:r>
                  <w:r>
                    <w:rPr>
                      <w:rFonts w:hint="default" w:ascii="Times New Roman" w:hAnsi="Times New Roman" w:eastAsia="宋体" w:cs="Times New Roman"/>
                      <w:color w:val="auto"/>
                      <w:szCs w:val="21"/>
                      <w:highlight w:val="none"/>
                      <w:lang w:val="en-US" w:eastAsia="zh-CN"/>
                    </w:rPr>
                    <w:t>4</w:t>
                  </w:r>
                </w:p>
              </w:tc>
            </w:tr>
          </w:tbl>
          <w:p w14:paraId="4FFD893D">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14:paraId="6F9A1FF7">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（2）声环境影响预测</w:t>
            </w:r>
          </w:p>
          <w:p w14:paraId="52472270">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①预测方法</w:t>
            </w:r>
          </w:p>
          <w:p w14:paraId="18EFF9AB">
            <w:pPr>
              <w:keepNext w:val="0"/>
              <w:keepLines w:val="0"/>
              <w:pageBreakBefore w:val="0"/>
              <w:widowControl/>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HJ2.4-2021</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推荐的工业噪声预测模式，本评价只考虑几何发散引起的衰减量来预测项目对厂界的贡献点的影响。</w:t>
            </w:r>
          </w:p>
          <w:p w14:paraId="0CC809BB">
            <w:pPr>
              <w:keepNext w:val="0"/>
              <w:keepLines w:val="0"/>
              <w:pageBreakBefore w:val="0"/>
              <w:widowControl/>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33B13A7F">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②预测模式</w:t>
            </w:r>
          </w:p>
          <w:p w14:paraId="17345A27">
            <w:pPr>
              <w:keepNext w:val="0"/>
              <w:keepLines w:val="0"/>
              <w:pageBreakBefore w:val="0"/>
              <w:widowControl/>
              <w:kinsoku/>
              <w:overflowPunct/>
              <w:topLinePunct/>
              <w:autoSpaceDE w:val="0"/>
              <w:bidi w:val="0"/>
              <w:spacing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采用《环境影响评价技术</w:t>
            </w:r>
            <w:r>
              <w:rPr>
                <w:rStyle w:val="35"/>
                <w:rFonts w:hint="default" w:ascii="Times New Roman" w:hAnsi="Times New Roman" w:eastAsia="宋体" w:cs="Times New Roman"/>
                <w:color w:val="auto"/>
                <w:kern w:val="0"/>
                <w:sz w:val="24"/>
                <w:szCs w:val="24"/>
                <w:highlight w:val="none"/>
              </w:rPr>
              <w:t>导则</w:t>
            </w:r>
            <w:r>
              <w:rPr>
                <w:rFonts w:hint="default" w:ascii="Times New Roman" w:hAnsi="Times New Roman" w:eastAsia="宋体" w:cs="Times New Roman"/>
                <w:color w:val="auto"/>
                <w:kern w:val="0"/>
                <w:sz w:val="24"/>
                <w:szCs w:val="24"/>
                <w:highlight w:val="none"/>
                <w:lang w:bidi="ar"/>
              </w:rPr>
              <w:t xml:space="preserve"> 声环境》</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HJ2.4-2021</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中的噪声预测模式预测本项目的主要噪声设备对周围声环境的影响。预测模式如下：</w:t>
            </w:r>
          </w:p>
          <w:p w14:paraId="390FCC26">
            <w:pPr>
              <w:keepNext w:val="0"/>
              <w:keepLines w:val="0"/>
              <w:pageBreakBefore w:val="0"/>
              <w:kinsoku/>
              <w:overflowPunct/>
              <w:topLine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rPr>
              <w:t>室内声源等效室外噪声源</w:t>
            </w:r>
          </w:p>
          <w:p w14:paraId="5CB41A4C">
            <w:pPr>
              <w:keepNext w:val="0"/>
              <w:keepLines w:val="0"/>
              <w:pageBreakBefore w:val="0"/>
              <w:kinsoku/>
              <w:overflowPunct/>
              <w:topLine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如果已知声源的声压级L（r</w:t>
            </w:r>
            <w:r>
              <w:rPr>
                <w:rFonts w:hint="default" w:ascii="Times New Roman" w:hAnsi="Times New Roman" w:eastAsia="宋体" w:cs="Times New Roman"/>
                <w:color w:val="auto"/>
                <w:sz w:val="24"/>
                <w:szCs w:val="24"/>
                <w:highlight w:val="none"/>
                <w:vertAlign w:val="subscript"/>
                <w:lang w:bidi="zh-CN"/>
              </w:rPr>
              <w:t>0</w:t>
            </w:r>
            <w:r>
              <w:rPr>
                <w:rFonts w:hint="default" w:ascii="Times New Roman" w:hAnsi="Times New Roman" w:eastAsia="宋体" w:cs="Times New Roman"/>
                <w:color w:val="auto"/>
                <w:sz w:val="24"/>
                <w:szCs w:val="24"/>
                <w:highlight w:val="none"/>
                <w:lang w:bidi="zh-CN"/>
              </w:rPr>
              <w:t>），且声源位于地面上，则：</w:t>
            </w:r>
          </w:p>
          <w:p w14:paraId="24F8C089">
            <w:pPr>
              <w:keepNext w:val="0"/>
              <w:keepLines w:val="0"/>
              <w:pageBreakBefore w:val="0"/>
              <w:kinsoku/>
              <w:overflowPunct/>
              <w:topLinePunct/>
              <w:autoSpaceDE w:val="0"/>
              <w:autoSpaceDN w:val="0"/>
              <w:bidi w:val="0"/>
              <w:adjustRightInd w:val="0"/>
              <w:snapToGrid w:val="0"/>
              <w:spacing w:line="360" w:lineRule="auto"/>
              <w:jc w:val="center"/>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Lw=L(r</w:t>
            </w:r>
            <w:r>
              <w:rPr>
                <w:rFonts w:hint="default" w:ascii="Times New Roman" w:hAnsi="Times New Roman" w:eastAsia="宋体" w:cs="Times New Roman"/>
                <w:color w:val="auto"/>
                <w:sz w:val="24"/>
                <w:szCs w:val="24"/>
                <w:highlight w:val="none"/>
                <w:vertAlign w:val="subscript"/>
                <w:lang w:bidi="zh-CN"/>
              </w:rPr>
              <w:t>0)</w:t>
            </w:r>
            <w:r>
              <w:rPr>
                <w:rFonts w:hint="default" w:ascii="Times New Roman" w:hAnsi="Times New Roman" w:eastAsia="宋体" w:cs="Times New Roman"/>
                <w:color w:val="auto"/>
                <w:sz w:val="24"/>
                <w:szCs w:val="24"/>
                <w:highlight w:val="none"/>
                <w:lang w:bidi="zh-CN"/>
              </w:rPr>
              <w:t>+20lgr</w:t>
            </w:r>
            <w:r>
              <w:rPr>
                <w:rFonts w:hint="default" w:ascii="Times New Roman" w:hAnsi="Times New Roman" w:eastAsia="宋体" w:cs="Times New Roman"/>
                <w:color w:val="auto"/>
                <w:sz w:val="24"/>
                <w:szCs w:val="24"/>
                <w:highlight w:val="none"/>
                <w:vertAlign w:val="subscript"/>
                <w:lang w:bidi="zh-CN"/>
              </w:rPr>
              <w:t>0</w:t>
            </w:r>
            <w:r>
              <w:rPr>
                <w:rFonts w:hint="default" w:ascii="Times New Roman" w:hAnsi="Times New Roman" w:eastAsia="宋体" w:cs="Times New Roman"/>
                <w:color w:val="auto"/>
                <w:sz w:val="24"/>
                <w:szCs w:val="24"/>
                <w:highlight w:val="none"/>
                <w:lang w:bidi="zh-CN"/>
              </w:rPr>
              <w:t>+8</w:t>
            </w:r>
          </w:p>
          <w:p w14:paraId="4417C69E">
            <w:pPr>
              <w:keepNext w:val="0"/>
              <w:keepLines w:val="0"/>
              <w:pageBreakBefore w:val="0"/>
              <w:kinsoku/>
              <w:overflowPunct/>
              <w:topLinePunct/>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计算出某个室内声源靠近围护结构处的声压级：</w:t>
            </w:r>
          </w:p>
          <w:p w14:paraId="31FC0913">
            <w:pPr>
              <w:keepNext w:val="0"/>
              <w:keepLines w:val="0"/>
              <w:pageBreakBefore w:val="0"/>
              <w:kinsoku/>
              <w:overflowPunct/>
              <w:topLinePunct/>
              <w:autoSpaceDE w:val="0"/>
              <w:autoSpaceDN w:val="0"/>
              <w:bidi w:val="0"/>
              <w:spacing w:line="360" w:lineRule="auto"/>
              <w:jc w:val="center"/>
              <w:rPr>
                <w:rFonts w:hint="default" w:ascii="Times New Roman" w:hAnsi="Times New Roman" w:eastAsia="宋体" w:cs="Times New Roman"/>
                <w:b/>
                <w:bCs/>
                <w:color w:val="auto"/>
                <w:sz w:val="24"/>
                <w:szCs w:val="24"/>
                <w:highlight w:val="none"/>
                <w:lang w:val="zh-CN" w:bidi="zh-CN"/>
              </w:rPr>
            </w:pPr>
            <w:r>
              <w:rPr>
                <w:rFonts w:hint="default" w:ascii="Times New Roman" w:hAnsi="Times New Roman" w:eastAsia="宋体" w:cs="Times New Roman"/>
                <w:b/>
                <w:bCs/>
                <w:color w:val="auto"/>
                <w:sz w:val="24"/>
                <w:szCs w:val="24"/>
                <w:highlight w:val="none"/>
              </w:rPr>
              <w:drawing>
                <wp:inline distT="0" distB="0" distL="114300" distR="114300">
                  <wp:extent cx="2524125" cy="714375"/>
                  <wp:effectExtent l="0" t="0" r="9525" b="9525"/>
                  <wp:docPr id="2" name="图片 6" descr="微信图片_20220513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微信图片_20220513094633"/>
                          <pic:cNvPicPr>
                            <a:picLocks noChangeAspect="1"/>
                          </pic:cNvPicPr>
                        </pic:nvPicPr>
                        <pic:blipFill>
                          <a:blip r:embed="rId32"/>
                          <a:stretch>
                            <a:fillRect/>
                          </a:stretch>
                        </pic:blipFill>
                        <pic:spPr>
                          <a:xfrm>
                            <a:off x="0" y="0"/>
                            <a:ext cx="2524125" cy="714375"/>
                          </a:xfrm>
                          <a:prstGeom prst="rect">
                            <a:avLst/>
                          </a:prstGeom>
                          <a:noFill/>
                          <a:ln>
                            <a:noFill/>
                          </a:ln>
                        </pic:spPr>
                      </pic:pic>
                    </a:graphicData>
                  </a:graphic>
                </wp:inline>
              </w:drawing>
            </w:r>
          </w:p>
          <w:p w14:paraId="55C51663">
            <w:pPr>
              <w:keepNext w:val="0"/>
              <w:keepLines w:val="0"/>
              <w:pageBreakBefore w:val="0"/>
              <w:kinsoku/>
              <w:overflowPunct/>
              <w:topLinePunct/>
              <w:autoSpaceDE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1—为某个室内声源在靠近围护结构处产生的倍频带声压级，dB；</w:t>
            </w:r>
          </w:p>
          <w:p w14:paraId="156CCAC5">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Lw</w:t>
            </w:r>
            <w:r>
              <w:rPr>
                <w:rFonts w:hint="default" w:ascii="Times New Roman" w:hAnsi="Times New Roman" w:eastAsia="宋体" w:cs="Times New Roman"/>
                <w:color w:val="auto"/>
                <w:sz w:val="24"/>
                <w:szCs w:val="24"/>
                <w:highlight w:val="none"/>
              </w:rPr>
              <w:t>—为某个声源的倍频带声功率级，dB；</w:t>
            </w:r>
          </w:p>
          <w:p w14:paraId="6B71A6A1">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—为室内某个声源与靠近围护结构处的距离，m；</w:t>
            </w:r>
          </w:p>
          <w:p w14:paraId="586A956D">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—房间常数，m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R=S</w:t>
            </w:r>
            <w:r>
              <w:rPr>
                <w:rFonts w:hint="default" w:ascii="Times New Roman" w:hAnsi="Times New Roman" w:eastAsia="宋体" w:cs="Times New Roman"/>
                <w:color w:val="auto"/>
                <w:sz w:val="24"/>
                <w:szCs w:val="24"/>
                <w:highlight w:val="none"/>
              </w:rPr>
              <w:t>α/</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1-α</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，S为房间内表面积m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，α为平均吸声系数。</w:t>
            </w:r>
          </w:p>
          <w:p w14:paraId="52E41CD3">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Q</w:t>
            </w:r>
            <w:r>
              <w:rPr>
                <w:rFonts w:hint="default" w:ascii="Times New Roman" w:hAnsi="Times New Roman" w:eastAsia="宋体" w:cs="Times New Roman"/>
                <w:color w:val="auto"/>
                <w:sz w:val="24"/>
                <w:szCs w:val="24"/>
                <w:highlight w:val="none"/>
              </w:rPr>
              <w:t>—方向因子，无量纲值。通常对无指向性声源，当声源放在房间中心时，Q=1；当放在一面墙的中心时，Q=2；当放在两面墙夹角时，Q=4；当放在三面墙夹角处时，Q=8。</w:t>
            </w:r>
          </w:p>
          <w:p w14:paraId="00B3AF2F">
            <w:pPr>
              <w:keepNext w:val="0"/>
              <w:keepLines w:val="0"/>
              <w:pageBreakBefore w:val="0"/>
              <w:kinsoku/>
              <w:overflowPunct/>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计算出所有室内声源在靠近围护结构处产生的总声压级：</w:t>
            </w:r>
          </w:p>
          <w:p w14:paraId="0DCE7801">
            <w:pPr>
              <w:keepNext w:val="0"/>
              <w:keepLines w:val="0"/>
              <w:pageBreakBefore w:val="0"/>
              <w:kinsoku/>
              <w:overflowPunct/>
              <w:topLinePunct/>
              <w:autoSpaceDE w:val="0"/>
              <w:autoSpaceDN w:val="0"/>
              <w:bidi w:val="0"/>
              <w:spacing w:line="360" w:lineRule="auto"/>
              <w:jc w:val="center"/>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rPr>
              <w:drawing>
                <wp:inline distT="0" distB="0" distL="114300" distR="114300">
                  <wp:extent cx="1794510" cy="622935"/>
                  <wp:effectExtent l="0" t="0" r="15240"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33"/>
                          <a:stretch>
                            <a:fillRect/>
                          </a:stretch>
                        </pic:blipFill>
                        <pic:spPr>
                          <a:xfrm>
                            <a:off x="0" y="0"/>
                            <a:ext cx="1794510" cy="622935"/>
                          </a:xfrm>
                          <a:prstGeom prst="rect">
                            <a:avLst/>
                          </a:prstGeom>
                          <a:noFill/>
                          <a:ln>
                            <a:noFill/>
                          </a:ln>
                        </pic:spPr>
                      </pic:pic>
                    </a:graphicData>
                  </a:graphic>
                </wp:inline>
              </w:drawing>
            </w:r>
          </w:p>
          <w:p w14:paraId="496173EA">
            <w:pPr>
              <w:keepNext w:val="0"/>
              <w:keepLines w:val="0"/>
              <w:pageBreakBefore w:val="0"/>
              <w:kinsoku/>
              <w:overflowPunct/>
              <w:topLinePunct/>
              <w:autoSpaceDE w:val="0"/>
              <w:bidi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zh-CN"/>
              </w:rPr>
              <w:t>式中：</w:t>
            </w: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i/>
                <w:color w:val="auto"/>
                <w:sz w:val="24"/>
                <w:szCs w:val="24"/>
                <w:highlight w:val="none"/>
              </w:rPr>
              <w:t>i(T)</w:t>
            </w:r>
            <w:r>
              <w:rPr>
                <w:rFonts w:hint="default" w:ascii="Times New Roman" w:hAnsi="Times New Roman" w:eastAsia="宋体" w:cs="Times New Roman"/>
                <w:color w:val="auto"/>
                <w:sz w:val="24"/>
                <w:szCs w:val="24"/>
                <w:highlight w:val="none"/>
              </w:rPr>
              <w:t>—靠近围护结构处室内N个声源i倍频带的叠加声压级，dB；</w:t>
            </w:r>
          </w:p>
          <w:p w14:paraId="09791F1A">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i/>
                <w:color w:val="auto"/>
                <w:sz w:val="24"/>
                <w:szCs w:val="24"/>
                <w:highlight w:val="none"/>
              </w:rPr>
              <w:t>ij</w:t>
            </w:r>
            <w:r>
              <w:rPr>
                <w:rFonts w:hint="default" w:ascii="Times New Roman" w:hAnsi="Times New Roman" w:eastAsia="宋体" w:cs="Times New Roman"/>
                <w:color w:val="auto"/>
                <w:sz w:val="24"/>
                <w:szCs w:val="24"/>
                <w:highlight w:val="none"/>
              </w:rPr>
              <w:t>—室内j声源i倍频带的声压级，dB；</w:t>
            </w:r>
          </w:p>
          <w:p w14:paraId="15BC1EBA">
            <w:pPr>
              <w:keepNext w:val="0"/>
              <w:keepLines w:val="0"/>
              <w:pageBreakBefore w:val="0"/>
              <w:kinsoku/>
              <w:overflowPunct/>
              <w:topLinePunct/>
              <w:autoSpaceDE w:val="0"/>
              <w:bidi w:val="0"/>
              <w:adjustRightInd w:val="0"/>
              <w:snapToGrid w:val="0"/>
              <w:spacing w:line="360" w:lineRule="auto"/>
              <w:ind w:firstLine="1200" w:firstLineChars="500"/>
              <w:jc w:val="left"/>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i/>
                <w:color w:val="auto"/>
                <w:sz w:val="24"/>
                <w:szCs w:val="24"/>
                <w:highlight w:val="none"/>
              </w:rPr>
              <w:t>N</w:t>
            </w:r>
            <w:r>
              <w:rPr>
                <w:rFonts w:hint="default" w:ascii="Times New Roman" w:hAnsi="Times New Roman" w:eastAsia="宋体" w:cs="Times New Roman"/>
                <w:color w:val="auto"/>
                <w:sz w:val="24"/>
                <w:szCs w:val="24"/>
                <w:highlight w:val="none"/>
              </w:rPr>
              <w:t>—室内声源总数。</w:t>
            </w:r>
          </w:p>
          <w:p w14:paraId="77A46698">
            <w:pPr>
              <w:keepNext w:val="0"/>
              <w:keepLines w:val="0"/>
              <w:pageBreakBefore w:val="0"/>
              <w:kinsoku/>
              <w:overflowPunct/>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计算出室外靠近围护结构处的声压级：</w:t>
            </w:r>
          </w:p>
          <w:p w14:paraId="5AC54E93">
            <w:pPr>
              <w:keepNext w:val="0"/>
              <w:keepLines w:val="0"/>
              <w:pageBreakBefore w:val="0"/>
              <w:kinsoku/>
              <w:overflowPunct/>
              <w:topLinePunct/>
              <w:autoSpaceDE w:val="0"/>
              <w:autoSpaceDN w:val="0"/>
              <w:bidi w:val="0"/>
              <w:spacing w:line="360" w:lineRule="auto"/>
              <w:ind w:firstLine="480" w:firstLineChars="200"/>
              <w:jc w:val="center"/>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L</w:t>
            </w:r>
            <w:r>
              <w:rPr>
                <w:rFonts w:hint="default" w:ascii="Times New Roman" w:hAnsi="Times New Roman" w:eastAsia="宋体" w:cs="Times New Roman"/>
                <w:color w:val="auto"/>
                <w:sz w:val="24"/>
                <w:szCs w:val="24"/>
                <w:highlight w:val="none"/>
                <w:vertAlign w:val="subscript"/>
                <w:lang w:bidi="zh-CN"/>
              </w:rPr>
              <w:t>p2(</w:t>
            </w:r>
            <w:r>
              <w:rPr>
                <w:rFonts w:hint="default" w:ascii="Times New Roman" w:hAnsi="Times New Roman" w:eastAsia="宋体" w:cs="Times New Roman"/>
                <w:color w:val="auto"/>
                <w:sz w:val="24"/>
                <w:szCs w:val="24"/>
                <w:highlight w:val="none"/>
                <w:lang w:bidi="zh-CN"/>
              </w:rPr>
              <w:t>T)=L</w:t>
            </w:r>
            <w:r>
              <w:rPr>
                <w:rFonts w:hint="default" w:ascii="Times New Roman" w:hAnsi="Times New Roman" w:eastAsia="宋体" w:cs="Times New Roman"/>
                <w:color w:val="auto"/>
                <w:sz w:val="24"/>
                <w:szCs w:val="24"/>
                <w:highlight w:val="none"/>
                <w:vertAlign w:val="subscript"/>
                <w:lang w:bidi="zh-CN"/>
              </w:rPr>
              <w:t>P1(</w:t>
            </w:r>
            <w:r>
              <w:rPr>
                <w:rFonts w:hint="default" w:ascii="Times New Roman" w:hAnsi="Times New Roman" w:eastAsia="宋体" w:cs="Times New Roman"/>
                <w:color w:val="auto"/>
                <w:sz w:val="24"/>
                <w:szCs w:val="24"/>
                <w:highlight w:val="none"/>
                <w:lang w:bidi="zh-CN"/>
              </w:rPr>
              <w:t>T)-(TL+6)</w:t>
            </w:r>
          </w:p>
          <w:p w14:paraId="20DBD8CC">
            <w:pPr>
              <w:keepNext w:val="0"/>
              <w:keepLines w:val="0"/>
              <w:pageBreakBefore w:val="0"/>
              <w:kinsoku/>
              <w:overflowPunct/>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式中：L</w:t>
            </w:r>
            <w:r>
              <w:rPr>
                <w:rFonts w:hint="default" w:ascii="Times New Roman" w:hAnsi="Times New Roman" w:eastAsia="宋体" w:cs="Times New Roman"/>
                <w:color w:val="auto"/>
                <w:sz w:val="24"/>
                <w:szCs w:val="24"/>
                <w:highlight w:val="none"/>
                <w:vertAlign w:val="subscript"/>
                <w:lang w:bidi="zh-CN"/>
              </w:rPr>
              <w:t>p2</w:t>
            </w:r>
            <w:r>
              <w:rPr>
                <w:rFonts w:hint="default" w:ascii="Times New Roman" w:hAnsi="Times New Roman" w:eastAsia="宋体" w:cs="Times New Roman"/>
                <w:color w:val="auto"/>
                <w:sz w:val="24"/>
                <w:szCs w:val="24"/>
                <w:highlight w:val="none"/>
                <w:lang w:bidi="zh-CN"/>
              </w:rPr>
              <w:t>（T）——靠近围护结构处室外N个声源的叠加声压级，dB（A）；</w:t>
            </w:r>
          </w:p>
          <w:p w14:paraId="2C5BEACE">
            <w:pPr>
              <w:keepNext w:val="0"/>
              <w:keepLines w:val="0"/>
              <w:pageBreakBefore w:val="0"/>
              <w:kinsoku/>
              <w:overflowPunct/>
              <w:topLinePunct/>
              <w:autoSpaceDE w:val="0"/>
              <w:autoSpaceDN w:val="0"/>
              <w:bidi w:val="0"/>
              <w:spacing w:line="360" w:lineRule="auto"/>
              <w:ind w:firstLine="1200" w:firstLineChars="5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TL——围护结构的隔声量，dB（A）。</w:t>
            </w:r>
          </w:p>
          <w:p w14:paraId="414FA957">
            <w:pPr>
              <w:keepNext w:val="0"/>
              <w:keepLines w:val="0"/>
              <w:pageBreakBefore w:val="0"/>
              <w:kinsoku/>
              <w:overflowPunct/>
              <w:topLinePunct/>
              <w:autoSpaceDE w:val="0"/>
              <w:autoSpaceDN w:val="0"/>
              <w:bidi w:val="0"/>
              <w:spacing w:line="360" w:lineRule="auto"/>
              <w:ind w:firstLine="480" w:firstLineChars="200"/>
              <w:jc w:val="left"/>
              <w:rPr>
                <w:rFonts w:hint="default" w:ascii="Times New Roman" w:hAnsi="Times New Roman" w:eastAsia="宋体" w:cs="Times New Roman"/>
                <w:color w:val="auto"/>
                <w:sz w:val="24"/>
                <w:szCs w:val="24"/>
                <w:highlight w:val="none"/>
                <w:lang w:val="zh-CN" w:bidi="zh-CN"/>
              </w:rPr>
            </w:pPr>
            <w:r>
              <w:rPr>
                <w:rFonts w:hint="default" w:ascii="Times New Roman" w:hAnsi="Times New Roman" w:eastAsia="宋体" w:cs="Times New Roman"/>
                <w:color w:val="auto"/>
                <w:sz w:val="24"/>
                <w:szCs w:val="24"/>
                <w:highlight w:val="none"/>
                <w:lang w:bidi="zh-CN"/>
              </w:rPr>
              <w:t>将室外声级L</w:t>
            </w:r>
            <w:r>
              <w:rPr>
                <w:rFonts w:hint="default" w:ascii="Times New Roman" w:hAnsi="Times New Roman" w:eastAsia="宋体" w:cs="Times New Roman"/>
                <w:color w:val="auto"/>
                <w:sz w:val="24"/>
                <w:szCs w:val="24"/>
                <w:highlight w:val="none"/>
                <w:vertAlign w:val="subscript"/>
                <w:lang w:bidi="zh-CN"/>
              </w:rPr>
              <w:t>p2</w:t>
            </w:r>
            <w:r>
              <w:rPr>
                <w:rFonts w:hint="default" w:ascii="Times New Roman" w:hAnsi="Times New Roman" w:eastAsia="宋体" w:cs="Times New Roman"/>
                <w:color w:val="auto"/>
                <w:sz w:val="24"/>
                <w:szCs w:val="24"/>
                <w:highlight w:val="none"/>
                <w:lang w:bidi="zh-CN"/>
              </w:rPr>
              <w:t>（T）和透声面积换算成等效的室外声源，计算出等效声源的声功率级L</w:t>
            </w:r>
            <w:r>
              <w:rPr>
                <w:rFonts w:hint="default" w:ascii="Times New Roman" w:hAnsi="Times New Roman" w:eastAsia="宋体" w:cs="Times New Roman"/>
                <w:color w:val="auto"/>
                <w:sz w:val="24"/>
                <w:szCs w:val="24"/>
                <w:highlight w:val="none"/>
                <w:vertAlign w:val="subscript"/>
                <w:lang w:bidi="zh-CN"/>
              </w:rPr>
              <w:t>W</w:t>
            </w:r>
            <w:r>
              <w:rPr>
                <w:rFonts w:hint="default" w:ascii="Times New Roman" w:hAnsi="Times New Roman" w:eastAsia="宋体" w:cs="Times New Roman"/>
                <w:color w:val="auto"/>
                <w:sz w:val="24"/>
                <w:szCs w:val="24"/>
                <w:highlight w:val="none"/>
                <w:lang w:bidi="zh-CN"/>
              </w:rPr>
              <w:t>。</w:t>
            </w:r>
          </w:p>
          <w:p w14:paraId="753CA1C1">
            <w:pPr>
              <w:keepNext w:val="0"/>
              <w:keepLines w:val="0"/>
              <w:pageBreakBefore w:val="0"/>
              <w:kinsoku/>
              <w:overflowPunct/>
              <w:topLinePunct/>
              <w:autoSpaceDE w:val="0"/>
              <w:autoSpaceDN w:val="0"/>
              <w:bidi w:val="0"/>
              <w:spacing w:line="360" w:lineRule="auto"/>
              <w:ind w:firstLine="480" w:firstLineChars="200"/>
              <w:jc w:val="left"/>
              <w:rPr>
                <w:rFonts w:hint="default" w:ascii="Times New Roman" w:hAnsi="Times New Roman" w:eastAsia="宋体" w:cs="Times New Roman"/>
                <w:i/>
                <w:iCs/>
                <w:color w:val="auto"/>
                <w:sz w:val="24"/>
                <w:szCs w:val="24"/>
                <w:highlight w:val="none"/>
                <w:lang w:bidi="zh-CN"/>
              </w:rPr>
            </w:pPr>
            <w:r>
              <w:rPr>
                <w:rFonts w:hint="default" w:ascii="Times New Roman" w:hAnsi="Times New Roman" w:eastAsia="宋体" w:cs="Times New Roman"/>
                <w:color w:val="auto"/>
                <w:sz w:val="24"/>
                <w:szCs w:val="24"/>
                <w:highlight w:val="none"/>
                <w:lang w:bidi="zh-CN"/>
              </w:rPr>
              <w:t>等效室外声源的位置为围护结构的位置，其声功率级为L</w:t>
            </w:r>
            <w:r>
              <w:rPr>
                <w:rFonts w:hint="default" w:ascii="Times New Roman" w:hAnsi="Times New Roman" w:eastAsia="宋体" w:cs="Times New Roman"/>
                <w:color w:val="auto"/>
                <w:sz w:val="24"/>
                <w:szCs w:val="24"/>
                <w:highlight w:val="none"/>
                <w:vertAlign w:val="subscript"/>
                <w:lang w:bidi="zh-CN"/>
              </w:rPr>
              <w:t>W</w:t>
            </w:r>
            <w:r>
              <w:rPr>
                <w:rFonts w:hint="default" w:ascii="Times New Roman" w:hAnsi="Times New Roman" w:eastAsia="宋体" w:cs="Times New Roman"/>
                <w:color w:val="auto"/>
                <w:sz w:val="24"/>
                <w:szCs w:val="24"/>
                <w:highlight w:val="none"/>
                <w:lang w:bidi="zh-CN"/>
              </w:rPr>
              <w:t>，由此按室外声源方法计算等效室外声源在预测点产生的A声级。</w:t>
            </w:r>
          </w:p>
          <w:p w14:paraId="70444264">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bCs/>
                <w:color w:val="auto"/>
                <w:sz w:val="24"/>
                <w:szCs w:val="24"/>
                <w:highlight w:val="none"/>
                <w:lang w:val="en-US" w:eastAsia="zh-CN"/>
              </w:rPr>
              <w:t>预测结果</w:t>
            </w:r>
          </w:p>
          <w:p w14:paraId="4A18D666">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项目噪声主要为</w:t>
            </w:r>
            <w:r>
              <w:rPr>
                <w:rFonts w:hint="default" w:ascii="Times New Roman" w:hAnsi="Times New Roman" w:eastAsia="宋体" w:cs="Times New Roman"/>
                <w:color w:val="auto"/>
                <w:sz w:val="24"/>
                <w:highlight w:val="none"/>
                <w:lang w:eastAsia="zh-CN"/>
              </w:rPr>
              <w:t>仪器</w:t>
            </w:r>
            <w:r>
              <w:rPr>
                <w:rFonts w:hint="default" w:ascii="Times New Roman" w:hAnsi="Times New Roman" w:eastAsia="宋体" w:cs="Times New Roman"/>
                <w:color w:val="auto"/>
                <w:sz w:val="24"/>
                <w:highlight w:val="none"/>
              </w:rPr>
              <w:t>设备噪声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根据上述预测模式，得出项目建设完成投入运行后设备噪声对厂界声环境贡献值预测结果如下表所示。</w:t>
            </w:r>
          </w:p>
          <w:p w14:paraId="633C8729">
            <w:pPr>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auto"/>
                <w:spacing w:val="0"/>
                <w:w w:val="100"/>
                <w:position w:val="0"/>
                <w:sz w:val="21"/>
                <w:szCs w:val="21"/>
                <w:highlight w:val="none"/>
                <w:lang w:eastAsia="zh-CN"/>
              </w:rPr>
            </w:pPr>
            <w:r>
              <w:rPr>
                <w:rFonts w:hint="default" w:ascii="Times New Roman" w:hAnsi="Times New Roman" w:eastAsia="宋体" w:cs="Times New Roman"/>
                <w:b/>
                <w:bCs/>
                <w:color w:val="auto"/>
                <w:spacing w:val="0"/>
                <w:w w:val="100"/>
                <w:position w:val="0"/>
                <w:sz w:val="21"/>
                <w:szCs w:val="21"/>
                <w:highlight w:val="none"/>
                <w:lang w:eastAsia="zh-CN"/>
              </w:rPr>
              <w:t>表</w:t>
            </w:r>
            <w:r>
              <w:rPr>
                <w:rFonts w:hint="default" w:ascii="Times New Roman" w:hAnsi="Times New Roman" w:eastAsia="宋体" w:cs="Times New Roman"/>
                <w:b/>
                <w:bCs/>
                <w:color w:val="auto"/>
                <w:spacing w:val="0"/>
                <w:w w:val="100"/>
                <w:position w:val="0"/>
                <w:sz w:val="21"/>
                <w:szCs w:val="21"/>
                <w:highlight w:val="none"/>
                <w:lang w:val="en-US" w:eastAsia="zh-CN"/>
              </w:rPr>
              <w:t>4-1</w:t>
            </w:r>
            <w:r>
              <w:rPr>
                <w:rFonts w:hint="eastAsia" w:cs="Times New Roman"/>
                <w:b/>
                <w:bCs/>
                <w:color w:val="auto"/>
                <w:spacing w:val="0"/>
                <w:w w:val="100"/>
                <w:position w:val="0"/>
                <w:sz w:val="21"/>
                <w:szCs w:val="21"/>
                <w:highlight w:val="none"/>
                <w:lang w:val="en-US" w:eastAsia="zh-CN"/>
              </w:rPr>
              <w:t>8</w:t>
            </w:r>
            <w:r>
              <w:rPr>
                <w:rFonts w:hint="default" w:ascii="Times New Roman" w:hAnsi="Times New Roman" w:eastAsia="宋体" w:cs="Times New Roman"/>
                <w:b/>
                <w:bCs/>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position w:val="0"/>
                <w:sz w:val="21"/>
                <w:szCs w:val="21"/>
                <w:highlight w:val="none"/>
                <w:lang w:eastAsia="zh-CN"/>
              </w:rPr>
              <w:t>厂界噪声预测结果与达标分析表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53"/>
              <w:gridCol w:w="930"/>
              <w:gridCol w:w="637"/>
              <w:gridCol w:w="1028"/>
              <w:gridCol w:w="1186"/>
              <w:gridCol w:w="1200"/>
              <w:gridCol w:w="1034"/>
            </w:tblGrid>
            <w:tr w14:paraId="3421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noWrap w:val="0"/>
                  <w:vAlign w:val="center"/>
                </w:tcPr>
                <w:p w14:paraId="4FCD755B">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预测方位</w:t>
                  </w:r>
                </w:p>
              </w:tc>
              <w:tc>
                <w:tcPr>
                  <w:tcW w:w="1589" w:type="pct"/>
                  <w:gridSpan w:val="3"/>
                  <w:noWrap w:val="0"/>
                  <w:vAlign w:val="center"/>
                </w:tcPr>
                <w:p w14:paraId="30E87CCF">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空间相对位置/m</w:t>
                  </w:r>
                </w:p>
              </w:tc>
              <w:tc>
                <w:tcPr>
                  <w:tcW w:w="1396" w:type="pct"/>
                  <w:gridSpan w:val="2"/>
                  <w:noWrap w:val="0"/>
                  <w:vAlign w:val="center"/>
                </w:tcPr>
                <w:p w14:paraId="53FA599E">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lang w:val="en-US" w:eastAsia="zh-CN"/>
                    </w:rPr>
                    <w:t>贡献</w:t>
                  </w:r>
                  <w:r>
                    <w:rPr>
                      <w:rFonts w:hint="default" w:ascii="Times New Roman" w:hAnsi="Times New Roman" w:eastAsia="宋体" w:cs="Times New Roman"/>
                      <w:b/>
                      <w:bCs w:val="0"/>
                      <w:strike w:val="0"/>
                      <w:dstrike w:val="0"/>
                      <w:color w:val="auto"/>
                      <w:sz w:val="21"/>
                      <w:szCs w:val="21"/>
                      <w:highlight w:val="none"/>
                      <w:shd w:val="clear" w:color="auto" w:fill="auto"/>
                    </w:rPr>
                    <w:t>值</w:t>
                  </w:r>
                  <w:r>
                    <w:rPr>
                      <w:rFonts w:hint="eastAsia" w:cs="Times New Roman"/>
                      <w:b/>
                      <w:bCs w:val="0"/>
                      <w:strike w:val="0"/>
                      <w:dstrike w:val="0"/>
                      <w:color w:val="auto"/>
                      <w:sz w:val="21"/>
                      <w:szCs w:val="21"/>
                      <w:highlight w:val="none"/>
                      <w:shd w:val="clear" w:color="auto" w:fill="auto"/>
                      <w:lang w:val="en-US" w:eastAsia="zh-CN"/>
                    </w:rPr>
                    <w:t>/</w:t>
                  </w:r>
                  <w:r>
                    <w:rPr>
                      <w:rFonts w:hint="default" w:ascii="Times New Roman" w:hAnsi="Times New Roman" w:eastAsia="宋体" w:cs="Times New Roman"/>
                      <w:b/>
                      <w:bCs w:val="0"/>
                      <w:strike w:val="0"/>
                      <w:dstrike w:val="0"/>
                      <w:color w:val="auto"/>
                      <w:sz w:val="21"/>
                      <w:szCs w:val="21"/>
                      <w:highlight w:val="none"/>
                      <w:shd w:val="clear" w:color="auto" w:fill="auto"/>
                    </w:rPr>
                    <w:t>dB</w:t>
                  </w:r>
                  <w:r>
                    <w:rPr>
                      <w:rFonts w:hint="default" w:ascii="Times New Roman" w:hAnsi="Times New Roman" w:eastAsia="宋体" w:cs="Times New Roman"/>
                      <w:b/>
                      <w:bCs w:val="0"/>
                      <w:strike w:val="0"/>
                      <w:dstrike w:val="0"/>
                      <w:color w:val="auto"/>
                      <w:sz w:val="21"/>
                      <w:szCs w:val="21"/>
                      <w:highlight w:val="none"/>
                      <w:shd w:val="clear" w:color="auto" w:fill="auto"/>
                      <w:lang w:eastAsia="zh-CN"/>
                    </w:rPr>
                    <w:t>（</w:t>
                  </w:r>
                  <w:r>
                    <w:rPr>
                      <w:rFonts w:hint="default" w:ascii="Times New Roman" w:hAnsi="Times New Roman" w:eastAsia="宋体" w:cs="Times New Roman"/>
                      <w:b/>
                      <w:bCs w:val="0"/>
                      <w:strike w:val="0"/>
                      <w:dstrike w:val="0"/>
                      <w:color w:val="auto"/>
                      <w:sz w:val="21"/>
                      <w:szCs w:val="21"/>
                      <w:highlight w:val="none"/>
                      <w:shd w:val="clear" w:color="auto" w:fill="auto"/>
                    </w:rPr>
                    <w:t>A</w:t>
                  </w:r>
                  <w:r>
                    <w:rPr>
                      <w:rFonts w:hint="default" w:ascii="Times New Roman" w:hAnsi="Times New Roman" w:eastAsia="宋体" w:cs="Times New Roman"/>
                      <w:b/>
                      <w:bCs w:val="0"/>
                      <w:strike w:val="0"/>
                      <w:dstrike w:val="0"/>
                      <w:color w:val="auto"/>
                      <w:sz w:val="21"/>
                      <w:szCs w:val="21"/>
                      <w:highlight w:val="none"/>
                      <w:shd w:val="clear" w:color="auto" w:fill="auto"/>
                      <w:lang w:eastAsia="zh-CN"/>
                    </w:rPr>
                    <w:t>）</w:t>
                  </w:r>
                </w:p>
              </w:tc>
              <w:tc>
                <w:tcPr>
                  <w:tcW w:w="756" w:type="pct"/>
                  <w:vMerge w:val="restart"/>
                  <w:noWrap w:val="0"/>
                  <w:vAlign w:val="center"/>
                </w:tcPr>
                <w:p w14:paraId="2766826A">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lang w:eastAsia="zh-CN"/>
                    </w:rPr>
                  </w:pPr>
                  <w:r>
                    <w:rPr>
                      <w:rFonts w:hint="default" w:ascii="Times New Roman" w:hAnsi="Times New Roman" w:eastAsia="宋体" w:cs="Times New Roman"/>
                      <w:b/>
                      <w:bCs w:val="0"/>
                      <w:strike w:val="0"/>
                      <w:dstrike w:val="0"/>
                      <w:color w:val="auto"/>
                      <w:sz w:val="21"/>
                      <w:szCs w:val="21"/>
                      <w:highlight w:val="none"/>
                      <w:shd w:val="clear" w:color="auto" w:fill="auto"/>
                    </w:rPr>
                    <w:t>标准限值</w:t>
                  </w:r>
                  <w:r>
                    <w:rPr>
                      <w:rFonts w:hint="eastAsia" w:cs="Times New Roman"/>
                      <w:b/>
                      <w:bCs w:val="0"/>
                      <w:strike w:val="0"/>
                      <w:dstrike w:val="0"/>
                      <w:color w:val="auto"/>
                      <w:sz w:val="21"/>
                      <w:szCs w:val="21"/>
                      <w:highlight w:val="none"/>
                      <w:shd w:val="clear" w:color="auto" w:fill="auto"/>
                      <w:lang w:val="en-US" w:eastAsia="zh-CN"/>
                    </w:rPr>
                    <w:t>/</w:t>
                  </w:r>
                  <w:r>
                    <w:rPr>
                      <w:rFonts w:hint="default" w:ascii="Times New Roman" w:hAnsi="Times New Roman" w:eastAsia="宋体" w:cs="Times New Roman"/>
                      <w:b/>
                      <w:bCs w:val="0"/>
                      <w:strike w:val="0"/>
                      <w:dstrike w:val="0"/>
                      <w:color w:val="auto"/>
                      <w:sz w:val="21"/>
                      <w:szCs w:val="21"/>
                      <w:highlight w:val="none"/>
                      <w:shd w:val="clear" w:color="auto" w:fill="auto"/>
                    </w:rPr>
                    <w:t>dB</w:t>
                  </w:r>
                  <w:r>
                    <w:rPr>
                      <w:rFonts w:hint="default" w:ascii="Times New Roman" w:hAnsi="Times New Roman" w:eastAsia="宋体" w:cs="Times New Roman"/>
                      <w:b/>
                      <w:bCs w:val="0"/>
                      <w:strike w:val="0"/>
                      <w:dstrike w:val="0"/>
                      <w:color w:val="auto"/>
                      <w:sz w:val="21"/>
                      <w:szCs w:val="21"/>
                      <w:highlight w:val="none"/>
                      <w:shd w:val="clear" w:color="auto" w:fill="auto"/>
                      <w:lang w:eastAsia="zh-CN"/>
                    </w:rPr>
                    <w:t>（</w:t>
                  </w:r>
                  <w:r>
                    <w:rPr>
                      <w:rFonts w:hint="default" w:ascii="Times New Roman" w:hAnsi="Times New Roman" w:eastAsia="宋体" w:cs="Times New Roman"/>
                      <w:b/>
                      <w:bCs w:val="0"/>
                      <w:strike w:val="0"/>
                      <w:dstrike w:val="0"/>
                      <w:color w:val="auto"/>
                      <w:sz w:val="21"/>
                      <w:szCs w:val="21"/>
                      <w:highlight w:val="none"/>
                      <w:shd w:val="clear" w:color="auto" w:fill="auto"/>
                    </w:rPr>
                    <w:t>A</w:t>
                  </w:r>
                  <w:r>
                    <w:rPr>
                      <w:rFonts w:hint="default" w:ascii="Times New Roman" w:hAnsi="Times New Roman" w:eastAsia="宋体" w:cs="Times New Roman"/>
                      <w:b/>
                      <w:bCs w:val="0"/>
                      <w:strike w:val="0"/>
                      <w:dstrike w:val="0"/>
                      <w:color w:val="auto"/>
                      <w:sz w:val="21"/>
                      <w:szCs w:val="21"/>
                      <w:highlight w:val="none"/>
                      <w:shd w:val="clear" w:color="auto" w:fill="auto"/>
                      <w:lang w:eastAsia="zh-CN"/>
                    </w:rPr>
                    <w:t>）</w:t>
                  </w:r>
                </w:p>
              </w:tc>
              <w:tc>
                <w:tcPr>
                  <w:tcW w:w="652" w:type="pct"/>
                  <w:vMerge w:val="restart"/>
                  <w:noWrap w:val="0"/>
                  <w:vAlign w:val="center"/>
                </w:tcPr>
                <w:p w14:paraId="6E5D34F5">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达标情况</w:t>
                  </w:r>
                </w:p>
              </w:tc>
            </w:tr>
            <w:tr w14:paraId="3A70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noWrap w:val="0"/>
                  <w:vAlign w:val="center"/>
                </w:tcPr>
                <w:p w14:paraId="55FA1419">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p>
              </w:tc>
              <w:tc>
                <w:tcPr>
                  <w:tcW w:w="600" w:type="pct"/>
                  <w:noWrap w:val="0"/>
                  <w:vAlign w:val="center"/>
                </w:tcPr>
                <w:p w14:paraId="4AA1F60E">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X</w:t>
                  </w:r>
                </w:p>
              </w:tc>
              <w:tc>
                <w:tcPr>
                  <w:tcW w:w="586" w:type="pct"/>
                  <w:noWrap w:val="0"/>
                  <w:vAlign w:val="center"/>
                </w:tcPr>
                <w:p w14:paraId="0643C4CC">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Y</w:t>
                  </w:r>
                </w:p>
              </w:tc>
              <w:tc>
                <w:tcPr>
                  <w:tcW w:w="401" w:type="pct"/>
                  <w:tcBorders>
                    <w:top w:val="single" w:color="000000" w:sz="4" w:space="0"/>
                  </w:tcBorders>
                  <w:noWrap w:val="0"/>
                  <w:vAlign w:val="center"/>
                </w:tcPr>
                <w:p w14:paraId="65184BA3">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Z</w:t>
                  </w:r>
                </w:p>
              </w:tc>
              <w:tc>
                <w:tcPr>
                  <w:tcW w:w="648" w:type="pct"/>
                  <w:tcBorders>
                    <w:top w:val="single" w:color="000000" w:sz="4" w:space="0"/>
                  </w:tcBorders>
                  <w:noWrap w:val="0"/>
                  <w:vAlign w:val="center"/>
                </w:tcPr>
                <w:p w14:paraId="52DC1ABE">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rPr>
                  </w:pPr>
                  <w:r>
                    <w:rPr>
                      <w:rFonts w:hint="default" w:ascii="Times New Roman" w:hAnsi="Times New Roman" w:eastAsia="宋体" w:cs="Times New Roman"/>
                      <w:b/>
                      <w:bCs w:val="0"/>
                      <w:strike w:val="0"/>
                      <w:dstrike w:val="0"/>
                      <w:color w:val="auto"/>
                      <w:sz w:val="21"/>
                      <w:szCs w:val="21"/>
                      <w:highlight w:val="none"/>
                      <w:shd w:val="clear" w:color="auto" w:fill="auto"/>
                    </w:rPr>
                    <w:t>昼间</w:t>
                  </w:r>
                </w:p>
              </w:tc>
              <w:tc>
                <w:tcPr>
                  <w:tcW w:w="747" w:type="pct"/>
                  <w:tcBorders>
                    <w:top w:val="single" w:color="000000" w:sz="4" w:space="0"/>
                  </w:tcBorders>
                  <w:noWrap w:val="0"/>
                  <w:vAlign w:val="center"/>
                </w:tcPr>
                <w:p w14:paraId="700DE55E">
                  <w:pPr>
                    <w:keepNext w:val="0"/>
                    <w:keepLines w:val="0"/>
                    <w:pageBreakBefore w:val="0"/>
                    <w:kinsoku/>
                    <w:overflowPunct/>
                    <w:topLinePunct/>
                    <w:autoSpaceDE w:val="0"/>
                    <w:bidi w:val="0"/>
                    <w:jc w:val="center"/>
                    <w:rPr>
                      <w:rFonts w:hint="default" w:ascii="Times New Roman" w:hAnsi="Times New Roman" w:eastAsia="宋体" w:cs="Times New Roman"/>
                      <w:b/>
                      <w:bCs w:val="0"/>
                      <w:strike w:val="0"/>
                      <w:dstrike w:val="0"/>
                      <w:color w:val="auto"/>
                      <w:sz w:val="21"/>
                      <w:szCs w:val="21"/>
                      <w:highlight w:val="none"/>
                      <w:shd w:val="clear" w:color="auto" w:fill="auto"/>
                      <w:lang w:val="en-US" w:eastAsia="zh-CN"/>
                    </w:rPr>
                  </w:pPr>
                  <w:r>
                    <w:rPr>
                      <w:rFonts w:hint="default" w:ascii="Times New Roman" w:hAnsi="Times New Roman" w:eastAsia="宋体" w:cs="Times New Roman"/>
                      <w:b/>
                      <w:bCs w:val="0"/>
                      <w:strike w:val="0"/>
                      <w:dstrike w:val="0"/>
                      <w:color w:val="auto"/>
                      <w:sz w:val="21"/>
                      <w:szCs w:val="21"/>
                      <w:highlight w:val="none"/>
                      <w:shd w:val="clear" w:color="auto" w:fill="auto"/>
                      <w:lang w:val="en-US" w:eastAsia="zh-CN"/>
                    </w:rPr>
                    <w:t>夜间</w:t>
                  </w:r>
                </w:p>
              </w:tc>
              <w:tc>
                <w:tcPr>
                  <w:tcW w:w="756" w:type="pct"/>
                  <w:vMerge w:val="continue"/>
                  <w:noWrap w:val="0"/>
                  <w:vAlign w:val="center"/>
                </w:tcPr>
                <w:p w14:paraId="3CFBB546">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p>
              </w:tc>
              <w:tc>
                <w:tcPr>
                  <w:tcW w:w="652" w:type="pct"/>
                  <w:vMerge w:val="continue"/>
                  <w:noWrap w:val="0"/>
                  <w:vAlign w:val="center"/>
                </w:tcPr>
                <w:p w14:paraId="54076990">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p>
              </w:tc>
            </w:tr>
            <w:tr w14:paraId="5B79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noWrap w:val="0"/>
                  <w:vAlign w:val="center"/>
                </w:tcPr>
                <w:p w14:paraId="745E4F1A">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东侧</w:t>
                  </w:r>
                </w:p>
              </w:tc>
              <w:tc>
                <w:tcPr>
                  <w:tcW w:w="600" w:type="pct"/>
                  <w:noWrap w:val="0"/>
                  <w:vAlign w:val="center"/>
                </w:tcPr>
                <w:p w14:paraId="5CE4BF92">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254.47</w:t>
                  </w:r>
                </w:p>
              </w:tc>
              <w:tc>
                <w:tcPr>
                  <w:tcW w:w="586" w:type="pct"/>
                  <w:noWrap w:val="0"/>
                  <w:vAlign w:val="center"/>
                </w:tcPr>
                <w:p w14:paraId="3EAC595C">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-0.35</w:t>
                  </w:r>
                </w:p>
              </w:tc>
              <w:tc>
                <w:tcPr>
                  <w:tcW w:w="401" w:type="pct"/>
                  <w:noWrap w:val="0"/>
                  <w:vAlign w:val="center"/>
                </w:tcPr>
                <w:p w14:paraId="12759FEA">
                  <w:pPr>
                    <w:keepNext w:val="0"/>
                    <w:keepLines w:val="0"/>
                    <w:pageBreakBefore w:val="0"/>
                    <w:kinsoku/>
                    <w:overflowPunct/>
                    <w:topLinePunct/>
                    <w:autoSpaceDE w:val="0"/>
                    <w:autoSpaceDN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1.2</w:t>
                  </w:r>
                </w:p>
              </w:tc>
              <w:tc>
                <w:tcPr>
                  <w:tcW w:w="648" w:type="pct"/>
                  <w:noWrap w:val="0"/>
                  <w:vAlign w:val="center"/>
                </w:tcPr>
                <w:p w14:paraId="4A9D395A">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eastAsia" w:cs="Times New Roman"/>
                      <w:bCs/>
                      <w:strike w:val="0"/>
                      <w:dstrike w:val="0"/>
                      <w:color w:val="auto"/>
                      <w:sz w:val="21"/>
                      <w:szCs w:val="21"/>
                      <w:highlight w:val="none"/>
                      <w:shd w:val="clear" w:color="auto" w:fill="auto"/>
                      <w:lang w:val="en-US" w:eastAsia="zh-CN"/>
                    </w:rPr>
                    <w:t>51.73</w:t>
                  </w:r>
                </w:p>
              </w:tc>
              <w:tc>
                <w:tcPr>
                  <w:tcW w:w="747" w:type="pct"/>
                  <w:noWrap w:val="0"/>
                  <w:vAlign w:val="center"/>
                </w:tcPr>
                <w:p w14:paraId="7D3BB6C8">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eastAsia" w:cs="Times New Roman"/>
                      <w:bCs/>
                      <w:strike w:val="0"/>
                      <w:dstrike w:val="0"/>
                      <w:color w:val="auto"/>
                      <w:sz w:val="21"/>
                      <w:szCs w:val="21"/>
                      <w:highlight w:val="none"/>
                      <w:shd w:val="clear" w:color="auto" w:fill="auto"/>
                      <w:lang w:val="en-US" w:eastAsia="zh-CN"/>
                    </w:rPr>
                    <w:t>51.73</w:t>
                  </w:r>
                </w:p>
              </w:tc>
              <w:tc>
                <w:tcPr>
                  <w:tcW w:w="756" w:type="pct"/>
                  <w:vMerge w:val="restart"/>
                  <w:noWrap w:val="0"/>
                  <w:vAlign w:val="center"/>
                </w:tcPr>
                <w:p w14:paraId="181774A9">
                  <w:pPr>
                    <w:keepNext w:val="0"/>
                    <w:keepLines w:val="0"/>
                    <w:pageBreakBefore w:val="0"/>
                    <w:kinsoku/>
                    <w:overflowPunct/>
                    <w:topLinePunct/>
                    <w:autoSpaceDE w:val="0"/>
                    <w:bidi w:val="0"/>
                    <w:jc w:val="center"/>
                    <w:rPr>
                      <w:rFonts w:hint="default" w:ascii="Times New Roman" w:hAnsi="Times New Roman" w:eastAsia="宋体" w:cs="Times New Roman"/>
                      <w:strike w:val="0"/>
                      <w:dstrike w:val="0"/>
                      <w:color w:val="auto"/>
                      <w:szCs w:val="21"/>
                      <w:highlight w:val="none"/>
                      <w:lang w:val="en-US" w:eastAsia="zh-CN"/>
                    </w:rPr>
                  </w:pPr>
                  <w:r>
                    <w:rPr>
                      <w:rFonts w:hint="default" w:ascii="Times New Roman" w:hAnsi="Times New Roman" w:eastAsia="宋体" w:cs="Times New Roman"/>
                      <w:strike w:val="0"/>
                      <w:dstrike w:val="0"/>
                      <w:color w:val="auto"/>
                      <w:szCs w:val="21"/>
                      <w:highlight w:val="none"/>
                      <w:lang w:eastAsia="zh-CN"/>
                    </w:rPr>
                    <w:t>昼间：</w:t>
                  </w:r>
                  <w:r>
                    <w:rPr>
                      <w:rFonts w:hint="default" w:ascii="Times New Roman" w:hAnsi="Times New Roman" w:eastAsia="宋体" w:cs="Times New Roman"/>
                      <w:strike w:val="0"/>
                      <w:dstrike w:val="0"/>
                      <w:color w:val="auto"/>
                      <w:szCs w:val="21"/>
                      <w:highlight w:val="none"/>
                      <w:lang w:val="en-US" w:eastAsia="zh-CN"/>
                    </w:rPr>
                    <w:t>65</w:t>
                  </w:r>
                </w:p>
                <w:p w14:paraId="0C975E06">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strike w:val="0"/>
                      <w:dstrike w:val="0"/>
                      <w:color w:val="auto"/>
                      <w:szCs w:val="21"/>
                      <w:highlight w:val="none"/>
                      <w:lang w:val="en-US" w:eastAsia="zh-CN"/>
                    </w:rPr>
                    <w:t>夜间：55</w:t>
                  </w:r>
                </w:p>
              </w:tc>
              <w:tc>
                <w:tcPr>
                  <w:tcW w:w="652" w:type="pct"/>
                  <w:noWrap w:val="0"/>
                  <w:vAlign w:val="center"/>
                </w:tcPr>
                <w:p w14:paraId="0B3D6E59">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达标</w:t>
                  </w:r>
                </w:p>
              </w:tc>
            </w:tr>
            <w:tr w14:paraId="0247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noWrap w:val="0"/>
                  <w:vAlign w:val="center"/>
                </w:tcPr>
                <w:p w14:paraId="7C9A1A61">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南侧</w:t>
                  </w:r>
                </w:p>
              </w:tc>
              <w:tc>
                <w:tcPr>
                  <w:tcW w:w="600" w:type="pct"/>
                  <w:noWrap w:val="0"/>
                  <w:vAlign w:val="center"/>
                </w:tcPr>
                <w:p w14:paraId="3EE17BB3">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92.69</w:t>
                  </w:r>
                </w:p>
              </w:tc>
              <w:tc>
                <w:tcPr>
                  <w:tcW w:w="586" w:type="pct"/>
                  <w:noWrap w:val="0"/>
                  <w:vAlign w:val="center"/>
                </w:tcPr>
                <w:p w14:paraId="79A8639F">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-30.20</w:t>
                  </w:r>
                </w:p>
              </w:tc>
              <w:tc>
                <w:tcPr>
                  <w:tcW w:w="401" w:type="pct"/>
                  <w:noWrap w:val="0"/>
                  <w:vAlign w:val="center"/>
                </w:tcPr>
                <w:p w14:paraId="0B27AA44">
                  <w:pPr>
                    <w:keepNext w:val="0"/>
                    <w:keepLines w:val="0"/>
                    <w:pageBreakBefore w:val="0"/>
                    <w:kinsoku/>
                    <w:overflowPunct/>
                    <w:topLinePunct/>
                    <w:autoSpaceDE w:val="0"/>
                    <w:autoSpaceDN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1.2</w:t>
                  </w:r>
                </w:p>
              </w:tc>
              <w:tc>
                <w:tcPr>
                  <w:tcW w:w="648" w:type="pct"/>
                  <w:noWrap w:val="0"/>
                  <w:vAlign w:val="center"/>
                </w:tcPr>
                <w:p w14:paraId="10C1329D">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eastAsia" w:cs="Times New Roman"/>
                      <w:color w:val="auto"/>
                      <w:highlight w:val="none"/>
                      <w:lang w:val="en-US" w:eastAsia="zh-CN"/>
                    </w:rPr>
                    <w:t>54.49</w:t>
                  </w:r>
                </w:p>
              </w:tc>
              <w:tc>
                <w:tcPr>
                  <w:tcW w:w="747" w:type="pct"/>
                  <w:noWrap w:val="0"/>
                  <w:vAlign w:val="center"/>
                </w:tcPr>
                <w:p w14:paraId="764AE666">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eastAsia" w:cs="Times New Roman"/>
                      <w:color w:val="auto"/>
                      <w:highlight w:val="none"/>
                      <w:lang w:val="en-US" w:eastAsia="zh-CN"/>
                    </w:rPr>
                    <w:t>54.49</w:t>
                  </w:r>
                </w:p>
              </w:tc>
              <w:tc>
                <w:tcPr>
                  <w:tcW w:w="756" w:type="pct"/>
                  <w:vMerge w:val="continue"/>
                  <w:noWrap w:val="0"/>
                  <w:vAlign w:val="center"/>
                </w:tcPr>
                <w:p w14:paraId="0D6ACB84">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p>
              </w:tc>
              <w:tc>
                <w:tcPr>
                  <w:tcW w:w="652" w:type="pct"/>
                  <w:noWrap w:val="0"/>
                  <w:vAlign w:val="center"/>
                </w:tcPr>
                <w:p w14:paraId="264E688F">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达标</w:t>
                  </w:r>
                </w:p>
              </w:tc>
            </w:tr>
            <w:tr w14:paraId="1F18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noWrap w:val="0"/>
                  <w:vAlign w:val="center"/>
                </w:tcPr>
                <w:p w14:paraId="361A8154">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西侧</w:t>
                  </w:r>
                </w:p>
              </w:tc>
              <w:tc>
                <w:tcPr>
                  <w:tcW w:w="600" w:type="pct"/>
                  <w:noWrap w:val="0"/>
                  <w:vAlign w:val="center"/>
                </w:tcPr>
                <w:p w14:paraId="29AF4F12">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65.36</w:t>
                  </w:r>
                </w:p>
              </w:tc>
              <w:tc>
                <w:tcPr>
                  <w:tcW w:w="586" w:type="pct"/>
                  <w:noWrap w:val="0"/>
                  <w:vAlign w:val="center"/>
                </w:tcPr>
                <w:p w14:paraId="29C7D0FD">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188.13</w:t>
                  </w:r>
                </w:p>
              </w:tc>
              <w:tc>
                <w:tcPr>
                  <w:tcW w:w="401" w:type="pct"/>
                  <w:noWrap w:val="0"/>
                  <w:vAlign w:val="center"/>
                </w:tcPr>
                <w:p w14:paraId="4E919B38">
                  <w:pPr>
                    <w:keepNext w:val="0"/>
                    <w:keepLines w:val="0"/>
                    <w:pageBreakBefore w:val="0"/>
                    <w:kinsoku/>
                    <w:overflowPunct/>
                    <w:topLinePunct/>
                    <w:autoSpaceDE w:val="0"/>
                    <w:autoSpaceDN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1.2</w:t>
                  </w:r>
                </w:p>
              </w:tc>
              <w:tc>
                <w:tcPr>
                  <w:tcW w:w="648" w:type="pct"/>
                  <w:noWrap w:val="0"/>
                  <w:vAlign w:val="center"/>
                </w:tcPr>
                <w:p w14:paraId="5332DE44">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highlight w:val="none"/>
                    </w:rPr>
                    <w:t>53.</w:t>
                  </w:r>
                  <w:r>
                    <w:rPr>
                      <w:rFonts w:hint="eastAsia" w:cs="Times New Roman"/>
                      <w:color w:val="auto"/>
                      <w:highlight w:val="none"/>
                      <w:lang w:val="en-US" w:eastAsia="zh-CN"/>
                    </w:rPr>
                    <w:t>86</w:t>
                  </w:r>
                </w:p>
              </w:tc>
              <w:tc>
                <w:tcPr>
                  <w:tcW w:w="747" w:type="pct"/>
                  <w:noWrap w:val="0"/>
                  <w:vAlign w:val="center"/>
                </w:tcPr>
                <w:p w14:paraId="27A7E09C">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t>5</w:t>
                  </w:r>
                  <w:r>
                    <w:rPr>
                      <w:rFonts w:hint="eastAsia" w:cs="Times New Roman"/>
                      <w:bCs/>
                      <w:strike w:val="0"/>
                      <w:dstrike w:val="0"/>
                      <w:color w:val="auto"/>
                      <w:kern w:val="2"/>
                      <w:sz w:val="21"/>
                      <w:szCs w:val="21"/>
                      <w:highlight w:val="none"/>
                      <w:shd w:val="clear" w:color="auto" w:fill="auto"/>
                      <w:lang w:val="en-US" w:eastAsia="zh-CN" w:bidi="ar-SA"/>
                    </w:rPr>
                    <w:t>3.79</w:t>
                  </w:r>
                </w:p>
              </w:tc>
              <w:tc>
                <w:tcPr>
                  <w:tcW w:w="756" w:type="pct"/>
                  <w:vMerge w:val="continue"/>
                  <w:noWrap w:val="0"/>
                  <w:vAlign w:val="center"/>
                </w:tcPr>
                <w:p w14:paraId="425B8BCE">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p>
              </w:tc>
              <w:tc>
                <w:tcPr>
                  <w:tcW w:w="652" w:type="pct"/>
                  <w:noWrap w:val="0"/>
                  <w:vAlign w:val="center"/>
                </w:tcPr>
                <w:p w14:paraId="1A22FDA5">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达标</w:t>
                  </w:r>
                </w:p>
              </w:tc>
            </w:tr>
            <w:tr w14:paraId="44AB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noWrap w:val="0"/>
                  <w:vAlign w:val="center"/>
                </w:tcPr>
                <w:p w14:paraId="75BA21F4">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北侧</w:t>
                  </w:r>
                </w:p>
              </w:tc>
              <w:tc>
                <w:tcPr>
                  <w:tcW w:w="600" w:type="pct"/>
                  <w:noWrap w:val="0"/>
                  <w:vAlign w:val="center"/>
                </w:tcPr>
                <w:p w14:paraId="7463BAD3">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269.61</w:t>
                  </w:r>
                </w:p>
              </w:tc>
              <w:tc>
                <w:tcPr>
                  <w:tcW w:w="586" w:type="pct"/>
                  <w:noWrap w:val="0"/>
                  <w:vAlign w:val="center"/>
                </w:tcPr>
                <w:p w14:paraId="6EDE8D7E">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224.13</w:t>
                  </w:r>
                </w:p>
              </w:tc>
              <w:tc>
                <w:tcPr>
                  <w:tcW w:w="401" w:type="pct"/>
                  <w:noWrap w:val="0"/>
                  <w:vAlign w:val="center"/>
                </w:tcPr>
                <w:p w14:paraId="4F5A01DE">
                  <w:pPr>
                    <w:keepNext w:val="0"/>
                    <w:keepLines w:val="0"/>
                    <w:pageBreakBefore w:val="0"/>
                    <w:kinsoku/>
                    <w:overflowPunct/>
                    <w:topLinePunct/>
                    <w:autoSpaceDE w:val="0"/>
                    <w:autoSpaceDN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r>
                    <w:rPr>
                      <w:rFonts w:hint="default" w:ascii="Times New Roman" w:hAnsi="Times New Roman" w:eastAsia="宋体" w:cs="Times New Roman"/>
                      <w:color w:val="auto"/>
                      <w:highlight w:val="none"/>
                    </w:rPr>
                    <w:t>1.2</w:t>
                  </w:r>
                </w:p>
              </w:tc>
              <w:tc>
                <w:tcPr>
                  <w:tcW w:w="648" w:type="pct"/>
                  <w:noWrap w:val="0"/>
                  <w:vAlign w:val="center"/>
                </w:tcPr>
                <w:p w14:paraId="4E16EBBB">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eastAsia" w:cs="Times New Roman"/>
                      <w:bCs/>
                      <w:strike w:val="0"/>
                      <w:dstrike w:val="0"/>
                      <w:color w:val="auto"/>
                      <w:kern w:val="2"/>
                      <w:sz w:val="21"/>
                      <w:szCs w:val="21"/>
                      <w:highlight w:val="none"/>
                      <w:shd w:val="clear" w:color="auto" w:fill="auto"/>
                      <w:lang w:val="en-US" w:eastAsia="zh-CN" w:bidi="ar-SA"/>
                    </w:rPr>
                    <w:t>54.27</w:t>
                  </w:r>
                </w:p>
              </w:tc>
              <w:tc>
                <w:tcPr>
                  <w:tcW w:w="747" w:type="pct"/>
                  <w:noWrap w:val="0"/>
                  <w:vAlign w:val="center"/>
                </w:tcPr>
                <w:p w14:paraId="481BA69A">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highlight w:val="none"/>
                    </w:rPr>
                    <w:t>5</w:t>
                  </w:r>
                  <w:r>
                    <w:rPr>
                      <w:rFonts w:hint="eastAsia" w:cs="Times New Roman"/>
                      <w:color w:val="auto"/>
                      <w:highlight w:val="none"/>
                      <w:lang w:val="en-US" w:eastAsia="zh-CN"/>
                    </w:rPr>
                    <w:t>4.08</w:t>
                  </w:r>
                </w:p>
              </w:tc>
              <w:tc>
                <w:tcPr>
                  <w:tcW w:w="756" w:type="pct"/>
                  <w:vMerge w:val="continue"/>
                  <w:noWrap w:val="0"/>
                  <w:vAlign w:val="center"/>
                </w:tcPr>
                <w:p w14:paraId="0EBC83AE">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lang w:val="en-US" w:eastAsia="zh-CN"/>
                    </w:rPr>
                  </w:pPr>
                </w:p>
              </w:tc>
              <w:tc>
                <w:tcPr>
                  <w:tcW w:w="652" w:type="pct"/>
                  <w:noWrap w:val="0"/>
                  <w:vAlign w:val="center"/>
                </w:tcPr>
                <w:p w14:paraId="33F4D700">
                  <w:pPr>
                    <w:keepNext w:val="0"/>
                    <w:keepLines w:val="0"/>
                    <w:pageBreakBefore w:val="0"/>
                    <w:kinsoku/>
                    <w:overflowPunct/>
                    <w:topLinePunct/>
                    <w:autoSpaceDE w:val="0"/>
                    <w:bidi w:val="0"/>
                    <w:jc w:val="center"/>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达标</w:t>
                  </w:r>
                </w:p>
              </w:tc>
            </w:tr>
            <w:tr w14:paraId="7370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32E65FC2">
                  <w:pPr>
                    <w:pStyle w:val="26"/>
                    <w:keepNext w:val="0"/>
                    <w:keepLines w:val="0"/>
                    <w:pageBreakBefore w:val="0"/>
                    <w:widowControl/>
                    <w:suppressLineNumbers w:val="0"/>
                    <w:kinsoku/>
                    <w:overflowPunct/>
                    <w:topLinePunct/>
                    <w:autoSpaceDE w:val="0"/>
                    <w:bidi w:val="0"/>
                    <w:spacing w:before="0" w:beforeAutospacing="0" w:after="0" w:afterAutospacing="0"/>
                    <w:ind w:left="0" w:right="0" w:firstLine="0"/>
                    <w:rPr>
                      <w:rFonts w:hint="default" w:ascii="Times New Roman" w:hAnsi="Times New Roman" w:eastAsia="宋体" w:cs="Times New Roman"/>
                      <w:bCs/>
                      <w:strike w:val="0"/>
                      <w:dstrike w:val="0"/>
                      <w:color w:val="auto"/>
                      <w:sz w:val="21"/>
                      <w:szCs w:val="21"/>
                      <w:highlight w:val="none"/>
                      <w:shd w:val="clear" w:color="auto" w:fill="auto"/>
                    </w:rPr>
                  </w:pPr>
                  <w:r>
                    <w:rPr>
                      <w:rFonts w:hint="default" w:ascii="Times New Roman" w:hAnsi="Times New Roman" w:eastAsia="宋体" w:cs="Times New Roman"/>
                      <w:bCs/>
                      <w:strike w:val="0"/>
                      <w:dstrike w:val="0"/>
                      <w:color w:val="auto"/>
                      <w:sz w:val="21"/>
                      <w:szCs w:val="21"/>
                      <w:highlight w:val="none"/>
                      <w:shd w:val="clear" w:color="auto" w:fill="auto"/>
                    </w:rPr>
                    <w:t>注：表中坐标以</w:t>
                  </w:r>
                  <w:r>
                    <w:rPr>
                      <w:rFonts w:hint="default" w:ascii="Times New Roman" w:hAnsi="Times New Roman" w:eastAsia="宋体" w:cs="Times New Roman"/>
                      <w:strike w:val="0"/>
                      <w:dstrike w:val="0"/>
                      <w:color w:val="auto"/>
                      <w:sz w:val="21"/>
                      <w:szCs w:val="21"/>
                      <w:highlight w:val="none"/>
                      <w:shd w:val="clear" w:color="auto" w:fill="auto"/>
                    </w:rPr>
                    <w:t>102.207368403</w:t>
                  </w:r>
                  <w:r>
                    <w:rPr>
                      <w:rFonts w:hint="default" w:ascii="Times New Roman" w:hAnsi="Times New Roman" w:eastAsia="宋体" w:cs="Times New Roman"/>
                      <w:strike w:val="0"/>
                      <w:dstrike w:val="0"/>
                      <w:color w:val="auto"/>
                      <w:sz w:val="21"/>
                      <w:szCs w:val="21"/>
                      <w:highlight w:val="none"/>
                      <w:shd w:val="clear" w:color="auto" w:fill="auto"/>
                      <w:lang w:val="en-US" w:eastAsia="zh-CN"/>
                    </w:rPr>
                    <w:t>E</w:t>
                  </w:r>
                  <w:r>
                    <w:rPr>
                      <w:rFonts w:hint="default" w:ascii="Times New Roman" w:hAnsi="Times New Roman" w:eastAsia="宋体" w:cs="Times New Roman"/>
                      <w:strike w:val="0"/>
                      <w:dstrike w:val="0"/>
                      <w:color w:val="auto"/>
                      <w:sz w:val="21"/>
                      <w:szCs w:val="21"/>
                      <w:highlight w:val="none"/>
                      <w:shd w:val="clear" w:color="auto" w:fill="auto"/>
                      <w:lang w:eastAsia="zh-CN"/>
                    </w:rPr>
                    <w:t>，</w:t>
                  </w:r>
                  <w:r>
                    <w:rPr>
                      <w:rFonts w:hint="default" w:ascii="Times New Roman" w:hAnsi="Times New Roman" w:eastAsia="宋体" w:cs="Times New Roman"/>
                      <w:strike w:val="0"/>
                      <w:dstrike w:val="0"/>
                      <w:color w:val="auto"/>
                      <w:sz w:val="21"/>
                      <w:szCs w:val="21"/>
                      <w:highlight w:val="none"/>
                      <w:shd w:val="clear" w:color="auto" w:fill="auto"/>
                    </w:rPr>
                    <w:t>24.765730320</w:t>
                  </w:r>
                  <w:r>
                    <w:rPr>
                      <w:rFonts w:hint="default" w:ascii="Times New Roman" w:hAnsi="Times New Roman" w:eastAsia="宋体" w:cs="Times New Roman"/>
                      <w:strike w:val="0"/>
                      <w:dstrike w:val="0"/>
                      <w:color w:val="auto"/>
                      <w:sz w:val="21"/>
                      <w:szCs w:val="21"/>
                      <w:highlight w:val="none"/>
                      <w:shd w:val="clear" w:color="auto" w:fill="auto"/>
                      <w:lang w:val="en-US" w:eastAsia="zh-CN"/>
                    </w:rPr>
                    <w:t>N</w:t>
                  </w:r>
                  <w:r>
                    <w:rPr>
                      <w:rFonts w:hint="default" w:ascii="Times New Roman" w:hAnsi="Times New Roman" w:eastAsia="宋体" w:cs="Times New Roman"/>
                      <w:bCs/>
                      <w:strike w:val="0"/>
                      <w:dstrike w:val="0"/>
                      <w:color w:val="auto"/>
                      <w:sz w:val="21"/>
                      <w:szCs w:val="21"/>
                      <w:highlight w:val="none"/>
                      <w:shd w:val="clear" w:color="auto" w:fill="auto"/>
                    </w:rPr>
                    <w:t>为坐标原点，正东向为X轴正方向，正北向为Y轴正方向。</w:t>
                  </w:r>
                </w:p>
              </w:tc>
            </w:tr>
          </w:tbl>
          <w:p w14:paraId="4FC359B4">
            <w:pPr>
              <w:keepNext w:val="0"/>
              <w:keepLines w:val="0"/>
              <w:pageBreakBefore w:val="0"/>
              <w:widowControl w:val="0"/>
              <w:kinsoku/>
              <w:wordWrap/>
              <w:overflowPunct/>
              <w:topLinePunct/>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根据预测结果可知，项目建成后</w:t>
            </w:r>
            <w:r>
              <w:rPr>
                <w:rFonts w:hint="default" w:ascii="Times New Roman" w:hAnsi="Times New Roman" w:eastAsia="宋体" w:cs="Times New Roman"/>
                <w:bCs/>
                <w:strike w:val="0"/>
                <w:dstrike w:val="0"/>
                <w:color w:val="auto"/>
                <w:spacing w:val="-10"/>
                <w:sz w:val="24"/>
                <w:szCs w:val="24"/>
                <w:highlight w:val="none"/>
                <w:shd w:val="clear" w:color="auto" w:fill="auto"/>
                <w:lang w:val="en-US" w:eastAsia="zh-CN"/>
              </w:rPr>
              <w:t>正常运行过程中厂界噪声能够达到《工业企业厂界环境噪声排放标准》（GB12348-2008）3类标准</w:t>
            </w:r>
            <w:r>
              <w:rPr>
                <w:rFonts w:hint="default" w:ascii="Times New Roman" w:hAnsi="Times New Roman" w:eastAsia="宋体" w:cs="Times New Roman"/>
                <w:color w:val="auto"/>
                <w:sz w:val="24"/>
                <w:highlight w:val="none"/>
                <w:lang w:val="en-US" w:eastAsia="zh-CN"/>
              </w:rPr>
              <w:t>，</w:t>
            </w:r>
            <w:r>
              <w:rPr>
                <w:rStyle w:val="61"/>
                <w:rFonts w:hint="default" w:ascii="Times New Roman" w:hAnsi="Times New Roman" w:eastAsia="宋体" w:cs="Times New Roman"/>
                <w:color w:val="auto"/>
                <w:highlight w:val="none"/>
              </w:rPr>
              <w:t>项目区厂界噪声可做到达标排放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项目厂界外50m范围内</w:t>
            </w:r>
            <w:r>
              <w:rPr>
                <w:rFonts w:hint="default" w:ascii="Times New Roman" w:hAnsi="Times New Roman" w:eastAsia="宋体" w:cs="Times New Roman"/>
                <w:color w:val="auto"/>
                <w:sz w:val="24"/>
                <w:highlight w:val="none"/>
                <w:lang w:eastAsia="zh-CN"/>
              </w:rPr>
              <w:t>无环境保护目标，故项目对周围环境影响较小。</w:t>
            </w:r>
          </w:p>
          <w:p w14:paraId="39F583F1">
            <w:pPr>
              <w:pStyle w:val="2"/>
              <w:jc w:val="center"/>
              <w:rPr>
                <w:rFonts w:hint="default" w:ascii="Times New Roman" w:hAnsi="Times New Roman" w:eastAsia="宋体" w:cs="Times New Roman"/>
                <w:b/>
                <w:bCs/>
                <w:color w:val="auto"/>
                <w:sz w:val="24"/>
                <w:szCs w:val="24"/>
                <w:lang w:val="en-US" w:eastAsia="zh-CN"/>
              </w:rPr>
            </w:pPr>
            <w:r>
              <w:rPr>
                <w:color w:val="auto"/>
              </w:rPr>
              <w:drawing>
                <wp:inline distT="0" distB="0" distL="114300" distR="114300">
                  <wp:extent cx="4882515" cy="3636010"/>
                  <wp:effectExtent l="0" t="0" r="13335" b="254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34"/>
                          <a:stretch>
                            <a:fillRect/>
                          </a:stretch>
                        </pic:blipFill>
                        <pic:spPr>
                          <a:xfrm>
                            <a:off x="0" y="0"/>
                            <a:ext cx="4882515" cy="3636010"/>
                          </a:xfrm>
                          <a:prstGeom prst="rect">
                            <a:avLst/>
                          </a:prstGeom>
                          <a:noFill/>
                          <a:ln>
                            <a:noFill/>
                          </a:ln>
                        </pic:spPr>
                      </pic:pic>
                    </a:graphicData>
                  </a:graphic>
                </wp:inline>
              </w:drawing>
            </w:r>
          </w:p>
          <w:p w14:paraId="16E72B7B">
            <w:pPr>
              <w:pStyle w:val="2"/>
              <w:jc w:val="center"/>
              <w:rPr>
                <w:rFonts w:hint="default"/>
                <w:color w:val="auto"/>
                <w:lang w:eastAsia="zh-CN"/>
              </w:rPr>
            </w:pPr>
            <w:r>
              <w:rPr>
                <w:rFonts w:hint="default" w:ascii="Times New Roman" w:hAnsi="Times New Roman" w:eastAsia="宋体" w:cs="Times New Roman"/>
                <w:b/>
                <w:bCs/>
                <w:color w:val="auto"/>
                <w:sz w:val="24"/>
                <w:szCs w:val="24"/>
                <w:highlight w:val="none"/>
                <w:lang w:val="en-US" w:eastAsia="zh-CN"/>
              </w:rPr>
              <w:t>图4-</w:t>
            </w: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kern w:val="0"/>
                <w:sz w:val="24"/>
                <w:szCs w:val="24"/>
                <w:lang w:val="en-US" w:eastAsia="zh-CN" w:bidi="ar"/>
              </w:rPr>
              <w:t>项目噪声</w:t>
            </w:r>
            <w:r>
              <w:rPr>
                <w:rFonts w:hint="eastAsia" w:ascii="Times New Roman" w:hAnsi="Times New Roman" w:eastAsia="宋体" w:cs="Times New Roman"/>
                <w:b/>
                <w:bCs/>
                <w:color w:val="auto"/>
                <w:kern w:val="0"/>
                <w:sz w:val="24"/>
                <w:szCs w:val="24"/>
                <w:lang w:val="en-US" w:eastAsia="zh-CN" w:bidi="ar"/>
              </w:rPr>
              <w:t>等声级线</w:t>
            </w:r>
            <w:r>
              <w:rPr>
                <w:rFonts w:hint="default" w:ascii="Times New Roman" w:hAnsi="Times New Roman" w:eastAsia="宋体" w:cs="Times New Roman"/>
                <w:b/>
                <w:bCs/>
                <w:color w:val="auto"/>
                <w:kern w:val="0"/>
                <w:sz w:val="24"/>
                <w:szCs w:val="24"/>
                <w:lang w:val="en-US" w:eastAsia="zh-CN" w:bidi="ar"/>
              </w:rPr>
              <w:t>图</w:t>
            </w:r>
          </w:p>
          <w:p w14:paraId="66A24593">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bCs/>
                <w:color w:val="auto"/>
                <w:sz w:val="24"/>
                <w:szCs w:val="24"/>
                <w:highlight w:val="none"/>
                <w:lang w:val="en-US" w:eastAsia="zh-CN"/>
              </w:rPr>
              <w:t>声环境保护措施</w:t>
            </w:r>
          </w:p>
          <w:p w14:paraId="550E3FB3">
            <w:pPr>
              <w:keepNext w:val="0"/>
              <w:keepLines w:val="0"/>
              <w:pageBreakBefore w:val="0"/>
              <w:kinsoku/>
              <w:overflowPunct/>
              <w:topLinePunct/>
              <w:autoSpaceDE w:val="0"/>
              <w:bidi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为减小运营期噪声对环境的影响，本项目采取以下噪声污染防治措施：</w:t>
            </w:r>
          </w:p>
          <w:p w14:paraId="74B9EC39">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①优先选用精度高、噪声低的设备；</w:t>
            </w:r>
          </w:p>
          <w:p w14:paraId="42CB885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②高噪声设备的门窗处设置消声装置（如密封门窗等），室内设置吸声吊顶，通过噪声传播过程控制来减轻噪声影响；</w:t>
            </w:r>
          </w:p>
          <w:p w14:paraId="624FAD9C">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③对主要产噪设备采取安装减振底座等基础减振措施；</w:t>
            </w:r>
          </w:p>
          <w:p w14:paraId="1D9CA82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④加强设备日常检修和维修，确保设备处于良好的运转状态，杜绝因设备不正常运转时产生的高噪声现象；</w:t>
            </w:r>
          </w:p>
          <w:p w14:paraId="44A3038B">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⑤合理布局，重视总平面布置，让噪声源尽量远离环境敏感点；</w:t>
            </w:r>
          </w:p>
          <w:p w14:paraId="0C637117">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bCs w:val="0"/>
                <w:strike w:val="0"/>
                <w:dstrike w:val="0"/>
                <w:color w:val="auto"/>
                <w:spacing w:val="-10"/>
                <w:sz w:val="24"/>
                <w:szCs w:val="24"/>
                <w:highlight w:val="none"/>
                <w:lang w:val="en-US" w:eastAsia="zh-CN"/>
              </w:rPr>
            </w:pPr>
            <w:r>
              <w:rPr>
                <w:rFonts w:hint="default" w:ascii="Times New Roman" w:hAnsi="Times New Roman" w:eastAsia="宋体" w:cs="Times New Roman"/>
                <w:strike w:val="0"/>
                <w:dstrike w:val="0"/>
                <w:color w:val="auto"/>
                <w:sz w:val="24"/>
                <w:highlight w:val="none"/>
                <w:lang w:val="en-US" w:eastAsia="zh-CN"/>
              </w:rPr>
              <w:t>⑥按照《排污许可证申请与核发技术规范 总则》（HJ942-2018）中的相关要求开展自行监测，一旦出现厂界噪声超标，应及时进行整改，避免厂界噪声超标排放。</w:t>
            </w:r>
          </w:p>
          <w:p w14:paraId="04103790">
            <w:pPr>
              <w:keepNext w:val="0"/>
              <w:keepLines w:val="0"/>
              <w:pageBreakBefore w:val="0"/>
              <w:widowControl w:val="0"/>
              <w:numPr>
                <w:ilvl w:val="0"/>
                <w:numId w:val="0"/>
              </w:numPr>
              <w:kinsoku/>
              <w:wordWrap/>
              <w:overflowPunct/>
              <w:topLinePunct/>
              <w:autoSpaceDE w:val="0"/>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bCs/>
                <w:color w:val="auto"/>
                <w:sz w:val="24"/>
                <w:szCs w:val="24"/>
                <w:highlight w:val="none"/>
                <w:lang w:val="en-US" w:eastAsia="zh-CN"/>
              </w:rPr>
              <w:t>噪声监测计划</w:t>
            </w:r>
          </w:p>
          <w:p w14:paraId="1988B918">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strike w:val="0"/>
                <w:dstrike w:val="0"/>
                <w:color w:val="auto"/>
                <w:sz w:val="24"/>
                <w:highlight w:val="none"/>
              </w:rPr>
            </w:pP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1</w:t>
            </w: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rPr>
              <w:t>竣工验收监测要求</w:t>
            </w:r>
          </w:p>
          <w:p w14:paraId="2BBC595A">
            <w:pPr>
              <w:keepNext w:val="0"/>
              <w:keepLines w:val="0"/>
              <w:pageBreakBefore w:val="0"/>
              <w:widowControl w:val="0"/>
              <w:kinsoku/>
              <w:wordWrap/>
              <w:overflowPunct/>
              <w:topLinePunct/>
              <w:autoSpaceDE w:val="0"/>
              <w:bidi w:val="0"/>
              <w:adjustRightInd w:val="0"/>
              <w:snapToGrid w:val="0"/>
              <w:spacing w:line="360" w:lineRule="auto"/>
              <w:ind w:firstLine="480" w:firstLineChars="200"/>
              <w:textAlignment w:val="auto"/>
              <w:rPr>
                <w:rFonts w:hint="default" w:ascii="Times New Roman" w:hAnsi="Times New Roman" w:eastAsia="宋体" w:cs="Times New Roman"/>
                <w:bCs/>
                <w:strike w:val="0"/>
                <w:dstrike w:val="0"/>
                <w:color w:val="auto"/>
                <w:sz w:val="24"/>
                <w:highlight w:val="none"/>
              </w:rPr>
            </w:pPr>
            <w:r>
              <w:rPr>
                <w:rFonts w:hint="default" w:ascii="Times New Roman" w:hAnsi="Times New Roman" w:eastAsia="宋体" w:cs="Times New Roman"/>
                <w:strike w:val="0"/>
                <w:dstrike w:val="0"/>
                <w:color w:val="auto"/>
                <w:sz w:val="24"/>
                <w:highlight w:val="none"/>
              </w:rPr>
              <w:t>项目环境保护竣工验收监测计划如下：</w:t>
            </w:r>
          </w:p>
          <w:p w14:paraId="4B61ADF1">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contextualSpacing/>
              <w:jc w:val="center"/>
              <w:textAlignment w:val="auto"/>
              <w:rPr>
                <w:rFonts w:hint="default" w:ascii="Times New Roman" w:hAnsi="Times New Roman" w:eastAsia="宋体" w:cs="Times New Roman"/>
                <w:b/>
                <w:bCs/>
                <w:strike w:val="0"/>
                <w:dstrike w:val="0"/>
                <w:color w:val="auto"/>
                <w:sz w:val="24"/>
                <w:szCs w:val="24"/>
                <w:highlight w:val="none"/>
              </w:rPr>
            </w:pPr>
            <w:r>
              <w:rPr>
                <w:rFonts w:hint="default" w:ascii="Times New Roman" w:hAnsi="Times New Roman" w:eastAsia="宋体" w:cs="Times New Roman"/>
                <w:b/>
                <w:bCs/>
                <w:strike w:val="0"/>
                <w:dstrike w:val="0"/>
                <w:color w:val="auto"/>
                <w:sz w:val="21"/>
                <w:szCs w:val="21"/>
                <w:highlight w:val="none"/>
              </w:rPr>
              <w:t>表4-</w:t>
            </w:r>
            <w:r>
              <w:rPr>
                <w:rFonts w:hint="default" w:ascii="Times New Roman" w:hAnsi="Times New Roman" w:eastAsia="宋体" w:cs="Times New Roman"/>
                <w:b/>
                <w:bCs/>
                <w:strike w:val="0"/>
                <w:dstrike w:val="0"/>
                <w:color w:val="auto"/>
                <w:sz w:val="21"/>
                <w:szCs w:val="21"/>
                <w:highlight w:val="none"/>
                <w:lang w:val="en-US" w:eastAsia="zh-CN"/>
              </w:rPr>
              <w:t>1</w:t>
            </w:r>
            <w:r>
              <w:rPr>
                <w:rFonts w:hint="eastAsia" w:cs="Times New Roman"/>
                <w:b/>
                <w:bCs/>
                <w:strike w:val="0"/>
                <w:dstrike w:val="0"/>
                <w:color w:val="auto"/>
                <w:sz w:val="21"/>
                <w:szCs w:val="21"/>
                <w:highlight w:val="none"/>
                <w:lang w:val="en-US" w:eastAsia="zh-CN"/>
              </w:rPr>
              <w:t xml:space="preserve">9 </w:t>
            </w:r>
            <w:r>
              <w:rPr>
                <w:rFonts w:hint="default" w:ascii="Times New Roman" w:hAnsi="Times New Roman" w:eastAsia="宋体" w:cs="Times New Roman"/>
                <w:b/>
                <w:bCs/>
                <w:strike w:val="0"/>
                <w:dstrike w:val="0"/>
                <w:color w:val="auto"/>
                <w:sz w:val="21"/>
                <w:szCs w:val="21"/>
                <w:highlight w:val="none"/>
                <w:lang w:val="en-US" w:eastAsia="zh-CN"/>
              </w:rPr>
              <w:t xml:space="preserve"> </w:t>
            </w:r>
            <w:r>
              <w:rPr>
                <w:rFonts w:hint="default" w:ascii="Times New Roman" w:hAnsi="Times New Roman" w:eastAsia="宋体" w:cs="Times New Roman"/>
                <w:b/>
                <w:bCs/>
                <w:strike w:val="0"/>
                <w:dstrike w:val="0"/>
                <w:color w:val="auto"/>
                <w:sz w:val="21"/>
                <w:szCs w:val="21"/>
                <w:highlight w:val="none"/>
              </w:rPr>
              <w:t>噪声监测要求一览表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1756"/>
              <w:gridCol w:w="2993"/>
            </w:tblGrid>
            <w:tr w14:paraId="5DBA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2007" w:type="pct"/>
                  <w:noWrap/>
                  <w:vAlign w:val="center"/>
                </w:tcPr>
                <w:p w14:paraId="11010E42">
                  <w:pPr>
                    <w:keepNext w:val="0"/>
                    <w:keepLines w:val="0"/>
                    <w:pageBreakBefore w:val="0"/>
                    <w:widowControl/>
                    <w:kinsoku/>
                    <w:overflowPunct/>
                    <w:topLinePunct/>
                    <w:autoSpaceDE w:val="0"/>
                    <w:bidi w:val="0"/>
                    <w:jc w:val="center"/>
                    <w:rPr>
                      <w:rFonts w:hint="default" w:ascii="Times New Roman" w:hAnsi="Times New Roman" w:eastAsia="宋体" w:cs="Times New Roman"/>
                      <w:b/>
                      <w:strike w:val="0"/>
                      <w:dstrike w:val="0"/>
                      <w:color w:val="auto"/>
                      <w:kern w:val="0"/>
                      <w:szCs w:val="21"/>
                      <w:highlight w:val="none"/>
                    </w:rPr>
                  </w:pPr>
                  <w:r>
                    <w:rPr>
                      <w:rFonts w:hint="default" w:ascii="Times New Roman" w:hAnsi="Times New Roman" w:eastAsia="宋体" w:cs="Times New Roman"/>
                      <w:b/>
                      <w:strike w:val="0"/>
                      <w:dstrike w:val="0"/>
                      <w:color w:val="auto"/>
                      <w:kern w:val="0"/>
                      <w:szCs w:val="21"/>
                      <w:highlight w:val="none"/>
                    </w:rPr>
                    <w:t>监测点位</w:t>
                  </w:r>
                </w:p>
              </w:tc>
              <w:tc>
                <w:tcPr>
                  <w:tcW w:w="1106" w:type="pct"/>
                  <w:noWrap/>
                  <w:vAlign w:val="center"/>
                </w:tcPr>
                <w:p w14:paraId="6DFE1E3D">
                  <w:pPr>
                    <w:keepNext w:val="0"/>
                    <w:keepLines w:val="0"/>
                    <w:pageBreakBefore w:val="0"/>
                    <w:widowControl/>
                    <w:kinsoku/>
                    <w:overflowPunct/>
                    <w:topLinePunct/>
                    <w:autoSpaceDE w:val="0"/>
                    <w:bidi w:val="0"/>
                    <w:jc w:val="center"/>
                    <w:rPr>
                      <w:rFonts w:hint="default" w:ascii="Times New Roman" w:hAnsi="Times New Roman" w:eastAsia="宋体" w:cs="Times New Roman"/>
                      <w:b/>
                      <w:strike w:val="0"/>
                      <w:dstrike w:val="0"/>
                      <w:color w:val="auto"/>
                      <w:kern w:val="0"/>
                      <w:szCs w:val="21"/>
                      <w:highlight w:val="none"/>
                    </w:rPr>
                  </w:pPr>
                  <w:r>
                    <w:rPr>
                      <w:rFonts w:hint="default" w:ascii="Times New Roman" w:hAnsi="Times New Roman" w:eastAsia="宋体" w:cs="Times New Roman"/>
                      <w:b/>
                      <w:strike w:val="0"/>
                      <w:dstrike w:val="0"/>
                      <w:color w:val="auto"/>
                      <w:kern w:val="0"/>
                      <w:szCs w:val="21"/>
                      <w:highlight w:val="none"/>
                    </w:rPr>
                    <w:t>监测因子</w:t>
                  </w:r>
                </w:p>
              </w:tc>
              <w:tc>
                <w:tcPr>
                  <w:tcW w:w="1885" w:type="pct"/>
                  <w:noWrap/>
                  <w:vAlign w:val="center"/>
                </w:tcPr>
                <w:p w14:paraId="2D6CE5D6">
                  <w:pPr>
                    <w:keepNext w:val="0"/>
                    <w:keepLines w:val="0"/>
                    <w:pageBreakBefore w:val="0"/>
                    <w:widowControl/>
                    <w:kinsoku/>
                    <w:overflowPunct/>
                    <w:topLinePunct/>
                    <w:autoSpaceDE w:val="0"/>
                    <w:bidi w:val="0"/>
                    <w:jc w:val="center"/>
                    <w:rPr>
                      <w:rFonts w:hint="default" w:ascii="Times New Roman" w:hAnsi="Times New Roman" w:eastAsia="宋体" w:cs="Times New Roman"/>
                      <w:b/>
                      <w:strike w:val="0"/>
                      <w:dstrike w:val="0"/>
                      <w:color w:val="auto"/>
                      <w:kern w:val="0"/>
                      <w:szCs w:val="21"/>
                      <w:highlight w:val="none"/>
                    </w:rPr>
                  </w:pPr>
                  <w:r>
                    <w:rPr>
                      <w:rFonts w:hint="default" w:ascii="Times New Roman" w:hAnsi="Times New Roman" w:eastAsia="宋体" w:cs="Times New Roman"/>
                      <w:b/>
                      <w:strike w:val="0"/>
                      <w:dstrike w:val="0"/>
                      <w:color w:val="auto"/>
                      <w:kern w:val="0"/>
                      <w:szCs w:val="21"/>
                      <w:highlight w:val="none"/>
                    </w:rPr>
                    <w:t>监测频次</w:t>
                  </w:r>
                </w:p>
              </w:tc>
            </w:tr>
            <w:tr w14:paraId="7A18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007" w:type="pct"/>
                  <w:noWrap/>
                  <w:vAlign w:val="center"/>
                </w:tcPr>
                <w:p w14:paraId="631DAB05">
                  <w:pPr>
                    <w:keepNext w:val="0"/>
                    <w:keepLines w:val="0"/>
                    <w:pageBreakBefore w:val="0"/>
                    <w:widowControl/>
                    <w:kinsoku/>
                    <w:overflowPunct/>
                    <w:topLinePunct/>
                    <w:autoSpaceDE w:val="0"/>
                    <w:bidi w:val="0"/>
                    <w:jc w:val="center"/>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kern w:val="0"/>
                      <w:highlight w:val="none"/>
                    </w:rPr>
                    <w:t>东、南、西、北</w:t>
                  </w:r>
                  <w:r>
                    <w:rPr>
                      <w:rFonts w:hint="default" w:ascii="Times New Roman" w:hAnsi="Times New Roman" w:eastAsia="宋体" w:cs="Times New Roman"/>
                      <w:strike w:val="0"/>
                      <w:dstrike w:val="0"/>
                      <w:color w:val="auto"/>
                      <w:kern w:val="0"/>
                      <w:highlight w:val="none"/>
                      <w:lang w:val="en-US" w:eastAsia="zh-CN"/>
                    </w:rPr>
                    <w:t>侧</w:t>
                  </w:r>
                  <w:r>
                    <w:rPr>
                      <w:rFonts w:hint="default" w:ascii="Times New Roman" w:hAnsi="Times New Roman" w:eastAsia="宋体" w:cs="Times New Roman"/>
                      <w:strike w:val="0"/>
                      <w:dstrike w:val="0"/>
                      <w:color w:val="auto"/>
                      <w:kern w:val="0"/>
                      <w:highlight w:val="none"/>
                    </w:rPr>
                    <w:t>厂界外1</w:t>
                  </w:r>
                  <w:r>
                    <w:rPr>
                      <w:rFonts w:hint="default" w:ascii="Times New Roman" w:hAnsi="Times New Roman" w:eastAsia="宋体" w:cs="Times New Roman"/>
                      <w:strike w:val="0"/>
                      <w:dstrike w:val="0"/>
                      <w:color w:val="auto"/>
                      <w:kern w:val="0"/>
                      <w:highlight w:val="none"/>
                      <w:lang w:val="en-US" w:eastAsia="zh-CN"/>
                    </w:rPr>
                    <w:t>m</w:t>
                  </w:r>
                  <w:r>
                    <w:rPr>
                      <w:rFonts w:hint="default" w:ascii="Times New Roman" w:hAnsi="Times New Roman" w:eastAsia="宋体" w:cs="Times New Roman"/>
                      <w:strike w:val="0"/>
                      <w:dstrike w:val="0"/>
                      <w:color w:val="auto"/>
                      <w:kern w:val="0"/>
                      <w:highlight w:val="none"/>
                    </w:rPr>
                    <w:t>处</w:t>
                  </w:r>
                </w:p>
              </w:tc>
              <w:tc>
                <w:tcPr>
                  <w:tcW w:w="1106" w:type="pct"/>
                  <w:noWrap/>
                  <w:vAlign w:val="center"/>
                </w:tcPr>
                <w:p w14:paraId="360F3D3C">
                  <w:pPr>
                    <w:keepNext w:val="0"/>
                    <w:keepLines w:val="0"/>
                    <w:pageBreakBefore w:val="0"/>
                    <w:widowControl/>
                    <w:kinsoku/>
                    <w:overflowPunct/>
                    <w:topLinePunct/>
                    <w:autoSpaceDE w:val="0"/>
                    <w:bidi w:val="0"/>
                    <w:jc w:val="center"/>
                    <w:rPr>
                      <w:rFonts w:hint="default" w:ascii="Times New Roman" w:hAnsi="Times New Roman" w:eastAsia="宋体" w:cs="Times New Roman"/>
                      <w:strike w:val="0"/>
                      <w:dstrike w:val="0"/>
                      <w:color w:val="auto"/>
                      <w:kern w:val="0"/>
                      <w:szCs w:val="21"/>
                      <w:highlight w:val="none"/>
                    </w:rPr>
                  </w:pPr>
                  <w:r>
                    <w:rPr>
                      <w:rFonts w:hint="default" w:ascii="Times New Roman" w:hAnsi="Times New Roman" w:eastAsia="宋体" w:cs="Times New Roman"/>
                      <w:strike w:val="0"/>
                      <w:dstrike w:val="0"/>
                      <w:color w:val="auto"/>
                      <w:szCs w:val="21"/>
                      <w:highlight w:val="none"/>
                    </w:rPr>
                    <w:t>等效连续A声级</w:t>
                  </w:r>
                </w:p>
              </w:tc>
              <w:tc>
                <w:tcPr>
                  <w:tcW w:w="1885" w:type="pct"/>
                  <w:noWrap/>
                  <w:vAlign w:val="center"/>
                </w:tcPr>
                <w:p w14:paraId="0C0D8EB0">
                  <w:pPr>
                    <w:keepNext w:val="0"/>
                    <w:keepLines w:val="0"/>
                    <w:pageBreakBefore w:val="0"/>
                    <w:widowControl/>
                    <w:kinsoku/>
                    <w:overflowPunct/>
                    <w:topLinePunct/>
                    <w:autoSpaceDE w:val="0"/>
                    <w:bidi w:val="0"/>
                    <w:jc w:val="center"/>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szCs w:val="21"/>
                      <w:highlight w:val="none"/>
                    </w:rPr>
                    <w:t>监测2天，每天昼夜各一次</w:t>
                  </w:r>
                </w:p>
              </w:tc>
            </w:tr>
          </w:tbl>
          <w:p w14:paraId="438E91D0">
            <w:pPr>
              <w:keepNext w:val="0"/>
              <w:keepLines w:val="0"/>
              <w:pageBreakBefore w:val="0"/>
              <w:widowControl w:val="0"/>
              <w:kinsoku/>
              <w:wordWrap/>
              <w:overflowPunct/>
              <w:topLinePunct/>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strike w:val="0"/>
                <w:dstrike w:val="0"/>
                <w:color w:val="auto"/>
                <w:sz w:val="24"/>
                <w:highlight w:val="none"/>
                <w:lang w:eastAsia="zh-CN"/>
              </w:rPr>
            </w:pP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2</w:t>
            </w:r>
            <w:r>
              <w:rPr>
                <w:rFonts w:hint="default" w:ascii="Times New Roman" w:hAnsi="Times New Roman" w:eastAsia="宋体" w:cs="Times New Roman"/>
                <w:strike w:val="0"/>
                <w:dstrike w:val="0"/>
                <w:color w:val="auto"/>
                <w:sz w:val="24"/>
                <w:highlight w:val="none"/>
                <w:lang w:eastAsia="zh-CN"/>
              </w:rPr>
              <w:t>）自行监测计划</w:t>
            </w:r>
          </w:p>
          <w:p w14:paraId="24AC6F57">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40" w:firstLineChars="200"/>
              <w:textAlignment w:val="auto"/>
              <w:rPr>
                <w:rFonts w:hint="default" w:ascii="Times New Roman" w:hAnsi="Times New Roman" w:eastAsia="宋体" w:cs="Times New Roman"/>
                <w:bCs/>
                <w:strike w:val="0"/>
                <w:dstrike w:val="0"/>
                <w:color w:val="auto"/>
                <w:spacing w:val="-10"/>
                <w:sz w:val="24"/>
                <w:szCs w:val="24"/>
                <w:highlight w:val="none"/>
                <w:lang w:eastAsia="zh-CN"/>
              </w:rPr>
            </w:pPr>
            <w:r>
              <w:rPr>
                <w:rFonts w:hint="default" w:ascii="Times New Roman" w:hAnsi="Times New Roman" w:eastAsia="宋体" w:cs="Times New Roman"/>
                <w:bCs/>
                <w:strike w:val="0"/>
                <w:dstrike w:val="0"/>
                <w:color w:val="auto"/>
                <w:spacing w:val="-10"/>
                <w:sz w:val="24"/>
                <w:szCs w:val="24"/>
                <w:highlight w:val="none"/>
                <w:lang w:eastAsia="zh-CN"/>
              </w:rPr>
              <w:t>依据《排污单位自行监测技术指南 总则》（HJ819-2017）、《排污许可证申请与核发技术规范 总则》（HJ942-2018），项目运营期噪声监测计划如下表：</w:t>
            </w:r>
          </w:p>
          <w:p w14:paraId="10F2875D">
            <w:pPr>
              <w:keepNext w:val="0"/>
              <w:keepLines w:val="0"/>
              <w:pageBreakBefore w:val="0"/>
              <w:widowControl w:val="0"/>
              <w:kinsoku/>
              <w:wordWrap/>
              <w:overflowPunct/>
              <w:topLinePunct/>
              <w:autoSpaceDE w:val="0"/>
              <w:autoSpaceDN/>
              <w:bidi w:val="0"/>
              <w:adjustRightInd/>
              <w:snapToGrid/>
              <w:spacing w:line="240" w:lineRule="auto"/>
              <w:ind w:left="0" w:leftChars="0" w:right="0" w:firstLine="0" w:firstLineChars="0"/>
              <w:contextualSpacing/>
              <w:jc w:val="center"/>
              <w:textAlignment w:val="auto"/>
              <w:rPr>
                <w:rFonts w:hint="default" w:ascii="Times New Roman" w:hAnsi="Times New Roman" w:eastAsia="宋体" w:cs="Times New Roman"/>
                <w:b/>
                <w:bCs/>
                <w:strike w:val="0"/>
                <w:dstrike w:val="0"/>
                <w:color w:val="auto"/>
                <w:sz w:val="21"/>
                <w:szCs w:val="21"/>
                <w:highlight w:val="none"/>
                <w:lang w:eastAsia="zh-CN"/>
              </w:rPr>
            </w:pPr>
            <w:r>
              <w:rPr>
                <w:rFonts w:hint="default" w:ascii="Times New Roman" w:hAnsi="Times New Roman" w:eastAsia="宋体" w:cs="Times New Roman"/>
                <w:b/>
                <w:bCs/>
                <w:strike w:val="0"/>
                <w:dstrike w:val="0"/>
                <w:color w:val="auto"/>
                <w:sz w:val="21"/>
                <w:szCs w:val="21"/>
                <w:highlight w:val="none"/>
              </w:rPr>
              <w:t>表</w:t>
            </w:r>
            <w:r>
              <w:rPr>
                <w:rFonts w:hint="default" w:ascii="Times New Roman" w:hAnsi="Times New Roman" w:eastAsia="宋体" w:cs="Times New Roman"/>
                <w:b/>
                <w:bCs/>
                <w:strike w:val="0"/>
                <w:dstrike w:val="0"/>
                <w:color w:val="auto"/>
                <w:sz w:val="21"/>
                <w:szCs w:val="21"/>
                <w:highlight w:val="none"/>
                <w:lang w:val="en-US" w:eastAsia="zh-CN"/>
              </w:rPr>
              <w:t>4</w:t>
            </w:r>
            <w:r>
              <w:rPr>
                <w:rFonts w:hint="default" w:ascii="Times New Roman" w:hAnsi="Times New Roman" w:eastAsia="宋体" w:cs="Times New Roman"/>
                <w:b/>
                <w:bCs/>
                <w:strike w:val="0"/>
                <w:dstrike w:val="0"/>
                <w:color w:val="auto"/>
                <w:sz w:val="21"/>
                <w:szCs w:val="21"/>
                <w:highlight w:val="none"/>
              </w:rPr>
              <w:t>-</w:t>
            </w:r>
            <w:r>
              <w:rPr>
                <w:rFonts w:hint="eastAsia" w:cs="Times New Roman"/>
                <w:b/>
                <w:bCs/>
                <w:strike w:val="0"/>
                <w:dstrike w:val="0"/>
                <w:color w:val="auto"/>
                <w:sz w:val="21"/>
                <w:szCs w:val="21"/>
                <w:highlight w:val="none"/>
                <w:lang w:val="en-US" w:eastAsia="zh-CN"/>
              </w:rPr>
              <w:t>20</w:t>
            </w:r>
            <w:r>
              <w:rPr>
                <w:rFonts w:hint="default" w:ascii="Times New Roman" w:hAnsi="Times New Roman" w:eastAsia="宋体" w:cs="Times New Roman"/>
                <w:b/>
                <w:bCs/>
                <w:strike w:val="0"/>
                <w:dstrike w:val="0"/>
                <w:color w:val="auto"/>
                <w:sz w:val="21"/>
                <w:szCs w:val="21"/>
                <w:highlight w:val="none"/>
                <w:lang w:val="en-US" w:eastAsia="zh-CN"/>
              </w:rPr>
              <w:t xml:space="preserve">  </w:t>
            </w:r>
            <w:r>
              <w:rPr>
                <w:rFonts w:hint="default" w:ascii="Times New Roman" w:hAnsi="Times New Roman" w:eastAsia="宋体" w:cs="Times New Roman"/>
                <w:b/>
                <w:bCs/>
                <w:strike w:val="0"/>
                <w:dstrike w:val="0"/>
                <w:color w:val="auto"/>
                <w:sz w:val="21"/>
                <w:szCs w:val="21"/>
                <w:highlight w:val="none"/>
              </w:rPr>
              <w:t>项目</w:t>
            </w:r>
            <w:r>
              <w:rPr>
                <w:rFonts w:hint="default" w:ascii="Times New Roman" w:hAnsi="Times New Roman" w:eastAsia="宋体" w:cs="Times New Roman"/>
                <w:b/>
                <w:bCs/>
                <w:strike w:val="0"/>
                <w:dstrike w:val="0"/>
                <w:color w:val="auto"/>
                <w:sz w:val="21"/>
                <w:szCs w:val="21"/>
                <w:highlight w:val="none"/>
                <w:lang w:val="en-US" w:eastAsia="zh-CN"/>
              </w:rPr>
              <w:t>噪声监测计划</w:t>
            </w:r>
            <w:r>
              <w:rPr>
                <w:rFonts w:hint="default" w:ascii="Times New Roman" w:hAnsi="Times New Roman" w:eastAsia="宋体" w:cs="Times New Roman"/>
                <w:b/>
                <w:bCs/>
                <w:strike w:val="0"/>
                <w:dstrike w:val="0"/>
                <w:color w:val="auto"/>
                <w:sz w:val="21"/>
                <w:szCs w:val="21"/>
                <w:highlight w:val="none"/>
              </w:rPr>
              <w:t>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685"/>
              <w:gridCol w:w="1283"/>
              <w:gridCol w:w="3016"/>
            </w:tblGrid>
            <w:tr w14:paraId="217E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3" w:type="dxa"/>
                  <w:noWrap w:val="0"/>
                  <w:vAlign w:val="center"/>
                </w:tcPr>
                <w:p w14:paraId="6096692E">
                  <w:pPr>
                    <w:keepNext w:val="0"/>
                    <w:keepLines w:val="0"/>
                    <w:pageBreakBefore w:val="0"/>
                    <w:widowControl w:val="0"/>
                    <w:tabs>
                      <w:tab w:val="left" w:pos="5220"/>
                    </w:tabs>
                    <w:kinsoku/>
                    <w:wordWrap/>
                    <w:overflowPunct/>
                    <w:topLinePunct/>
                    <w:autoSpaceDE w:val="0"/>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监测点位</w:t>
                  </w:r>
                </w:p>
              </w:tc>
              <w:tc>
                <w:tcPr>
                  <w:tcW w:w="1685" w:type="dxa"/>
                  <w:noWrap w:val="0"/>
                  <w:vAlign w:val="center"/>
                </w:tcPr>
                <w:p w14:paraId="38EC1D0E">
                  <w:pPr>
                    <w:keepNext w:val="0"/>
                    <w:keepLines w:val="0"/>
                    <w:pageBreakBefore w:val="0"/>
                    <w:widowControl w:val="0"/>
                    <w:tabs>
                      <w:tab w:val="left" w:pos="5220"/>
                    </w:tabs>
                    <w:kinsoku/>
                    <w:wordWrap/>
                    <w:overflowPunct/>
                    <w:topLinePunct/>
                    <w:autoSpaceDE w:val="0"/>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监测项目</w:t>
                  </w:r>
                </w:p>
              </w:tc>
              <w:tc>
                <w:tcPr>
                  <w:tcW w:w="1283" w:type="dxa"/>
                  <w:noWrap w:val="0"/>
                  <w:vAlign w:val="center"/>
                </w:tcPr>
                <w:p w14:paraId="1B95F415">
                  <w:pPr>
                    <w:keepNext w:val="0"/>
                    <w:keepLines w:val="0"/>
                    <w:pageBreakBefore w:val="0"/>
                    <w:widowControl w:val="0"/>
                    <w:tabs>
                      <w:tab w:val="left" w:pos="5220"/>
                    </w:tabs>
                    <w:kinsoku/>
                    <w:wordWrap/>
                    <w:overflowPunct/>
                    <w:topLinePunct/>
                    <w:autoSpaceDE w:val="0"/>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监测频次</w:t>
                  </w:r>
                </w:p>
              </w:tc>
              <w:tc>
                <w:tcPr>
                  <w:tcW w:w="3016" w:type="dxa"/>
                  <w:noWrap w:val="0"/>
                  <w:vAlign w:val="center"/>
                </w:tcPr>
                <w:p w14:paraId="6C3038E2">
                  <w:pPr>
                    <w:keepNext w:val="0"/>
                    <w:keepLines w:val="0"/>
                    <w:pageBreakBefore w:val="0"/>
                    <w:widowControl w:val="0"/>
                    <w:tabs>
                      <w:tab w:val="left" w:pos="5220"/>
                    </w:tabs>
                    <w:kinsoku/>
                    <w:wordWrap/>
                    <w:overflowPunct/>
                    <w:topLinePunct/>
                    <w:autoSpaceDE w:val="0"/>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执行标准</w:t>
                  </w:r>
                </w:p>
              </w:tc>
            </w:tr>
            <w:tr w14:paraId="12C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3" w:type="dxa"/>
                  <w:noWrap w:val="0"/>
                  <w:vAlign w:val="center"/>
                </w:tcPr>
                <w:p w14:paraId="6B03DC21">
                  <w:pPr>
                    <w:pStyle w:val="28"/>
                    <w:keepNext w:val="0"/>
                    <w:keepLines w:val="0"/>
                    <w:pageBreakBefore w:val="0"/>
                    <w:widowControl w:val="0"/>
                    <w:kinsoku/>
                    <w:wordWrap/>
                    <w:overflowPunct/>
                    <w:topLinePunct/>
                    <w:autoSpaceDE w:val="0"/>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厂界东、南、西、</w:t>
                  </w:r>
                </w:p>
                <w:p w14:paraId="6B7CC25A">
                  <w:pPr>
                    <w:pStyle w:val="28"/>
                    <w:keepNext w:val="0"/>
                    <w:keepLines w:val="0"/>
                    <w:pageBreakBefore w:val="0"/>
                    <w:widowControl w:val="0"/>
                    <w:kinsoku/>
                    <w:wordWrap/>
                    <w:overflowPunct/>
                    <w:topLinePunct/>
                    <w:autoSpaceDE w:val="0"/>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北4个点</w:t>
                  </w:r>
                </w:p>
              </w:tc>
              <w:tc>
                <w:tcPr>
                  <w:tcW w:w="1685" w:type="dxa"/>
                  <w:noWrap w:val="0"/>
                  <w:vAlign w:val="center"/>
                </w:tcPr>
                <w:p w14:paraId="007D49E1">
                  <w:pPr>
                    <w:pStyle w:val="28"/>
                    <w:keepNext w:val="0"/>
                    <w:keepLines w:val="0"/>
                    <w:pageBreakBefore w:val="0"/>
                    <w:widowControl w:val="0"/>
                    <w:kinsoku/>
                    <w:wordWrap/>
                    <w:overflowPunct/>
                    <w:topLinePunct/>
                    <w:autoSpaceDE w:val="0"/>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等效连续A声级</w:t>
                  </w:r>
                </w:p>
              </w:tc>
              <w:tc>
                <w:tcPr>
                  <w:tcW w:w="1283" w:type="dxa"/>
                  <w:noWrap w:val="0"/>
                  <w:vAlign w:val="center"/>
                </w:tcPr>
                <w:p w14:paraId="5651A525">
                  <w:pPr>
                    <w:pStyle w:val="28"/>
                    <w:keepNext w:val="0"/>
                    <w:keepLines w:val="0"/>
                    <w:pageBreakBefore w:val="0"/>
                    <w:widowControl w:val="0"/>
                    <w:kinsoku/>
                    <w:wordWrap/>
                    <w:overflowPunct/>
                    <w:topLinePunct/>
                    <w:autoSpaceDE w:val="0"/>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rPr>
                    <w:t>1次/季度</w:t>
                  </w:r>
                </w:p>
              </w:tc>
              <w:tc>
                <w:tcPr>
                  <w:tcW w:w="3016" w:type="dxa"/>
                  <w:noWrap w:val="0"/>
                  <w:vAlign w:val="center"/>
                </w:tcPr>
                <w:p w14:paraId="47EC2E02">
                  <w:pPr>
                    <w:pStyle w:val="28"/>
                    <w:keepNext w:val="0"/>
                    <w:keepLines w:val="0"/>
                    <w:pageBreakBefore w:val="0"/>
                    <w:widowControl w:val="0"/>
                    <w:kinsoku/>
                    <w:wordWrap/>
                    <w:overflowPunct/>
                    <w:topLinePunct/>
                    <w:autoSpaceDE w:val="0"/>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《工业企业厂界环境噪声排放标准》（GB12348-2008）3类</w:t>
                  </w:r>
                </w:p>
              </w:tc>
            </w:tr>
          </w:tbl>
          <w:p w14:paraId="2CAC5EF0">
            <w:pPr>
              <w:keepNext w:val="0"/>
              <w:keepLines w:val="0"/>
              <w:pageBreakBefore w:val="0"/>
              <w:widowControl w:val="0"/>
              <w:numPr>
                <w:ilvl w:val="0"/>
                <w:numId w:val="0"/>
              </w:numPr>
              <w:kinsoku/>
              <w:wordWrap/>
              <w:overflowPunct/>
              <w:topLinePunct/>
              <w:autoSpaceDE w:val="0"/>
              <w:autoSpaceDN/>
              <w:bidi w:val="0"/>
              <w:adjustRightInd/>
              <w:snapToGrid/>
              <w:spacing w:line="360" w:lineRule="auto"/>
              <w:ind w:left="0" w:leftChars="0" w:firstLine="0" w:firstLineChars="0"/>
              <w:textAlignment w:val="auto"/>
              <w:rPr>
                <w:rFonts w:hint="default" w:ascii="Times New Roman" w:hAnsi="Times New Roman" w:eastAsia="宋体" w:cs="Times New Roman"/>
                <w:b/>
                <w:bCs w:val="0"/>
                <w:color w:val="auto"/>
                <w:spacing w:val="-10"/>
                <w:sz w:val="24"/>
                <w:szCs w:val="24"/>
                <w:highlight w:val="none"/>
                <w:lang w:eastAsia="zh-CN"/>
              </w:rPr>
            </w:pPr>
            <w:r>
              <w:rPr>
                <w:rFonts w:hint="default" w:ascii="Times New Roman" w:hAnsi="Times New Roman" w:eastAsia="宋体" w:cs="Times New Roman"/>
                <w:b/>
                <w:bCs w:val="0"/>
                <w:color w:val="auto"/>
                <w:spacing w:val="-10"/>
                <w:kern w:val="2"/>
                <w:sz w:val="24"/>
                <w:szCs w:val="24"/>
                <w:highlight w:val="none"/>
                <w:lang w:val="en-US" w:eastAsia="zh-CN" w:bidi="ar-SA"/>
              </w:rPr>
              <w:t>四、</w:t>
            </w:r>
            <w:r>
              <w:rPr>
                <w:rFonts w:hint="default" w:ascii="Times New Roman" w:hAnsi="Times New Roman" w:eastAsia="宋体" w:cs="Times New Roman"/>
                <w:b/>
                <w:bCs w:val="0"/>
                <w:color w:val="auto"/>
                <w:spacing w:val="-10"/>
                <w:sz w:val="24"/>
                <w:szCs w:val="24"/>
                <w:highlight w:val="none"/>
                <w:lang w:eastAsia="zh-CN"/>
              </w:rPr>
              <w:t>固体废物环境影响分析</w:t>
            </w:r>
          </w:p>
          <w:p w14:paraId="270D994E">
            <w:pPr>
              <w:keepNext w:val="0"/>
              <w:keepLines w:val="0"/>
              <w:pageBreakBefore w:val="0"/>
              <w:widowControl w:val="0"/>
              <w:kinsoku/>
              <w:wordWrap/>
              <w:overflowPunct/>
              <w:topLinePunct/>
              <w:autoSpaceDE w:val="0"/>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1.一般工业固废</w:t>
            </w:r>
          </w:p>
          <w:p w14:paraId="2B99C092">
            <w:pPr>
              <w:keepNext w:val="0"/>
              <w:keepLines w:val="0"/>
              <w:pageBreakBefore w:val="0"/>
              <w:widowControl w:val="0"/>
              <w:kinsoku/>
              <w:wordWrap/>
              <w:overflowPunct/>
              <w:topLinePunct/>
              <w:autoSpaceDE w:val="0"/>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（1）废包装材料（S1）</w:t>
            </w:r>
          </w:p>
          <w:p w14:paraId="12C878C9">
            <w:pPr>
              <w:keepNext w:val="0"/>
              <w:keepLines w:val="0"/>
              <w:pageBreakBefore w:val="0"/>
              <w:widowControl w:val="0"/>
              <w:kinsoku/>
              <w:wordWrap/>
              <w:overflowPunct/>
              <w:topLinePunct/>
              <w:autoSpaceDE w:val="0"/>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包装材料包括进厂各种原辅材料的外包装，如纸箱、木箱、编织袋</w:t>
            </w:r>
            <w:r>
              <w:rPr>
                <w:rFonts w:hint="default" w:ascii="Times New Roman" w:hAnsi="Times New Roman" w:eastAsia="宋体" w:cs="Times New Roman"/>
                <w:color w:val="auto"/>
                <w:spacing w:val="-1"/>
                <w:sz w:val="24"/>
                <w:szCs w:val="24"/>
                <w:highlight w:val="none"/>
              </w:rPr>
              <w:t>等，其产生量</w:t>
            </w:r>
            <w:r>
              <w:rPr>
                <w:rFonts w:hint="default" w:ascii="Times New Roman" w:hAnsi="Times New Roman" w:eastAsia="宋体" w:cs="Times New Roman"/>
                <w:color w:val="auto"/>
                <w:spacing w:val="-3"/>
                <w:sz w:val="24"/>
                <w:szCs w:val="24"/>
                <w:highlight w:val="none"/>
              </w:rPr>
              <w:t>约1</w:t>
            </w: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t/a。根据《固体废物分类与代码目录》（2024年第4号</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3"/>
                <w:sz w:val="24"/>
                <w:szCs w:val="24"/>
                <w:highlight w:val="none"/>
              </w:rPr>
              <w:t>属于SW17可再生</w:t>
            </w:r>
            <w:r>
              <w:rPr>
                <w:rFonts w:hint="default" w:ascii="Times New Roman" w:hAnsi="Times New Roman" w:eastAsia="宋体" w:cs="Times New Roman"/>
                <w:color w:val="auto"/>
                <w:spacing w:val="-1"/>
                <w:sz w:val="24"/>
                <w:szCs w:val="24"/>
                <w:highlight w:val="none"/>
              </w:rPr>
              <w:t>类废物中非特定行业，分类代码为：900-005-S17，废包装材料集中收集后外售资源回收商。</w:t>
            </w:r>
          </w:p>
          <w:p w14:paraId="5AC96DA1">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珠胚生产过程</w:t>
            </w:r>
            <w:r>
              <w:rPr>
                <w:rFonts w:hint="default" w:ascii="Times New Roman" w:hAnsi="Times New Roman" w:eastAsia="宋体" w:cs="Times New Roman"/>
                <w:b/>
                <w:bCs/>
                <w:color w:val="auto"/>
                <w:sz w:val="24"/>
                <w:szCs w:val="24"/>
                <w:highlight w:val="none"/>
                <w:lang w:val="en-US" w:eastAsia="zh-CN"/>
              </w:rPr>
              <w:t>布袋</w:t>
            </w:r>
            <w:r>
              <w:rPr>
                <w:rFonts w:hint="eastAsia" w:cs="Times New Roman"/>
                <w:b/>
                <w:bCs/>
                <w:color w:val="auto"/>
                <w:sz w:val="24"/>
                <w:szCs w:val="24"/>
                <w:highlight w:val="none"/>
                <w:lang w:val="en-US" w:eastAsia="zh-CN"/>
              </w:rPr>
              <w:t>除尘灰</w:t>
            </w:r>
            <w:r>
              <w:rPr>
                <w:rFonts w:hint="default" w:ascii="Times New Roman" w:hAnsi="Times New Roman" w:eastAsia="宋体" w:cs="Times New Roman"/>
                <w:b/>
                <w:bCs/>
                <w:color w:val="auto"/>
                <w:sz w:val="24"/>
                <w:szCs w:val="24"/>
                <w:highlight w:val="none"/>
                <w:lang w:val="en-US" w:eastAsia="zh-CN"/>
              </w:rPr>
              <w:t>（S2）</w:t>
            </w:r>
          </w:p>
          <w:p w14:paraId="2F925D14">
            <w:pPr>
              <w:keepNext w:val="0"/>
              <w:keepLines w:val="0"/>
              <w:pageBreakBefore w:val="0"/>
              <w:widowControl w:val="0"/>
              <w:kinsoku/>
              <w:wordWrap/>
              <w:overflowPunct/>
              <w:topLinePunct/>
              <w:autoSpaceDE w:val="0"/>
              <w:autoSpaceDN/>
              <w:bidi w:val="0"/>
              <w:adjustRightInd w:val="0"/>
              <w:snapToGrid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pacing w:val="-4"/>
                <w:sz w:val="24"/>
                <w:szCs w:val="24"/>
                <w:highlight w:val="none"/>
                <w:lang w:eastAsia="zh-CN"/>
              </w:rPr>
              <w:t>珠胚生产</w:t>
            </w:r>
            <w:r>
              <w:rPr>
                <w:rFonts w:hint="default" w:ascii="Times New Roman" w:hAnsi="Times New Roman" w:eastAsia="宋体" w:cs="Times New Roman"/>
                <w:color w:val="auto"/>
                <w:spacing w:val="-4"/>
                <w:sz w:val="24"/>
                <w:szCs w:val="24"/>
                <w:highlight w:val="none"/>
              </w:rPr>
              <w:t>过程中，</w:t>
            </w:r>
            <w:r>
              <w:rPr>
                <w:rFonts w:hint="default" w:ascii="Times New Roman" w:hAnsi="Times New Roman" w:eastAsia="宋体" w:cs="Times New Roman"/>
                <w:color w:val="auto"/>
                <w:sz w:val="24"/>
                <w:szCs w:val="24"/>
                <w:highlight w:val="none"/>
              </w:rPr>
              <w:t>配料</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、电炉</w:t>
            </w:r>
            <w:r>
              <w:rPr>
                <w:rFonts w:hint="eastAsia" w:cs="Times New Roman"/>
                <w:color w:val="auto"/>
                <w:sz w:val="24"/>
                <w:szCs w:val="24"/>
                <w:highlight w:val="none"/>
                <w:lang w:val="en-US" w:eastAsia="zh-CN"/>
              </w:rPr>
              <w:t>烟尘</w:t>
            </w:r>
            <w:r>
              <w:rPr>
                <w:rFonts w:hint="default" w:ascii="Times New Roman" w:hAnsi="Times New Roman" w:eastAsia="宋体" w:cs="Times New Roman"/>
                <w:color w:val="auto"/>
                <w:spacing w:val="-4"/>
                <w:sz w:val="24"/>
                <w:szCs w:val="24"/>
                <w:highlight w:val="none"/>
              </w:rPr>
              <w:t>及滚抛粉尘经布袋除尘处理，根据工程分析，计算</w:t>
            </w:r>
            <w:r>
              <w:rPr>
                <w:rFonts w:hint="default" w:ascii="Times New Roman" w:hAnsi="Times New Roman" w:eastAsia="宋体" w:cs="Times New Roman"/>
                <w:color w:val="auto"/>
                <w:spacing w:val="-5"/>
                <w:sz w:val="24"/>
                <w:szCs w:val="24"/>
                <w:highlight w:val="none"/>
              </w:rPr>
              <w:t>可得出</w:t>
            </w:r>
            <w:r>
              <w:rPr>
                <w:rFonts w:hint="default" w:ascii="Times New Roman" w:hAnsi="Times New Roman" w:eastAsia="宋体" w:cs="Times New Roman"/>
                <w:color w:val="auto"/>
                <w:spacing w:val="-5"/>
                <w:sz w:val="24"/>
                <w:szCs w:val="24"/>
                <w:highlight w:val="none"/>
                <w:lang w:val="en-US" w:eastAsia="zh-CN"/>
              </w:rPr>
              <w:t>布袋</w:t>
            </w:r>
            <w:r>
              <w:rPr>
                <w:rFonts w:hint="default" w:ascii="Times New Roman" w:hAnsi="Times New Roman" w:eastAsia="宋体" w:cs="Times New Roman"/>
                <w:color w:val="auto"/>
                <w:spacing w:val="-5"/>
                <w:sz w:val="24"/>
                <w:szCs w:val="24"/>
                <w:highlight w:val="none"/>
              </w:rPr>
              <w:t>除尘器收尘约</w:t>
            </w:r>
            <w:r>
              <w:rPr>
                <w:rFonts w:hint="eastAsia" w:cs="Times New Roman"/>
                <w:color w:val="auto"/>
                <w:spacing w:val="-5"/>
                <w:sz w:val="24"/>
                <w:szCs w:val="24"/>
                <w:highlight w:val="none"/>
                <w:lang w:val="en-US" w:eastAsia="zh-CN"/>
              </w:rPr>
              <w:t>40.64</w:t>
            </w:r>
            <w:r>
              <w:rPr>
                <w:rFonts w:hint="default" w:ascii="Times New Roman" w:hAnsi="Times New Roman" w:eastAsia="宋体" w:cs="Times New Roman"/>
                <w:color w:val="auto"/>
                <w:spacing w:val="-5"/>
                <w:sz w:val="24"/>
                <w:szCs w:val="24"/>
                <w:highlight w:val="none"/>
              </w:rPr>
              <w:t>t/a。根据《固体废物分类与代码目</w:t>
            </w:r>
            <w:r>
              <w:rPr>
                <w:rFonts w:hint="default" w:ascii="Times New Roman" w:hAnsi="Times New Roman" w:eastAsia="宋体" w:cs="Times New Roman"/>
                <w:color w:val="auto"/>
                <w:spacing w:val="-6"/>
                <w:sz w:val="24"/>
                <w:szCs w:val="24"/>
                <w:highlight w:val="none"/>
              </w:rPr>
              <w:t>录》（2024年第4号</w:t>
            </w:r>
            <w:r>
              <w:rPr>
                <w:rFonts w:hint="eastAsia" w:cs="Times New Roman"/>
                <w:color w:val="auto"/>
                <w:spacing w:val="-6"/>
                <w:sz w:val="24"/>
                <w:szCs w:val="24"/>
                <w:highlight w:val="none"/>
                <w:lang w:eastAsia="zh-CN"/>
              </w:rPr>
              <w:t>），</w:t>
            </w:r>
            <w:r>
              <w:rPr>
                <w:rFonts w:hint="default" w:ascii="Times New Roman" w:hAnsi="Times New Roman" w:eastAsia="宋体" w:cs="Times New Roman"/>
                <w:color w:val="auto"/>
                <w:sz w:val="24"/>
                <w:szCs w:val="24"/>
                <w:highlight w:val="none"/>
              </w:rPr>
              <w:t>属于SW17可再生类废物中非特定行业，分类代码为：900-099-S17，</w:t>
            </w:r>
            <w:r>
              <w:rPr>
                <w:rFonts w:hint="default" w:ascii="Times New Roman" w:hAnsi="Times New Roman" w:eastAsia="宋体" w:cs="Times New Roman"/>
                <w:color w:val="auto"/>
                <w:spacing w:val="-5"/>
                <w:sz w:val="24"/>
                <w:szCs w:val="24"/>
                <w:highlight w:val="none"/>
                <w:lang w:val="en-US" w:eastAsia="zh-CN"/>
              </w:rPr>
              <w:t>布袋</w:t>
            </w:r>
            <w:r>
              <w:rPr>
                <w:rFonts w:hint="default" w:ascii="Times New Roman" w:hAnsi="Times New Roman" w:eastAsia="宋体" w:cs="Times New Roman"/>
                <w:color w:val="auto"/>
                <w:spacing w:val="-5"/>
                <w:sz w:val="24"/>
                <w:szCs w:val="24"/>
                <w:highlight w:val="none"/>
              </w:rPr>
              <w:t>除尘器</w:t>
            </w:r>
            <w:r>
              <w:rPr>
                <w:rFonts w:hint="default" w:ascii="Times New Roman" w:hAnsi="Times New Roman" w:eastAsia="宋体" w:cs="Times New Roman"/>
                <w:color w:val="auto"/>
                <w:sz w:val="24"/>
                <w:szCs w:val="24"/>
                <w:highlight w:val="none"/>
              </w:rPr>
              <w:t>收集</w:t>
            </w:r>
            <w:r>
              <w:rPr>
                <w:rFonts w:hint="eastAsia" w:cs="Times New Roman"/>
                <w:color w:val="auto"/>
                <w:sz w:val="24"/>
                <w:szCs w:val="24"/>
                <w:highlight w:val="none"/>
                <w:lang w:val="en-US" w:eastAsia="zh-CN"/>
              </w:rPr>
              <w:t>的除尘灰经收集后作为原料重新回用</w:t>
            </w:r>
            <w:r>
              <w:rPr>
                <w:rFonts w:hint="eastAsia" w:cs="Times New Roman"/>
                <w:color w:val="auto"/>
                <w:spacing w:val="-2"/>
                <w:sz w:val="24"/>
                <w:szCs w:val="24"/>
                <w:highlight w:val="none"/>
                <w:lang w:eastAsia="zh-CN"/>
              </w:rPr>
              <w:t>珠胚生产</w:t>
            </w:r>
            <w:r>
              <w:rPr>
                <w:rFonts w:hint="default" w:ascii="Times New Roman" w:hAnsi="Times New Roman" w:eastAsia="宋体" w:cs="Times New Roman"/>
                <w:b w:val="0"/>
                <w:bCs w:val="0"/>
                <w:color w:val="auto"/>
                <w:spacing w:val="-2"/>
                <w:sz w:val="24"/>
                <w:szCs w:val="24"/>
                <w:highlight w:val="none"/>
              </w:rPr>
              <w:t>。</w:t>
            </w:r>
          </w:p>
          <w:p w14:paraId="63FF24B3">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珠胚</w:t>
            </w:r>
            <w:r>
              <w:rPr>
                <w:rFonts w:hint="default" w:ascii="Times New Roman" w:hAnsi="Times New Roman" w:eastAsia="宋体" w:cs="Times New Roman"/>
                <w:b/>
                <w:bCs/>
                <w:color w:val="auto"/>
                <w:sz w:val="24"/>
                <w:szCs w:val="24"/>
                <w:highlight w:val="none"/>
                <w:lang w:val="en-US" w:eastAsia="zh-CN"/>
              </w:rPr>
              <w:t>边角废料（S3）</w:t>
            </w:r>
          </w:p>
          <w:p w14:paraId="0D23E428">
            <w:pPr>
              <w:keepNext w:val="0"/>
              <w:keepLines w:val="0"/>
              <w:pageBreakBefore w:val="0"/>
              <w:widowControl w:val="0"/>
              <w:kinsoku/>
              <w:wordWrap/>
              <w:overflowPunct/>
              <w:topLinePunct/>
              <w:autoSpaceDE w:val="0"/>
              <w:autoSpaceDN/>
              <w:bidi w:val="0"/>
              <w:adjustRightInd w:val="0"/>
              <w:snapToGrid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pacing w:val="-4"/>
                <w:sz w:val="24"/>
                <w:szCs w:val="24"/>
                <w:highlight w:val="none"/>
                <w:lang w:eastAsia="zh-CN"/>
              </w:rPr>
              <w:t>珠胚生产</w:t>
            </w:r>
            <w:r>
              <w:rPr>
                <w:rFonts w:hint="default" w:ascii="Times New Roman" w:hAnsi="Times New Roman" w:eastAsia="宋体" w:cs="Times New Roman"/>
                <w:color w:val="auto"/>
                <w:spacing w:val="-4"/>
                <w:sz w:val="24"/>
                <w:szCs w:val="24"/>
                <w:highlight w:val="none"/>
              </w:rPr>
              <w:t>过程中，采用机械对半成品</w:t>
            </w:r>
            <w:r>
              <w:rPr>
                <w:rFonts w:hint="eastAsia" w:cs="Times New Roman"/>
                <w:color w:val="auto"/>
                <w:spacing w:val="-4"/>
                <w:sz w:val="24"/>
                <w:szCs w:val="24"/>
                <w:highlight w:val="none"/>
                <w:lang w:eastAsia="zh-CN"/>
              </w:rPr>
              <w:t>珠胚</w:t>
            </w:r>
            <w:r>
              <w:rPr>
                <w:rFonts w:hint="default" w:ascii="Times New Roman" w:hAnsi="Times New Roman" w:eastAsia="宋体" w:cs="Times New Roman"/>
                <w:color w:val="auto"/>
                <w:spacing w:val="-4"/>
                <w:sz w:val="24"/>
                <w:szCs w:val="24"/>
                <w:highlight w:val="none"/>
              </w:rPr>
              <w:t>除角，根据建设单位提供资料，废边角料产生量约占</w:t>
            </w:r>
            <w:r>
              <w:rPr>
                <w:rFonts w:hint="default" w:ascii="Times New Roman" w:hAnsi="Times New Roman" w:eastAsia="宋体" w:cs="Times New Roman"/>
                <w:color w:val="auto"/>
                <w:spacing w:val="-5"/>
                <w:sz w:val="24"/>
                <w:szCs w:val="24"/>
                <w:highlight w:val="none"/>
              </w:rPr>
              <w:t>产品的</w:t>
            </w:r>
            <w:r>
              <w:rPr>
                <w:rFonts w:hint="default" w:ascii="Times New Roman" w:hAnsi="Times New Roman" w:eastAsia="宋体" w:cs="Times New Roman"/>
                <w:color w:val="auto"/>
                <w:spacing w:val="-5"/>
                <w:sz w:val="24"/>
                <w:szCs w:val="24"/>
                <w:highlight w:val="none"/>
                <w:lang w:val="en-US" w:eastAsia="zh-CN"/>
              </w:rPr>
              <w:t>10%</w:t>
            </w:r>
            <w:r>
              <w:rPr>
                <w:rFonts w:hint="default" w:ascii="Times New Roman" w:hAnsi="Times New Roman" w:eastAsia="宋体" w:cs="Times New Roman"/>
                <w:color w:val="auto"/>
                <w:spacing w:val="-5"/>
                <w:sz w:val="24"/>
                <w:szCs w:val="24"/>
                <w:highlight w:val="none"/>
              </w:rPr>
              <w:t>，约</w:t>
            </w:r>
            <w:r>
              <w:rPr>
                <w:rFonts w:hint="default" w:ascii="Times New Roman" w:hAnsi="Times New Roman" w:eastAsia="宋体" w:cs="Times New Roman"/>
                <w:color w:val="auto"/>
                <w:spacing w:val="-5"/>
                <w:sz w:val="24"/>
                <w:szCs w:val="24"/>
                <w:highlight w:val="none"/>
                <w:lang w:val="en-US" w:eastAsia="zh-CN"/>
              </w:rPr>
              <w:t>1300</w:t>
            </w:r>
            <w:r>
              <w:rPr>
                <w:rFonts w:hint="default" w:ascii="Times New Roman" w:hAnsi="Times New Roman" w:eastAsia="宋体" w:cs="Times New Roman"/>
                <w:color w:val="auto"/>
                <w:spacing w:val="-5"/>
                <w:sz w:val="24"/>
                <w:szCs w:val="24"/>
                <w:highlight w:val="none"/>
              </w:rPr>
              <w:t>t/a</w:t>
            </w:r>
            <w:r>
              <w:rPr>
                <w:rFonts w:hint="default" w:ascii="Times New Roman" w:hAnsi="Times New Roman" w:eastAsia="宋体" w:cs="Times New Roman"/>
                <w:color w:val="auto"/>
                <w:spacing w:val="-4"/>
                <w:sz w:val="24"/>
                <w:szCs w:val="24"/>
                <w:highlight w:val="none"/>
              </w:rPr>
              <w:t>。根据《固体废物分类与代码目录》</w:t>
            </w:r>
            <w:r>
              <w:rPr>
                <w:rFonts w:hint="default" w:ascii="Times New Roman" w:hAnsi="Times New Roman" w:eastAsia="宋体" w:cs="Times New Roman"/>
                <w:color w:val="auto"/>
                <w:spacing w:val="-4"/>
                <w:sz w:val="24"/>
                <w:szCs w:val="24"/>
                <w:highlight w:val="none"/>
                <w:lang w:eastAsia="zh-CN"/>
              </w:rPr>
              <w:t>（2024年第4号）</w:t>
            </w:r>
            <w:r>
              <w:rPr>
                <w:rFonts w:hint="default" w:ascii="Times New Roman" w:hAnsi="Times New Roman" w:eastAsia="宋体" w:cs="Times New Roman"/>
                <w:color w:val="auto"/>
                <w:spacing w:val="-16"/>
                <w:sz w:val="24"/>
                <w:szCs w:val="24"/>
                <w:highlight w:val="none"/>
              </w:rPr>
              <w:t>，</w:t>
            </w:r>
            <w:r>
              <w:rPr>
                <w:rFonts w:hint="default" w:ascii="Times New Roman" w:hAnsi="Times New Roman" w:eastAsia="宋体" w:cs="Times New Roman"/>
                <w:color w:val="auto"/>
                <w:spacing w:val="-3"/>
                <w:sz w:val="24"/>
                <w:szCs w:val="24"/>
                <w:highlight w:val="none"/>
              </w:rPr>
              <w:t>属于SW17可再生类废物中非特定行业，分类代码为：900-0</w:t>
            </w:r>
            <w:r>
              <w:rPr>
                <w:rFonts w:hint="default" w:ascii="Times New Roman" w:hAnsi="Times New Roman" w:eastAsia="宋体" w:cs="Times New Roman"/>
                <w:color w:val="auto"/>
                <w:spacing w:val="-4"/>
                <w:sz w:val="24"/>
                <w:szCs w:val="24"/>
                <w:highlight w:val="none"/>
              </w:rPr>
              <w:t>04-S17，</w:t>
            </w:r>
            <w:r>
              <w:rPr>
                <w:rFonts w:hint="default" w:ascii="Times New Roman" w:hAnsi="Times New Roman" w:eastAsia="宋体" w:cs="Times New Roman"/>
                <w:color w:val="auto"/>
                <w:sz w:val="24"/>
                <w:szCs w:val="24"/>
                <w:highlight w:val="none"/>
              </w:rPr>
              <w:t>收集后回用于</w:t>
            </w:r>
            <w:r>
              <w:rPr>
                <w:rFonts w:hint="eastAsia" w:cs="Times New Roman"/>
                <w:color w:val="auto"/>
                <w:spacing w:val="-2"/>
                <w:sz w:val="24"/>
                <w:szCs w:val="24"/>
                <w:highlight w:val="none"/>
                <w:lang w:eastAsia="zh-CN"/>
              </w:rPr>
              <w:t>珠胚生产，</w:t>
            </w:r>
            <w:r>
              <w:rPr>
                <w:rFonts w:hint="eastAsia" w:cs="Times New Roman"/>
                <w:color w:val="auto"/>
                <w:spacing w:val="-1"/>
                <w:sz w:val="24"/>
                <w:szCs w:val="24"/>
                <w:highlight w:val="none"/>
                <w:lang w:val="en-US" w:eastAsia="zh-CN"/>
              </w:rPr>
              <w:t>重新熔制</w:t>
            </w:r>
            <w:r>
              <w:rPr>
                <w:rFonts w:hint="default" w:ascii="Times New Roman" w:hAnsi="Times New Roman" w:eastAsia="宋体" w:cs="Times New Roman"/>
                <w:color w:val="auto"/>
                <w:spacing w:val="-1"/>
                <w:sz w:val="24"/>
                <w:szCs w:val="24"/>
                <w:highlight w:val="none"/>
              </w:rPr>
              <w:t>。</w:t>
            </w:r>
          </w:p>
          <w:p w14:paraId="267F6DBC">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珠胚</w:t>
            </w:r>
            <w:r>
              <w:rPr>
                <w:rFonts w:hint="default" w:ascii="Times New Roman" w:hAnsi="Times New Roman" w:eastAsia="宋体" w:cs="Times New Roman"/>
                <w:b/>
                <w:bCs/>
                <w:color w:val="auto"/>
                <w:sz w:val="24"/>
                <w:szCs w:val="24"/>
                <w:highlight w:val="none"/>
                <w:lang w:val="en-US" w:eastAsia="zh-CN"/>
              </w:rPr>
              <w:t>残次品（S4）</w:t>
            </w:r>
          </w:p>
          <w:p w14:paraId="7B8A0116">
            <w:pPr>
              <w:keepNext w:val="0"/>
              <w:keepLines w:val="0"/>
              <w:pageBreakBefore w:val="0"/>
              <w:widowControl w:val="0"/>
              <w:kinsoku/>
              <w:wordWrap/>
              <w:overflowPunct/>
              <w:topLinePunct/>
              <w:autoSpaceDE w:val="0"/>
              <w:autoSpaceDN/>
              <w:bidi w:val="0"/>
              <w:adjustRightInd w:val="0"/>
              <w:snapToGrid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pacing w:val="-4"/>
                <w:sz w:val="24"/>
                <w:szCs w:val="24"/>
                <w:highlight w:val="none"/>
                <w:lang w:eastAsia="zh-CN"/>
              </w:rPr>
              <w:t>珠胚</w:t>
            </w:r>
            <w:r>
              <w:rPr>
                <w:rFonts w:hint="default" w:ascii="Times New Roman" w:hAnsi="Times New Roman" w:eastAsia="宋体" w:cs="Times New Roman"/>
                <w:color w:val="auto"/>
                <w:spacing w:val="-4"/>
                <w:sz w:val="24"/>
                <w:szCs w:val="24"/>
                <w:highlight w:val="none"/>
              </w:rPr>
              <w:t>需用分筛盘人工进行分筛，分筛会产生少量的残次品，根据建设单位提供资</w:t>
            </w:r>
            <w:r>
              <w:rPr>
                <w:rFonts w:hint="default" w:ascii="Times New Roman" w:hAnsi="Times New Roman" w:eastAsia="宋体" w:cs="Times New Roman"/>
                <w:color w:val="auto"/>
                <w:spacing w:val="-8"/>
                <w:sz w:val="24"/>
                <w:szCs w:val="24"/>
                <w:highlight w:val="none"/>
              </w:rPr>
              <w:t>料，按照生产经验，残次品产生量</w:t>
            </w:r>
            <w:r>
              <w:rPr>
                <w:rFonts w:hint="default" w:ascii="Times New Roman" w:hAnsi="Times New Roman" w:eastAsia="宋体" w:cs="Times New Roman"/>
                <w:color w:val="auto"/>
                <w:spacing w:val="-4"/>
                <w:sz w:val="24"/>
                <w:szCs w:val="24"/>
                <w:highlight w:val="none"/>
              </w:rPr>
              <w:t>占</w:t>
            </w:r>
            <w:r>
              <w:rPr>
                <w:rFonts w:hint="default" w:ascii="Times New Roman" w:hAnsi="Times New Roman" w:eastAsia="宋体" w:cs="Times New Roman"/>
                <w:color w:val="auto"/>
                <w:spacing w:val="-5"/>
                <w:sz w:val="24"/>
                <w:szCs w:val="24"/>
                <w:highlight w:val="none"/>
              </w:rPr>
              <w:t>产品的</w:t>
            </w:r>
            <w:r>
              <w:rPr>
                <w:rFonts w:hint="default" w:ascii="Times New Roman" w:hAnsi="Times New Roman" w:eastAsia="宋体" w:cs="Times New Roman"/>
                <w:color w:val="auto"/>
                <w:spacing w:val="-5"/>
                <w:sz w:val="24"/>
                <w:szCs w:val="24"/>
                <w:highlight w:val="none"/>
                <w:lang w:val="en-US" w:eastAsia="zh-CN"/>
              </w:rPr>
              <w:t>10%</w:t>
            </w:r>
            <w:r>
              <w:rPr>
                <w:rFonts w:hint="default" w:ascii="Times New Roman" w:hAnsi="Times New Roman" w:eastAsia="宋体" w:cs="Times New Roman"/>
                <w:color w:val="auto"/>
                <w:spacing w:val="-5"/>
                <w:sz w:val="24"/>
                <w:szCs w:val="24"/>
                <w:highlight w:val="none"/>
              </w:rPr>
              <w:t>，约</w:t>
            </w:r>
            <w:r>
              <w:rPr>
                <w:rFonts w:hint="default" w:ascii="Times New Roman" w:hAnsi="Times New Roman" w:eastAsia="宋体" w:cs="Times New Roman"/>
                <w:color w:val="auto"/>
                <w:spacing w:val="-5"/>
                <w:sz w:val="24"/>
                <w:szCs w:val="24"/>
                <w:highlight w:val="none"/>
                <w:lang w:val="en-US" w:eastAsia="zh-CN"/>
              </w:rPr>
              <w:t>1300</w:t>
            </w:r>
            <w:r>
              <w:rPr>
                <w:rFonts w:hint="default" w:ascii="Times New Roman" w:hAnsi="Times New Roman" w:eastAsia="宋体" w:cs="Times New Roman"/>
                <w:color w:val="auto"/>
                <w:spacing w:val="-5"/>
                <w:sz w:val="24"/>
                <w:szCs w:val="24"/>
                <w:highlight w:val="none"/>
              </w:rPr>
              <w:t>t/a</w:t>
            </w:r>
            <w:r>
              <w:rPr>
                <w:rFonts w:hint="default" w:ascii="Times New Roman" w:hAnsi="Times New Roman" w:eastAsia="宋体" w:cs="Times New Roman"/>
                <w:color w:val="auto"/>
                <w:spacing w:val="-8"/>
                <w:sz w:val="24"/>
                <w:szCs w:val="24"/>
                <w:highlight w:val="none"/>
              </w:rPr>
              <w:t>。根据《固体废物分类与代码目录》（2024</w:t>
            </w:r>
            <w:r>
              <w:rPr>
                <w:rFonts w:hint="default" w:ascii="Times New Roman" w:hAnsi="Times New Roman" w:eastAsia="宋体" w:cs="Times New Roman"/>
                <w:color w:val="auto"/>
                <w:spacing w:val="-1"/>
                <w:sz w:val="24"/>
                <w:szCs w:val="24"/>
                <w:highlight w:val="none"/>
              </w:rPr>
              <w:t>年第4号</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宋体" w:cs="Times New Roman"/>
                <w:color w:val="auto"/>
                <w:spacing w:val="-1"/>
                <w:sz w:val="24"/>
                <w:szCs w:val="24"/>
                <w:highlight w:val="none"/>
              </w:rPr>
              <w:t>属于SW17可再生类废物中非特定行业，分类代码为：900-099-S17，残次品</w:t>
            </w:r>
            <w:r>
              <w:rPr>
                <w:rFonts w:hint="default" w:ascii="Times New Roman" w:hAnsi="Times New Roman" w:eastAsia="宋体" w:cs="Times New Roman"/>
                <w:color w:val="auto"/>
                <w:sz w:val="24"/>
                <w:szCs w:val="24"/>
                <w:highlight w:val="none"/>
              </w:rPr>
              <w:t>收集后回用于</w:t>
            </w:r>
            <w:r>
              <w:rPr>
                <w:rFonts w:hint="eastAsia" w:ascii="Times New Roman" w:hAnsi="Times New Roman" w:eastAsia="宋体" w:cs="Times New Roman"/>
                <w:color w:val="auto"/>
                <w:spacing w:val="-2"/>
                <w:sz w:val="24"/>
                <w:szCs w:val="24"/>
                <w:highlight w:val="none"/>
                <w:lang w:eastAsia="zh-CN"/>
              </w:rPr>
              <w:t>珠胚生产</w:t>
            </w:r>
            <w:r>
              <w:rPr>
                <w:rFonts w:hint="eastAsia" w:cs="Times New Roman"/>
                <w:color w:val="auto"/>
                <w:spacing w:val="-2"/>
                <w:sz w:val="24"/>
                <w:szCs w:val="24"/>
                <w:highlight w:val="none"/>
                <w:lang w:eastAsia="zh-CN"/>
              </w:rPr>
              <w:t>，</w:t>
            </w:r>
            <w:r>
              <w:rPr>
                <w:rFonts w:hint="eastAsia" w:cs="Times New Roman"/>
                <w:color w:val="auto"/>
                <w:spacing w:val="-1"/>
                <w:sz w:val="24"/>
                <w:szCs w:val="24"/>
                <w:highlight w:val="none"/>
                <w:lang w:val="en-US" w:eastAsia="zh-CN"/>
              </w:rPr>
              <w:t>重新熔制</w:t>
            </w:r>
            <w:r>
              <w:rPr>
                <w:rFonts w:hint="default" w:ascii="Times New Roman" w:hAnsi="Times New Roman" w:eastAsia="宋体" w:cs="Times New Roman"/>
                <w:color w:val="auto"/>
                <w:spacing w:val="-1"/>
                <w:sz w:val="24"/>
                <w:szCs w:val="24"/>
                <w:highlight w:val="none"/>
              </w:rPr>
              <w:t>。</w:t>
            </w:r>
          </w:p>
          <w:p w14:paraId="363C8A51">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（5）废磨轮（S5）</w:t>
            </w:r>
          </w:p>
          <w:p w14:paraId="130B5404">
            <w:pPr>
              <w:keepNext w:val="0"/>
              <w:keepLines w:val="0"/>
              <w:pageBreakBefore w:val="0"/>
              <w:widowControl w:val="0"/>
              <w:kinsoku/>
              <w:wordWrap/>
              <w:overflowPunct/>
              <w:topLinePunct/>
              <w:autoSpaceDE w:val="0"/>
              <w:autoSpaceDN/>
              <w:bidi w:val="0"/>
              <w:adjustRightInd w:val="0"/>
              <w:snapToGrid w:val="0"/>
              <w:spacing w:line="360" w:lineRule="auto"/>
              <w:ind w:left="0" w:right="0" w:firstLine="464"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4"/>
                <w:sz w:val="24"/>
                <w:szCs w:val="24"/>
                <w:highlight w:val="none"/>
              </w:rPr>
              <w:t>项目使用磨轮主要原材料为金刚钻，生产使用全自</w:t>
            </w:r>
            <w:r>
              <w:rPr>
                <w:rFonts w:hint="default" w:ascii="Times New Roman" w:hAnsi="Times New Roman" w:eastAsia="宋体" w:cs="Times New Roman"/>
                <w:color w:val="auto"/>
                <w:sz w:val="24"/>
                <w:szCs w:val="24"/>
                <w:highlight w:val="none"/>
              </w:rPr>
              <w:t>动数控磨抛机设备，废磨轮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产生量约为</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0t/a。根据《固体废物分类与代码目录》</w:t>
            </w:r>
            <w:r>
              <w:rPr>
                <w:rFonts w:hint="default" w:ascii="Times New Roman" w:hAnsi="Times New Roman" w:eastAsia="宋体" w:cs="Times New Roman"/>
                <w:color w:val="auto"/>
                <w:spacing w:val="-6"/>
                <w:sz w:val="24"/>
                <w:szCs w:val="24"/>
                <w:highlight w:val="none"/>
              </w:rPr>
              <w:t>（2024年第4号</w:t>
            </w:r>
            <w:r>
              <w:rPr>
                <w:rFonts w:hint="default" w:ascii="Times New Roman" w:hAnsi="Times New Roman" w:eastAsia="宋体" w:cs="Times New Roman"/>
                <w:color w:val="auto"/>
                <w:spacing w:val="-53"/>
                <w:w w:val="85"/>
                <w:sz w:val="24"/>
                <w:szCs w:val="24"/>
                <w:highlight w:val="none"/>
              </w:rPr>
              <w:t>）</w:t>
            </w:r>
            <w:r>
              <w:rPr>
                <w:rFonts w:hint="default" w:ascii="Times New Roman" w:hAnsi="Times New Roman" w:eastAsia="宋体" w:cs="Times New Roman"/>
                <w:color w:val="auto"/>
                <w:spacing w:val="-44"/>
                <w:w w:val="70"/>
                <w:sz w:val="24"/>
                <w:szCs w:val="24"/>
                <w:highlight w:val="none"/>
              </w:rPr>
              <w:t>，</w:t>
            </w:r>
            <w:r>
              <w:rPr>
                <w:rFonts w:hint="default" w:ascii="Times New Roman" w:hAnsi="Times New Roman" w:eastAsia="宋体" w:cs="Times New Roman"/>
                <w:color w:val="auto"/>
                <w:spacing w:val="-7"/>
                <w:sz w:val="24"/>
                <w:szCs w:val="24"/>
                <w:highlight w:val="none"/>
              </w:rPr>
              <w:t>属于SW17 可再生类废物中非特定行业，</w:t>
            </w:r>
            <w:r>
              <w:rPr>
                <w:rFonts w:hint="default" w:ascii="Times New Roman" w:hAnsi="Times New Roman" w:eastAsia="宋体" w:cs="Times New Roman"/>
                <w:color w:val="auto"/>
                <w:spacing w:val="-8"/>
                <w:sz w:val="24"/>
                <w:szCs w:val="24"/>
                <w:highlight w:val="none"/>
              </w:rPr>
              <w:t>分类代码为：900-099-S17，</w:t>
            </w:r>
            <w:r>
              <w:rPr>
                <w:rFonts w:hint="default" w:ascii="Times New Roman" w:hAnsi="Times New Roman" w:eastAsia="宋体" w:cs="Times New Roman"/>
                <w:color w:val="auto"/>
                <w:spacing w:val="-1"/>
                <w:sz w:val="24"/>
                <w:szCs w:val="24"/>
                <w:highlight w:val="none"/>
              </w:rPr>
              <w:t>经收集后</w:t>
            </w:r>
            <w:r>
              <w:rPr>
                <w:rFonts w:hint="default" w:ascii="Times New Roman" w:hAnsi="Times New Roman" w:eastAsia="宋体" w:cs="Times New Roman"/>
                <w:color w:val="auto"/>
                <w:spacing w:val="-1"/>
                <w:sz w:val="24"/>
                <w:szCs w:val="24"/>
                <w:highlight w:val="none"/>
                <w:lang w:val="en-US" w:eastAsia="zh-CN"/>
              </w:rPr>
              <w:t>由厂家回收</w:t>
            </w:r>
            <w:r>
              <w:rPr>
                <w:rFonts w:hint="default" w:ascii="Times New Roman" w:hAnsi="Times New Roman" w:eastAsia="宋体" w:cs="Times New Roman"/>
                <w:color w:val="auto"/>
                <w:spacing w:val="-1"/>
                <w:sz w:val="24"/>
                <w:szCs w:val="24"/>
                <w:highlight w:val="none"/>
              </w:rPr>
              <w:t>。</w:t>
            </w:r>
          </w:p>
          <w:p w14:paraId="5B172A5C">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（6）废抛轮（S6）</w:t>
            </w:r>
          </w:p>
          <w:p w14:paraId="0926B068">
            <w:pPr>
              <w:keepNext w:val="0"/>
              <w:keepLines w:val="0"/>
              <w:pageBreakBefore w:val="0"/>
              <w:widowControl w:val="0"/>
              <w:kinsoku/>
              <w:wordWrap/>
              <w:overflowPunct/>
              <w:topLinePunct/>
              <w:autoSpaceDE w:val="0"/>
              <w:autoSpaceDN/>
              <w:bidi w:val="0"/>
              <w:adjustRightInd w:val="0"/>
              <w:snapToGrid w:val="0"/>
              <w:spacing w:line="360" w:lineRule="auto"/>
              <w:ind w:left="0" w:right="0" w:firstLine="49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项目</w:t>
            </w:r>
            <w:r>
              <w:rPr>
                <w:rFonts w:hint="default" w:ascii="Times New Roman" w:hAnsi="Times New Roman" w:eastAsia="宋体" w:cs="Times New Roman"/>
                <w:color w:val="auto"/>
                <w:spacing w:val="3"/>
                <w:sz w:val="24"/>
                <w:szCs w:val="24"/>
                <w:highlight w:val="none"/>
                <w:lang w:val="en-US" w:eastAsia="zh-CN"/>
              </w:rPr>
              <w:t>烫钻</w:t>
            </w:r>
            <w:r>
              <w:rPr>
                <w:rFonts w:hint="default" w:ascii="Times New Roman" w:hAnsi="Times New Roman" w:eastAsia="宋体" w:cs="Times New Roman"/>
                <w:color w:val="auto"/>
                <w:spacing w:val="3"/>
                <w:sz w:val="24"/>
                <w:szCs w:val="24"/>
                <w:highlight w:val="none"/>
              </w:rPr>
              <w:t>在打磨抛光过程中会用到抛轮，在其使用过程中磨损后会有废抛轮产</w:t>
            </w:r>
            <w:r>
              <w:rPr>
                <w:rFonts w:hint="default" w:ascii="Times New Roman" w:hAnsi="Times New Roman" w:eastAsia="宋体" w:cs="Times New Roman"/>
                <w:color w:val="auto"/>
                <w:spacing w:val="-3"/>
                <w:sz w:val="24"/>
                <w:szCs w:val="24"/>
                <w:highlight w:val="none"/>
              </w:rPr>
              <w:t>生，废抛轮产生量约为</w:t>
            </w:r>
            <w:r>
              <w:rPr>
                <w:rFonts w:hint="default" w:ascii="Times New Roman" w:hAnsi="Times New Roman" w:eastAsia="宋体" w:cs="Times New Roman"/>
                <w:color w:val="auto"/>
                <w:spacing w:val="-3"/>
                <w:sz w:val="24"/>
                <w:szCs w:val="24"/>
                <w:highlight w:val="none"/>
                <w:lang w:val="en-US" w:eastAsia="zh-CN"/>
              </w:rPr>
              <w:t>90</w:t>
            </w:r>
            <w:r>
              <w:rPr>
                <w:rFonts w:hint="default" w:ascii="Times New Roman" w:hAnsi="Times New Roman" w:eastAsia="宋体" w:cs="Times New Roman"/>
                <w:color w:val="auto"/>
                <w:spacing w:val="-3"/>
                <w:sz w:val="24"/>
                <w:szCs w:val="24"/>
                <w:highlight w:val="none"/>
              </w:rPr>
              <w:t>t/a。根据《固体废物分类与代码目录》（2024年第4号），属于SW17可再生类废物中非特定行业，分类代码为：900-099-S17，废抛轮回收后返</w:t>
            </w:r>
            <w:r>
              <w:rPr>
                <w:rFonts w:hint="default" w:ascii="Times New Roman" w:hAnsi="Times New Roman" w:eastAsia="宋体" w:cs="Times New Roman"/>
                <w:color w:val="auto"/>
                <w:spacing w:val="-1"/>
                <w:sz w:val="24"/>
                <w:szCs w:val="24"/>
                <w:highlight w:val="none"/>
              </w:rPr>
              <w:t>回至抛轮修复生产线，加工修复后重新投入使用。</w:t>
            </w:r>
          </w:p>
          <w:p w14:paraId="266F4CBE">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（7）残次品（S7）</w:t>
            </w:r>
          </w:p>
          <w:p w14:paraId="5ECDEDC3">
            <w:pPr>
              <w:keepNext w:val="0"/>
              <w:keepLines w:val="0"/>
              <w:pageBreakBefore w:val="0"/>
              <w:widowControl w:val="0"/>
              <w:kinsoku/>
              <w:wordWrap/>
              <w:overflowPunct/>
              <w:topLinePunct/>
              <w:autoSpaceDE w:val="0"/>
              <w:autoSpaceDN/>
              <w:bidi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烫钻清洗烘干后，对</w:t>
            </w:r>
            <w:r>
              <w:rPr>
                <w:rFonts w:hint="default" w:ascii="Times New Roman" w:hAnsi="Times New Roman" w:eastAsia="宋体" w:cs="Times New Roman"/>
                <w:color w:val="auto"/>
                <w:spacing w:val="-4"/>
                <w:sz w:val="24"/>
                <w:szCs w:val="24"/>
                <w:highlight w:val="none"/>
                <w:lang w:eastAsia="zh-CN"/>
              </w:rPr>
              <w:t>不</w:t>
            </w:r>
            <w:r>
              <w:rPr>
                <w:rFonts w:hint="default" w:ascii="Times New Roman" w:hAnsi="Times New Roman" w:eastAsia="宋体" w:cs="Times New Roman"/>
                <w:color w:val="auto"/>
                <w:spacing w:val="-4"/>
                <w:sz w:val="24"/>
                <w:szCs w:val="24"/>
                <w:highlight w:val="none"/>
                <w:lang w:val="en-US" w:eastAsia="zh-CN"/>
              </w:rPr>
              <w:t>符合</w:t>
            </w:r>
            <w:r>
              <w:rPr>
                <w:rFonts w:hint="default" w:ascii="Times New Roman" w:hAnsi="Times New Roman" w:eastAsia="宋体" w:cs="Times New Roman"/>
                <w:color w:val="auto"/>
                <w:spacing w:val="-4"/>
                <w:sz w:val="24"/>
                <w:szCs w:val="24"/>
                <w:highlight w:val="none"/>
              </w:rPr>
              <w:t>要求的钻进行检验分筛，会产生少量残次品，产生量约占产品的</w:t>
            </w:r>
            <w:r>
              <w:rPr>
                <w:rFonts w:hint="default" w:ascii="Times New Roman" w:hAnsi="Times New Roman" w:eastAsia="宋体" w:cs="Times New Roman"/>
                <w:color w:val="auto"/>
                <w:spacing w:val="-4"/>
                <w:sz w:val="24"/>
                <w:szCs w:val="24"/>
                <w:highlight w:val="none"/>
                <w:lang w:val="en-US" w:eastAsia="zh-CN"/>
              </w:rPr>
              <w:t>1%</w:t>
            </w:r>
            <w:r>
              <w:rPr>
                <w:rFonts w:hint="default" w:ascii="Times New Roman" w:hAnsi="Times New Roman" w:eastAsia="宋体" w:cs="Times New Roman"/>
                <w:color w:val="auto"/>
                <w:spacing w:val="-4"/>
                <w:sz w:val="24"/>
                <w:szCs w:val="24"/>
                <w:highlight w:val="none"/>
              </w:rPr>
              <w:t>，则烫钻产生量约</w:t>
            </w:r>
            <w:r>
              <w:rPr>
                <w:rFonts w:hint="default" w:ascii="Times New Roman" w:hAnsi="Times New Roman" w:eastAsia="宋体" w:cs="Times New Roman"/>
                <w:color w:val="auto"/>
                <w:spacing w:val="-4"/>
                <w:sz w:val="24"/>
                <w:szCs w:val="24"/>
                <w:highlight w:val="none"/>
                <w:lang w:val="en-US" w:eastAsia="zh-CN"/>
              </w:rPr>
              <w:t>60</w:t>
            </w:r>
            <w:r>
              <w:rPr>
                <w:rFonts w:hint="default" w:ascii="Times New Roman" w:hAnsi="Times New Roman" w:eastAsia="宋体" w:cs="Times New Roman"/>
                <w:color w:val="auto"/>
                <w:spacing w:val="-4"/>
                <w:sz w:val="24"/>
                <w:szCs w:val="24"/>
                <w:highlight w:val="none"/>
              </w:rPr>
              <w:t>t/a</w:t>
            </w:r>
            <w:r>
              <w:rPr>
                <w:rFonts w:hint="default" w:ascii="Times New Roman" w:hAnsi="Times New Roman" w:eastAsia="宋体" w:cs="Times New Roman"/>
                <w:color w:val="auto"/>
                <w:spacing w:val="-5"/>
                <w:sz w:val="24"/>
                <w:szCs w:val="24"/>
                <w:highlight w:val="none"/>
              </w:rPr>
              <w:t>。根据《固体废</w:t>
            </w:r>
            <w:r>
              <w:rPr>
                <w:rFonts w:hint="default" w:ascii="Times New Roman" w:hAnsi="Times New Roman" w:eastAsia="宋体" w:cs="Times New Roman"/>
                <w:color w:val="auto"/>
                <w:sz w:val="24"/>
                <w:szCs w:val="24"/>
                <w:highlight w:val="none"/>
              </w:rPr>
              <w:t>物分类与代码目录》（2024年第4号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属于</w:t>
            </w:r>
            <w:r>
              <w:rPr>
                <w:rFonts w:hint="default" w:ascii="Times New Roman" w:hAnsi="Times New Roman" w:eastAsia="宋体" w:cs="Times New Roman"/>
                <w:color w:val="auto"/>
                <w:spacing w:val="-43"/>
                <w:sz w:val="24"/>
                <w:szCs w:val="24"/>
                <w:highlight w:val="none"/>
              </w:rPr>
              <w:t xml:space="preserve"> </w:t>
            </w:r>
            <w:r>
              <w:rPr>
                <w:rFonts w:hint="default" w:ascii="Times New Roman" w:hAnsi="Times New Roman" w:eastAsia="宋体" w:cs="Times New Roman"/>
                <w:color w:val="auto"/>
                <w:sz w:val="24"/>
                <w:szCs w:val="24"/>
                <w:highlight w:val="none"/>
              </w:rPr>
              <w:t>SW17可再生类废物中非特定</w:t>
            </w:r>
            <w:r>
              <w:rPr>
                <w:rFonts w:hint="default" w:ascii="Times New Roman" w:hAnsi="Times New Roman" w:eastAsia="宋体" w:cs="Times New Roman"/>
                <w:color w:val="auto"/>
                <w:spacing w:val="-1"/>
                <w:sz w:val="24"/>
                <w:szCs w:val="24"/>
                <w:highlight w:val="none"/>
              </w:rPr>
              <w:t>行业，分类代码为：900-099-S17，残次品经收集后返</w:t>
            </w:r>
            <w:r>
              <w:rPr>
                <w:rFonts w:hint="default" w:ascii="Times New Roman" w:hAnsi="Times New Roman" w:eastAsia="宋体" w:cs="Times New Roman"/>
                <w:color w:val="auto"/>
                <w:spacing w:val="-2"/>
                <w:sz w:val="24"/>
                <w:szCs w:val="24"/>
                <w:highlight w:val="none"/>
              </w:rPr>
              <w:t>回</w:t>
            </w:r>
            <w:r>
              <w:rPr>
                <w:rFonts w:hint="eastAsia" w:cs="Times New Roman"/>
                <w:color w:val="auto"/>
                <w:spacing w:val="-2"/>
                <w:sz w:val="24"/>
                <w:szCs w:val="24"/>
                <w:highlight w:val="none"/>
                <w:lang w:eastAsia="zh-CN"/>
              </w:rPr>
              <w:t>珠胚生产</w:t>
            </w:r>
            <w:r>
              <w:rPr>
                <w:rFonts w:hint="default" w:ascii="Times New Roman" w:hAnsi="Times New Roman" w:eastAsia="宋体" w:cs="Times New Roman"/>
                <w:color w:val="auto"/>
                <w:spacing w:val="-2"/>
                <w:sz w:val="24"/>
                <w:szCs w:val="24"/>
                <w:highlight w:val="none"/>
              </w:rPr>
              <w:t>线</w:t>
            </w:r>
            <w:r>
              <w:rPr>
                <w:rFonts w:hint="default" w:ascii="Times New Roman" w:hAnsi="Times New Roman" w:eastAsia="宋体" w:cs="Times New Roman"/>
                <w:color w:val="auto"/>
                <w:spacing w:val="-1"/>
                <w:sz w:val="24"/>
                <w:szCs w:val="24"/>
                <w:highlight w:val="none"/>
              </w:rPr>
              <w:t>电熔炉再利用</w:t>
            </w:r>
            <w:r>
              <w:rPr>
                <w:rFonts w:hint="default" w:ascii="Times New Roman" w:hAnsi="Times New Roman" w:eastAsia="宋体" w:cs="Times New Roman"/>
                <w:color w:val="auto"/>
                <w:spacing w:val="-2"/>
                <w:sz w:val="24"/>
                <w:szCs w:val="24"/>
                <w:highlight w:val="none"/>
              </w:rPr>
              <w:t>。</w:t>
            </w:r>
          </w:p>
          <w:p w14:paraId="15CE8F92">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（8）废吸塑片边角料（S8）</w:t>
            </w:r>
          </w:p>
          <w:p w14:paraId="116FA925">
            <w:pPr>
              <w:keepNext w:val="0"/>
              <w:keepLines w:val="0"/>
              <w:pageBreakBefore w:val="0"/>
              <w:widowControl w:val="0"/>
              <w:kinsoku/>
              <w:wordWrap/>
              <w:overflowPunct/>
              <w:topLinePunct/>
              <w:autoSpaceDE w:val="0"/>
              <w:autoSpaceDN/>
              <w:bidi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在</w:t>
            </w:r>
            <w:r>
              <w:rPr>
                <w:rFonts w:hint="default" w:ascii="Times New Roman" w:hAnsi="Times New Roman" w:eastAsia="宋体" w:cs="Times New Roman"/>
                <w:color w:val="auto"/>
                <w:spacing w:val="-4"/>
                <w:sz w:val="24"/>
                <w:szCs w:val="24"/>
                <w:highlight w:val="none"/>
                <w:lang w:val="en-US" w:eastAsia="zh-CN"/>
              </w:rPr>
              <w:t>切边机切边</w:t>
            </w:r>
            <w:r>
              <w:rPr>
                <w:rFonts w:hint="default" w:ascii="Times New Roman" w:hAnsi="Times New Roman" w:eastAsia="宋体" w:cs="Times New Roman"/>
                <w:color w:val="auto"/>
                <w:spacing w:val="-4"/>
                <w:sz w:val="24"/>
                <w:szCs w:val="24"/>
                <w:highlight w:val="none"/>
              </w:rPr>
              <w:t>后产生废吸塑片</w:t>
            </w:r>
            <w:r>
              <w:rPr>
                <w:rFonts w:hint="default" w:ascii="Times New Roman" w:hAnsi="Times New Roman" w:eastAsia="宋体" w:cs="Times New Roman"/>
                <w:color w:val="auto"/>
                <w:spacing w:val="-4"/>
                <w:sz w:val="24"/>
                <w:szCs w:val="24"/>
                <w:highlight w:val="none"/>
                <w:lang w:val="en-US" w:eastAsia="zh-CN"/>
              </w:rPr>
              <w:t>边角料（圈片及碎屑）</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此部分吸塑</w:t>
            </w:r>
            <w:r>
              <w:rPr>
                <w:rFonts w:hint="default" w:ascii="Times New Roman" w:hAnsi="Times New Roman" w:eastAsia="宋体" w:cs="Times New Roman"/>
                <w:color w:val="auto"/>
                <w:sz w:val="24"/>
                <w:szCs w:val="24"/>
                <w:highlight w:val="none"/>
              </w:rPr>
              <w:t>片产生量约为</w:t>
            </w:r>
            <w:r>
              <w:rPr>
                <w:rFonts w:hint="default" w:ascii="Times New Roman" w:hAnsi="Times New Roman" w:eastAsia="宋体"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rPr>
              <w:t>t/a。根据《固体废物分类与代码目录》（2024年第4号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12"/>
                <w:sz w:val="24"/>
                <w:szCs w:val="24"/>
                <w:highlight w:val="none"/>
              </w:rPr>
              <w:t>，</w:t>
            </w:r>
            <w:r>
              <w:rPr>
                <w:rFonts w:hint="default" w:ascii="Times New Roman" w:hAnsi="Times New Roman" w:eastAsia="宋体" w:cs="Times New Roman"/>
                <w:color w:val="auto"/>
                <w:spacing w:val="-1"/>
                <w:sz w:val="24"/>
                <w:szCs w:val="24"/>
                <w:highlight w:val="none"/>
              </w:rPr>
              <w:t>属于</w:t>
            </w:r>
            <w:r>
              <w:rPr>
                <w:rFonts w:hint="default" w:ascii="Times New Roman" w:hAnsi="Times New Roman" w:eastAsia="宋体" w:cs="Times New Roman"/>
                <w:color w:val="auto"/>
                <w:spacing w:val="-3"/>
                <w:sz w:val="24"/>
                <w:szCs w:val="24"/>
                <w:highlight w:val="none"/>
              </w:rPr>
              <w:t>SW17可再生类废物中非特定行业，分类代码为：900-0</w:t>
            </w:r>
            <w:r>
              <w:rPr>
                <w:rFonts w:hint="default" w:ascii="Times New Roman" w:hAnsi="Times New Roman" w:eastAsia="宋体" w:cs="Times New Roman"/>
                <w:color w:val="auto"/>
                <w:spacing w:val="-3"/>
                <w:sz w:val="24"/>
                <w:szCs w:val="24"/>
                <w:highlight w:val="none"/>
                <w:lang w:val="en-US" w:eastAsia="zh-CN"/>
              </w:rPr>
              <w:t>03</w:t>
            </w:r>
            <w:r>
              <w:rPr>
                <w:rFonts w:hint="default" w:ascii="Times New Roman" w:hAnsi="Times New Roman" w:eastAsia="宋体" w:cs="Times New Roman"/>
                <w:color w:val="auto"/>
                <w:spacing w:val="-3"/>
                <w:sz w:val="24"/>
                <w:szCs w:val="24"/>
                <w:highlight w:val="none"/>
              </w:rPr>
              <w:t>-S17，收集后直接返回吸塑</w:t>
            </w:r>
            <w:r>
              <w:rPr>
                <w:rFonts w:hint="default" w:ascii="Times New Roman" w:hAnsi="Times New Roman" w:eastAsia="宋体" w:cs="Times New Roman"/>
                <w:color w:val="auto"/>
                <w:spacing w:val="-2"/>
                <w:sz w:val="24"/>
                <w:szCs w:val="24"/>
                <w:highlight w:val="none"/>
              </w:rPr>
              <w:t>片生产线</w:t>
            </w:r>
            <w:r>
              <w:rPr>
                <w:rFonts w:hint="default" w:ascii="Times New Roman" w:hAnsi="Times New Roman" w:eastAsia="宋体" w:cs="Times New Roman"/>
                <w:color w:val="auto"/>
                <w:spacing w:val="-2"/>
                <w:sz w:val="24"/>
                <w:szCs w:val="24"/>
                <w:highlight w:val="none"/>
                <w:lang w:val="en-US" w:eastAsia="zh-CN"/>
              </w:rPr>
              <w:t>再利用</w:t>
            </w:r>
            <w:r>
              <w:rPr>
                <w:rFonts w:hint="default" w:ascii="Times New Roman" w:hAnsi="Times New Roman" w:eastAsia="宋体" w:cs="Times New Roman"/>
                <w:color w:val="auto"/>
                <w:spacing w:val="-2"/>
                <w:sz w:val="24"/>
                <w:szCs w:val="24"/>
                <w:highlight w:val="none"/>
              </w:rPr>
              <w:t>。</w:t>
            </w:r>
          </w:p>
          <w:p w14:paraId="03183E6D">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（9）烫钻废吸塑片（S9）</w:t>
            </w:r>
          </w:p>
          <w:p w14:paraId="63E63F0D">
            <w:pPr>
              <w:keepNext w:val="0"/>
              <w:keepLines w:val="0"/>
              <w:pageBreakBefore w:val="0"/>
              <w:widowControl w:val="0"/>
              <w:kinsoku/>
              <w:wordWrap/>
              <w:overflowPunct/>
              <w:topLinePunct/>
              <w:autoSpaceDE w:val="0"/>
              <w:autoSpaceDN/>
              <w:bidi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lang w:val="en-US" w:eastAsia="zh-CN"/>
              </w:rPr>
              <w:t>在切片后</w:t>
            </w:r>
            <w:r>
              <w:rPr>
                <w:rFonts w:hint="default" w:ascii="Times New Roman" w:hAnsi="Times New Roman" w:eastAsia="宋体" w:cs="Times New Roman"/>
                <w:color w:val="auto"/>
                <w:spacing w:val="-4"/>
                <w:sz w:val="24"/>
                <w:szCs w:val="24"/>
                <w:highlight w:val="none"/>
              </w:rPr>
              <w:t>将</w:t>
            </w:r>
            <w:r>
              <w:rPr>
                <w:rFonts w:hint="eastAsia" w:cs="Times New Roman"/>
                <w:color w:val="auto"/>
                <w:spacing w:val="-4"/>
                <w:sz w:val="24"/>
                <w:szCs w:val="24"/>
                <w:highlight w:val="none"/>
                <w:lang w:eastAsia="zh-CN"/>
              </w:rPr>
              <w:t>珠胚</w:t>
            </w:r>
            <w:r>
              <w:rPr>
                <w:rFonts w:hint="default" w:ascii="Times New Roman" w:hAnsi="Times New Roman" w:eastAsia="宋体" w:cs="Times New Roman"/>
                <w:color w:val="auto"/>
                <w:spacing w:val="-4"/>
                <w:sz w:val="24"/>
                <w:szCs w:val="24"/>
                <w:highlight w:val="none"/>
              </w:rPr>
              <w:t>从吸塑片上取下后，便产生了废吸塑片</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lang w:val="en-US" w:eastAsia="zh-CN"/>
              </w:rPr>
              <w:t>网片</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此部分吸塑</w:t>
            </w:r>
            <w:r>
              <w:rPr>
                <w:rFonts w:hint="default" w:ascii="Times New Roman" w:hAnsi="Times New Roman" w:eastAsia="宋体" w:cs="Times New Roman"/>
                <w:color w:val="auto"/>
                <w:sz w:val="24"/>
                <w:szCs w:val="24"/>
                <w:highlight w:val="none"/>
              </w:rPr>
              <w:t>片产生量约为</w:t>
            </w:r>
            <w:r>
              <w:rPr>
                <w:rFonts w:hint="default" w:ascii="Times New Roman" w:hAnsi="Times New Roman" w:eastAsia="宋体" w:cs="Times New Roman"/>
                <w:color w:val="auto"/>
                <w:sz w:val="24"/>
                <w:szCs w:val="24"/>
                <w:highlight w:val="none"/>
                <w:lang w:val="en-US" w:eastAsia="zh-CN"/>
              </w:rPr>
              <w:t>3760</w:t>
            </w:r>
            <w:r>
              <w:rPr>
                <w:rFonts w:hint="default" w:ascii="Times New Roman" w:hAnsi="Times New Roman" w:eastAsia="宋体" w:cs="Times New Roman"/>
                <w:color w:val="auto"/>
                <w:sz w:val="24"/>
                <w:szCs w:val="24"/>
                <w:highlight w:val="none"/>
              </w:rPr>
              <w:t>t/a。根据《固体废物分类与代码目录》（2024年第4号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12"/>
                <w:sz w:val="24"/>
                <w:szCs w:val="24"/>
                <w:highlight w:val="none"/>
              </w:rPr>
              <w:t>，</w:t>
            </w:r>
            <w:r>
              <w:rPr>
                <w:rFonts w:hint="default" w:ascii="Times New Roman" w:hAnsi="Times New Roman" w:eastAsia="宋体" w:cs="Times New Roman"/>
                <w:color w:val="auto"/>
                <w:spacing w:val="-1"/>
                <w:sz w:val="24"/>
                <w:szCs w:val="24"/>
                <w:highlight w:val="none"/>
              </w:rPr>
              <w:t>属于</w:t>
            </w:r>
            <w:r>
              <w:rPr>
                <w:rFonts w:hint="default" w:ascii="Times New Roman" w:hAnsi="Times New Roman" w:eastAsia="宋体" w:cs="Times New Roman"/>
                <w:color w:val="auto"/>
                <w:spacing w:val="-3"/>
                <w:sz w:val="24"/>
                <w:szCs w:val="24"/>
                <w:highlight w:val="none"/>
              </w:rPr>
              <w:t>SW17可再生类废物中非特定行业，分类代码为：900-0</w:t>
            </w:r>
            <w:r>
              <w:rPr>
                <w:rFonts w:hint="default" w:ascii="Times New Roman" w:hAnsi="Times New Roman" w:eastAsia="宋体" w:cs="Times New Roman"/>
                <w:color w:val="auto"/>
                <w:spacing w:val="-3"/>
                <w:sz w:val="24"/>
                <w:szCs w:val="24"/>
                <w:highlight w:val="none"/>
                <w:lang w:val="en-US" w:eastAsia="zh-CN"/>
              </w:rPr>
              <w:t>03</w:t>
            </w:r>
            <w:r>
              <w:rPr>
                <w:rFonts w:hint="default" w:ascii="Times New Roman" w:hAnsi="Times New Roman" w:eastAsia="宋体" w:cs="Times New Roman"/>
                <w:color w:val="auto"/>
                <w:spacing w:val="-3"/>
                <w:sz w:val="24"/>
                <w:szCs w:val="24"/>
                <w:highlight w:val="none"/>
              </w:rPr>
              <w:t>-S17，收集后直接返回吸塑</w:t>
            </w:r>
            <w:r>
              <w:rPr>
                <w:rFonts w:hint="default" w:ascii="Times New Roman" w:hAnsi="Times New Roman" w:eastAsia="宋体" w:cs="Times New Roman"/>
                <w:color w:val="auto"/>
                <w:spacing w:val="-2"/>
                <w:sz w:val="24"/>
                <w:szCs w:val="24"/>
                <w:highlight w:val="none"/>
              </w:rPr>
              <w:t>片生产线</w:t>
            </w:r>
            <w:r>
              <w:rPr>
                <w:rFonts w:hint="default" w:ascii="Times New Roman" w:hAnsi="Times New Roman" w:eastAsia="宋体" w:cs="Times New Roman"/>
                <w:color w:val="auto"/>
                <w:spacing w:val="-2"/>
                <w:sz w:val="24"/>
                <w:szCs w:val="24"/>
                <w:highlight w:val="none"/>
                <w:lang w:val="en-US" w:eastAsia="zh-CN"/>
              </w:rPr>
              <w:t>再利用</w:t>
            </w:r>
            <w:r>
              <w:rPr>
                <w:rFonts w:hint="default" w:ascii="Times New Roman" w:hAnsi="Times New Roman" w:eastAsia="宋体" w:cs="Times New Roman"/>
                <w:color w:val="auto"/>
                <w:spacing w:val="-2"/>
                <w:sz w:val="24"/>
                <w:szCs w:val="24"/>
                <w:highlight w:val="none"/>
              </w:rPr>
              <w:t>。</w:t>
            </w:r>
          </w:p>
          <w:p w14:paraId="7B2A10EA">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（10）沉渣（S10、S11、S12）</w:t>
            </w:r>
          </w:p>
          <w:p w14:paraId="07C1F70A">
            <w:pPr>
              <w:keepNext w:val="0"/>
              <w:keepLines w:val="0"/>
              <w:pageBreakBefore w:val="0"/>
              <w:widowControl w:val="0"/>
              <w:kinsoku/>
              <w:wordWrap/>
              <w:overflowPunct/>
              <w:topLinePunct/>
              <w:autoSpaceDE w:val="0"/>
              <w:autoSpaceDN/>
              <w:bidi w:val="0"/>
              <w:adjustRightInd w:val="0"/>
              <w:snapToGrid w:val="0"/>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w:t>
            </w:r>
            <w:r>
              <w:rPr>
                <w:rFonts w:hint="eastAsia" w:cs="Times New Roman"/>
                <w:color w:val="auto"/>
                <w:spacing w:val="-8"/>
                <w:sz w:val="24"/>
                <w:szCs w:val="24"/>
                <w:highlight w:val="none"/>
                <w:lang w:val="en-US" w:eastAsia="zh-CN"/>
              </w:rPr>
              <w:t>珠胚</w:t>
            </w:r>
            <w:r>
              <w:rPr>
                <w:rFonts w:hint="default" w:ascii="Times New Roman" w:hAnsi="Times New Roman" w:eastAsia="宋体" w:cs="Times New Roman"/>
                <w:color w:val="auto"/>
                <w:spacing w:val="-1"/>
                <w:sz w:val="24"/>
                <w:szCs w:val="24"/>
                <w:highlight w:val="none"/>
              </w:rPr>
              <w:t>循环</w:t>
            </w:r>
            <w:r>
              <w:rPr>
                <w:rFonts w:hint="default" w:ascii="Times New Roman" w:hAnsi="Times New Roman" w:eastAsia="宋体" w:cs="Times New Roman"/>
                <w:color w:val="auto"/>
                <w:spacing w:val="-1"/>
                <w:sz w:val="24"/>
                <w:szCs w:val="24"/>
                <w:highlight w:val="none"/>
                <w:lang w:val="en-US" w:eastAsia="zh-CN"/>
              </w:rPr>
              <w:t>水</w:t>
            </w:r>
            <w:r>
              <w:rPr>
                <w:rFonts w:hint="default" w:ascii="Times New Roman" w:hAnsi="Times New Roman" w:eastAsia="宋体" w:cs="Times New Roman"/>
                <w:color w:val="auto"/>
                <w:spacing w:val="-1"/>
                <w:sz w:val="24"/>
                <w:szCs w:val="24"/>
                <w:highlight w:val="none"/>
              </w:rPr>
              <w:t>池</w:t>
            </w:r>
            <w:r>
              <w:rPr>
                <w:rFonts w:hint="eastAsia"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eastAsia="zh-CN"/>
              </w:rPr>
              <w:t>磨抛</w:t>
            </w:r>
            <w:r>
              <w:rPr>
                <w:rFonts w:hint="default" w:ascii="Times New Roman" w:hAnsi="Times New Roman" w:eastAsia="宋体" w:cs="Times New Roman"/>
                <w:color w:val="auto"/>
                <w:spacing w:val="-1"/>
                <w:sz w:val="24"/>
                <w:szCs w:val="24"/>
                <w:highlight w:val="none"/>
              </w:rPr>
              <w:t>循环</w:t>
            </w:r>
            <w:r>
              <w:rPr>
                <w:rFonts w:hint="default" w:ascii="Times New Roman" w:hAnsi="Times New Roman" w:eastAsia="宋体" w:cs="Times New Roman"/>
                <w:color w:val="auto"/>
                <w:spacing w:val="-1"/>
                <w:sz w:val="24"/>
                <w:szCs w:val="24"/>
                <w:highlight w:val="none"/>
                <w:lang w:val="en-US" w:eastAsia="zh-CN"/>
              </w:rPr>
              <w:t>水</w:t>
            </w:r>
            <w:r>
              <w:rPr>
                <w:rFonts w:hint="default" w:ascii="Times New Roman" w:hAnsi="Times New Roman" w:eastAsia="宋体" w:cs="Times New Roman"/>
                <w:color w:val="auto"/>
                <w:spacing w:val="-1"/>
                <w:sz w:val="24"/>
                <w:szCs w:val="24"/>
                <w:highlight w:val="none"/>
              </w:rPr>
              <w:t>池、</w:t>
            </w:r>
            <w:r>
              <w:rPr>
                <w:rFonts w:hint="default" w:ascii="Times New Roman" w:hAnsi="Times New Roman" w:eastAsia="宋体" w:cs="Times New Roman"/>
                <w:color w:val="auto"/>
                <w:spacing w:val="-2"/>
                <w:sz w:val="24"/>
                <w:szCs w:val="24"/>
                <w:highlight w:val="none"/>
              </w:rPr>
              <w:t>圆磨循环</w:t>
            </w:r>
            <w:r>
              <w:rPr>
                <w:rFonts w:hint="default" w:ascii="Times New Roman" w:hAnsi="Times New Roman" w:eastAsia="宋体" w:cs="Times New Roman"/>
                <w:color w:val="auto"/>
                <w:spacing w:val="-2"/>
                <w:sz w:val="24"/>
                <w:szCs w:val="24"/>
                <w:highlight w:val="none"/>
                <w:lang w:val="en-US" w:eastAsia="zh-CN"/>
              </w:rPr>
              <w:t>水</w:t>
            </w:r>
            <w:r>
              <w:rPr>
                <w:rFonts w:hint="default" w:ascii="Times New Roman" w:hAnsi="Times New Roman" w:eastAsia="宋体" w:cs="Times New Roman"/>
                <w:color w:val="auto"/>
                <w:spacing w:val="-2"/>
                <w:sz w:val="24"/>
                <w:szCs w:val="24"/>
                <w:highlight w:val="none"/>
              </w:rPr>
              <w:t>池</w:t>
            </w:r>
            <w:r>
              <w:rPr>
                <w:rFonts w:hint="default" w:ascii="Times New Roman" w:hAnsi="Times New Roman" w:eastAsia="宋体" w:cs="Times New Roman"/>
                <w:color w:val="auto"/>
                <w:spacing w:val="-8"/>
                <w:sz w:val="24"/>
                <w:szCs w:val="24"/>
                <w:highlight w:val="none"/>
              </w:rPr>
              <w:t>主要处理</w:t>
            </w:r>
            <w:r>
              <w:rPr>
                <w:rFonts w:hint="eastAsia" w:cs="Times New Roman"/>
                <w:color w:val="auto"/>
                <w:spacing w:val="-8"/>
                <w:sz w:val="24"/>
                <w:szCs w:val="24"/>
                <w:highlight w:val="none"/>
                <w:lang w:val="en-US" w:eastAsia="zh-CN"/>
              </w:rPr>
              <w:t>珠胚</w:t>
            </w:r>
            <w:r>
              <w:rPr>
                <w:rFonts w:hint="default" w:ascii="Times New Roman" w:hAnsi="Times New Roman" w:eastAsia="宋体" w:cs="Times New Roman"/>
                <w:color w:val="auto"/>
                <w:spacing w:val="-8"/>
                <w:sz w:val="24"/>
                <w:szCs w:val="24"/>
                <w:highlight w:val="none"/>
              </w:rPr>
              <w:t>清洗、</w:t>
            </w:r>
            <w:r>
              <w:rPr>
                <w:rFonts w:hint="default" w:ascii="Times New Roman" w:hAnsi="Times New Roman" w:eastAsia="宋体" w:cs="Times New Roman"/>
                <w:color w:val="auto"/>
                <w:spacing w:val="-8"/>
                <w:sz w:val="24"/>
                <w:szCs w:val="24"/>
                <w:highlight w:val="none"/>
                <w:lang w:eastAsia="zh-CN"/>
              </w:rPr>
              <w:t>磨抛</w:t>
            </w:r>
            <w:r>
              <w:rPr>
                <w:rFonts w:hint="default" w:ascii="Times New Roman" w:hAnsi="Times New Roman" w:eastAsia="宋体" w:cs="Times New Roman"/>
                <w:color w:val="auto"/>
                <w:spacing w:val="-8"/>
                <w:sz w:val="24"/>
                <w:szCs w:val="24"/>
                <w:highlight w:val="none"/>
              </w:rPr>
              <w:t>及圆磨废水，废水中含有大量的沉渣。根据项目总物料平衡分析，</w:t>
            </w:r>
            <w:r>
              <w:rPr>
                <w:rFonts w:hint="eastAsia" w:cs="Times New Roman"/>
                <w:color w:val="auto"/>
                <w:spacing w:val="-8"/>
                <w:sz w:val="24"/>
                <w:szCs w:val="24"/>
                <w:highlight w:val="none"/>
                <w:lang w:val="en-US" w:eastAsia="zh-CN"/>
              </w:rPr>
              <w:t>珠胚</w:t>
            </w:r>
            <w:r>
              <w:rPr>
                <w:rFonts w:hint="eastAsia" w:cs="Times New Roman"/>
                <w:color w:val="auto"/>
                <w:spacing w:val="19"/>
                <w:sz w:val="24"/>
                <w:szCs w:val="24"/>
                <w:highlight w:val="none"/>
                <w:lang w:eastAsia="zh-CN"/>
              </w:rPr>
              <w:t>循环水池</w:t>
            </w:r>
            <w:r>
              <w:rPr>
                <w:rFonts w:hint="default" w:ascii="Times New Roman" w:hAnsi="Times New Roman" w:eastAsia="宋体" w:cs="Times New Roman"/>
                <w:color w:val="auto"/>
                <w:spacing w:val="19"/>
                <w:sz w:val="24"/>
                <w:szCs w:val="24"/>
                <w:highlight w:val="none"/>
              </w:rPr>
              <w:t>沉渣</w:t>
            </w:r>
            <w:r>
              <w:rPr>
                <w:rFonts w:hint="default" w:ascii="Times New Roman" w:hAnsi="Times New Roman" w:eastAsia="宋体" w:cs="Times New Roman"/>
                <w:color w:val="auto"/>
                <w:spacing w:val="-1"/>
                <w:sz w:val="24"/>
                <w:szCs w:val="24"/>
                <w:highlight w:val="none"/>
              </w:rPr>
              <w:t>（S</w:t>
            </w:r>
            <w:r>
              <w:rPr>
                <w:rFonts w:hint="default" w:ascii="Times New Roman" w:hAnsi="Times New Roman" w:eastAsia="宋体" w:cs="Times New Roman"/>
                <w:color w:val="auto"/>
                <w:spacing w:val="-1"/>
                <w:sz w:val="24"/>
                <w:szCs w:val="24"/>
                <w:highlight w:val="none"/>
                <w:lang w:val="en-US" w:eastAsia="zh-CN"/>
              </w:rPr>
              <w:t>10</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9"/>
                <w:sz w:val="24"/>
                <w:szCs w:val="24"/>
                <w:highlight w:val="none"/>
              </w:rPr>
              <w:t>产生量</w:t>
            </w:r>
            <w:r>
              <w:rPr>
                <w:rFonts w:hint="default" w:ascii="Times New Roman" w:hAnsi="Times New Roman" w:eastAsia="宋体" w:cs="Times New Roman"/>
                <w:color w:val="auto"/>
                <w:spacing w:val="-72"/>
                <w:sz w:val="24"/>
                <w:szCs w:val="24"/>
                <w:highlight w:val="none"/>
              </w:rPr>
              <w:t xml:space="preserve"> </w:t>
            </w:r>
            <w:r>
              <w:rPr>
                <w:rFonts w:hint="default" w:ascii="Times New Roman" w:hAnsi="Times New Roman" w:eastAsia="宋体" w:cs="Times New Roman"/>
                <w:color w:val="auto"/>
                <w:spacing w:val="19"/>
                <w:sz w:val="24"/>
                <w:szCs w:val="24"/>
                <w:highlight w:val="none"/>
              </w:rPr>
              <w:t>约为</w:t>
            </w:r>
            <w:r>
              <w:rPr>
                <w:rFonts w:hint="eastAsia" w:cs="Times New Roman"/>
                <w:color w:val="auto"/>
                <w:spacing w:val="19"/>
                <w:sz w:val="24"/>
                <w:szCs w:val="24"/>
                <w:highlight w:val="none"/>
                <w:lang w:val="en-US" w:eastAsia="zh-CN"/>
              </w:rPr>
              <w:t>7.68</w:t>
            </w:r>
            <w:r>
              <w:rPr>
                <w:rFonts w:hint="default" w:ascii="Times New Roman" w:hAnsi="Times New Roman" w:eastAsia="宋体" w:cs="Times New Roman"/>
                <w:color w:val="auto"/>
                <w:spacing w:val="19"/>
                <w:sz w:val="24"/>
                <w:szCs w:val="24"/>
                <w:highlight w:val="none"/>
              </w:rPr>
              <w:t>t/a</w:t>
            </w:r>
            <w:r>
              <w:rPr>
                <w:rFonts w:hint="eastAsia" w:cs="Times New Roman"/>
                <w:color w:val="auto"/>
                <w:spacing w:val="19"/>
                <w:sz w:val="24"/>
                <w:szCs w:val="24"/>
                <w:highlight w:val="none"/>
                <w:lang w:eastAsia="zh-CN"/>
              </w:rPr>
              <w:t>，</w:t>
            </w:r>
            <w:r>
              <w:rPr>
                <w:rFonts w:hint="default" w:ascii="Times New Roman" w:hAnsi="Times New Roman" w:eastAsia="宋体" w:cs="Times New Roman"/>
                <w:color w:val="auto"/>
                <w:spacing w:val="19"/>
                <w:sz w:val="24"/>
                <w:szCs w:val="24"/>
                <w:highlight w:val="none"/>
                <w:lang w:eastAsia="zh-CN"/>
              </w:rPr>
              <w:t>磨抛</w:t>
            </w:r>
            <w:r>
              <w:rPr>
                <w:rFonts w:hint="eastAsia" w:cs="Times New Roman"/>
                <w:color w:val="auto"/>
                <w:spacing w:val="19"/>
                <w:sz w:val="24"/>
                <w:szCs w:val="24"/>
                <w:highlight w:val="none"/>
                <w:lang w:eastAsia="zh-CN"/>
              </w:rPr>
              <w:t>循环水池</w:t>
            </w:r>
            <w:r>
              <w:rPr>
                <w:rFonts w:hint="default" w:ascii="Times New Roman" w:hAnsi="Times New Roman" w:eastAsia="宋体" w:cs="Times New Roman"/>
                <w:color w:val="auto"/>
                <w:spacing w:val="19"/>
                <w:sz w:val="24"/>
                <w:szCs w:val="24"/>
                <w:highlight w:val="none"/>
              </w:rPr>
              <w:t>沉渣</w:t>
            </w:r>
            <w:r>
              <w:rPr>
                <w:rFonts w:hint="default" w:ascii="Times New Roman" w:hAnsi="Times New Roman" w:eastAsia="宋体" w:cs="Times New Roman"/>
                <w:color w:val="auto"/>
                <w:spacing w:val="-1"/>
                <w:sz w:val="24"/>
                <w:szCs w:val="24"/>
                <w:highlight w:val="none"/>
              </w:rPr>
              <w:t>（S</w:t>
            </w:r>
            <w:r>
              <w:rPr>
                <w:rFonts w:hint="default" w:ascii="Times New Roman" w:hAnsi="Times New Roman" w:eastAsia="宋体" w:cs="Times New Roman"/>
                <w:color w:val="auto"/>
                <w:spacing w:val="-1"/>
                <w:sz w:val="24"/>
                <w:szCs w:val="24"/>
                <w:highlight w:val="none"/>
                <w:lang w:val="en-US" w:eastAsia="zh-CN"/>
              </w:rPr>
              <w:t>11</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9"/>
                <w:sz w:val="24"/>
                <w:szCs w:val="24"/>
                <w:highlight w:val="none"/>
              </w:rPr>
              <w:t>产</w:t>
            </w:r>
            <w:r>
              <w:rPr>
                <w:rFonts w:hint="default" w:ascii="Times New Roman" w:hAnsi="Times New Roman" w:eastAsia="宋体" w:cs="Times New Roman"/>
                <w:color w:val="auto"/>
                <w:spacing w:val="18"/>
                <w:sz w:val="24"/>
                <w:szCs w:val="24"/>
                <w:highlight w:val="none"/>
              </w:rPr>
              <w:t>生量</w:t>
            </w:r>
            <w:r>
              <w:rPr>
                <w:rFonts w:hint="default" w:ascii="Times New Roman" w:hAnsi="Times New Roman" w:eastAsia="宋体" w:cs="Times New Roman"/>
                <w:color w:val="auto"/>
                <w:spacing w:val="-71"/>
                <w:sz w:val="24"/>
                <w:szCs w:val="24"/>
                <w:highlight w:val="none"/>
              </w:rPr>
              <w:t xml:space="preserve"> </w:t>
            </w:r>
            <w:r>
              <w:rPr>
                <w:rFonts w:hint="default" w:ascii="Times New Roman" w:hAnsi="Times New Roman" w:eastAsia="宋体" w:cs="Times New Roman"/>
                <w:color w:val="auto"/>
                <w:spacing w:val="18"/>
                <w:sz w:val="24"/>
                <w:szCs w:val="24"/>
                <w:highlight w:val="none"/>
              </w:rPr>
              <w:t>约为</w:t>
            </w:r>
            <w:r>
              <w:rPr>
                <w:rFonts w:hint="eastAsia" w:cs="Times New Roman"/>
                <w:color w:val="auto"/>
                <w:spacing w:val="18"/>
                <w:sz w:val="24"/>
                <w:szCs w:val="24"/>
                <w:highlight w:val="none"/>
                <w:lang w:val="en-US" w:eastAsia="zh-CN"/>
              </w:rPr>
              <w:t>4173.75</w:t>
            </w:r>
            <w:r>
              <w:rPr>
                <w:rFonts w:hint="default" w:ascii="Times New Roman" w:hAnsi="Times New Roman" w:eastAsia="宋体" w:cs="Times New Roman"/>
                <w:color w:val="auto"/>
                <w:spacing w:val="-2"/>
                <w:sz w:val="24"/>
                <w:szCs w:val="24"/>
                <w:highlight w:val="none"/>
              </w:rPr>
              <w:t>t/a</w:t>
            </w:r>
            <w:r>
              <w:rPr>
                <w:rFonts w:hint="eastAsia"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圆磨</w:t>
            </w:r>
            <w:r>
              <w:rPr>
                <w:rFonts w:hint="eastAsia" w:cs="Times New Roman"/>
                <w:color w:val="auto"/>
                <w:spacing w:val="-2"/>
                <w:sz w:val="24"/>
                <w:szCs w:val="24"/>
                <w:highlight w:val="none"/>
                <w:lang w:eastAsia="zh-CN"/>
              </w:rPr>
              <w:t>循环水池</w:t>
            </w:r>
            <w:r>
              <w:rPr>
                <w:rFonts w:hint="default" w:ascii="Times New Roman" w:hAnsi="Times New Roman" w:eastAsia="宋体" w:cs="Times New Roman"/>
                <w:color w:val="auto"/>
                <w:spacing w:val="-2"/>
                <w:sz w:val="24"/>
                <w:szCs w:val="24"/>
                <w:highlight w:val="none"/>
              </w:rPr>
              <w:t>沉渣（S</w:t>
            </w:r>
            <w:r>
              <w:rPr>
                <w:rFonts w:hint="default" w:ascii="Times New Roman" w:hAnsi="Times New Roman" w:eastAsia="宋体" w:cs="Times New Roman"/>
                <w:color w:val="auto"/>
                <w:spacing w:val="-2"/>
                <w:sz w:val="24"/>
                <w:szCs w:val="24"/>
                <w:highlight w:val="none"/>
                <w:lang w:val="en-US" w:eastAsia="zh-CN"/>
              </w:rPr>
              <w:t>12）</w:t>
            </w:r>
            <w:r>
              <w:rPr>
                <w:rFonts w:hint="default" w:ascii="Times New Roman" w:hAnsi="Times New Roman" w:eastAsia="宋体" w:cs="Times New Roman"/>
                <w:color w:val="auto"/>
                <w:spacing w:val="-2"/>
                <w:sz w:val="24"/>
                <w:szCs w:val="24"/>
                <w:highlight w:val="none"/>
              </w:rPr>
              <w:t>产生量约为</w:t>
            </w:r>
            <w:r>
              <w:rPr>
                <w:rFonts w:hint="eastAsia" w:cs="Times New Roman"/>
                <w:color w:val="auto"/>
                <w:spacing w:val="-2"/>
                <w:sz w:val="24"/>
                <w:szCs w:val="24"/>
                <w:highlight w:val="none"/>
                <w:lang w:val="en-US" w:eastAsia="zh-CN"/>
              </w:rPr>
              <w:t>4691.5</w:t>
            </w:r>
            <w:r>
              <w:rPr>
                <w:rFonts w:hint="default" w:ascii="Times New Roman" w:hAnsi="Times New Roman" w:eastAsia="宋体" w:cs="Times New Roman"/>
                <w:color w:val="auto"/>
                <w:spacing w:val="-2"/>
                <w:sz w:val="24"/>
                <w:szCs w:val="24"/>
                <w:highlight w:val="none"/>
              </w:rPr>
              <w:t>t/a。各</w:t>
            </w:r>
            <w:r>
              <w:rPr>
                <w:rFonts w:hint="eastAsia" w:cs="Times New Roman"/>
                <w:color w:val="auto"/>
                <w:spacing w:val="-2"/>
                <w:sz w:val="24"/>
                <w:szCs w:val="24"/>
                <w:highlight w:val="none"/>
                <w:lang w:val="en-US" w:eastAsia="zh-CN"/>
              </w:rPr>
              <w:t>循环水池</w:t>
            </w:r>
            <w:r>
              <w:rPr>
                <w:rFonts w:hint="default" w:ascii="Times New Roman" w:hAnsi="Times New Roman" w:eastAsia="宋体" w:cs="Times New Roman"/>
                <w:color w:val="auto"/>
                <w:spacing w:val="-2"/>
                <w:sz w:val="24"/>
                <w:szCs w:val="24"/>
                <w:highlight w:val="none"/>
              </w:rPr>
              <w:t>沉渣产生</w:t>
            </w:r>
            <w:r>
              <w:rPr>
                <w:rFonts w:hint="default" w:ascii="Times New Roman" w:hAnsi="Times New Roman" w:eastAsia="宋体" w:cs="Times New Roman"/>
                <w:color w:val="auto"/>
                <w:spacing w:val="-3"/>
                <w:sz w:val="24"/>
                <w:szCs w:val="24"/>
                <w:highlight w:val="none"/>
              </w:rPr>
              <w:t>总量约</w:t>
            </w:r>
            <w:r>
              <w:rPr>
                <w:rFonts w:hint="default" w:ascii="Times New Roman" w:hAnsi="Times New Roman" w:eastAsia="宋体" w:cs="Times New Roman"/>
                <w:color w:val="auto"/>
                <w:spacing w:val="-1"/>
                <w:sz w:val="24"/>
                <w:szCs w:val="24"/>
                <w:highlight w:val="none"/>
              </w:rPr>
              <w:t>为</w:t>
            </w:r>
            <w:r>
              <w:rPr>
                <w:rFonts w:hint="default" w:ascii="Times New Roman" w:hAnsi="Times New Roman" w:eastAsia="宋体" w:cs="Times New Roman"/>
                <w:color w:val="auto"/>
                <w:spacing w:val="-1"/>
                <w:sz w:val="24"/>
                <w:szCs w:val="24"/>
                <w:highlight w:val="none"/>
                <w:lang w:val="en-US" w:eastAsia="zh-CN"/>
              </w:rPr>
              <w:t>88</w:t>
            </w:r>
            <w:r>
              <w:rPr>
                <w:rFonts w:hint="eastAsia" w:cs="Times New Roman"/>
                <w:color w:val="auto"/>
                <w:spacing w:val="-1"/>
                <w:sz w:val="24"/>
                <w:szCs w:val="24"/>
                <w:highlight w:val="none"/>
                <w:lang w:val="en-US" w:eastAsia="zh-CN"/>
              </w:rPr>
              <w:t>76.93</w:t>
            </w:r>
            <w:r>
              <w:rPr>
                <w:rFonts w:hint="default" w:ascii="Times New Roman" w:hAnsi="Times New Roman" w:eastAsia="宋体" w:cs="Times New Roman"/>
                <w:color w:val="auto"/>
                <w:spacing w:val="-1"/>
                <w:sz w:val="24"/>
                <w:szCs w:val="24"/>
                <w:highlight w:val="none"/>
              </w:rPr>
              <w:t>t/a，含水率约为85%左右。根据《固体废物分类与代码目录》</w:t>
            </w:r>
            <w:r>
              <w:rPr>
                <w:rFonts w:hint="default" w:ascii="Times New Roman" w:hAnsi="Times New Roman" w:eastAsia="宋体" w:cs="Times New Roman"/>
                <w:color w:val="auto"/>
                <w:spacing w:val="-6"/>
                <w:sz w:val="24"/>
                <w:szCs w:val="24"/>
                <w:highlight w:val="none"/>
              </w:rPr>
              <w:t>（2024年第4号</w:t>
            </w:r>
            <w:r>
              <w:rPr>
                <w:rFonts w:hint="default" w:ascii="Times New Roman" w:hAnsi="Times New Roman" w:eastAsia="宋体" w:cs="Times New Roman"/>
                <w:color w:val="auto"/>
                <w:spacing w:val="-53"/>
                <w:w w:val="85"/>
                <w:sz w:val="24"/>
                <w:szCs w:val="24"/>
                <w:highlight w:val="none"/>
              </w:rPr>
              <w:t>）</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宋体" w:cs="Times New Roman"/>
                <w:color w:val="auto"/>
                <w:spacing w:val="-1"/>
                <w:sz w:val="24"/>
                <w:szCs w:val="24"/>
                <w:highlight w:val="none"/>
              </w:rPr>
              <w:t>属于SW07污泥中非特定行业，分类代码为：900-099-S07，经脱水干化后</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含水率约</w:t>
            </w:r>
            <w:r>
              <w:rPr>
                <w:rFonts w:hint="default" w:ascii="Times New Roman" w:hAnsi="Times New Roman" w:eastAsia="宋体" w:cs="Times New Roman"/>
                <w:color w:val="auto"/>
                <w:spacing w:val="-1"/>
                <w:sz w:val="24"/>
                <w:szCs w:val="24"/>
                <w:highlight w:val="none"/>
                <w:lang w:val="en-US" w:eastAsia="zh-CN"/>
              </w:rPr>
              <w:t>60</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收</w:t>
            </w:r>
            <w:r>
              <w:rPr>
                <w:rFonts w:hint="default" w:ascii="Times New Roman" w:hAnsi="Times New Roman" w:eastAsia="宋体" w:cs="Times New Roman"/>
                <w:color w:val="auto"/>
                <w:spacing w:val="-1"/>
                <w:sz w:val="24"/>
                <w:szCs w:val="24"/>
                <w:highlight w:val="none"/>
              </w:rPr>
              <w:t>集后</w:t>
            </w:r>
            <w:r>
              <w:rPr>
                <w:rFonts w:hint="eastAsia" w:cs="Times New Roman"/>
                <w:color w:val="auto"/>
                <w:spacing w:val="-1"/>
                <w:sz w:val="24"/>
                <w:szCs w:val="24"/>
                <w:highlight w:val="none"/>
                <w:lang w:val="en-US" w:eastAsia="zh-CN"/>
              </w:rPr>
              <w:t>交由玉溪诺客环保科技有限公司利用处置系统将沉渣送至水泥回转窑进行无害化处置（详见附件16）</w:t>
            </w:r>
            <w:r>
              <w:rPr>
                <w:rFonts w:hint="default" w:ascii="Times New Roman" w:hAnsi="Times New Roman" w:eastAsia="宋体" w:cs="Times New Roman"/>
                <w:color w:val="auto"/>
                <w:spacing w:val="-1"/>
                <w:sz w:val="24"/>
                <w:szCs w:val="24"/>
                <w:highlight w:val="none"/>
                <w:lang w:val="en-US" w:eastAsia="zh-CN"/>
              </w:rPr>
              <w:t>；脱出的水554</w:t>
            </w:r>
            <w:r>
              <w:rPr>
                <w:rFonts w:hint="eastAsia" w:cs="Times New Roman"/>
                <w:color w:val="auto"/>
                <w:spacing w:val="-1"/>
                <w:sz w:val="24"/>
                <w:szCs w:val="24"/>
                <w:highlight w:val="none"/>
                <w:lang w:val="en-US" w:eastAsia="zh-CN"/>
              </w:rPr>
              <w:t>8.1</w:t>
            </w:r>
            <w:r>
              <w:rPr>
                <w:rFonts w:hint="default" w:ascii="Times New Roman" w:hAnsi="Times New Roman" w:eastAsia="宋体" w:cs="Times New Roman"/>
                <w:color w:val="auto"/>
                <w:spacing w:val="-1"/>
                <w:sz w:val="24"/>
                <w:szCs w:val="24"/>
                <w:highlight w:val="none"/>
                <w:lang w:val="en-US" w:eastAsia="zh-CN"/>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rPr>
              <w:t>/a</w:t>
            </w:r>
            <w:r>
              <w:rPr>
                <w:rFonts w:hint="default" w:ascii="Times New Roman" w:hAnsi="Times New Roman" w:eastAsia="宋体" w:cs="Times New Roman"/>
                <w:color w:val="auto"/>
                <w:spacing w:val="-1"/>
                <w:sz w:val="24"/>
                <w:szCs w:val="24"/>
                <w:highlight w:val="none"/>
                <w:lang w:val="en-US" w:eastAsia="zh-CN"/>
              </w:rPr>
              <w:t>（已计入各阶段排水）进入生化污水处理站处理</w:t>
            </w:r>
            <w:r>
              <w:rPr>
                <w:rFonts w:hint="default" w:ascii="Times New Roman" w:hAnsi="Times New Roman" w:eastAsia="宋体" w:cs="Times New Roman"/>
                <w:color w:val="auto"/>
                <w:spacing w:val="-1"/>
                <w:sz w:val="24"/>
                <w:szCs w:val="24"/>
                <w:highlight w:val="none"/>
              </w:rPr>
              <w:t>。</w:t>
            </w:r>
          </w:p>
          <w:p w14:paraId="5D347400">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（11）</w:t>
            </w:r>
            <w:r>
              <w:rPr>
                <w:rFonts w:hint="eastAsia" w:cs="Times New Roman"/>
                <w:b/>
                <w:bCs/>
                <w:color w:val="auto"/>
                <w:sz w:val="24"/>
                <w:szCs w:val="24"/>
                <w:highlight w:val="none"/>
                <w:lang w:val="en-US" w:eastAsia="zh-CN"/>
              </w:rPr>
              <w:t>碱洗沉渣</w:t>
            </w:r>
            <w:r>
              <w:rPr>
                <w:rFonts w:hint="default" w:ascii="Times New Roman" w:hAnsi="Times New Roman" w:eastAsia="宋体" w:cs="Times New Roman"/>
                <w:b/>
                <w:bCs/>
                <w:color w:val="auto"/>
                <w:sz w:val="24"/>
                <w:szCs w:val="24"/>
                <w:highlight w:val="none"/>
                <w:lang w:val="en-US" w:eastAsia="zh-CN"/>
              </w:rPr>
              <w:t>（S13）</w:t>
            </w:r>
          </w:p>
          <w:p w14:paraId="7BF3B40C">
            <w:pPr>
              <w:keepNext w:val="0"/>
              <w:keepLines w:val="0"/>
              <w:pageBreakBefore w:val="0"/>
              <w:widowControl w:val="0"/>
              <w:tabs>
                <w:tab w:val="left" w:pos="5460"/>
              </w:tabs>
              <w:kinsoku/>
              <w:wordWrap/>
              <w:overflowPunct/>
              <w:topLinePunct/>
              <w:autoSpaceDE w:val="0"/>
              <w:autoSpaceDN/>
              <w:bidi w:val="0"/>
              <w:adjustRightInd w:val="0"/>
              <w:snapToGrid w:val="0"/>
              <w:spacing w:line="360" w:lineRule="auto"/>
              <w:ind w:left="0" w:right="0" w:firstLine="476" w:firstLineChars="200"/>
              <w:textAlignment w:val="auto"/>
              <w:rPr>
                <w:rFonts w:hint="default" w:ascii="Times New Roman" w:hAnsi="Times New Roman" w:eastAsia="宋体" w:cs="Times New Roman"/>
                <w:color w:val="auto"/>
                <w:spacing w:val="-1"/>
                <w:sz w:val="24"/>
                <w:szCs w:val="24"/>
                <w:highlight w:val="none"/>
                <w:lang w:val="en-US" w:eastAsia="zh-CN"/>
              </w:rPr>
            </w:pPr>
            <w:r>
              <w:rPr>
                <w:rFonts w:hint="eastAsia" w:cs="Times New Roman"/>
                <w:color w:val="auto"/>
                <w:spacing w:val="-1"/>
                <w:sz w:val="24"/>
                <w:szCs w:val="24"/>
                <w:highlight w:val="none"/>
                <w:lang w:val="en-US" w:eastAsia="zh-CN"/>
              </w:rPr>
              <w:t>碱液清洗水中混有从珠胚上浸洗脱落的废胶粉，碱液清洗水进入碱液收集池静置沉淀，会产生沉渣，此部分沉渣产生量约为27.23</w:t>
            </w:r>
            <w:r>
              <w:rPr>
                <w:rFonts w:hint="default" w:cs="Times New Roman"/>
                <w:color w:val="auto"/>
                <w:spacing w:val="-1"/>
                <w:sz w:val="24"/>
                <w:szCs w:val="24"/>
                <w:highlight w:val="none"/>
                <w:lang w:val="en-US" w:eastAsia="zh-CN"/>
              </w:rPr>
              <w:t>t/a</w:t>
            </w:r>
            <w:r>
              <w:rPr>
                <w:rFonts w:hint="eastAsia"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rPr>
              <w:t>根据《固体废物分类与代码目录》</w:t>
            </w:r>
            <w:r>
              <w:rPr>
                <w:rFonts w:hint="default" w:ascii="Times New Roman" w:hAnsi="Times New Roman" w:eastAsia="宋体" w:cs="Times New Roman"/>
                <w:color w:val="auto"/>
                <w:spacing w:val="-1"/>
                <w:sz w:val="24"/>
                <w:szCs w:val="24"/>
                <w:highlight w:val="none"/>
                <w:lang w:val="en-US" w:eastAsia="zh-CN"/>
              </w:rPr>
              <w:t>（2024年第4号），</w:t>
            </w:r>
            <w:r>
              <w:rPr>
                <w:rFonts w:hint="default" w:ascii="Times New Roman" w:hAnsi="Times New Roman" w:eastAsia="宋体" w:cs="Times New Roman"/>
                <w:color w:val="auto"/>
                <w:spacing w:val="-1"/>
                <w:sz w:val="24"/>
                <w:szCs w:val="24"/>
                <w:highlight w:val="none"/>
              </w:rPr>
              <w:t>属于</w:t>
            </w:r>
            <w:r>
              <w:rPr>
                <w:rFonts w:hint="default" w:ascii="Times New Roman" w:hAnsi="Times New Roman" w:eastAsia="宋体" w:cs="Times New Roman"/>
                <w:color w:val="auto"/>
                <w:spacing w:val="-3"/>
                <w:sz w:val="24"/>
                <w:szCs w:val="24"/>
                <w:highlight w:val="none"/>
              </w:rPr>
              <w:t>SW17可再生类废物中非特定行业，分类代码为：900-099-S17，</w:t>
            </w:r>
            <w:r>
              <w:rPr>
                <w:rFonts w:hint="default" w:ascii="Times New Roman" w:hAnsi="Times New Roman" w:eastAsia="宋体" w:cs="Times New Roman"/>
                <w:color w:val="auto"/>
                <w:spacing w:val="-1"/>
                <w:sz w:val="24"/>
                <w:szCs w:val="24"/>
                <w:highlight w:val="none"/>
                <w:lang w:val="en-US" w:eastAsia="zh-CN"/>
              </w:rPr>
              <w:t>收集后外售给胶厂作为原料使用</w:t>
            </w:r>
            <w:r>
              <w:rPr>
                <w:rFonts w:hint="eastAsia" w:cs="Times New Roman"/>
                <w:b w:val="0"/>
                <w:bCs w:val="0"/>
                <w:color w:val="auto"/>
                <w:spacing w:val="-1"/>
                <w:sz w:val="24"/>
                <w:szCs w:val="24"/>
                <w:highlight w:val="none"/>
                <w:lang w:val="en-US" w:eastAsia="zh-CN"/>
              </w:rPr>
              <w:t>（根据</w:t>
            </w:r>
            <w:r>
              <w:rPr>
                <w:rFonts w:hint="eastAsia" w:cs="Times New Roman"/>
                <w:b w:val="0"/>
                <w:bCs w:val="0"/>
                <w:color w:val="auto"/>
                <w:spacing w:val="-3"/>
                <w:sz w:val="24"/>
                <w:szCs w:val="24"/>
                <w:highlight w:val="none"/>
                <w:lang w:eastAsia="zh-CN"/>
              </w:rPr>
              <w:t>《</w:t>
            </w:r>
            <w:r>
              <w:rPr>
                <w:rFonts w:hint="default" w:ascii="Times New Roman" w:hAnsi="Times New Roman" w:eastAsia="宋体" w:cs="Times New Roman"/>
                <w:b w:val="0"/>
                <w:bCs w:val="0"/>
                <w:color w:val="auto"/>
                <w:kern w:val="1"/>
                <w:sz w:val="24"/>
                <w:szCs w:val="24"/>
                <w:highlight w:val="none"/>
                <w:lang w:val="en-US" w:eastAsia="zh-CN" w:bidi="zh-CN"/>
              </w:rPr>
              <w:t>浙江今辰饰品有限公司年产1300吨高品质水晶烫钻生产线项目</w:t>
            </w:r>
            <w:r>
              <w:rPr>
                <w:rFonts w:hint="eastAsia" w:cs="Times New Roman"/>
                <w:b w:val="0"/>
                <w:bCs w:val="0"/>
                <w:color w:val="auto"/>
                <w:spacing w:val="-3"/>
                <w:sz w:val="24"/>
                <w:szCs w:val="24"/>
                <w:highlight w:val="none"/>
                <w:lang w:eastAsia="zh-CN"/>
              </w:rPr>
              <w:t>》</w:t>
            </w:r>
            <w:r>
              <w:rPr>
                <w:rFonts w:hint="eastAsia" w:cs="Times New Roman"/>
                <w:b w:val="0"/>
                <w:bCs w:val="0"/>
                <w:color w:val="auto"/>
                <w:kern w:val="1"/>
                <w:sz w:val="24"/>
                <w:szCs w:val="24"/>
                <w:highlight w:val="none"/>
                <w:lang w:val="en-US" w:eastAsia="zh-CN" w:bidi="zh-CN"/>
              </w:rPr>
              <w:t>，项目总公司</w:t>
            </w:r>
            <w:r>
              <w:rPr>
                <w:rFonts w:hint="eastAsia" w:cs="Times New Roman"/>
                <w:b w:val="0"/>
                <w:bCs w:val="0"/>
                <w:color w:val="auto"/>
                <w:spacing w:val="-3"/>
                <w:sz w:val="24"/>
                <w:szCs w:val="24"/>
                <w:highlight w:val="none"/>
                <w:lang w:val="en-US" w:eastAsia="zh-CN"/>
              </w:rPr>
              <w:t>所用原料、</w:t>
            </w:r>
            <w:r>
              <w:rPr>
                <w:rFonts w:hint="eastAsia" w:ascii="宋体" w:hAnsi="宋体" w:eastAsia="宋体" w:cs="宋体"/>
                <w:b w:val="0"/>
                <w:bCs w:val="0"/>
                <w:color w:val="auto"/>
                <w:kern w:val="0"/>
                <w:sz w:val="24"/>
                <w:szCs w:val="24"/>
                <w:highlight w:val="none"/>
                <w:lang w:val="en-US" w:eastAsia="zh-CN" w:bidi="ar"/>
              </w:rPr>
              <w:t>生产工艺、废水类型</w:t>
            </w:r>
            <w:r>
              <w:rPr>
                <w:rFonts w:hint="eastAsia" w:ascii="宋体" w:hAnsi="宋体" w:cs="宋体"/>
                <w:b w:val="0"/>
                <w:bCs w:val="0"/>
                <w:color w:val="auto"/>
                <w:kern w:val="0"/>
                <w:sz w:val="24"/>
                <w:szCs w:val="24"/>
                <w:highlight w:val="none"/>
                <w:lang w:val="en-US" w:eastAsia="zh-CN" w:bidi="ar"/>
              </w:rPr>
              <w:t>均与本项目一致</w:t>
            </w:r>
            <w:r>
              <w:rPr>
                <w:rFonts w:hint="eastAsia" w:cs="Times New Roman"/>
                <w:b w:val="0"/>
                <w:bCs w:val="0"/>
                <w:color w:val="auto"/>
                <w:kern w:val="1"/>
                <w:sz w:val="24"/>
                <w:szCs w:val="24"/>
                <w:highlight w:val="none"/>
                <w:lang w:val="en-US" w:eastAsia="zh-CN" w:bidi="zh-CN"/>
              </w:rPr>
              <w:t>，</w:t>
            </w:r>
            <w:r>
              <w:rPr>
                <w:rFonts w:hint="eastAsia" w:cs="Times New Roman"/>
                <w:b w:val="0"/>
                <w:bCs w:val="0"/>
                <w:color w:val="auto"/>
                <w:sz w:val="24"/>
                <w:szCs w:val="24"/>
                <w:highlight w:val="none"/>
                <w:lang w:val="en-US" w:eastAsia="zh-CN"/>
              </w:rPr>
              <w:t>碱洗沉淀废渣</w:t>
            </w:r>
            <w:r>
              <w:rPr>
                <w:rFonts w:hint="eastAsia" w:cs="Times New Roman"/>
                <w:b w:val="0"/>
                <w:bCs w:val="0"/>
                <w:color w:val="auto"/>
                <w:spacing w:val="-1"/>
                <w:sz w:val="24"/>
                <w:szCs w:val="24"/>
                <w:highlight w:val="none"/>
                <w:lang w:val="en-US" w:eastAsia="zh-CN"/>
              </w:rPr>
              <w:t>已签订回收处置合同，委托兰溪市特固工贸有限公司对该类废胶粉进行收集处置，详见附件17）</w:t>
            </w:r>
            <w:r>
              <w:rPr>
                <w:rFonts w:hint="default" w:ascii="Times New Roman" w:hAnsi="Times New Roman" w:eastAsia="宋体" w:cs="Times New Roman"/>
                <w:color w:val="auto"/>
                <w:spacing w:val="-1"/>
                <w:sz w:val="24"/>
                <w:szCs w:val="24"/>
                <w:highlight w:val="none"/>
                <w:lang w:val="en-US" w:eastAsia="zh-CN"/>
              </w:rPr>
              <w:t>。</w:t>
            </w:r>
          </w:p>
          <w:p w14:paraId="44E20C74">
            <w:pPr>
              <w:keepNext w:val="0"/>
              <w:keepLines w:val="0"/>
              <w:pageBreakBefore w:val="0"/>
              <w:widowControl w:val="0"/>
              <w:kinsoku/>
              <w:wordWrap/>
              <w:overflowPunct/>
              <w:topLinePunct/>
              <w:autoSpaceDE w:val="0"/>
              <w:autoSpaceDN/>
              <w:bidi w:val="0"/>
              <w:adjustRightInd w:val="0"/>
              <w:snapToGrid w:val="0"/>
              <w:spacing w:line="360" w:lineRule="auto"/>
              <w:ind w:left="0" w:right="0" w:firstLine="476" w:firstLineChars="200"/>
              <w:textAlignment w:val="auto"/>
              <w:rPr>
                <w:rFonts w:hint="default" w:cs="Times New Roman"/>
                <w:color w:val="auto"/>
                <w:spacing w:val="-1"/>
                <w:sz w:val="24"/>
                <w:szCs w:val="24"/>
                <w:highlight w:val="none"/>
                <w:lang w:val="en-US" w:eastAsia="zh-CN"/>
              </w:rPr>
            </w:pPr>
            <w:r>
              <w:rPr>
                <w:rFonts w:hint="eastAsia" w:cs="Times New Roman"/>
                <w:color w:val="auto"/>
                <w:spacing w:val="-1"/>
                <w:sz w:val="24"/>
                <w:szCs w:val="24"/>
                <w:highlight w:val="none"/>
                <w:lang w:val="en-US" w:eastAsia="zh-CN"/>
              </w:rPr>
              <w:t>项目运行产生污泥后，需对新生碱洗沉渣进行属性鉴别，判断</w:t>
            </w:r>
            <w:r>
              <w:rPr>
                <w:rFonts w:hint="default" w:cs="Times New Roman"/>
                <w:color w:val="auto"/>
                <w:spacing w:val="-1"/>
                <w:sz w:val="24"/>
                <w:szCs w:val="24"/>
                <w:highlight w:val="none"/>
                <w:lang w:val="en-US" w:eastAsia="zh-CN"/>
              </w:rPr>
              <w:t>其是否属于危险废物应当按照《危险废物鉴别标准 通则》（GB5085.7</w:t>
            </w:r>
            <w:r>
              <w:rPr>
                <w:rFonts w:hint="eastAsia" w:cs="Times New Roman"/>
                <w:color w:val="auto"/>
                <w:spacing w:val="-1"/>
                <w:sz w:val="24"/>
                <w:szCs w:val="24"/>
                <w:highlight w:val="none"/>
                <w:lang w:val="en-US" w:eastAsia="zh-CN"/>
              </w:rPr>
              <w:t>-</w:t>
            </w:r>
            <w:r>
              <w:rPr>
                <w:rFonts w:hint="default" w:cs="Times New Roman"/>
                <w:color w:val="auto"/>
                <w:spacing w:val="-1"/>
                <w:sz w:val="24"/>
                <w:szCs w:val="24"/>
                <w:highlight w:val="none"/>
                <w:lang w:val="en-US" w:eastAsia="zh-CN"/>
              </w:rPr>
              <w:t>2019）</w:t>
            </w:r>
            <w:r>
              <w:rPr>
                <w:rFonts w:hint="eastAsia" w:cs="Times New Roman"/>
                <w:color w:val="auto"/>
                <w:spacing w:val="-1"/>
                <w:sz w:val="24"/>
                <w:szCs w:val="24"/>
                <w:highlight w:val="none"/>
                <w:lang w:val="en-US" w:eastAsia="zh-CN"/>
              </w:rPr>
              <w:t>和</w:t>
            </w:r>
            <w:r>
              <w:rPr>
                <w:rFonts w:hint="default" w:cs="Times New Roman"/>
                <w:color w:val="auto"/>
                <w:spacing w:val="-1"/>
                <w:sz w:val="24"/>
                <w:szCs w:val="24"/>
                <w:highlight w:val="none"/>
                <w:lang w:val="en-US" w:eastAsia="zh-CN"/>
              </w:rPr>
              <w:t>《危险废物鉴别技术规范》（HJ298-2019）予以鉴别认定，未经鉴别认定前，暂按危险废物从严管理，经鉴别后若属于一般固废，委托有处置能力的单位处置</w:t>
            </w:r>
            <w:r>
              <w:rPr>
                <w:rFonts w:hint="eastAsia" w:cs="Times New Roman"/>
                <w:color w:val="auto"/>
                <w:spacing w:val="-1"/>
                <w:sz w:val="24"/>
                <w:szCs w:val="24"/>
                <w:highlight w:val="none"/>
                <w:lang w:val="en-US" w:eastAsia="zh-CN"/>
              </w:rPr>
              <w:t>；</w:t>
            </w:r>
            <w:r>
              <w:rPr>
                <w:rFonts w:hint="default" w:cs="Times New Roman"/>
                <w:color w:val="auto"/>
                <w:spacing w:val="-1"/>
                <w:sz w:val="24"/>
                <w:szCs w:val="24"/>
                <w:highlight w:val="none"/>
                <w:lang w:val="en-US" w:eastAsia="zh-CN"/>
              </w:rPr>
              <w:t>若属于危险废物，则与其他危险废物一起暂存于废物暂存间，定期委托有资质的单位清运处置</w:t>
            </w:r>
            <w:r>
              <w:rPr>
                <w:rFonts w:hint="eastAsia" w:cs="Times New Roman"/>
                <w:color w:val="auto"/>
                <w:spacing w:val="-1"/>
                <w:sz w:val="24"/>
                <w:szCs w:val="24"/>
                <w:highlight w:val="none"/>
                <w:lang w:val="en-US" w:eastAsia="zh-CN"/>
              </w:rPr>
              <w:t>。</w:t>
            </w:r>
          </w:p>
          <w:p w14:paraId="3AE1B56E">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（12）生化污水处理站污泥（S14）</w:t>
            </w:r>
          </w:p>
          <w:p w14:paraId="7F9AB94C">
            <w:pPr>
              <w:keepNext w:val="0"/>
              <w:keepLines w:val="0"/>
              <w:pageBreakBefore w:val="0"/>
              <w:widowControl w:val="0"/>
              <w:kinsoku/>
              <w:wordWrap/>
              <w:overflowPunct/>
              <w:topLinePunct/>
              <w:autoSpaceDE w:val="0"/>
              <w:autoSpaceDN/>
              <w:bidi w:val="0"/>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根据项目总物料平衡分析，生化污水处理站污泥产生量约为</w:t>
            </w:r>
            <w:r>
              <w:rPr>
                <w:rFonts w:hint="eastAsia" w:cs="Times New Roman"/>
                <w:color w:val="auto"/>
                <w:spacing w:val="-1"/>
                <w:sz w:val="24"/>
                <w:szCs w:val="24"/>
                <w:highlight w:val="none"/>
                <w:lang w:val="en-US" w:eastAsia="zh-CN"/>
              </w:rPr>
              <w:t>53.52</w:t>
            </w:r>
            <w:r>
              <w:rPr>
                <w:rFonts w:hint="default" w:ascii="Times New Roman" w:hAnsi="Times New Roman" w:eastAsia="宋体" w:cs="Times New Roman"/>
                <w:color w:val="auto"/>
                <w:spacing w:val="-1"/>
                <w:sz w:val="24"/>
                <w:szCs w:val="24"/>
                <w:highlight w:val="none"/>
              </w:rPr>
              <w:t>t/</w:t>
            </w:r>
            <w:r>
              <w:rPr>
                <w:rFonts w:hint="default" w:ascii="Times New Roman" w:hAnsi="Times New Roman" w:eastAsia="宋体" w:cs="Times New Roman"/>
                <w:color w:val="auto"/>
                <w:spacing w:val="-2"/>
                <w:sz w:val="24"/>
                <w:szCs w:val="24"/>
                <w:highlight w:val="none"/>
              </w:rPr>
              <w:t>a，含水率</w:t>
            </w:r>
            <w:r>
              <w:rPr>
                <w:rFonts w:hint="default" w:ascii="Times New Roman" w:hAnsi="Times New Roman" w:eastAsia="宋体" w:cs="Times New Roman"/>
                <w:color w:val="auto"/>
                <w:sz w:val="24"/>
                <w:szCs w:val="24"/>
                <w:highlight w:val="none"/>
              </w:rPr>
              <w:t>约为80%左右。根据《固体废物分类与代码目录》（2024年第4号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14"/>
                <w:sz w:val="24"/>
                <w:szCs w:val="24"/>
                <w:highlight w:val="none"/>
              </w:rPr>
              <w:t>，</w:t>
            </w:r>
            <w:r>
              <w:rPr>
                <w:rFonts w:hint="default" w:ascii="Times New Roman" w:hAnsi="Times New Roman" w:eastAsia="宋体" w:cs="Times New Roman"/>
                <w:color w:val="auto"/>
                <w:sz w:val="24"/>
                <w:szCs w:val="24"/>
                <w:highlight w:val="none"/>
              </w:rPr>
              <w:t>属于SW07</w:t>
            </w:r>
            <w:r>
              <w:rPr>
                <w:rFonts w:hint="default" w:ascii="Times New Roman" w:hAnsi="Times New Roman" w:eastAsia="宋体" w:cs="Times New Roman"/>
                <w:color w:val="auto"/>
                <w:spacing w:val="1"/>
                <w:sz w:val="24"/>
                <w:szCs w:val="24"/>
                <w:highlight w:val="none"/>
              </w:rPr>
              <w:t>污泥中非特定行业，分类代码为：900-099-S07，生化</w:t>
            </w:r>
            <w:r>
              <w:rPr>
                <w:rFonts w:hint="default" w:ascii="Times New Roman" w:hAnsi="Times New Roman" w:eastAsia="宋体" w:cs="Times New Roman"/>
                <w:color w:val="auto"/>
                <w:sz w:val="24"/>
                <w:szCs w:val="24"/>
                <w:highlight w:val="none"/>
              </w:rPr>
              <w:t>污水处理站污泥干化后委托环</w:t>
            </w:r>
            <w:r>
              <w:rPr>
                <w:rFonts w:hint="default" w:ascii="Times New Roman" w:hAnsi="Times New Roman" w:eastAsia="宋体" w:cs="Times New Roman"/>
                <w:color w:val="auto"/>
                <w:spacing w:val="-2"/>
                <w:sz w:val="24"/>
                <w:szCs w:val="24"/>
                <w:highlight w:val="none"/>
              </w:rPr>
              <w:t>卫部门清运处置。</w:t>
            </w:r>
          </w:p>
          <w:p w14:paraId="34A1B8D5">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（13）吸塑片除尘器粉尘（S15）</w:t>
            </w:r>
          </w:p>
          <w:p w14:paraId="17C84FD4">
            <w:pPr>
              <w:keepNext w:val="0"/>
              <w:keepLines w:val="0"/>
              <w:pageBreakBefore w:val="0"/>
              <w:widowControl w:val="0"/>
              <w:kinsoku/>
              <w:wordWrap/>
              <w:overflowPunct/>
              <w:topLinePunct/>
              <w:autoSpaceDE w:val="0"/>
              <w:autoSpaceDN/>
              <w:bidi w:val="0"/>
              <w:spacing w:line="360" w:lineRule="auto"/>
              <w:ind w:left="0" w:right="0" w:firstLine="57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3"/>
                <w:sz w:val="24"/>
                <w:szCs w:val="24"/>
                <w:highlight w:val="none"/>
              </w:rPr>
              <w:t>吸塑片配料粉尘经集气罩收集后由布袋除尘器装置处理</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pacing w:val="23"/>
                <w:sz w:val="24"/>
                <w:szCs w:val="24"/>
                <w:highlight w:val="none"/>
              </w:rPr>
              <w:t>，</w:t>
            </w:r>
            <w:r>
              <w:rPr>
                <w:rFonts w:hint="default" w:ascii="Times New Roman" w:hAnsi="Times New Roman" w:eastAsia="宋体" w:cs="Times New Roman"/>
                <w:color w:val="auto"/>
                <w:spacing w:val="-68"/>
                <w:sz w:val="24"/>
                <w:szCs w:val="24"/>
                <w:highlight w:val="none"/>
              </w:rPr>
              <w:t xml:space="preserve"> </w:t>
            </w:r>
            <w:r>
              <w:rPr>
                <w:rFonts w:hint="default" w:ascii="Times New Roman" w:hAnsi="Times New Roman" w:eastAsia="宋体" w:cs="Times New Roman"/>
                <w:color w:val="auto"/>
                <w:spacing w:val="23"/>
                <w:sz w:val="24"/>
                <w:szCs w:val="24"/>
                <w:highlight w:val="none"/>
              </w:rPr>
              <w:t>除尘器收尘约</w:t>
            </w:r>
            <w:r>
              <w:rPr>
                <w:rFonts w:hint="default" w:ascii="Times New Roman" w:hAnsi="Times New Roman" w:eastAsia="宋体" w:cs="Times New Roman"/>
                <w:color w:val="auto"/>
                <w:spacing w:val="-3"/>
                <w:sz w:val="24"/>
                <w:szCs w:val="24"/>
                <w:highlight w:val="none"/>
                <w:lang w:val="en-US" w:eastAsia="zh-CN"/>
              </w:rPr>
              <w:t>20.26</w:t>
            </w:r>
            <w:r>
              <w:rPr>
                <w:rFonts w:hint="default" w:ascii="Times New Roman" w:hAnsi="Times New Roman" w:eastAsia="宋体" w:cs="Times New Roman"/>
                <w:color w:val="auto"/>
                <w:spacing w:val="-3"/>
                <w:sz w:val="24"/>
                <w:szCs w:val="24"/>
                <w:highlight w:val="none"/>
              </w:rPr>
              <w:t>t/a。根据《固体废物分类</w:t>
            </w:r>
            <w:r>
              <w:rPr>
                <w:rFonts w:hint="default" w:ascii="Times New Roman" w:hAnsi="Times New Roman" w:eastAsia="宋体" w:cs="Times New Roman"/>
                <w:color w:val="auto"/>
                <w:spacing w:val="-4"/>
                <w:sz w:val="24"/>
                <w:szCs w:val="24"/>
                <w:highlight w:val="none"/>
              </w:rPr>
              <w:t>与代码目录》</w:t>
            </w:r>
            <w:r>
              <w:rPr>
                <w:rFonts w:hint="default" w:ascii="Times New Roman" w:hAnsi="Times New Roman" w:eastAsia="宋体" w:cs="Times New Roman"/>
                <w:color w:val="auto"/>
                <w:sz w:val="24"/>
                <w:szCs w:val="24"/>
                <w:highlight w:val="none"/>
              </w:rPr>
              <w:t>（2024年第4号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13"/>
                <w:sz w:val="24"/>
                <w:szCs w:val="24"/>
                <w:highlight w:val="none"/>
              </w:rPr>
              <w:t>，</w:t>
            </w:r>
            <w:r>
              <w:rPr>
                <w:rFonts w:hint="default" w:ascii="Times New Roman" w:hAnsi="Times New Roman" w:eastAsia="宋体" w:cs="Times New Roman"/>
                <w:color w:val="auto"/>
                <w:spacing w:val="-4"/>
                <w:sz w:val="24"/>
                <w:szCs w:val="24"/>
                <w:highlight w:val="none"/>
              </w:rPr>
              <w:t>属于SW17可再生</w:t>
            </w:r>
            <w:r>
              <w:rPr>
                <w:rFonts w:hint="default" w:ascii="Times New Roman" w:hAnsi="Times New Roman" w:eastAsia="宋体" w:cs="Times New Roman"/>
                <w:color w:val="auto"/>
                <w:spacing w:val="-1"/>
                <w:sz w:val="24"/>
                <w:szCs w:val="24"/>
                <w:highlight w:val="none"/>
              </w:rPr>
              <w:t>类废物中非特定行业，分类代码为：900-0</w:t>
            </w:r>
            <w:r>
              <w:rPr>
                <w:rFonts w:hint="default" w:ascii="Times New Roman" w:hAnsi="Times New Roman" w:eastAsia="宋体" w:cs="Times New Roman"/>
                <w:color w:val="auto"/>
                <w:spacing w:val="-1"/>
                <w:sz w:val="24"/>
                <w:szCs w:val="24"/>
                <w:highlight w:val="none"/>
                <w:lang w:val="en-US" w:eastAsia="zh-CN"/>
              </w:rPr>
              <w:t>99</w:t>
            </w:r>
            <w:r>
              <w:rPr>
                <w:rFonts w:hint="default" w:ascii="Times New Roman" w:hAnsi="Times New Roman" w:eastAsia="宋体" w:cs="Times New Roman"/>
                <w:color w:val="auto"/>
                <w:spacing w:val="-1"/>
                <w:sz w:val="24"/>
                <w:szCs w:val="24"/>
                <w:highlight w:val="none"/>
              </w:rPr>
              <w:t>-S17，</w:t>
            </w:r>
            <w:r>
              <w:rPr>
                <w:rFonts w:hint="default" w:ascii="Times New Roman" w:hAnsi="Times New Roman" w:eastAsia="宋体" w:cs="Times New Roman"/>
                <w:color w:val="auto"/>
                <w:spacing w:val="23"/>
                <w:sz w:val="24"/>
                <w:szCs w:val="24"/>
                <w:highlight w:val="none"/>
              </w:rPr>
              <w:t>布袋除尘器</w:t>
            </w:r>
            <w:r>
              <w:rPr>
                <w:rFonts w:hint="default" w:ascii="Times New Roman" w:hAnsi="Times New Roman" w:eastAsia="宋体" w:cs="Times New Roman"/>
                <w:color w:val="auto"/>
                <w:spacing w:val="23"/>
                <w:sz w:val="24"/>
                <w:szCs w:val="24"/>
                <w:highlight w:val="none"/>
                <w:lang w:val="en-US" w:eastAsia="zh-CN"/>
              </w:rPr>
              <w:t>收集粉尘</w:t>
            </w:r>
            <w:r>
              <w:rPr>
                <w:rFonts w:hint="default" w:ascii="Times New Roman" w:hAnsi="Times New Roman" w:eastAsia="宋体" w:cs="Times New Roman"/>
                <w:color w:val="auto"/>
                <w:spacing w:val="-3"/>
                <w:sz w:val="24"/>
                <w:szCs w:val="24"/>
                <w:highlight w:val="none"/>
              </w:rPr>
              <w:t>收集后回收用于吸塑片生产工序再利用</w:t>
            </w:r>
            <w:r>
              <w:rPr>
                <w:rFonts w:hint="default" w:ascii="Times New Roman" w:hAnsi="Times New Roman" w:eastAsia="宋体" w:cs="Times New Roman"/>
                <w:color w:val="auto"/>
                <w:spacing w:val="-2"/>
                <w:sz w:val="24"/>
                <w:szCs w:val="24"/>
                <w:highlight w:val="none"/>
              </w:rPr>
              <w:t>。</w:t>
            </w:r>
          </w:p>
          <w:p w14:paraId="218ABC1B">
            <w:pPr>
              <w:keepNext w:val="0"/>
              <w:keepLines w:val="0"/>
              <w:pageBreakBefore w:val="0"/>
              <w:widowControl w:val="0"/>
              <w:kinsoku/>
              <w:wordWrap/>
              <w:overflowPunct/>
              <w:topLinePunct/>
              <w:autoSpaceDE w:val="0"/>
              <w:autoSpaceDN/>
              <w:bidi w:val="0"/>
              <w:spacing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（14）吸塑片废边角料（S16）</w:t>
            </w:r>
          </w:p>
          <w:p w14:paraId="62D25937">
            <w:pPr>
              <w:keepNext w:val="0"/>
              <w:keepLines w:val="0"/>
              <w:pageBreakBefore w:val="0"/>
              <w:widowControl w:val="0"/>
              <w:kinsoku/>
              <w:wordWrap/>
              <w:overflowPunct/>
              <w:topLinePunct/>
              <w:autoSpaceDE w:val="0"/>
              <w:autoSpaceDN/>
              <w:bidi w:val="0"/>
              <w:spacing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根据建设单位的生产经验，</w:t>
            </w:r>
            <w:r>
              <w:rPr>
                <w:rFonts w:hint="default" w:ascii="Times New Roman" w:hAnsi="Times New Roman" w:eastAsia="宋体" w:cs="Times New Roman"/>
                <w:color w:val="auto"/>
                <w:spacing w:val="-4"/>
                <w:sz w:val="24"/>
                <w:szCs w:val="24"/>
                <w:highlight w:val="none"/>
                <w:lang w:val="en-US" w:eastAsia="zh-CN"/>
              </w:rPr>
              <w:t>吸塑片</w:t>
            </w:r>
            <w:r>
              <w:rPr>
                <w:rFonts w:hint="default" w:ascii="Times New Roman" w:hAnsi="Times New Roman" w:eastAsia="宋体" w:cs="Times New Roman"/>
                <w:color w:val="auto"/>
                <w:spacing w:val="-4"/>
                <w:sz w:val="24"/>
                <w:szCs w:val="24"/>
                <w:highlight w:val="none"/>
              </w:rPr>
              <w:t>切片</w:t>
            </w:r>
            <w:r>
              <w:rPr>
                <w:rFonts w:hint="default" w:ascii="Times New Roman" w:hAnsi="Times New Roman" w:eastAsia="宋体" w:cs="Times New Roman"/>
                <w:color w:val="auto"/>
                <w:spacing w:val="-4"/>
                <w:sz w:val="24"/>
                <w:szCs w:val="24"/>
                <w:highlight w:val="none"/>
                <w:lang w:val="en-US" w:eastAsia="zh-CN"/>
              </w:rPr>
              <w:t>切角工序产生的</w:t>
            </w:r>
            <w:r>
              <w:rPr>
                <w:rFonts w:hint="default" w:ascii="Times New Roman" w:hAnsi="Times New Roman" w:eastAsia="宋体" w:cs="Times New Roman"/>
                <w:color w:val="auto"/>
                <w:spacing w:val="-4"/>
                <w:sz w:val="24"/>
                <w:szCs w:val="24"/>
                <w:highlight w:val="none"/>
              </w:rPr>
              <w:t>废边角料产生量约占产品的5%，产生量约</w:t>
            </w:r>
            <w:r>
              <w:rPr>
                <w:rFonts w:hint="default" w:ascii="Times New Roman" w:hAnsi="Times New Roman" w:eastAsia="宋体" w:cs="Times New Roman"/>
                <w:color w:val="auto"/>
                <w:spacing w:val="-4"/>
                <w:sz w:val="24"/>
                <w:szCs w:val="24"/>
                <w:highlight w:val="none"/>
                <w:lang w:val="en-US" w:eastAsia="zh-CN"/>
              </w:rPr>
              <w:t>200</w:t>
            </w:r>
            <w:r>
              <w:rPr>
                <w:rFonts w:hint="default" w:ascii="Times New Roman" w:hAnsi="Times New Roman" w:eastAsia="宋体" w:cs="Times New Roman"/>
                <w:color w:val="auto"/>
                <w:spacing w:val="-4"/>
                <w:sz w:val="24"/>
                <w:szCs w:val="24"/>
                <w:highlight w:val="none"/>
              </w:rPr>
              <w:t>t/a。</w:t>
            </w:r>
            <w:r>
              <w:rPr>
                <w:rFonts w:hint="default" w:ascii="Times New Roman" w:hAnsi="Times New Roman" w:eastAsia="宋体" w:cs="Times New Roman"/>
                <w:color w:val="auto"/>
                <w:sz w:val="24"/>
                <w:szCs w:val="24"/>
                <w:highlight w:val="none"/>
              </w:rPr>
              <w:t>根据《固体废物分类与代码目录》（2024年第4号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属于SW17可再生类</w:t>
            </w:r>
            <w:r>
              <w:rPr>
                <w:rFonts w:hint="default" w:ascii="Times New Roman" w:hAnsi="Times New Roman" w:eastAsia="宋体" w:cs="Times New Roman"/>
                <w:color w:val="auto"/>
                <w:spacing w:val="-1"/>
                <w:sz w:val="24"/>
                <w:szCs w:val="24"/>
                <w:highlight w:val="none"/>
              </w:rPr>
              <w:t>废物中</w:t>
            </w:r>
            <w:r>
              <w:rPr>
                <w:rFonts w:hint="default" w:ascii="Times New Roman" w:hAnsi="Times New Roman" w:eastAsia="宋体" w:cs="Times New Roman"/>
                <w:color w:val="auto"/>
                <w:spacing w:val="-3"/>
                <w:sz w:val="24"/>
                <w:szCs w:val="24"/>
                <w:highlight w:val="none"/>
              </w:rPr>
              <w:t>非特定行业，分类代码为：900-0</w:t>
            </w:r>
            <w:r>
              <w:rPr>
                <w:rFonts w:hint="default" w:ascii="Times New Roman" w:hAnsi="Times New Roman" w:eastAsia="宋体" w:cs="Times New Roman"/>
                <w:color w:val="auto"/>
                <w:spacing w:val="-3"/>
                <w:sz w:val="24"/>
                <w:szCs w:val="24"/>
                <w:highlight w:val="none"/>
                <w:lang w:val="en-US" w:eastAsia="zh-CN"/>
              </w:rPr>
              <w:t>03</w:t>
            </w:r>
            <w:r>
              <w:rPr>
                <w:rFonts w:hint="default" w:ascii="Times New Roman" w:hAnsi="Times New Roman" w:eastAsia="宋体" w:cs="Times New Roman"/>
                <w:color w:val="auto"/>
                <w:spacing w:val="-3"/>
                <w:sz w:val="24"/>
                <w:szCs w:val="24"/>
                <w:highlight w:val="none"/>
              </w:rPr>
              <w:t>-S17，收集后回收用于吸塑片生产工序再利用。</w:t>
            </w:r>
          </w:p>
          <w:p w14:paraId="20E57004">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（15）抛轮修复收尘（S17）</w:t>
            </w:r>
          </w:p>
          <w:p w14:paraId="0007EEEC">
            <w:pPr>
              <w:keepNext w:val="0"/>
              <w:keepLines w:val="0"/>
              <w:pageBreakBefore w:val="0"/>
              <w:widowControl w:val="0"/>
              <w:kinsoku/>
              <w:wordWrap/>
              <w:overflowPunct/>
              <w:topLinePunct/>
              <w:autoSpaceDE w:val="0"/>
              <w:autoSpaceDN/>
              <w:bidi w:val="0"/>
              <w:spacing w:line="360" w:lineRule="auto"/>
              <w:ind w:left="0" w:right="0" w:firstLine="464"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4"/>
                <w:sz w:val="24"/>
                <w:szCs w:val="24"/>
                <w:highlight w:val="none"/>
              </w:rPr>
              <w:t>抛轮修复投料粉尘、车圆粉尘经集气罩收集后由布袋除尘器装置处理，</w:t>
            </w:r>
            <w:r>
              <w:rPr>
                <w:rFonts w:hint="default" w:ascii="Times New Roman" w:hAnsi="Times New Roman" w:eastAsia="宋体" w:cs="Times New Roman"/>
                <w:color w:val="auto"/>
                <w:spacing w:val="-5"/>
                <w:sz w:val="24"/>
                <w:szCs w:val="24"/>
                <w:highlight w:val="none"/>
                <w:lang w:val="en-US" w:eastAsia="zh-CN"/>
              </w:rPr>
              <w:t>除尘器收尘</w:t>
            </w:r>
            <w:r>
              <w:rPr>
                <w:rFonts w:hint="default" w:ascii="Times New Roman" w:hAnsi="Times New Roman" w:eastAsia="宋体" w:cs="Times New Roman"/>
                <w:color w:val="auto"/>
                <w:spacing w:val="-3"/>
                <w:sz w:val="24"/>
                <w:szCs w:val="24"/>
                <w:highlight w:val="none"/>
                <w:lang w:val="en-US" w:eastAsia="zh-CN"/>
              </w:rPr>
              <w:t>约</w:t>
            </w:r>
            <w:r>
              <w:rPr>
                <w:rFonts w:hint="eastAsia" w:cs="Times New Roman"/>
                <w:color w:val="auto"/>
                <w:spacing w:val="-3"/>
                <w:sz w:val="24"/>
                <w:szCs w:val="24"/>
                <w:highlight w:val="none"/>
                <w:lang w:val="en-US" w:eastAsia="zh-CN"/>
              </w:rPr>
              <w:t>0.166</w:t>
            </w:r>
            <w:r>
              <w:rPr>
                <w:rFonts w:hint="default" w:ascii="Times New Roman" w:hAnsi="Times New Roman" w:eastAsia="宋体" w:cs="Times New Roman"/>
                <w:color w:val="auto"/>
                <w:spacing w:val="-3"/>
                <w:sz w:val="24"/>
                <w:szCs w:val="24"/>
                <w:highlight w:val="none"/>
                <w:lang w:val="en-US" w:eastAsia="zh-CN"/>
              </w:rPr>
              <w:t>t/a</w:t>
            </w: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宋体" w:cs="Times New Roman"/>
                <w:color w:val="auto"/>
                <w:spacing w:val="-1"/>
                <w:sz w:val="24"/>
                <w:szCs w:val="24"/>
                <w:highlight w:val="none"/>
              </w:rPr>
              <w:t>根据《固体废物分类与代码目录》（2024年第4</w:t>
            </w:r>
            <w:r>
              <w:rPr>
                <w:rFonts w:hint="default" w:ascii="Times New Roman" w:hAnsi="Times New Roman" w:eastAsia="宋体" w:cs="Times New Roman"/>
                <w:color w:val="auto"/>
                <w:spacing w:val="-2"/>
                <w:sz w:val="24"/>
                <w:szCs w:val="24"/>
                <w:highlight w:val="none"/>
              </w:rPr>
              <w:t>号</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pacing w:val="-2"/>
                <w:sz w:val="24"/>
                <w:szCs w:val="24"/>
                <w:highlight w:val="none"/>
              </w:rPr>
              <w:t>属于SW17可</w:t>
            </w:r>
            <w:r>
              <w:rPr>
                <w:rFonts w:hint="default" w:ascii="Times New Roman" w:hAnsi="Times New Roman" w:eastAsia="宋体" w:cs="Times New Roman"/>
                <w:color w:val="auto"/>
                <w:spacing w:val="-1"/>
                <w:sz w:val="24"/>
                <w:szCs w:val="24"/>
                <w:highlight w:val="none"/>
              </w:rPr>
              <w:t>再生类废物中非特定行业，分类代码为：900-099-S17，</w:t>
            </w:r>
            <w:r>
              <w:rPr>
                <w:rFonts w:hint="default" w:ascii="Times New Roman" w:hAnsi="Times New Roman" w:eastAsia="宋体" w:cs="Times New Roman"/>
                <w:color w:val="auto"/>
                <w:spacing w:val="23"/>
                <w:sz w:val="24"/>
                <w:szCs w:val="24"/>
                <w:highlight w:val="none"/>
              </w:rPr>
              <w:t>布袋除尘器</w:t>
            </w:r>
            <w:r>
              <w:rPr>
                <w:rFonts w:hint="default" w:ascii="Times New Roman" w:hAnsi="Times New Roman" w:eastAsia="宋体" w:cs="Times New Roman"/>
                <w:color w:val="auto"/>
                <w:spacing w:val="23"/>
                <w:sz w:val="24"/>
                <w:szCs w:val="24"/>
                <w:highlight w:val="none"/>
                <w:lang w:val="en-US" w:eastAsia="zh-CN"/>
              </w:rPr>
              <w:t>收集粉尘</w:t>
            </w:r>
            <w:r>
              <w:rPr>
                <w:rFonts w:hint="default" w:ascii="Times New Roman" w:hAnsi="Times New Roman" w:eastAsia="宋体" w:cs="Times New Roman"/>
                <w:color w:val="auto"/>
                <w:spacing w:val="-1"/>
                <w:sz w:val="24"/>
                <w:szCs w:val="24"/>
                <w:highlight w:val="none"/>
              </w:rPr>
              <w:t>收集后回用生</w:t>
            </w:r>
            <w:r>
              <w:rPr>
                <w:rFonts w:hint="default" w:ascii="Times New Roman" w:hAnsi="Times New Roman" w:eastAsia="宋体" w:cs="Times New Roman"/>
                <w:color w:val="auto"/>
                <w:spacing w:val="-2"/>
                <w:sz w:val="24"/>
                <w:szCs w:val="24"/>
                <w:highlight w:val="none"/>
              </w:rPr>
              <w:t>产线</w:t>
            </w:r>
            <w:r>
              <w:rPr>
                <w:rFonts w:hint="default" w:ascii="Times New Roman" w:hAnsi="Times New Roman" w:eastAsia="宋体" w:cs="Times New Roman"/>
                <w:color w:val="auto"/>
                <w:spacing w:val="-2"/>
                <w:sz w:val="24"/>
                <w:szCs w:val="24"/>
                <w:highlight w:val="none"/>
                <w:lang w:val="en-US" w:eastAsia="zh-CN"/>
              </w:rPr>
              <w:t>再利用</w:t>
            </w:r>
            <w:r>
              <w:rPr>
                <w:rFonts w:hint="default" w:ascii="Times New Roman" w:hAnsi="Times New Roman" w:eastAsia="宋体" w:cs="Times New Roman"/>
                <w:color w:val="auto"/>
                <w:spacing w:val="-2"/>
                <w:sz w:val="24"/>
                <w:szCs w:val="24"/>
                <w:highlight w:val="none"/>
              </w:rPr>
              <w:t>。</w:t>
            </w:r>
          </w:p>
          <w:p w14:paraId="2202914A">
            <w:pPr>
              <w:keepNext w:val="0"/>
              <w:keepLines w:val="0"/>
              <w:pageBreakBefore w:val="0"/>
              <w:widowControl w:val="0"/>
              <w:kinsoku/>
              <w:wordWrap/>
              <w:overflowPunct/>
              <w:topLinePunct/>
              <w:autoSpaceDE w:val="0"/>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（16）去离子水制备</w:t>
            </w:r>
            <w:r>
              <w:rPr>
                <w:rFonts w:hint="eastAsia" w:cs="Times New Roman"/>
                <w:b/>
                <w:bCs/>
                <w:color w:val="auto"/>
                <w:sz w:val="24"/>
                <w:szCs w:val="24"/>
                <w:highlight w:val="none"/>
                <w:lang w:val="en-US" w:eastAsia="zh-CN"/>
              </w:rPr>
              <w:t>固废</w:t>
            </w:r>
            <w:r>
              <w:rPr>
                <w:rFonts w:hint="default" w:ascii="Times New Roman" w:hAnsi="Times New Roman" w:eastAsia="宋体" w:cs="Times New Roman"/>
                <w:b/>
                <w:bCs/>
                <w:color w:val="auto"/>
                <w:sz w:val="24"/>
                <w:szCs w:val="24"/>
                <w:highlight w:val="none"/>
                <w:lang w:val="en-US" w:eastAsia="zh-CN"/>
              </w:rPr>
              <w:t>（S</w:t>
            </w:r>
            <w:r>
              <w:rPr>
                <w:rFonts w:hint="eastAsia" w:cs="Times New Roman"/>
                <w:b/>
                <w:bCs/>
                <w:color w:val="auto"/>
                <w:sz w:val="24"/>
                <w:szCs w:val="24"/>
                <w:highlight w:val="none"/>
                <w:lang w:val="en-US" w:eastAsia="zh-CN"/>
              </w:rPr>
              <w:t>20</w:t>
            </w:r>
            <w:r>
              <w:rPr>
                <w:rFonts w:hint="default" w:ascii="Times New Roman" w:hAnsi="Times New Roman" w:eastAsia="宋体" w:cs="Times New Roman"/>
                <w:b/>
                <w:bCs/>
                <w:color w:val="auto"/>
                <w:sz w:val="24"/>
                <w:szCs w:val="24"/>
                <w:highlight w:val="none"/>
                <w:lang w:val="en-US" w:eastAsia="zh-CN"/>
              </w:rPr>
              <w:t>）</w:t>
            </w:r>
          </w:p>
          <w:p w14:paraId="49BE795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mallCaps w:val="0"/>
                <w:color w:val="auto"/>
                <w:sz w:val="24"/>
                <w:highlight w:val="none"/>
              </w:rPr>
              <w:t>本项目</w:t>
            </w:r>
            <w:r>
              <w:rPr>
                <w:rFonts w:hint="default" w:ascii="Times New Roman" w:hAnsi="Times New Roman" w:eastAsia="宋体" w:cs="Times New Roman"/>
                <w:b w:val="0"/>
                <w:bCs w:val="0"/>
                <w:smallCaps w:val="0"/>
                <w:color w:val="auto"/>
                <w:sz w:val="24"/>
                <w:highlight w:val="none"/>
                <w:lang w:val="en-US" w:eastAsia="zh-CN"/>
              </w:rPr>
              <w:t>部分设备冷却用到</w:t>
            </w:r>
            <w:r>
              <w:rPr>
                <w:rFonts w:hint="default" w:ascii="Times New Roman" w:hAnsi="Times New Roman" w:eastAsia="宋体" w:cs="Times New Roman"/>
                <w:b w:val="0"/>
                <w:bCs w:val="0"/>
                <w:smallCaps w:val="0"/>
                <w:color w:val="auto"/>
                <w:sz w:val="24"/>
                <w:highlight w:val="none"/>
              </w:rPr>
              <w:t>去离子水，</w:t>
            </w:r>
            <w:r>
              <w:rPr>
                <w:rFonts w:hint="default" w:ascii="Times New Roman" w:hAnsi="Times New Roman" w:eastAsia="宋体" w:cs="Times New Roman"/>
                <w:b w:val="0"/>
                <w:bCs w:val="0"/>
                <w:smallCaps w:val="0"/>
                <w:color w:val="auto"/>
                <w:sz w:val="24"/>
                <w:highlight w:val="none"/>
                <w:lang w:val="en-US" w:eastAsia="zh-CN"/>
              </w:rPr>
              <w:t>设置1</w:t>
            </w:r>
            <w:r>
              <w:rPr>
                <w:rFonts w:hint="default" w:ascii="Times New Roman" w:hAnsi="Times New Roman" w:eastAsia="宋体" w:cs="Times New Roman"/>
                <w:b w:val="0"/>
                <w:bCs w:val="0"/>
                <w:smallCaps w:val="0"/>
                <w:color w:val="auto"/>
                <w:sz w:val="24"/>
                <w:highlight w:val="none"/>
              </w:rPr>
              <w:t>台去离子水</w:t>
            </w:r>
            <w:r>
              <w:rPr>
                <w:rFonts w:hint="default" w:ascii="Times New Roman" w:hAnsi="Times New Roman" w:eastAsia="宋体" w:cs="Times New Roman"/>
                <w:b w:val="0"/>
                <w:bCs w:val="0"/>
                <w:smallCaps w:val="0"/>
                <w:color w:val="auto"/>
                <w:sz w:val="24"/>
                <w:highlight w:val="none"/>
                <w:lang w:val="en-US" w:eastAsia="zh-CN"/>
              </w:rPr>
              <w:t>制备设备</w:t>
            </w:r>
            <w:r>
              <w:rPr>
                <w:rFonts w:hint="default" w:ascii="Times New Roman" w:hAnsi="Times New Roman" w:eastAsia="宋体" w:cs="Times New Roman"/>
                <w:b w:val="0"/>
                <w:bCs w:val="0"/>
                <w:strike w:val="0"/>
                <w:dstrike w:val="0"/>
                <w:color w:val="auto"/>
                <w:sz w:val="24"/>
                <w:szCs w:val="24"/>
                <w:highlight w:val="none"/>
                <w:lang w:val="en-US" w:eastAsia="zh-CN"/>
              </w:rPr>
              <w:t>，产生废石英砂量为0.05t/a，项目产生废</w:t>
            </w:r>
            <w:r>
              <w:rPr>
                <w:rFonts w:hint="eastAsia" w:cs="Times New Roman"/>
                <w:b w:val="0"/>
                <w:bCs w:val="0"/>
                <w:strike w:val="0"/>
                <w:dstrike w:val="0"/>
                <w:color w:val="auto"/>
                <w:sz w:val="24"/>
                <w:szCs w:val="24"/>
                <w:highlight w:val="none"/>
                <w:lang w:val="en-US" w:eastAsia="zh-CN"/>
              </w:rPr>
              <w:t>活性炭</w:t>
            </w:r>
            <w:r>
              <w:rPr>
                <w:rFonts w:hint="default" w:ascii="Times New Roman" w:hAnsi="Times New Roman" w:eastAsia="宋体" w:cs="Times New Roman"/>
                <w:b w:val="0"/>
                <w:bCs w:val="0"/>
                <w:strike w:val="0"/>
                <w:dstrike w:val="0"/>
                <w:color w:val="auto"/>
                <w:sz w:val="24"/>
                <w:szCs w:val="24"/>
                <w:highlight w:val="none"/>
                <w:lang w:val="en-US" w:eastAsia="zh-CN"/>
              </w:rPr>
              <w:t>的量为0.24t/a，废反渗透膜的量为0.03t/a，</w:t>
            </w:r>
            <w:r>
              <w:rPr>
                <w:rFonts w:hint="eastAsia" w:cs="Times New Roman"/>
                <w:bCs/>
                <w:strike w:val="0"/>
                <w:dstrike w:val="0"/>
                <w:snapToGrid w:val="0"/>
                <w:color w:val="auto"/>
                <w:kern w:val="0"/>
                <w:sz w:val="24"/>
                <w:highlight w:val="none"/>
                <w:lang w:val="en-US" w:eastAsia="zh-CN"/>
              </w:rPr>
              <w:t>废离子交换树脂</w:t>
            </w:r>
            <w:r>
              <w:rPr>
                <w:rFonts w:hint="default" w:ascii="Times New Roman" w:hAnsi="Times New Roman" w:eastAsia="宋体" w:cs="Times New Roman"/>
                <w:b w:val="0"/>
                <w:bCs w:val="0"/>
                <w:strike w:val="0"/>
                <w:dstrike w:val="0"/>
                <w:color w:val="auto"/>
                <w:sz w:val="24"/>
                <w:szCs w:val="24"/>
                <w:highlight w:val="none"/>
                <w:lang w:val="en-US" w:eastAsia="zh-CN"/>
              </w:rPr>
              <w:t>量为0.</w:t>
            </w:r>
            <w:r>
              <w:rPr>
                <w:rFonts w:hint="eastAsia" w:cs="Times New Roman"/>
                <w:b w:val="0"/>
                <w:bCs w:val="0"/>
                <w:strike w:val="0"/>
                <w:dstrike w:val="0"/>
                <w:color w:val="auto"/>
                <w:sz w:val="24"/>
                <w:szCs w:val="24"/>
                <w:highlight w:val="none"/>
                <w:lang w:val="en-US" w:eastAsia="zh-CN"/>
              </w:rPr>
              <w:t>1</w:t>
            </w:r>
            <w:r>
              <w:rPr>
                <w:rFonts w:hint="default" w:ascii="Times New Roman" w:hAnsi="Times New Roman" w:eastAsia="宋体" w:cs="Times New Roman"/>
                <w:b w:val="0"/>
                <w:bCs w:val="0"/>
                <w:strike w:val="0"/>
                <w:dstrike w:val="0"/>
                <w:color w:val="auto"/>
                <w:sz w:val="24"/>
                <w:szCs w:val="24"/>
                <w:highlight w:val="none"/>
                <w:lang w:val="en-US" w:eastAsia="zh-CN"/>
              </w:rPr>
              <w:t>5t/a</w:t>
            </w:r>
            <w:r>
              <w:rPr>
                <w:rFonts w:hint="eastAsia" w:cs="Times New Roman"/>
                <w:bCs/>
                <w:strike w:val="0"/>
                <w:dstrike w:val="0"/>
                <w:snapToGrid w:val="0"/>
                <w:color w:val="auto"/>
                <w:kern w:val="0"/>
                <w:sz w:val="24"/>
                <w:highlight w:val="none"/>
                <w:lang w:val="en-US" w:eastAsia="zh-CN"/>
              </w:rPr>
              <w:t>；</w:t>
            </w:r>
            <w:r>
              <w:rPr>
                <w:rFonts w:hint="default" w:ascii="Times New Roman" w:hAnsi="Times New Roman" w:eastAsia="宋体" w:cs="Times New Roman"/>
                <w:color w:val="auto"/>
                <w:spacing w:val="-3"/>
                <w:sz w:val="24"/>
                <w:szCs w:val="24"/>
                <w:highlight w:val="none"/>
              </w:rPr>
              <w:t>根据《固体废物分类与代码目录》（2024年第4号），属于SW</w:t>
            </w:r>
            <w:r>
              <w:rPr>
                <w:rFonts w:hint="eastAsia" w:cs="Times New Roman"/>
                <w:color w:val="auto"/>
                <w:spacing w:val="-3"/>
                <w:sz w:val="24"/>
                <w:szCs w:val="24"/>
                <w:highlight w:val="none"/>
                <w:lang w:val="en-US" w:eastAsia="zh-CN"/>
              </w:rPr>
              <w:t>59其他工业固体废物</w:t>
            </w:r>
            <w:r>
              <w:rPr>
                <w:rFonts w:hint="default" w:ascii="Times New Roman" w:hAnsi="Times New Roman" w:eastAsia="宋体" w:cs="Times New Roman"/>
                <w:color w:val="auto"/>
                <w:spacing w:val="-3"/>
                <w:sz w:val="24"/>
                <w:szCs w:val="24"/>
                <w:highlight w:val="none"/>
              </w:rPr>
              <w:t>中非特定行业，分类代码为：900-0</w:t>
            </w:r>
            <w:r>
              <w:rPr>
                <w:rFonts w:hint="eastAsia" w:cs="Times New Roman"/>
                <w:color w:val="auto"/>
                <w:spacing w:val="-3"/>
                <w:sz w:val="24"/>
                <w:szCs w:val="24"/>
                <w:highlight w:val="none"/>
                <w:lang w:val="en-US" w:eastAsia="zh-CN"/>
              </w:rPr>
              <w:t>08-</w:t>
            </w:r>
            <w:r>
              <w:rPr>
                <w:rFonts w:hint="default" w:ascii="Times New Roman" w:hAnsi="Times New Roman" w:eastAsia="宋体" w:cs="Times New Roman"/>
                <w:color w:val="auto"/>
                <w:spacing w:val="-3"/>
                <w:sz w:val="24"/>
                <w:szCs w:val="24"/>
                <w:highlight w:val="none"/>
              </w:rPr>
              <w:t>S</w:t>
            </w:r>
            <w:r>
              <w:rPr>
                <w:rFonts w:hint="eastAsia" w:cs="Times New Roman"/>
                <w:color w:val="auto"/>
                <w:spacing w:val="-3"/>
                <w:sz w:val="24"/>
                <w:szCs w:val="24"/>
                <w:highlight w:val="none"/>
                <w:lang w:val="en-US" w:eastAsia="zh-CN"/>
              </w:rPr>
              <w:t>59</w:t>
            </w: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宋体" w:cs="Times New Roman"/>
                <w:b w:val="0"/>
                <w:bCs w:val="0"/>
                <w:strike w:val="0"/>
                <w:dstrike w:val="0"/>
                <w:color w:val="auto"/>
                <w:sz w:val="24"/>
                <w:szCs w:val="24"/>
                <w:highlight w:val="none"/>
                <w:lang w:val="en-US" w:eastAsia="zh-CN"/>
              </w:rPr>
              <w:t>废石英砂</w:t>
            </w:r>
            <w:r>
              <w:rPr>
                <w:rFonts w:hint="eastAsia"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废</w:t>
            </w:r>
            <w:r>
              <w:rPr>
                <w:rFonts w:hint="eastAsia" w:cs="Times New Roman"/>
                <w:b w:val="0"/>
                <w:bCs w:val="0"/>
                <w:strike w:val="0"/>
                <w:dstrike w:val="0"/>
                <w:color w:val="auto"/>
                <w:sz w:val="24"/>
                <w:szCs w:val="24"/>
                <w:highlight w:val="none"/>
                <w:lang w:val="en-US" w:eastAsia="zh-CN"/>
              </w:rPr>
              <w:t>活性炭、</w:t>
            </w:r>
            <w:r>
              <w:rPr>
                <w:rFonts w:hint="default" w:ascii="Times New Roman" w:hAnsi="Times New Roman" w:eastAsia="宋体" w:cs="Times New Roman"/>
                <w:b w:val="0"/>
                <w:bCs w:val="0"/>
                <w:strike w:val="0"/>
                <w:dstrike w:val="0"/>
                <w:color w:val="auto"/>
                <w:sz w:val="24"/>
                <w:szCs w:val="24"/>
                <w:highlight w:val="none"/>
                <w:lang w:val="en-US" w:eastAsia="zh-CN"/>
              </w:rPr>
              <w:t>废反渗透膜</w:t>
            </w:r>
            <w:r>
              <w:rPr>
                <w:rFonts w:hint="eastAsia" w:cs="Times New Roman"/>
                <w:b w:val="0"/>
                <w:bCs w:val="0"/>
                <w:strike w:val="0"/>
                <w:dstrike w:val="0"/>
                <w:color w:val="auto"/>
                <w:sz w:val="24"/>
                <w:szCs w:val="24"/>
                <w:highlight w:val="none"/>
                <w:lang w:val="en-US" w:eastAsia="zh-CN"/>
              </w:rPr>
              <w:t>及</w:t>
            </w:r>
            <w:r>
              <w:rPr>
                <w:rFonts w:hint="eastAsia" w:cs="Times New Roman"/>
                <w:bCs/>
                <w:strike w:val="0"/>
                <w:dstrike w:val="0"/>
                <w:snapToGrid w:val="0"/>
                <w:color w:val="auto"/>
                <w:kern w:val="0"/>
                <w:sz w:val="24"/>
                <w:highlight w:val="none"/>
                <w:lang w:val="en-US" w:eastAsia="zh-CN"/>
              </w:rPr>
              <w:t>废离子交换树脂</w:t>
            </w:r>
            <w:r>
              <w:rPr>
                <w:rFonts w:hint="default" w:ascii="Times New Roman" w:hAnsi="Times New Roman" w:eastAsia="宋体" w:cs="Times New Roman"/>
                <w:b w:val="0"/>
                <w:bCs w:val="0"/>
                <w:strike w:val="0"/>
                <w:dstrike w:val="0"/>
                <w:color w:val="auto"/>
                <w:sz w:val="24"/>
                <w:szCs w:val="24"/>
                <w:highlight w:val="none"/>
                <w:lang w:val="en-US" w:eastAsia="zh-CN"/>
              </w:rPr>
              <w:t>由厂家定期更换收集后</w:t>
            </w:r>
            <w:r>
              <w:rPr>
                <w:rFonts w:hint="eastAsia" w:cs="Times New Roman"/>
                <w:b w:val="0"/>
                <w:bCs w:val="0"/>
                <w:strike w:val="0"/>
                <w:dstrike w:val="0"/>
                <w:color w:val="auto"/>
                <w:sz w:val="24"/>
                <w:szCs w:val="24"/>
                <w:highlight w:val="none"/>
                <w:lang w:val="en-US" w:eastAsia="zh-CN"/>
              </w:rPr>
              <w:t>带走处理</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2BB7D2FA">
            <w:pPr>
              <w:keepNext w:val="0"/>
              <w:keepLines w:val="0"/>
              <w:pageBreakBefore w:val="0"/>
              <w:widowControl w:val="0"/>
              <w:kinsoku/>
              <w:wordWrap/>
              <w:overflowPunct/>
              <w:topLinePunct/>
              <w:autoSpaceDE w:val="0"/>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14:paraId="4BD14BAC">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6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5"/>
                <w:sz w:val="24"/>
                <w:szCs w:val="24"/>
                <w:highlight w:val="none"/>
                <w:lang w:eastAsia="zh-CN"/>
              </w:rPr>
              <w:t>（</w:t>
            </w:r>
            <w:r>
              <w:rPr>
                <w:rFonts w:hint="default" w:ascii="Times New Roman" w:hAnsi="Times New Roman" w:eastAsia="宋体" w:cs="Times New Roman"/>
                <w:b/>
                <w:bCs/>
                <w:color w:val="auto"/>
                <w:spacing w:val="-5"/>
                <w:sz w:val="24"/>
                <w:szCs w:val="24"/>
                <w:highlight w:val="none"/>
                <w:lang w:val="en-US" w:eastAsia="zh-CN"/>
              </w:rPr>
              <w:t>1</w:t>
            </w:r>
            <w:r>
              <w:rPr>
                <w:rFonts w:hint="default" w:ascii="Times New Roman" w:hAnsi="Times New Roman" w:eastAsia="宋体" w:cs="Times New Roman"/>
                <w:b/>
                <w:bCs/>
                <w:color w:val="auto"/>
                <w:spacing w:val="-5"/>
                <w:sz w:val="24"/>
                <w:szCs w:val="24"/>
                <w:highlight w:val="none"/>
                <w:lang w:eastAsia="zh-CN"/>
              </w:rPr>
              <w:t>）</w:t>
            </w:r>
            <w:r>
              <w:rPr>
                <w:rFonts w:hint="default" w:ascii="Times New Roman" w:hAnsi="Times New Roman" w:eastAsia="宋体" w:cs="Times New Roman"/>
                <w:b/>
                <w:bCs/>
                <w:color w:val="auto"/>
                <w:spacing w:val="-5"/>
                <w:sz w:val="24"/>
                <w:szCs w:val="24"/>
                <w:highlight w:val="none"/>
              </w:rPr>
              <w:t>生活垃圾</w:t>
            </w:r>
          </w:p>
          <w:p w14:paraId="59587082">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本项目劳动定员350</w:t>
            </w:r>
            <w:r>
              <w:rPr>
                <w:rFonts w:hint="default" w:ascii="Times New Roman" w:hAnsi="Times New Roman" w:eastAsia="宋体" w:cs="Times New Roman"/>
                <w:color w:val="auto"/>
                <w:sz w:val="24"/>
                <w:szCs w:val="24"/>
                <w:highlight w:val="none"/>
              </w:rPr>
              <w:t>人，</w:t>
            </w:r>
            <w:r>
              <w:rPr>
                <w:rFonts w:hint="default" w:ascii="Times New Roman" w:hAnsi="Times New Roman" w:eastAsia="宋体" w:cs="Times New Roman"/>
                <w:color w:val="auto"/>
                <w:sz w:val="24"/>
                <w:szCs w:val="24"/>
                <w:highlight w:val="none"/>
                <w:lang w:val="en-US" w:eastAsia="zh-CN"/>
              </w:rPr>
              <w:t>每天约240人在</w:t>
            </w:r>
            <w:r>
              <w:rPr>
                <w:rFonts w:hint="default" w:ascii="Times New Roman" w:hAnsi="Times New Roman" w:eastAsia="宋体" w:cs="Times New Roman"/>
                <w:color w:val="auto"/>
                <w:spacing w:val="-2"/>
                <w:sz w:val="24"/>
                <w:szCs w:val="24"/>
                <w:highlight w:val="none"/>
              </w:rPr>
              <w:t>项目区住宿</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住宿人员</w:t>
            </w:r>
            <w:r>
              <w:rPr>
                <w:rFonts w:hint="default" w:ascii="Times New Roman" w:hAnsi="Times New Roman" w:eastAsia="宋体" w:cs="Times New Roman"/>
                <w:color w:val="auto"/>
                <w:spacing w:val="1"/>
                <w:sz w:val="24"/>
                <w:szCs w:val="24"/>
                <w:highlight w:val="none"/>
              </w:rPr>
              <w:t>生活垃圾产生量按0</w:t>
            </w:r>
            <w:r>
              <w:rPr>
                <w:rFonts w:hint="default" w:ascii="Times New Roman" w:hAnsi="Times New Roman" w:eastAsia="宋体" w:cs="Times New Roman"/>
                <w:color w:val="auto"/>
                <w:sz w:val="24"/>
                <w:szCs w:val="24"/>
                <w:highlight w:val="none"/>
              </w:rPr>
              <w:t>.5kg/d•人计，</w:t>
            </w:r>
            <w:r>
              <w:rPr>
                <w:rFonts w:hint="default" w:ascii="Times New Roman" w:hAnsi="Times New Roman" w:eastAsia="宋体" w:cs="Times New Roman"/>
                <w:strike w:val="0"/>
                <w:dstrike w:val="0"/>
                <w:color w:val="auto"/>
                <w:sz w:val="24"/>
                <w:highlight w:val="none"/>
                <w:lang w:val="en-US" w:eastAsia="zh-CN"/>
              </w:rPr>
              <w:t>不住宿人员生活垃圾量按0.3kg/d计，</w:t>
            </w:r>
            <w:r>
              <w:rPr>
                <w:rFonts w:hint="default" w:ascii="Times New Roman" w:hAnsi="Times New Roman" w:eastAsia="宋体" w:cs="Times New Roman"/>
                <w:color w:val="auto"/>
                <w:sz w:val="24"/>
                <w:szCs w:val="24"/>
                <w:highlight w:val="none"/>
              </w:rPr>
              <w:t>则生活垃圾产生</w:t>
            </w:r>
            <w:r>
              <w:rPr>
                <w:rFonts w:hint="default" w:ascii="Times New Roman" w:hAnsi="Times New Roman" w:eastAsia="宋体" w:cs="Times New Roman"/>
                <w:color w:val="auto"/>
                <w:spacing w:val="-2"/>
                <w:sz w:val="24"/>
                <w:szCs w:val="24"/>
                <w:highlight w:val="none"/>
              </w:rPr>
              <w:t>量约为0.</w:t>
            </w:r>
            <w:r>
              <w:rPr>
                <w:rFonts w:hint="default" w:ascii="Times New Roman" w:hAnsi="Times New Roman" w:eastAsia="宋体" w:cs="Times New Roman"/>
                <w:color w:val="auto"/>
                <w:spacing w:val="-2"/>
                <w:sz w:val="24"/>
                <w:szCs w:val="24"/>
                <w:highlight w:val="none"/>
                <w:lang w:val="en-US" w:eastAsia="zh-CN"/>
              </w:rPr>
              <w:t>153</w:t>
            </w:r>
            <w:r>
              <w:rPr>
                <w:rFonts w:hint="default" w:ascii="Times New Roman" w:hAnsi="Times New Roman" w:eastAsia="宋体" w:cs="Times New Roman"/>
                <w:color w:val="auto"/>
                <w:spacing w:val="-2"/>
                <w:sz w:val="24"/>
                <w:szCs w:val="24"/>
                <w:highlight w:val="none"/>
              </w:rPr>
              <w:t>t/d，</w:t>
            </w:r>
            <w:r>
              <w:rPr>
                <w:rFonts w:hint="default" w:ascii="Times New Roman" w:hAnsi="Times New Roman" w:eastAsia="宋体" w:cs="Times New Roman"/>
                <w:color w:val="auto"/>
                <w:spacing w:val="-2"/>
                <w:sz w:val="24"/>
                <w:szCs w:val="24"/>
                <w:highlight w:val="none"/>
                <w:lang w:val="en-US" w:eastAsia="zh-CN"/>
              </w:rPr>
              <w:t>50.49</w:t>
            </w:r>
            <w:r>
              <w:rPr>
                <w:rFonts w:hint="default" w:ascii="Times New Roman" w:hAnsi="Times New Roman" w:eastAsia="宋体" w:cs="Times New Roman"/>
                <w:color w:val="auto"/>
                <w:spacing w:val="-2"/>
                <w:sz w:val="24"/>
                <w:szCs w:val="24"/>
                <w:highlight w:val="none"/>
              </w:rPr>
              <w:t>t/a</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5"/>
                <w:sz w:val="24"/>
                <w:szCs w:val="24"/>
                <w:highlight w:val="none"/>
              </w:rPr>
              <w:t>根据《固体废物分类与代码目</w:t>
            </w:r>
            <w:r>
              <w:rPr>
                <w:rFonts w:hint="default" w:ascii="Times New Roman" w:hAnsi="Times New Roman" w:eastAsia="宋体" w:cs="Times New Roman"/>
                <w:color w:val="auto"/>
                <w:spacing w:val="-6"/>
                <w:sz w:val="24"/>
                <w:szCs w:val="24"/>
                <w:highlight w:val="none"/>
              </w:rPr>
              <w:t>录》（2024年第4号</w:t>
            </w:r>
            <w:r>
              <w:rPr>
                <w:rFonts w:hint="eastAsia" w:cs="Times New Roman"/>
                <w:color w:val="auto"/>
                <w:spacing w:val="-6"/>
                <w:sz w:val="24"/>
                <w:szCs w:val="24"/>
                <w:highlight w:val="none"/>
                <w:lang w:eastAsia="zh-CN"/>
              </w:rPr>
              <w:t>），</w:t>
            </w:r>
            <w:r>
              <w:rPr>
                <w:rFonts w:hint="default" w:ascii="Times New Roman" w:hAnsi="Times New Roman" w:eastAsia="宋体" w:cs="Times New Roman"/>
                <w:color w:val="auto"/>
                <w:sz w:val="24"/>
                <w:szCs w:val="24"/>
                <w:highlight w:val="none"/>
              </w:rPr>
              <w:t>属于SW</w:t>
            </w:r>
            <w:r>
              <w:rPr>
                <w:rFonts w:hint="eastAsia" w:ascii="Times New Roman" w:hAnsi="Times New Roman" w:eastAsia="宋体" w:cs="Times New Roman"/>
                <w:color w:val="auto"/>
                <w:sz w:val="24"/>
                <w:szCs w:val="24"/>
                <w:highlight w:val="none"/>
                <w:lang w:val="en-US" w:eastAsia="zh-CN"/>
              </w:rPr>
              <w:t>62可回收物</w:t>
            </w:r>
            <w:r>
              <w:rPr>
                <w:rFonts w:hint="default" w:ascii="Times New Roman" w:hAnsi="Times New Roman" w:eastAsia="宋体" w:cs="Times New Roman"/>
                <w:color w:val="auto"/>
                <w:sz w:val="24"/>
                <w:szCs w:val="24"/>
                <w:highlight w:val="none"/>
              </w:rPr>
              <w:t>中非特定行业，分类代码为：900-0</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62、</w:t>
            </w:r>
            <w:r>
              <w:rPr>
                <w:rFonts w:hint="default" w:ascii="Times New Roman" w:hAnsi="Times New Roman" w:eastAsia="宋体" w:cs="Times New Roman"/>
                <w:color w:val="auto"/>
                <w:sz w:val="24"/>
                <w:szCs w:val="24"/>
                <w:highlight w:val="none"/>
              </w:rPr>
              <w:t>900-0</w:t>
            </w: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62</w:t>
            </w:r>
            <w:r>
              <w:rPr>
                <w:rFonts w:hint="eastAsia"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项目</w:t>
            </w:r>
            <w:r>
              <w:rPr>
                <w:rFonts w:hint="default" w:ascii="Times New Roman" w:hAnsi="Times New Roman" w:eastAsia="宋体" w:cs="Times New Roman"/>
                <w:color w:val="auto"/>
                <w:spacing w:val="-2"/>
                <w:sz w:val="24"/>
                <w:szCs w:val="24"/>
                <w:highlight w:val="none"/>
              </w:rPr>
              <w:t>产生的</w:t>
            </w:r>
            <w:r>
              <w:rPr>
                <w:rFonts w:hint="default" w:ascii="Times New Roman" w:hAnsi="Times New Roman" w:eastAsia="宋体" w:cs="Times New Roman"/>
                <w:color w:val="auto"/>
                <w:spacing w:val="-3"/>
                <w:sz w:val="24"/>
                <w:szCs w:val="24"/>
                <w:highlight w:val="none"/>
              </w:rPr>
              <w:t>生活</w:t>
            </w:r>
            <w:r>
              <w:rPr>
                <w:rFonts w:hint="default" w:ascii="Times New Roman" w:hAnsi="Times New Roman" w:eastAsia="宋体" w:cs="Times New Roman"/>
                <w:color w:val="auto"/>
                <w:spacing w:val="-3"/>
                <w:sz w:val="24"/>
                <w:szCs w:val="24"/>
                <w:highlight w:val="none"/>
                <w:lang w:val="en-US" w:eastAsia="zh-CN"/>
              </w:rPr>
              <w:t>垃圾经收集后</w:t>
            </w:r>
            <w:r>
              <w:rPr>
                <w:rFonts w:hint="default" w:ascii="Times New Roman" w:hAnsi="Times New Roman" w:eastAsia="宋体" w:cs="Times New Roman"/>
                <w:color w:val="auto"/>
                <w:spacing w:val="-3"/>
                <w:sz w:val="24"/>
                <w:szCs w:val="24"/>
                <w:highlight w:val="none"/>
              </w:rPr>
              <w:t>由环卫部门集中清运。</w:t>
            </w:r>
          </w:p>
          <w:p w14:paraId="0CC62E2C">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78"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1"/>
                <w:sz w:val="24"/>
                <w:szCs w:val="24"/>
                <w:highlight w:val="none"/>
                <w:lang w:eastAsia="zh-CN"/>
              </w:rPr>
              <w:t>（</w:t>
            </w:r>
            <w:r>
              <w:rPr>
                <w:rFonts w:hint="default" w:ascii="Times New Roman" w:hAnsi="Times New Roman" w:eastAsia="宋体" w:cs="Times New Roman"/>
                <w:b/>
                <w:bCs/>
                <w:color w:val="auto"/>
                <w:spacing w:val="-1"/>
                <w:sz w:val="24"/>
                <w:szCs w:val="24"/>
                <w:highlight w:val="none"/>
                <w:lang w:val="en-US" w:eastAsia="zh-CN"/>
              </w:rPr>
              <w:t>2</w:t>
            </w:r>
            <w:r>
              <w:rPr>
                <w:rFonts w:hint="default" w:ascii="Times New Roman" w:hAnsi="Times New Roman" w:eastAsia="宋体" w:cs="Times New Roman"/>
                <w:b/>
                <w:bCs/>
                <w:color w:val="auto"/>
                <w:spacing w:val="-1"/>
                <w:sz w:val="24"/>
                <w:szCs w:val="24"/>
                <w:highlight w:val="none"/>
                <w:lang w:eastAsia="zh-CN"/>
              </w:rPr>
              <w:t>）</w:t>
            </w:r>
            <w:r>
              <w:rPr>
                <w:rFonts w:hint="default" w:ascii="Times New Roman" w:hAnsi="Times New Roman" w:eastAsia="宋体" w:cs="Times New Roman"/>
                <w:b/>
                <w:bCs/>
                <w:color w:val="auto"/>
                <w:spacing w:val="-1"/>
                <w:sz w:val="24"/>
                <w:szCs w:val="24"/>
                <w:highlight w:val="none"/>
              </w:rPr>
              <w:t>隔油池油污</w:t>
            </w:r>
          </w:p>
          <w:p w14:paraId="451F8240">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6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lang w:val="en-US" w:eastAsia="zh-CN"/>
              </w:rPr>
              <w:t>食堂</w:t>
            </w:r>
            <w:r>
              <w:rPr>
                <w:rFonts w:hint="default" w:ascii="Times New Roman" w:hAnsi="Times New Roman" w:eastAsia="宋体" w:cs="Times New Roman"/>
                <w:color w:val="auto"/>
                <w:spacing w:val="-4"/>
                <w:sz w:val="24"/>
                <w:szCs w:val="24"/>
                <w:highlight w:val="none"/>
              </w:rPr>
              <w:t>废水经隔油池处理后，会在隔油池内部产生大量废油漂浮，如不定期清掏，将会影响隔油池对废水的净化效果。项目食堂估算用油量约</w:t>
            </w:r>
            <w:r>
              <w:rPr>
                <w:rFonts w:hint="default" w:ascii="Times New Roman" w:hAnsi="Times New Roman" w:eastAsia="宋体" w:cs="Times New Roman"/>
                <w:color w:val="auto"/>
                <w:spacing w:val="-4"/>
                <w:sz w:val="24"/>
                <w:szCs w:val="24"/>
                <w:highlight w:val="none"/>
                <w:lang w:val="en-US" w:eastAsia="zh-CN"/>
              </w:rPr>
              <w:t>1.98</w:t>
            </w:r>
            <w:r>
              <w:rPr>
                <w:rFonts w:hint="default" w:ascii="Times New Roman" w:hAnsi="Times New Roman" w:eastAsia="宋体" w:cs="Times New Roman"/>
                <w:color w:val="auto"/>
                <w:spacing w:val="-4"/>
                <w:sz w:val="24"/>
                <w:szCs w:val="24"/>
                <w:highlight w:val="none"/>
              </w:rPr>
              <w:t>t/a，</w:t>
            </w:r>
            <w:r>
              <w:rPr>
                <w:rFonts w:hint="default" w:ascii="Times New Roman" w:hAnsi="Times New Roman" w:eastAsia="宋体" w:cs="Times New Roman"/>
                <w:color w:val="auto"/>
                <w:spacing w:val="-4"/>
                <w:sz w:val="24"/>
                <w:szCs w:val="24"/>
                <w:highlight w:val="none"/>
                <w:lang w:val="en-US" w:eastAsia="zh-CN"/>
              </w:rPr>
              <w:t>隔油池</w:t>
            </w:r>
            <w:r>
              <w:rPr>
                <w:rFonts w:hint="default" w:ascii="Times New Roman" w:hAnsi="Times New Roman" w:eastAsia="宋体" w:cs="Times New Roman"/>
                <w:color w:val="auto"/>
                <w:spacing w:val="-4"/>
                <w:sz w:val="24"/>
                <w:szCs w:val="24"/>
                <w:highlight w:val="none"/>
              </w:rPr>
              <w:t>废油产生</w:t>
            </w:r>
            <w:r>
              <w:rPr>
                <w:rFonts w:hint="default" w:ascii="Times New Roman" w:hAnsi="Times New Roman" w:eastAsia="宋体" w:cs="Times New Roman"/>
                <w:color w:val="auto"/>
                <w:spacing w:val="-2"/>
                <w:sz w:val="24"/>
                <w:szCs w:val="24"/>
                <w:highlight w:val="none"/>
              </w:rPr>
              <w:t>量约为餐厅用油量的20%，则油水分离器收集的废油约</w:t>
            </w:r>
            <w:r>
              <w:rPr>
                <w:rFonts w:hint="default" w:ascii="Times New Roman" w:hAnsi="Times New Roman" w:eastAsia="宋体" w:cs="Times New Roman"/>
                <w:color w:val="auto"/>
                <w:spacing w:val="-2"/>
                <w:sz w:val="24"/>
                <w:szCs w:val="24"/>
                <w:highlight w:val="none"/>
                <w:lang w:val="en-US" w:eastAsia="zh-CN"/>
              </w:rPr>
              <w:t>0.4</w:t>
            </w:r>
            <w:r>
              <w:rPr>
                <w:rFonts w:hint="default" w:ascii="Times New Roman" w:hAnsi="Times New Roman" w:eastAsia="宋体" w:cs="Times New Roman"/>
                <w:color w:val="auto"/>
                <w:spacing w:val="-2"/>
                <w:sz w:val="24"/>
                <w:szCs w:val="24"/>
                <w:highlight w:val="none"/>
              </w:rPr>
              <w:t>t/a</w:t>
            </w:r>
            <w:r>
              <w:rPr>
                <w:rFonts w:hint="eastAsia" w:cs="Times New Roman"/>
                <w:color w:val="auto"/>
                <w:spacing w:val="-2"/>
                <w:sz w:val="24"/>
                <w:szCs w:val="24"/>
                <w:highlight w:val="none"/>
                <w:lang w:eastAsia="zh-CN"/>
              </w:rPr>
              <w:t>。</w:t>
            </w:r>
            <w:r>
              <w:rPr>
                <w:rFonts w:hint="default" w:ascii="Times New Roman" w:hAnsi="Times New Roman" w:eastAsia="宋体" w:cs="Times New Roman"/>
                <w:color w:val="auto"/>
                <w:spacing w:val="-5"/>
                <w:sz w:val="24"/>
                <w:szCs w:val="24"/>
                <w:highlight w:val="none"/>
              </w:rPr>
              <w:t>根据《固体废物分类与代码目</w:t>
            </w:r>
            <w:r>
              <w:rPr>
                <w:rFonts w:hint="default" w:ascii="Times New Roman" w:hAnsi="Times New Roman" w:eastAsia="宋体" w:cs="Times New Roman"/>
                <w:color w:val="auto"/>
                <w:spacing w:val="-6"/>
                <w:sz w:val="24"/>
                <w:szCs w:val="24"/>
                <w:highlight w:val="none"/>
              </w:rPr>
              <w:t>录》（2024年第4号</w:t>
            </w:r>
            <w:r>
              <w:rPr>
                <w:rFonts w:hint="eastAsia" w:cs="Times New Roman"/>
                <w:color w:val="auto"/>
                <w:spacing w:val="-6"/>
                <w:sz w:val="24"/>
                <w:szCs w:val="24"/>
                <w:highlight w:val="none"/>
                <w:lang w:eastAsia="zh-CN"/>
              </w:rPr>
              <w:t>），</w:t>
            </w:r>
            <w:r>
              <w:rPr>
                <w:rFonts w:hint="default" w:ascii="Times New Roman" w:hAnsi="Times New Roman" w:eastAsia="宋体" w:cs="Times New Roman"/>
                <w:color w:val="auto"/>
                <w:sz w:val="24"/>
                <w:szCs w:val="24"/>
                <w:highlight w:val="none"/>
              </w:rPr>
              <w:t>属于SW</w:t>
            </w:r>
            <w:r>
              <w:rPr>
                <w:rFonts w:hint="eastAsia" w:ascii="Times New Roman" w:hAnsi="Times New Roman" w:eastAsia="宋体" w:cs="Times New Roman"/>
                <w:color w:val="auto"/>
                <w:sz w:val="24"/>
                <w:szCs w:val="24"/>
                <w:highlight w:val="none"/>
                <w:lang w:val="en-US" w:eastAsia="zh-CN"/>
              </w:rPr>
              <w:t>6</w:t>
            </w:r>
            <w:r>
              <w:rPr>
                <w:rFonts w:hint="eastAsia" w:eastAsia="宋体" w:cs="Times New Roman"/>
                <w:color w:val="auto"/>
                <w:sz w:val="24"/>
                <w:szCs w:val="24"/>
                <w:highlight w:val="none"/>
                <w:lang w:val="en-US" w:eastAsia="zh-CN"/>
              </w:rPr>
              <w:t>1厨余垃圾</w:t>
            </w:r>
            <w:r>
              <w:rPr>
                <w:rFonts w:hint="default" w:ascii="Times New Roman" w:hAnsi="Times New Roman" w:eastAsia="宋体" w:cs="Times New Roman"/>
                <w:color w:val="auto"/>
                <w:sz w:val="24"/>
                <w:szCs w:val="24"/>
                <w:highlight w:val="none"/>
              </w:rPr>
              <w:t>中非特定行业，分类代码为：900-0</w:t>
            </w: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6</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2"/>
                <w:sz w:val="24"/>
                <w:szCs w:val="24"/>
                <w:highlight w:val="none"/>
              </w:rPr>
              <w:t>定期清</w:t>
            </w:r>
            <w:r>
              <w:rPr>
                <w:rFonts w:hint="default" w:ascii="Times New Roman" w:hAnsi="Times New Roman" w:eastAsia="宋体" w:cs="Times New Roman"/>
                <w:color w:val="auto"/>
                <w:spacing w:val="-3"/>
                <w:sz w:val="24"/>
                <w:szCs w:val="24"/>
                <w:highlight w:val="none"/>
              </w:rPr>
              <w:t>掏后收集于废</w:t>
            </w:r>
            <w:r>
              <w:rPr>
                <w:rFonts w:hint="default" w:ascii="Times New Roman" w:hAnsi="Times New Roman" w:eastAsia="宋体" w:cs="Times New Roman"/>
                <w:color w:val="auto"/>
                <w:spacing w:val="-1"/>
                <w:sz w:val="24"/>
                <w:szCs w:val="24"/>
                <w:highlight w:val="none"/>
              </w:rPr>
              <w:t>油脂收集桶内委托有资质的单位处置。</w:t>
            </w:r>
          </w:p>
          <w:p w14:paraId="252720CE">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74"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lang w:val="en-US" w:eastAsia="zh-CN"/>
              </w:rPr>
              <w:t>3</w:t>
            </w:r>
            <w:r>
              <w:rPr>
                <w:rFonts w:hint="default" w:ascii="Times New Roman" w:hAnsi="Times New Roman" w:eastAsia="宋体" w:cs="Times New Roman"/>
                <w:b/>
                <w:bCs/>
                <w:color w:val="auto"/>
                <w:spacing w:val="-2"/>
                <w:sz w:val="24"/>
                <w:szCs w:val="24"/>
                <w:highlight w:val="none"/>
                <w:lang w:eastAsia="zh-CN"/>
              </w:rPr>
              <w:t>）</w:t>
            </w:r>
            <w:r>
              <w:rPr>
                <w:rFonts w:hint="default" w:ascii="Times New Roman" w:hAnsi="Times New Roman" w:eastAsia="宋体" w:cs="Times New Roman"/>
                <w:b/>
                <w:bCs/>
                <w:color w:val="auto"/>
                <w:spacing w:val="-2"/>
                <w:sz w:val="24"/>
                <w:szCs w:val="24"/>
                <w:highlight w:val="none"/>
              </w:rPr>
              <w:t>化粪池污泥</w:t>
            </w:r>
          </w:p>
          <w:p w14:paraId="13211985">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8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根据《集中式污染治理设施产排污系数手册（2010修订）》，化粪池污泥产生</w:t>
            </w:r>
            <w:r>
              <w:rPr>
                <w:rFonts w:hint="default" w:ascii="Times New Roman" w:hAnsi="Times New Roman" w:eastAsia="宋体" w:cs="Times New Roman"/>
                <w:color w:val="auto"/>
                <w:spacing w:val="-3"/>
                <w:sz w:val="24"/>
                <w:szCs w:val="24"/>
                <w:highlight w:val="none"/>
              </w:rPr>
              <w:t>量按照16.7t/万</w:t>
            </w:r>
            <w:r>
              <w:rPr>
                <w:rFonts w:hint="default" w:ascii="Times New Roman" w:hAnsi="Times New Roman" w:eastAsia="宋体" w:cs="Times New Roman"/>
                <w:color w:val="auto"/>
                <w:spacing w:val="-58"/>
                <w:sz w:val="24"/>
                <w:szCs w:val="24"/>
                <w:highlight w:val="none"/>
              </w:rPr>
              <w:t xml:space="preserve"> </w:t>
            </w:r>
            <w:r>
              <w:rPr>
                <w:rFonts w:hint="default" w:ascii="Times New Roman" w:hAnsi="Times New Roman" w:eastAsia="宋体" w:cs="Times New Roman"/>
                <w:color w:val="auto"/>
                <w:spacing w:val="-3"/>
                <w:sz w:val="24"/>
                <w:szCs w:val="24"/>
                <w:highlight w:val="none"/>
              </w:rPr>
              <w:t>t废水处理量计算，项目化粪池处理废水量为</w:t>
            </w:r>
            <w:r>
              <w:rPr>
                <w:rFonts w:hint="default" w:ascii="Times New Roman" w:hAnsi="Times New Roman" w:eastAsia="宋体" w:cs="Times New Roman"/>
                <w:color w:val="auto"/>
                <w:spacing w:val="-3"/>
                <w:sz w:val="24"/>
                <w:szCs w:val="24"/>
                <w:highlight w:val="none"/>
                <w:lang w:val="en-US" w:eastAsia="zh-CN"/>
              </w:rPr>
              <w:t>7629.6</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3"/>
                <w:sz w:val="24"/>
                <w:szCs w:val="24"/>
                <w:highlight w:val="none"/>
                <w:vertAlign w:val="superscript"/>
                <w:lang w:val="en-US" w:eastAsia="zh-CN"/>
              </w:rPr>
              <w:t>3</w:t>
            </w:r>
            <w:r>
              <w:rPr>
                <w:rFonts w:hint="default" w:ascii="Times New Roman" w:hAnsi="Times New Roman" w:eastAsia="宋体" w:cs="Times New Roman"/>
                <w:color w:val="auto"/>
                <w:spacing w:val="-3"/>
                <w:sz w:val="24"/>
                <w:szCs w:val="24"/>
                <w:highlight w:val="none"/>
              </w:rPr>
              <w:t>/a，则化粪池污</w:t>
            </w:r>
            <w:r>
              <w:rPr>
                <w:rFonts w:hint="default" w:ascii="Times New Roman" w:hAnsi="Times New Roman" w:eastAsia="宋体" w:cs="Times New Roman"/>
                <w:color w:val="auto"/>
                <w:spacing w:val="-2"/>
                <w:sz w:val="24"/>
                <w:szCs w:val="24"/>
                <w:highlight w:val="none"/>
              </w:rPr>
              <w:t>泥产生量约为</w:t>
            </w:r>
            <w:r>
              <w:rPr>
                <w:rFonts w:hint="default" w:ascii="Times New Roman" w:hAnsi="Times New Roman" w:eastAsia="宋体" w:cs="Times New Roman"/>
                <w:color w:val="auto"/>
                <w:spacing w:val="-2"/>
                <w:sz w:val="24"/>
                <w:szCs w:val="24"/>
                <w:highlight w:val="none"/>
                <w:lang w:val="en-US" w:eastAsia="zh-CN"/>
              </w:rPr>
              <w:t>12.74</w:t>
            </w:r>
            <w:r>
              <w:rPr>
                <w:rFonts w:hint="default" w:ascii="Times New Roman" w:hAnsi="Times New Roman" w:eastAsia="宋体" w:cs="Times New Roman"/>
                <w:color w:val="auto"/>
                <w:spacing w:val="-2"/>
                <w:sz w:val="24"/>
                <w:szCs w:val="24"/>
                <w:highlight w:val="none"/>
              </w:rPr>
              <w:t>t/a，</w:t>
            </w:r>
            <w:r>
              <w:rPr>
                <w:rFonts w:hint="default" w:ascii="Times New Roman" w:hAnsi="Times New Roman" w:eastAsia="宋体" w:cs="Times New Roman"/>
                <w:color w:val="auto"/>
                <w:spacing w:val="-5"/>
                <w:sz w:val="24"/>
                <w:szCs w:val="24"/>
                <w:highlight w:val="none"/>
              </w:rPr>
              <w:t>根据《固体废物分类与代码目</w:t>
            </w:r>
            <w:r>
              <w:rPr>
                <w:rFonts w:hint="default" w:ascii="Times New Roman" w:hAnsi="Times New Roman" w:eastAsia="宋体" w:cs="Times New Roman"/>
                <w:color w:val="auto"/>
                <w:spacing w:val="-6"/>
                <w:sz w:val="24"/>
                <w:szCs w:val="24"/>
                <w:highlight w:val="none"/>
              </w:rPr>
              <w:t>录》（2024年第4号</w:t>
            </w:r>
            <w:r>
              <w:rPr>
                <w:rFonts w:hint="eastAsia" w:cs="Times New Roman"/>
                <w:color w:val="auto"/>
                <w:spacing w:val="-6"/>
                <w:sz w:val="24"/>
                <w:szCs w:val="24"/>
                <w:highlight w:val="none"/>
                <w:lang w:eastAsia="zh-CN"/>
              </w:rPr>
              <w:t>），</w:t>
            </w:r>
            <w:r>
              <w:rPr>
                <w:rFonts w:hint="default" w:ascii="Times New Roman" w:hAnsi="Times New Roman" w:eastAsia="宋体" w:cs="Times New Roman"/>
                <w:color w:val="auto"/>
                <w:sz w:val="24"/>
                <w:szCs w:val="24"/>
                <w:highlight w:val="none"/>
              </w:rPr>
              <w:t>属于SW</w:t>
            </w:r>
            <w:r>
              <w:rPr>
                <w:rFonts w:hint="eastAsia" w:eastAsia="宋体" w:cs="Times New Roman"/>
                <w:color w:val="auto"/>
                <w:sz w:val="24"/>
                <w:szCs w:val="24"/>
                <w:highlight w:val="none"/>
                <w:lang w:val="en-US" w:eastAsia="zh-CN"/>
              </w:rPr>
              <w:t>07污泥</w:t>
            </w:r>
            <w:r>
              <w:rPr>
                <w:rFonts w:hint="default" w:ascii="Times New Roman" w:hAnsi="Times New Roman" w:eastAsia="宋体" w:cs="Times New Roman"/>
                <w:color w:val="auto"/>
                <w:sz w:val="24"/>
                <w:szCs w:val="24"/>
                <w:highlight w:val="none"/>
              </w:rPr>
              <w:t>中非特定行业，分类代码为：900-0</w:t>
            </w:r>
            <w:r>
              <w:rPr>
                <w:rFonts w:hint="eastAsia" w:eastAsia="宋体" w:cs="Times New Roman"/>
                <w:color w:val="auto"/>
                <w:sz w:val="24"/>
                <w:szCs w:val="24"/>
                <w:highlight w:val="none"/>
                <w:lang w:val="en-US" w:eastAsia="zh-CN"/>
              </w:rPr>
              <w:t>99</w:t>
            </w:r>
            <w:r>
              <w:rPr>
                <w:rFonts w:hint="default" w:ascii="Times New Roman" w:hAnsi="Times New Roman" w:eastAsia="宋体" w:cs="Times New Roman"/>
                <w:color w:val="auto"/>
                <w:sz w:val="24"/>
                <w:szCs w:val="24"/>
                <w:highlight w:val="none"/>
              </w:rPr>
              <w:t>-S</w:t>
            </w:r>
            <w:r>
              <w:rPr>
                <w:rFonts w:hint="eastAsia" w:eastAsia="宋体" w:cs="Times New Roman"/>
                <w:color w:val="auto"/>
                <w:sz w:val="24"/>
                <w:szCs w:val="24"/>
                <w:highlight w:val="none"/>
                <w:lang w:val="en-US" w:eastAsia="zh-CN"/>
              </w:rPr>
              <w:t>07</w:t>
            </w:r>
            <w:r>
              <w:rPr>
                <w:rFonts w:hint="eastAsia"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污泥</w:t>
            </w:r>
            <w:r>
              <w:rPr>
                <w:rFonts w:hint="default" w:ascii="Times New Roman" w:hAnsi="Times New Roman" w:eastAsia="宋体" w:cs="Times New Roman"/>
                <w:color w:val="auto"/>
                <w:spacing w:val="-2"/>
                <w:sz w:val="24"/>
                <w:szCs w:val="24"/>
                <w:highlight w:val="none"/>
              </w:rPr>
              <w:t>定期委托环卫部门定期清掏、清运</w:t>
            </w:r>
            <w:r>
              <w:rPr>
                <w:rFonts w:hint="default" w:ascii="Times New Roman" w:hAnsi="Times New Roman" w:eastAsia="宋体" w:cs="Times New Roman"/>
                <w:color w:val="auto"/>
                <w:sz w:val="24"/>
                <w:szCs w:val="24"/>
                <w:highlight w:val="none"/>
                <w:lang w:bidi="ar"/>
              </w:rPr>
              <w:t>处置</w:t>
            </w:r>
            <w:r>
              <w:rPr>
                <w:rFonts w:hint="default" w:ascii="Times New Roman" w:hAnsi="Times New Roman" w:eastAsia="宋体" w:cs="Times New Roman"/>
                <w:color w:val="auto"/>
                <w:spacing w:val="-2"/>
                <w:sz w:val="24"/>
                <w:szCs w:val="24"/>
                <w:highlight w:val="none"/>
              </w:rPr>
              <w:t>。</w:t>
            </w:r>
          </w:p>
          <w:p w14:paraId="45615E75">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78"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1"/>
                <w:sz w:val="24"/>
                <w:szCs w:val="24"/>
                <w:highlight w:val="none"/>
                <w:lang w:eastAsia="zh-CN"/>
              </w:rPr>
              <w:t>（</w:t>
            </w:r>
            <w:r>
              <w:rPr>
                <w:rFonts w:hint="default" w:ascii="Times New Roman" w:hAnsi="Times New Roman" w:eastAsia="宋体" w:cs="Times New Roman"/>
                <w:b/>
                <w:bCs/>
                <w:color w:val="auto"/>
                <w:spacing w:val="-1"/>
                <w:sz w:val="24"/>
                <w:szCs w:val="24"/>
                <w:highlight w:val="none"/>
                <w:lang w:val="en-US" w:eastAsia="zh-CN"/>
              </w:rPr>
              <w:t>4</w:t>
            </w:r>
            <w:r>
              <w:rPr>
                <w:rFonts w:hint="default" w:ascii="Times New Roman" w:hAnsi="Times New Roman" w:eastAsia="宋体" w:cs="Times New Roman"/>
                <w:b/>
                <w:bCs/>
                <w:color w:val="auto"/>
                <w:spacing w:val="-1"/>
                <w:sz w:val="24"/>
                <w:szCs w:val="24"/>
                <w:highlight w:val="none"/>
                <w:lang w:eastAsia="zh-CN"/>
              </w:rPr>
              <w:t>）</w:t>
            </w:r>
            <w:r>
              <w:rPr>
                <w:rFonts w:hint="default" w:ascii="Times New Roman" w:hAnsi="Times New Roman" w:eastAsia="宋体" w:cs="Times New Roman"/>
                <w:b/>
                <w:bCs/>
                <w:color w:val="auto"/>
                <w:spacing w:val="-1"/>
                <w:sz w:val="24"/>
                <w:szCs w:val="24"/>
                <w:highlight w:val="none"/>
              </w:rPr>
              <w:t>食堂泔水</w:t>
            </w:r>
          </w:p>
          <w:p w14:paraId="6D0D1988">
            <w:pPr>
              <w:pStyle w:val="28"/>
              <w:keepNext w:val="0"/>
              <w:keepLines w:val="0"/>
              <w:pageBreakBefore w:val="0"/>
              <w:widowControl w:val="0"/>
              <w:kinsoku/>
              <w:wordWrap/>
              <w:overflowPunct/>
              <w:topLinePunct/>
              <w:autoSpaceDE w:val="0"/>
              <w:autoSpaceDN/>
              <w:bidi w:val="0"/>
              <w:adjustRightInd/>
              <w:snapToGrid/>
              <w:spacing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bidi="ar"/>
              </w:rPr>
              <w:t>泔水</w:t>
            </w:r>
            <w:r>
              <w:rPr>
                <w:rFonts w:hint="default" w:ascii="Times New Roman" w:hAnsi="Times New Roman" w:eastAsia="宋体" w:cs="Times New Roman"/>
                <w:color w:val="auto"/>
                <w:spacing w:val="-3"/>
                <w:sz w:val="24"/>
                <w:szCs w:val="24"/>
                <w:highlight w:val="none"/>
              </w:rPr>
              <w:t>为用餐完毕留下的剩饭菜，此部分废物产生量按照0.1kg/人·d</w:t>
            </w:r>
            <w:r>
              <w:rPr>
                <w:rFonts w:hint="default" w:ascii="Times New Roman" w:hAnsi="Times New Roman" w:eastAsia="宋体" w:cs="Times New Roman"/>
                <w:color w:val="auto"/>
                <w:spacing w:val="-4"/>
                <w:sz w:val="24"/>
                <w:szCs w:val="24"/>
                <w:highlight w:val="none"/>
              </w:rPr>
              <w:t>进行核算，餐厅日最大就餐人数为</w:t>
            </w:r>
            <w:r>
              <w:rPr>
                <w:rFonts w:hint="default" w:ascii="Times New Roman" w:hAnsi="Times New Roman" w:eastAsia="宋体" w:cs="Times New Roman"/>
                <w:color w:val="auto"/>
                <w:spacing w:val="-4"/>
                <w:sz w:val="24"/>
                <w:szCs w:val="24"/>
                <w:highlight w:val="none"/>
                <w:lang w:val="en-US" w:eastAsia="zh-CN"/>
              </w:rPr>
              <w:t>2</w:t>
            </w:r>
            <w:r>
              <w:rPr>
                <w:rFonts w:hint="default" w:ascii="Times New Roman" w:hAnsi="Times New Roman" w:eastAsia="宋体" w:cs="Times New Roman"/>
                <w:color w:val="auto"/>
                <w:spacing w:val="-4"/>
                <w:sz w:val="24"/>
                <w:szCs w:val="24"/>
                <w:highlight w:val="none"/>
              </w:rPr>
              <w:t>00人，产生量为</w:t>
            </w:r>
            <w:r>
              <w:rPr>
                <w:rFonts w:hint="default" w:ascii="Times New Roman" w:hAnsi="Times New Roman" w:eastAsia="宋体" w:cs="Times New Roman"/>
                <w:color w:val="auto"/>
                <w:spacing w:val="-4"/>
                <w:sz w:val="24"/>
                <w:szCs w:val="24"/>
                <w:highlight w:val="none"/>
                <w:lang w:val="en-US" w:eastAsia="zh-CN"/>
              </w:rPr>
              <w:t>2</w:t>
            </w:r>
            <w:r>
              <w:rPr>
                <w:rFonts w:hint="default" w:ascii="Times New Roman" w:hAnsi="Times New Roman" w:eastAsia="宋体" w:cs="Times New Roman"/>
                <w:color w:val="auto"/>
                <w:spacing w:val="-4"/>
                <w:sz w:val="24"/>
                <w:szCs w:val="24"/>
                <w:highlight w:val="none"/>
              </w:rPr>
              <w:t>0kg/d、</w:t>
            </w:r>
            <w:r>
              <w:rPr>
                <w:rFonts w:hint="default" w:ascii="Times New Roman" w:hAnsi="Times New Roman" w:eastAsia="宋体" w:cs="Times New Roman"/>
                <w:color w:val="auto"/>
                <w:spacing w:val="-4"/>
                <w:sz w:val="24"/>
                <w:szCs w:val="24"/>
                <w:highlight w:val="none"/>
                <w:lang w:val="en-US" w:eastAsia="zh-CN"/>
              </w:rPr>
              <w:t>6.6</w:t>
            </w:r>
            <w:r>
              <w:rPr>
                <w:rFonts w:hint="default" w:ascii="Times New Roman" w:hAnsi="Times New Roman" w:eastAsia="宋体" w:cs="Times New Roman"/>
                <w:color w:val="auto"/>
                <w:spacing w:val="-4"/>
                <w:sz w:val="24"/>
                <w:szCs w:val="24"/>
                <w:highlight w:val="none"/>
              </w:rPr>
              <w:t>t/a，</w:t>
            </w:r>
            <w:r>
              <w:rPr>
                <w:rFonts w:hint="default" w:ascii="Times New Roman" w:hAnsi="Times New Roman" w:eastAsia="宋体" w:cs="Times New Roman"/>
                <w:color w:val="auto"/>
                <w:spacing w:val="-5"/>
                <w:sz w:val="24"/>
                <w:szCs w:val="24"/>
                <w:highlight w:val="none"/>
              </w:rPr>
              <w:t>根据《固体废物分类与代码目</w:t>
            </w:r>
            <w:r>
              <w:rPr>
                <w:rFonts w:hint="default" w:ascii="Times New Roman" w:hAnsi="Times New Roman" w:eastAsia="宋体" w:cs="Times New Roman"/>
                <w:color w:val="auto"/>
                <w:spacing w:val="-6"/>
                <w:sz w:val="24"/>
                <w:szCs w:val="24"/>
                <w:highlight w:val="none"/>
              </w:rPr>
              <w:t>录》（2024年第4号</w:t>
            </w:r>
            <w:r>
              <w:rPr>
                <w:rFonts w:hint="eastAsia" w:cs="Times New Roman"/>
                <w:color w:val="auto"/>
                <w:spacing w:val="-6"/>
                <w:sz w:val="24"/>
                <w:szCs w:val="24"/>
                <w:highlight w:val="none"/>
                <w:lang w:eastAsia="zh-CN"/>
              </w:rPr>
              <w:t>），</w:t>
            </w:r>
            <w:r>
              <w:rPr>
                <w:rFonts w:hint="default" w:ascii="Times New Roman" w:hAnsi="Times New Roman" w:eastAsia="宋体" w:cs="Times New Roman"/>
                <w:color w:val="auto"/>
                <w:sz w:val="24"/>
                <w:szCs w:val="24"/>
                <w:highlight w:val="none"/>
              </w:rPr>
              <w:t>属于SW</w:t>
            </w:r>
            <w:r>
              <w:rPr>
                <w:rFonts w:hint="eastAsia" w:ascii="Times New Roman" w:hAnsi="Times New Roman" w:eastAsia="宋体" w:cs="Times New Roman"/>
                <w:color w:val="auto"/>
                <w:sz w:val="24"/>
                <w:szCs w:val="24"/>
                <w:highlight w:val="none"/>
                <w:lang w:val="en-US" w:eastAsia="zh-CN"/>
              </w:rPr>
              <w:t>6</w:t>
            </w:r>
            <w:r>
              <w:rPr>
                <w:rFonts w:hint="eastAsia" w:eastAsia="宋体" w:cs="Times New Roman"/>
                <w:color w:val="auto"/>
                <w:sz w:val="24"/>
                <w:szCs w:val="24"/>
                <w:highlight w:val="none"/>
                <w:lang w:val="en-US" w:eastAsia="zh-CN"/>
              </w:rPr>
              <w:t>1厨余垃圾</w:t>
            </w:r>
            <w:r>
              <w:rPr>
                <w:rFonts w:hint="default" w:ascii="Times New Roman" w:hAnsi="Times New Roman" w:eastAsia="宋体" w:cs="Times New Roman"/>
                <w:color w:val="auto"/>
                <w:sz w:val="24"/>
                <w:szCs w:val="24"/>
                <w:highlight w:val="none"/>
              </w:rPr>
              <w:t>中非特定行业，分类代码为：900-0</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6</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900-0</w:t>
            </w:r>
            <w:r>
              <w:rPr>
                <w:rFonts w:hint="eastAsia" w:ascii="Times New Roman" w:hAnsi="Times New Roman" w:eastAsia="宋体" w:cs="Times New Roman"/>
                <w:color w:val="auto"/>
                <w:sz w:val="24"/>
                <w:szCs w:val="24"/>
                <w:highlight w:val="none"/>
                <w:lang w:val="en-US" w:eastAsia="zh-CN"/>
              </w:rPr>
              <w:t>0</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lang w:val="en-US" w:eastAsia="zh-CN"/>
              </w:rPr>
              <w:t>6</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4"/>
                <w:sz w:val="24"/>
                <w:szCs w:val="24"/>
                <w:highlight w:val="none"/>
              </w:rPr>
              <w:t>厨余垃圾由建设单位自行</w:t>
            </w:r>
            <w:r>
              <w:rPr>
                <w:rFonts w:hint="default" w:ascii="Times New Roman" w:hAnsi="Times New Roman" w:eastAsia="宋体" w:cs="Times New Roman"/>
                <w:color w:val="auto"/>
                <w:spacing w:val="-2"/>
                <w:sz w:val="24"/>
                <w:szCs w:val="24"/>
                <w:highlight w:val="none"/>
              </w:rPr>
              <w:t>收集后交由相关资质单位进行处置。</w:t>
            </w:r>
          </w:p>
          <w:p w14:paraId="1B947267">
            <w:pPr>
              <w:keepNext w:val="0"/>
              <w:keepLines w:val="0"/>
              <w:pageBreakBefore w:val="0"/>
              <w:widowControl w:val="0"/>
              <w:kinsoku/>
              <w:wordWrap/>
              <w:overflowPunct/>
              <w:topLinePunct/>
              <w:autoSpaceDE w:val="0"/>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14:paraId="6F56971B">
            <w:pPr>
              <w:keepNext w:val="0"/>
              <w:keepLines w:val="0"/>
              <w:pageBreakBefore w:val="0"/>
              <w:kinsoku/>
              <w:overflowPunct/>
              <w:topLinePunct/>
              <w:autoSpaceDE w:val="0"/>
              <w:bidi w:val="0"/>
              <w:adjustRightInd w:val="0"/>
              <w:snapToGrid w:val="0"/>
              <w:spacing w:line="360" w:lineRule="auto"/>
              <w:ind w:firstLine="482"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废活性炭</w:t>
            </w:r>
            <w:r>
              <w:rPr>
                <w:rFonts w:hint="default" w:ascii="Times New Roman" w:hAnsi="Times New Roman" w:eastAsia="宋体" w:cs="Times New Roman"/>
                <w:b/>
                <w:bCs/>
                <w:color w:val="auto"/>
                <w:sz w:val="24"/>
                <w:szCs w:val="24"/>
                <w:highlight w:val="none"/>
                <w:lang w:val="en-US" w:eastAsia="zh-CN"/>
              </w:rPr>
              <w:t>（S18）</w:t>
            </w:r>
          </w:p>
          <w:p w14:paraId="2FA80C07">
            <w:pPr>
              <w:keepNext w:val="0"/>
              <w:keepLines w:val="0"/>
              <w:pageBreakBefore w:val="0"/>
              <w:widowControl/>
              <w:suppressLineNumbers w:val="0"/>
              <w:kinsoku/>
              <w:wordWrap/>
              <w:overflowPunct/>
              <w:topLinePunct/>
              <w:autoSpaceDE w:val="0"/>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strike w:val="0"/>
                <w:dstrike w:val="0"/>
                <w:color w:val="auto"/>
                <w:highlight w:val="none"/>
              </w:rPr>
            </w:pPr>
            <w:r>
              <w:rPr>
                <w:rFonts w:hint="default" w:ascii="Times New Roman" w:hAnsi="Times New Roman" w:eastAsia="宋体" w:cs="Times New Roman"/>
                <w:strike w:val="0"/>
                <w:dstrike w:val="0"/>
                <w:color w:val="auto"/>
                <w:kern w:val="0"/>
                <w:sz w:val="24"/>
                <w:szCs w:val="24"/>
                <w:highlight w:val="none"/>
                <w:lang w:val="en-US" w:eastAsia="zh-CN" w:bidi="ar"/>
              </w:rPr>
              <w:t>项目内产生的有机废气设置活性炭吸附处理，为保证有机废气的吸附效率，需定期更换活性炭，参照《简明通风设计手册》</w:t>
            </w:r>
            <w:r>
              <w:rPr>
                <w:rFonts w:hint="default" w:ascii="Times New Roman" w:hAnsi="Times New Roman" w:eastAsia="宋体" w:cs="Times New Roman"/>
                <w:bCs/>
                <w:strike w:val="0"/>
                <w:dstrike w:val="0"/>
                <w:color w:val="auto"/>
                <w:sz w:val="24"/>
                <w:szCs w:val="24"/>
                <w:highlight w:val="none"/>
              </w:rPr>
              <w:t>P510页</w:t>
            </w:r>
            <w:r>
              <w:rPr>
                <w:rFonts w:hint="default" w:ascii="Times New Roman" w:hAnsi="Times New Roman" w:eastAsia="宋体" w:cs="Times New Roman"/>
                <w:bCs/>
                <w:strike w:val="0"/>
                <w:dstrike w:val="0"/>
                <w:color w:val="auto"/>
                <w:sz w:val="24"/>
                <w:szCs w:val="24"/>
                <w:highlight w:val="none"/>
                <w:lang w:val="en-US" w:eastAsia="zh-CN"/>
              </w:rPr>
              <w:t>，</w:t>
            </w:r>
            <w:r>
              <w:rPr>
                <w:rFonts w:hint="default" w:ascii="Times New Roman" w:hAnsi="Times New Roman" w:eastAsia="宋体" w:cs="Times New Roman"/>
                <w:strike w:val="0"/>
                <w:dstrike w:val="0"/>
                <w:color w:val="auto"/>
                <w:kern w:val="0"/>
                <w:sz w:val="24"/>
                <w:szCs w:val="24"/>
                <w:highlight w:val="none"/>
                <w:lang w:val="en-US" w:eastAsia="zh-CN" w:bidi="ar"/>
              </w:rPr>
              <w:t>活性炭吸附有机废气量以0.24kg/kg活性炭计，项目吸附有机废气的总量为3.06t/a，</w:t>
            </w:r>
            <w:r>
              <w:rPr>
                <w:rFonts w:hint="default" w:ascii="Times New Roman" w:hAnsi="Times New Roman" w:eastAsia="宋体" w:cs="Times New Roman"/>
                <w:bCs/>
                <w:strike w:val="0"/>
                <w:dstrike w:val="0"/>
                <w:color w:val="auto"/>
                <w:sz w:val="24"/>
                <w:szCs w:val="24"/>
                <w:highlight w:val="none"/>
                <w:lang w:val="en-US" w:eastAsia="zh-CN"/>
              </w:rPr>
              <w:t>则</w:t>
            </w:r>
            <w:r>
              <w:rPr>
                <w:rFonts w:hint="default" w:ascii="Times New Roman" w:hAnsi="Times New Roman" w:eastAsia="宋体" w:cs="Times New Roman"/>
                <w:bCs/>
                <w:strike w:val="0"/>
                <w:dstrike w:val="0"/>
                <w:color w:val="auto"/>
                <w:sz w:val="24"/>
                <w:szCs w:val="24"/>
                <w:highlight w:val="none"/>
              </w:rPr>
              <w:t>项目活性炭</w:t>
            </w:r>
            <w:r>
              <w:rPr>
                <w:rFonts w:hint="default" w:ascii="Times New Roman" w:hAnsi="Times New Roman" w:eastAsia="宋体" w:cs="Times New Roman"/>
                <w:bCs/>
                <w:strike w:val="0"/>
                <w:dstrike w:val="0"/>
                <w:color w:val="auto"/>
                <w:sz w:val="24"/>
                <w:szCs w:val="24"/>
                <w:highlight w:val="none"/>
                <w:lang w:val="en-US" w:eastAsia="zh-CN"/>
              </w:rPr>
              <w:t>使用量</w:t>
            </w:r>
            <w:r>
              <w:rPr>
                <w:rFonts w:hint="default" w:ascii="Times New Roman" w:hAnsi="Times New Roman" w:eastAsia="宋体" w:cs="Times New Roman"/>
                <w:bCs/>
                <w:strike w:val="0"/>
                <w:dstrike w:val="0"/>
                <w:color w:val="auto"/>
                <w:sz w:val="24"/>
                <w:szCs w:val="24"/>
                <w:highlight w:val="none"/>
              </w:rPr>
              <w:t>约</w:t>
            </w:r>
            <w:r>
              <w:rPr>
                <w:rFonts w:hint="default" w:ascii="Times New Roman" w:hAnsi="Times New Roman" w:eastAsia="宋体" w:cs="Times New Roman"/>
                <w:bCs/>
                <w:strike w:val="0"/>
                <w:dstrike w:val="0"/>
                <w:color w:val="auto"/>
                <w:sz w:val="24"/>
                <w:szCs w:val="24"/>
                <w:highlight w:val="none"/>
                <w:lang w:val="en-US" w:eastAsia="zh-CN"/>
              </w:rPr>
              <w:t>12.75t</w:t>
            </w:r>
            <w:r>
              <w:rPr>
                <w:rFonts w:hint="default" w:ascii="Times New Roman" w:hAnsi="Times New Roman" w:eastAsia="宋体" w:cs="Times New Roman"/>
                <w:bCs/>
                <w:strike w:val="0"/>
                <w:dstrike w:val="0"/>
                <w:color w:val="auto"/>
                <w:sz w:val="24"/>
                <w:szCs w:val="24"/>
                <w:highlight w:val="none"/>
              </w:rPr>
              <w:t>/a</w:t>
            </w:r>
            <w:r>
              <w:rPr>
                <w:rFonts w:hint="default" w:ascii="Times New Roman" w:hAnsi="Times New Roman" w:eastAsia="宋体" w:cs="Times New Roman"/>
                <w:bCs/>
                <w:strike w:val="0"/>
                <w:dstrike w:val="0"/>
                <w:color w:val="auto"/>
                <w:sz w:val="24"/>
                <w:szCs w:val="24"/>
                <w:highlight w:val="none"/>
                <w:lang w:eastAsia="zh-CN"/>
              </w:rPr>
              <w:t>，</w:t>
            </w:r>
            <w:r>
              <w:rPr>
                <w:rFonts w:hint="default" w:ascii="Times New Roman" w:hAnsi="Times New Roman" w:eastAsia="宋体" w:cs="Times New Roman"/>
                <w:bCs/>
                <w:strike w:val="0"/>
                <w:dstrike w:val="0"/>
                <w:color w:val="auto"/>
                <w:sz w:val="24"/>
                <w:szCs w:val="24"/>
                <w:highlight w:val="none"/>
                <w:lang w:val="en-US" w:eastAsia="zh-CN"/>
              </w:rPr>
              <w:t>废活性炭产生量为15.81t</w:t>
            </w:r>
            <w:r>
              <w:rPr>
                <w:rFonts w:hint="default" w:ascii="Times New Roman" w:hAnsi="Times New Roman" w:eastAsia="宋体" w:cs="Times New Roman"/>
                <w:bCs/>
                <w:strike w:val="0"/>
                <w:dstrike w:val="0"/>
                <w:color w:val="auto"/>
                <w:sz w:val="24"/>
                <w:szCs w:val="24"/>
                <w:highlight w:val="none"/>
              </w:rPr>
              <w:t>/a</w:t>
            </w:r>
            <w:r>
              <w:rPr>
                <w:rFonts w:hint="default" w:ascii="Times New Roman" w:hAnsi="Times New Roman" w:eastAsia="宋体" w:cs="Times New Roman"/>
                <w:bCs/>
                <w:strike w:val="0"/>
                <w:dstrike w:val="0"/>
                <w:color w:val="auto"/>
                <w:sz w:val="24"/>
                <w:szCs w:val="24"/>
                <w:highlight w:val="none"/>
                <w:lang w:eastAsia="zh-CN"/>
              </w:rPr>
              <w:t>（</w:t>
            </w:r>
            <w:r>
              <w:rPr>
                <w:rFonts w:hint="default" w:ascii="Times New Roman" w:hAnsi="Times New Roman" w:eastAsia="宋体" w:cs="Times New Roman"/>
                <w:bCs/>
                <w:strike w:val="0"/>
                <w:dstrike w:val="0"/>
                <w:color w:val="auto"/>
                <w:sz w:val="24"/>
                <w:szCs w:val="24"/>
                <w:highlight w:val="none"/>
                <w:lang w:val="en-US" w:eastAsia="zh-CN"/>
              </w:rPr>
              <w:t>含非甲烷总烃排吸附量</w:t>
            </w:r>
            <w:r>
              <w:rPr>
                <w:rFonts w:hint="default" w:ascii="Times New Roman" w:hAnsi="Times New Roman" w:eastAsia="宋体" w:cs="Times New Roman"/>
                <w:bCs/>
                <w:strike w:val="0"/>
                <w:dstrike w:val="0"/>
                <w:color w:val="auto"/>
                <w:sz w:val="24"/>
                <w:szCs w:val="24"/>
                <w:highlight w:val="none"/>
                <w:lang w:eastAsia="zh-CN"/>
              </w:rPr>
              <w:t>）。</w:t>
            </w:r>
            <w:r>
              <w:rPr>
                <w:rFonts w:hint="default" w:ascii="Times New Roman" w:hAnsi="Times New Roman" w:eastAsia="宋体" w:cs="Times New Roman"/>
                <w:bCs/>
                <w:strike w:val="0"/>
                <w:dstrike w:val="0"/>
                <w:color w:val="auto"/>
                <w:sz w:val="24"/>
                <w:szCs w:val="24"/>
                <w:highlight w:val="none"/>
              </w:rPr>
              <w:t>为保证吸附效率，</w:t>
            </w:r>
            <w:r>
              <w:rPr>
                <w:rFonts w:hint="default" w:ascii="Times New Roman" w:hAnsi="Times New Roman" w:eastAsia="宋体" w:cs="Times New Roman"/>
                <w:strike w:val="0"/>
                <w:dstrike w:val="0"/>
                <w:color w:val="auto"/>
                <w:spacing w:val="-3"/>
                <w:sz w:val="24"/>
                <w:szCs w:val="24"/>
                <w:highlight w:val="none"/>
                <w:lang w:val="en-US" w:eastAsia="zh-CN"/>
              </w:rPr>
              <w:t>活性炭更换周期按照</w:t>
            </w:r>
            <w:r>
              <w:rPr>
                <w:rFonts w:hint="default" w:ascii="Times New Roman" w:hAnsi="Times New Roman" w:eastAsia="宋体" w:cs="Times New Roman"/>
                <w:strike w:val="0"/>
                <w:dstrike w:val="0"/>
                <w:color w:val="auto"/>
                <w:kern w:val="0"/>
                <w:sz w:val="24"/>
                <w:szCs w:val="24"/>
                <w:highlight w:val="none"/>
                <w:lang w:val="en-US" w:eastAsia="zh-CN" w:bidi="ar"/>
              </w:rPr>
              <w:t>2~3个月更换1次，更换下来的废活性炭含有非甲烷总烃等污染物。</w:t>
            </w:r>
          </w:p>
          <w:p w14:paraId="16AC658C">
            <w:pPr>
              <w:keepNext w:val="0"/>
              <w:keepLines w:val="0"/>
              <w:pageBreakBefore w:val="0"/>
              <w:widowControl w:val="0"/>
              <w:kinsoku/>
              <w:wordWrap/>
              <w:overflowPunct/>
              <w:topLinePunct/>
              <w:autoSpaceDE w:val="0"/>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strike w:val="0"/>
                <w:dstrike w:val="0"/>
                <w:color w:val="auto"/>
                <w:spacing w:val="-10"/>
                <w:sz w:val="24"/>
                <w:szCs w:val="24"/>
                <w:highlight w:val="none"/>
                <w:lang w:val="en-US" w:eastAsia="zh-CN"/>
              </w:rPr>
            </w:pPr>
            <w:r>
              <w:rPr>
                <w:rFonts w:hint="default" w:ascii="Times New Roman" w:hAnsi="Times New Roman" w:eastAsia="宋体" w:cs="Times New Roman"/>
                <w:strike w:val="0"/>
                <w:dstrike w:val="0"/>
                <w:color w:val="auto"/>
                <w:kern w:val="0"/>
                <w:sz w:val="24"/>
                <w:szCs w:val="24"/>
                <w:highlight w:val="none"/>
                <w:lang w:val="en-US" w:eastAsia="zh-CN" w:bidi="ar"/>
              </w:rPr>
              <w:t>废弃活性炭属于《国家危险废物名录》（2025版）HW49其他废物“非特定行业（HW900-039-49）中烟气、VOCs治理过程（不包括餐饮行业油烟治理过程）产生的废活性炭”。废活性炭应放置在</w:t>
            </w:r>
            <w:r>
              <w:rPr>
                <w:rFonts w:hint="eastAsia" w:cs="Times New Roman"/>
                <w:strike w:val="0"/>
                <w:dstrike w:val="0"/>
                <w:color w:val="auto"/>
                <w:kern w:val="0"/>
                <w:sz w:val="24"/>
                <w:szCs w:val="24"/>
                <w:highlight w:val="none"/>
                <w:lang w:val="en-US" w:eastAsia="zh-CN" w:bidi="ar"/>
              </w:rPr>
              <w:t>危险废物贮存库</w:t>
            </w:r>
            <w:r>
              <w:rPr>
                <w:rFonts w:hint="default" w:ascii="Times New Roman" w:hAnsi="Times New Roman" w:eastAsia="宋体" w:cs="Times New Roman"/>
                <w:strike w:val="0"/>
                <w:dstrike w:val="0"/>
                <w:color w:val="auto"/>
                <w:kern w:val="0"/>
                <w:sz w:val="24"/>
                <w:szCs w:val="24"/>
                <w:highlight w:val="none"/>
                <w:lang w:val="en-US" w:eastAsia="zh-CN" w:bidi="ar"/>
              </w:rPr>
              <w:t>进行暂存，</w:t>
            </w:r>
            <w:r>
              <w:rPr>
                <w:rFonts w:hint="eastAsia" w:cs="Times New Roman"/>
                <w:strike w:val="0"/>
                <w:dstrike w:val="0"/>
                <w:color w:val="auto"/>
                <w:kern w:val="0"/>
                <w:sz w:val="24"/>
                <w:szCs w:val="24"/>
                <w:highlight w:val="none"/>
                <w:lang w:val="en-US" w:eastAsia="zh-CN" w:bidi="ar"/>
              </w:rPr>
              <w:t>须</w:t>
            </w:r>
            <w:r>
              <w:rPr>
                <w:rFonts w:hint="default" w:ascii="Times New Roman" w:hAnsi="Times New Roman" w:eastAsia="宋体" w:cs="Times New Roman"/>
                <w:strike w:val="0"/>
                <w:dstrike w:val="0"/>
                <w:color w:val="auto"/>
                <w:kern w:val="0"/>
                <w:sz w:val="24"/>
                <w:szCs w:val="24"/>
                <w:highlight w:val="none"/>
                <w:lang w:val="en-US" w:eastAsia="zh-CN" w:bidi="ar"/>
              </w:rPr>
              <w:t>委托有资质单位进行处置</w:t>
            </w:r>
            <w:r>
              <w:rPr>
                <w:rFonts w:hint="eastAsia" w:cs="Times New Roman"/>
                <w:strike w:val="0"/>
                <w:dstrike w:val="0"/>
                <w:color w:val="auto"/>
                <w:kern w:val="0"/>
                <w:sz w:val="24"/>
                <w:szCs w:val="24"/>
                <w:highlight w:val="none"/>
                <w:lang w:val="en-US" w:eastAsia="zh-CN" w:bidi="ar"/>
              </w:rPr>
              <w:t>，</w:t>
            </w:r>
            <w:r>
              <w:rPr>
                <w:rFonts w:hint="eastAsia" w:ascii="Times New Roman" w:hAnsi="Times New Roman" w:eastAsia="宋体" w:cs="Times New Roman"/>
                <w:color w:val="auto"/>
                <w:spacing w:val="-1"/>
                <w:sz w:val="24"/>
                <w:szCs w:val="24"/>
                <w:highlight w:val="none"/>
                <w:lang w:val="en-US" w:eastAsia="zh-CN"/>
              </w:rPr>
              <w:t>项目已与曲靖同磊再生资源回收有限公司签订危险废物处置合同（详见附件15）</w:t>
            </w:r>
            <w:r>
              <w:rPr>
                <w:rFonts w:hint="default" w:ascii="Times New Roman" w:hAnsi="Times New Roman" w:eastAsia="宋体" w:cs="Times New Roman"/>
                <w:color w:val="auto"/>
                <w:spacing w:val="-1"/>
                <w:sz w:val="24"/>
                <w:szCs w:val="24"/>
                <w:highlight w:val="none"/>
                <w:lang w:val="en-US" w:eastAsia="zh-CN"/>
              </w:rPr>
              <w:t>。</w:t>
            </w:r>
          </w:p>
          <w:p w14:paraId="4B3091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废润</w:t>
            </w:r>
            <w:r>
              <w:rPr>
                <w:rFonts w:hint="default" w:ascii="Times New Roman" w:hAnsi="Times New Roman" w:eastAsia="宋体" w:cs="Times New Roman"/>
                <w:b/>
                <w:bCs/>
                <w:color w:val="auto"/>
                <w:sz w:val="24"/>
                <w:szCs w:val="24"/>
                <w:highlight w:val="none"/>
                <w:lang w:val="en-US" w:eastAsia="zh-CN"/>
              </w:rPr>
              <w:t>滑油、废润滑油桶（S19）</w:t>
            </w:r>
          </w:p>
          <w:p w14:paraId="14909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项目在运营期间机器维修过程中会有废润滑油产生，产生的废润滑油桶约为0.3t，产生的废润滑油约为0.5t。根据《国家危险废物名录》（2025版）的相关规定，废润滑油、废润滑油桶属于HW08类别，危废代码为900-249-08。废润滑油桶、废润滑油暂存于厂内</w:t>
            </w:r>
            <w:r>
              <w:rPr>
                <w:rFonts w:hint="eastAsia" w:cs="Times New Roman"/>
                <w:b w:val="0"/>
                <w:bCs w:val="0"/>
                <w:strike w:val="0"/>
                <w:dstrike w:val="0"/>
                <w:color w:val="auto"/>
                <w:sz w:val="24"/>
                <w:szCs w:val="24"/>
                <w:highlight w:val="none"/>
                <w:lang w:val="en-US" w:eastAsia="zh-CN"/>
              </w:rPr>
              <w:t>危险废物贮存库</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须</w:t>
            </w:r>
            <w:r>
              <w:rPr>
                <w:rFonts w:hint="default" w:ascii="Times New Roman" w:hAnsi="Times New Roman" w:eastAsia="宋体" w:cs="Times New Roman"/>
                <w:b w:val="0"/>
                <w:bCs w:val="0"/>
                <w:strike w:val="0"/>
                <w:dstrike w:val="0"/>
                <w:color w:val="auto"/>
                <w:sz w:val="24"/>
                <w:szCs w:val="24"/>
                <w:highlight w:val="none"/>
                <w:lang w:val="en-US" w:eastAsia="zh-CN"/>
              </w:rPr>
              <w:t>定期交有资质的单位清运处置。</w:t>
            </w:r>
            <w:r>
              <w:rPr>
                <w:rFonts w:hint="eastAsia" w:ascii="Times New Roman" w:hAnsi="Times New Roman" w:eastAsia="宋体" w:cs="Times New Roman"/>
                <w:color w:val="auto"/>
                <w:spacing w:val="-1"/>
                <w:sz w:val="24"/>
                <w:szCs w:val="24"/>
                <w:highlight w:val="none"/>
                <w:lang w:val="en-US" w:eastAsia="zh-CN"/>
              </w:rPr>
              <w:t>项目已与曲靖同磊再生资源回收有限公司签订危险废物处置合同（详见附件15）</w:t>
            </w:r>
            <w:r>
              <w:rPr>
                <w:rFonts w:hint="default" w:ascii="Times New Roman" w:hAnsi="Times New Roman" w:eastAsia="宋体" w:cs="Times New Roman"/>
                <w:color w:val="auto"/>
                <w:spacing w:val="-1"/>
                <w:sz w:val="24"/>
                <w:szCs w:val="24"/>
                <w:highlight w:val="none"/>
                <w:lang w:val="en-US" w:eastAsia="zh-CN"/>
              </w:rPr>
              <w:t>。</w:t>
            </w:r>
          </w:p>
          <w:p w14:paraId="162381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val="0"/>
                <w:color w:val="auto"/>
                <w:sz w:val="24"/>
                <w:szCs w:val="24"/>
                <w:highlight w:val="none"/>
                <w:lang w:val="en-US" w:eastAsia="zh-CN"/>
              </w:rPr>
              <w:t>废化学品包装物</w:t>
            </w:r>
            <w:r>
              <w:rPr>
                <w:rFonts w:hint="default" w:ascii="Times New Roman" w:hAnsi="Times New Roman" w:eastAsia="宋体" w:cs="Times New Roman"/>
                <w:b/>
                <w:bCs/>
                <w:color w:val="auto"/>
                <w:sz w:val="24"/>
                <w:szCs w:val="24"/>
                <w:highlight w:val="none"/>
                <w:lang w:val="en-US" w:eastAsia="zh-CN"/>
              </w:rPr>
              <w:t>（S</w:t>
            </w:r>
            <w:r>
              <w:rPr>
                <w:rFonts w:hint="eastAsia" w:cs="Times New Roman"/>
                <w:b/>
                <w:bCs/>
                <w:color w:val="auto"/>
                <w:sz w:val="24"/>
                <w:szCs w:val="24"/>
                <w:highlight w:val="none"/>
                <w:lang w:val="en-US" w:eastAsia="zh-CN"/>
              </w:rPr>
              <w:t>20</w:t>
            </w:r>
            <w:r>
              <w:rPr>
                <w:rFonts w:hint="default" w:ascii="Times New Roman" w:hAnsi="Times New Roman" w:eastAsia="宋体" w:cs="Times New Roman"/>
                <w:b/>
                <w:bCs/>
                <w:color w:val="auto"/>
                <w:sz w:val="24"/>
                <w:szCs w:val="24"/>
                <w:highlight w:val="none"/>
                <w:lang w:val="en-US" w:eastAsia="zh-CN"/>
              </w:rPr>
              <w:t>）</w:t>
            </w:r>
          </w:p>
          <w:p w14:paraId="643E483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60" w:firstLineChars="200"/>
              <w:jc w:val="both"/>
              <w:textAlignment w:val="auto"/>
              <w:rPr>
                <w:rFonts w:hint="default" w:ascii="Times New Roman" w:hAnsi="Times New Roman" w:eastAsia="宋体" w:cs="Times New Roman"/>
                <w:bCs/>
                <w:strike w:val="0"/>
                <w:dstrike w:val="0"/>
                <w:color w:val="auto"/>
                <w:spacing w:val="-10"/>
                <w:sz w:val="24"/>
                <w:szCs w:val="24"/>
                <w:lang w:val="en-US" w:eastAsia="zh-CN"/>
              </w:rPr>
            </w:pPr>
            <w:r>
              <w:rPr>
                <w:rFonts w:hint="default" w:ascii="Times New Roman" w:hAnsi="Times New Roman" w:eastAsia="宋体" w:cs="Times New Roman"/>
                <w:strike w:val="0"/>
                <w:dstrike w:val="0"/>
                <w:color w:val="auto"/>
                <w:spacing w:val="-5"/>
                <w:kern w:val="0"/>
                <w:sz w:val="24"/>
                <w:szCs w:val="24"/>
                <w:lang w:val="en-US" w:eastAsia="zh-CN" w:bidi="ar-SA"/>
              </w:rPr>
              <w:t>项目</w:t>
            </w:r>
            <w:r>
              <w:rPr>
                <w:rFonts w:hint="eastAsia" w:ascii="Times New Roman" w:hAnsi="Times New Roman" w:eastAsia="宋体" w:cs="Times New Roman"/>
                <w:strike w:val="0"/>
                <w:dstrike w:val="0"/>
                <w:color w:val="auto"/>
                <w:spacing w:val="-5"/>
                <w:kern w:val="0"/>
                <w:sz w:val="24"/>
                <w:szCs w:val="24"/>
                <w:lang w:val="en-US" w:eastAsia="zh-CN" w:bidi="ar-SA"/>
              </w:rPr>
              <w:t>废化学品包装物主要为</w:t>
            </w:r>
            <w:r>
              <w:rPr>
                <w:rFonts w:hint="default" w:ascii="Times New Roman" w:hAnsi="Times New Roman" w:eastAsia="宋体" w:cs="Times New Roman"/>
                <w:strike w:val="0"/>
                <w:dstrike w:val="0"/>
                <w:color w:val="auto"/>
                <w:spacing w:val="-5"/>
                <w:kern w:val="0"/>
                <w:sz w:val="24"/>
                <w:szCs w:val="24"/>
                <w:lang w:val="en-US" w:eastAsia="zh-CN" w:bidi="ar-SA"/>
              </w:rPr>
              <w:t>片碱包装袋</w:t>
            </w:r>
            <w:r>
              <w:rPr>
                <w:rFonts w:hint="eastAsia" w:eastAsia="宋体" w:cs="Times New Roman"/>
                <w:strike w:val="0"/>
                <w:dstrike w:val="0"/>
                <w:color w:val="auto"/>
                <w:spacing w:val="-5"/>
                <w:kern w:val="0"/>
                <w:sz w:val="24"/>
                <w:szCs w:val="24"/>
                <w:lang w:val="en-US" w:eastAsia="zh-CN" w:bidi="ar-SA"/>
              </w:rPr>
              <w:t>。</w:t>
            </w:r>
            <w:r>
              <w:rPr>
                <w:rFonts w:hint="default" w:ascii="Times New Roman" w:hAnsi="Times New Roman" w:eastAsia="宋体" w:cs="Times New Roman"/>
                <w:strike w:val="0"/>
                <w:dstrike w:val="0"/>
                <w:color w:val="auto"/>
                <w:spacing w:val="-5"/>
                <w:kern w:val="0"/>
                <w:sz w:val="24"/>
                <w:szCs w:val="24"/>
                <w:lang w:val="en-US" w:eastAsia="zh-CN" w:bidi="ar-SA"/>
              </w:rPr>
              <w:t>根据建设单位提供资料</w:t>
            </w:r>
            <w:r>
              <w:rPr>
                <w:rFonts w:hint="eastAsia" w:eastAsia="宋体" w:cs="Times New Roman"/>
                <w:strike w:val="0"/>
                <w:dstrike w:val="0"/>
                <w:color w:val="auto"/>
                <w:spacing w:val="-5"/>
                <w:kern w:val="0"/>
                <w:sz w:val="24"/>
                <w:szCs w:val="24"/>
                <w:lang w:val="en-US" w:eastAsia="zh-CN" w:bidi="ar-SA"/>
              </w:rPr>
              <w:t>，</w:t>
            </w:r>
            <w:r>
              <w:rPr>
                <w:rFonts w:hint="default" w:ascii="Times New Roman" w:hAnsi="Times New Roman" w:eastAsia="宋体" w:cs="Times New Roman"/>
                <w:strike w:val="0"/>
                <w:dstrike w:val="0"/>
                <w:color w:val="auto"/>
                <w:spacing w:val="-5"/>
                <w:kern w:val="0"/>
                <w:sz w:val="24"/>
                <w:szCs w:val="24"/>
                <w:lang w:val="en-US" w:eastAsia="zh-CN" w:bidi="ar-SA"/>
              </w:rPr>
              <w:t>年产生量为0.15t/a，根据《国家危险废物名录》（2025年版），废片碱包装袋属于危险废物（HW49其他废物），废物代码为900-041-49，暂存于项目危险废物暂存间，</w:t>
            </w:r>
            <w:r>
              <w:rPr>
                <w:rFonts w:hint="eastAsia" w:cs="Times New Roman"/>
                <w:strike w:val="0"/>
                <w:dstrike w:val="0"/>
                <w:color w:val="auto"/>
                <w:spacing w:val="-5"/>
                <w:kern w:val="0"/>
                <w:sz w:val="24"/>
                <w:szCs w:val="24"/>
                <w:lang w:val="en-US" w:eastAsia="zh-CN" w:bidi="ar-SA"/>
              </w:rPr>
              <w:t>须</w:t>
            </w:r>
            <w:r>
              <w:rPr>
                <w:rFonts w:hint="default" w:ascii="Times New Roman" w:hAnsi="Times New Roman" w:eastAsia="宋体" w:cs="Times New Roman"/>
                <w:strike w:val="0"/>
                <w:dstrike w:val="0"/>
                <w:color w:val="auto"/>
                <w:spacing w:val="-5"/>
                <w:kern w:val="0"/>
                <w:sz w:val="24"/>
                <w:szCs w:val="24"/>
                <w:lang w:val="en-US" w:eastAsia="zh-CN" w:bidi="ar-SA"/>
              </w:rPr>
              <w:t>定期交由有资质的单位处理。</w:t>
            </w:r>
            <w:r>
              <w:rPr>
                <w:rFonts w:hint="eastAsia" w:ascii="Times New Roman" w:hAnsi="Times New Roman" w:eastAsia="宋体" w:cs="Times New Roman"/>
                <w:color w:val="auto"/>
                <w:spacing w:val="-1"/>
                <w:sz w:val="24"/>
                <w:szCs w:val="24"/>
                <w:highlight w:val="none"/>
                <w:lang w:val="en-US" w:eastAsia="zh-CN"/>
              </w:rPr>
              <w:t>项目已与曲靖同磊再生资源回收有限公司签订危险废物处置合同（详见附件15）</w:t>
            </w:r>
            <w:r>
              <w:rPr>
                <w:rFonts w:hint="default" w:ascii="Times New Roman" w:hAnsi="Times New Roman" w:eastAsia="宋体" w:cs="Times New Roman"/>
                <w:color w:val="auto"/>
                <w:spacing w:val="-1"/>
                <w:sz w:val="24"/>
                <w:szCs w:val="24"/>
                <w:highlight w:val="none"/>
                <w:lang w:val="en-US" w:eastAsia="zh-CN"/>
              </w:rPr>
              <w:t>。</w:t>
            </w:r>
          </w:p>
          <w:p w14:paraId="34774F66">
            <w:pPr>
              <w:keepNext w:val="0"/>
              <w:keepLines w:val="0"/>
              <w:pageBreakBefore w:val="0"/>
              <w:widowControl w:val="0"/>
              <w:kinsoku/>
              <w:wordWrap/>
              <w:overflowPunct/>
              <w:topLinePunct/>
              <w:autoSpaceDE w:val="0"/>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21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项目主要固废产生及处置情况一览表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18"/>
              <w:gridCol w:w="757"/>
              <w:gridCol w:w="729"/>
              <w:gridCol w:w="604"/>
              <w:gridCol w:w="550"/>
              <w:gridCol w:w="700"/>
              <w:gridCol w:w="478"/>
              <w:gridCol w:w="1245"/>
              <w:gridCol w:w="701"/>
              <w:gridCol w:w="642"/>
            </w:tblGrid>
            <w:tr w14:paraId="2642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noWrap w:val="0"/>
                  <w:vAlign w:val="center"/>
                </w:tcPr>
                <w:p w14:paraId="705C46C7">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产生环节</w:t>
                  </w:r>
                </w:p>
              </w:tc>
              <w:tc>
                <w:tcPr>
                  <w:tcW w:w="818" w:type="dxa"/>
                  <w:noWrap w:val="0"/>
                  <w:vAlign w:val="center"/>
                </w:tcPr>
                <w:p w14:paraId="344BFBFE">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名称</w:t>
                  </w:r>
                </w:p>
              </w:tc>
              <w:tc>
                <w:tcPr>
                  <w:tcW w:w="757" w:type="dxa"/>
                  <w:noWrap w:val="0"/>
                  <w:vAlign w:val="center"/>
                </w:tcPr>
                <w:p w14:paraId="22A552A7">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属性</w:t>
                  </w:r>
                </w:p>
              </w:tc>
              <w:tc>
                <w:tcPr>
                  <w:tcW w:w="729" w:type="dxa"/>
                  <w:noWrap w:val="0"/>
                  <w:vAlign w:val="center"/>
                </w:tcPr>
                <w:p w14:paraId="19D9F97A">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主要有害物质名称</w:t>
                  </w:r>
                </w:p>
              </w:tc>
              <w:tc>
                <w:tcPr>
                  <w:tcW w:w="604" w:type="dxa"/>
                  <w:noWrap w:val="0"/>
                  <w:vAlign w:val="center"/>
                </w:tcPr>
                <w:p w14:paraId="5F60972F">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物理性状</w:t>
                  </w:r>
                </w:p>
              </w:tc>
              <w:tc>
                <w:tcPr>
                  <w:tcW w:w="550" w:type="dxa"/>
                  <w:noWrap w:val="0"/>
                  <w:vAlign w:val="center"/>
                </w:tcPr>
                <w:p w14:paraId="5D926095">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环境危险特性</w:t>
                  </w:r>
                </w:p>
              </w:tc>
              <w:tc>
                <w:tcPr>
                  <w:tcW w:w="700" w:type="dxa"/>
                  <w:noWrap w:val="0"/>
                  <w:vAlign w:val="center"/>
                </w:tcPr>
                <w:p w14:paraId="0273DCE2">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年产生量</w:t>
                  </w:r>
                  <w:r>
                    <w:rPr>
                      <w:rFonts w:hint="default" w:ascii="Times New Roman" w:hAnsi="Times New Roman" w:eastAsia="宋体" w:cs="Times New Roman"/>
                      <w:b/>
                      <w:bCs/>
                      <w:strike w:val="0"/>
                      <w:dstrike w:val="0"/>
                      <w:color w:val="auto"/>
                      <w:sz w:val="21"/>
                      <w:szCs w:val="21"/>
                      <w:highlight w:val="none"/>
                      <w:vertAlign w:val="baseline"/>
                      <w:lang w:val="en-US" w:eastAsia="zh-CN"/>
                    </w:rPr>
                    <w:t>t/a</w:t>
                  </w:r>
                </w:p>
              </w:tc>
              <w:tc>
                <w:tcPr>
                  <w:tcW w:w="478" w:type="dxa"/>
                  <w:noWrap w:val="0"/>
                  <w:vAlign w:val="center"/>
                </w:tcPr>
                <w:p w14:paraId="19F8390D">
                  <w:pPr>
                    <w:keepNext w:val="0"/>
                    <w:keepLines w:val="0"/>
                    <w:pageBreakBefore w:val="0"/>
                    <w:widowControl w:val="0"/>
                    <w:tabs>
                      <w:tab w:val="left" w:pos="5220"/>
                    </w:tabs>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sz w:val="21"/>
                      <w:szCs w:val="21"/>
                      <w:highlight w:val="none"/>
                      <w:lang w:val="en-US" w:eastAsia="zh-CN"/>
                    </w:rPr>
                    <w:t>贮存方式</w:t>
                  </w:r>
                </w:p>
              </w:tc>
              <w:tc>
                <w:tcPr>
                  <w:tcW w:w="1245" w:type="dxa"/>
                  <w:noWrap w:val="0"/>
                  <w:vAlign w:val="center"/>
                </w:tcPr>
                <w:p w14:paraId="136A0B29">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kern w:val="0"/>
                      <w:sz w:val="21"/>
                      <w:szCs w:val="21"/>
                      <w:highlight w:val="none"/>
                      <w:lang w:val="en-US" w:eastAsia="zh-CN" w:bidi="ar"/>
                    </w:rPr>
                    <w:t>利用处置方式和去向</w:t>
                  </w:r>
                </w:p>
              </w:tc>
              <w:tc>
                <w:tcPr>
                  <w:tcW w:w="701" w:type="dxa"/>
                  <w:noWrap w:val="0"/>
                  <w:vAlign w:val="center"/>
                </w:tcPr>
                <w:p w14:paraId="7A2DA95F">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kern w:val="0"/>
                      <w:sz w:val="21"/>
                      <w:szCs w:val="21"/>
                      <w:highlight w:val="none"/>
                      <w:lang w:val="en-US" w:eastAsia="zh-CN" w:bidi="ar"/>
                    </w:rPr>
                    <w:t>利用或处置量</w:t>
                  </w:r>
                  <w:r>
                    <w:rPr>
                      <w:rFonts w:hint="default" w:ascii="Times New Roman" w:hAnsi="Times New Roman" w:eastAsia="宋体" w:cs="Times New Roman"/>
                      <w:b/>
                      <w:bCs/>
                      <w:strike w:val="0"/>
                      <w:dstrike w:val="0"/>
                      <w:color w:val="auto"/>
                      <w:sz w:val="21"/>
                      <w:szCs w:val="21"/>
                      <w:highlight w:val="none"/>
                      <w:vertAlign w:val="baseline"/>
                      <w:lang w:val="en-US" w:eastAsia="zh-CN"/>
                    </w:rPr>
                    <w:t>t/a</w:t>
                  </w:r>
                </w:p>
              </w:tc>
              <w:tc>
                <w:tcPr>
                  <w:tcW w:w="642" w:type="dxa"/>
                  <w:noWrap w:val="0"/>
                  <w:vAlign w:val="center"/>
                </w:tcPr>
                <w:p w14:paraId="5681CC32">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b/>
                      <w:bCs/>
                      <w:strike w:val="0"/>
                      <w:dstrike w:val="0"/>
                      <w:color w:val="auto"/>
                      <w:sz w:val="21"/>
                      <w:szCs w:val="21"/>
                      <w:highlight w:val="none"/>
                      <w:lang w:val="en-US" w:eastAsia="zh-CN"/>
                    </w:rPr>
                  </w:pPr>
                  <w:r>
                    <w:rPr>
                      <w:rFonts w:hint="default" w:ascii="Times New Roman" w:hAnsi="Times New Roman" w:eastAsia="宋体" w:cs="Times New Roman"/>
                      <w:b/>
                      <w:bCs/>
                      <w:strike w:val="0"/>
                      <w:dstrike w:val="0"/>
                      <w:color w:val="auto"/>
                      <w:kern w:val="0"/>
                      <w:sz w:val="21"/>
                      <w:szCs w:val="21"/>
                      <w:highlight w:val="none"/>
                      <w:lang w:val="en-US" w:eastAsia="zh-CN" w:bidi="ar"/>
                    </w:rPr>
                    <w:t>环境管理要求</w:t>
                  </w:r>
                </w:p>
              </w:tc>
            </w:tr>
            <w:tr w14:paraId="40CA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shd w:val="clear" w:color="auto" w:fill="auto"/>
                  <w:noWrap w:val="0"/>
                  <w:vAlign w:val="center"/>
                </w:tcPr>
                <w:p w14:paraId="05496DB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原料包装</w:t>
                  </w:r>
                </w:p>
              </w:tc>
              <w:tc>
                <w:tcPr>
                  <w:tcW w:w="818" w:type="dxa"/>
                  <w:shd w:val="clear" w:color="auto" w:fill="auto"/>
                  <w:noWrap w:val="0"/>
                  <w:vAlign w:val="center"/>
                </w:tcPr>
                <w:p w14:paraId="3754A76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废包装袋</w:t>
                  </w:r>
                </w:p>
              </w:tc>
              <w:tc>
                <w:tcPr>
                  <w:tcW w:w="757" w:type="dxa"/>
                  <w:noWrap w:val="0"/>
                  <w:vAlign w:val="center"/>
                </w:tcPr>
                <w:p w14:paraId="2DC354C3">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F171FD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3441358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469C50F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7BA281AE">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478" w:type="dxa"/>
                  <w:noWrap w:val="0"/>
                  <w:vAlign w:val="center"/>
                </w:tcPr>
                <w:p w14:paraId="41343086">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7E7058BC">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color w:val="auto"/>
                      <w:spacing w:val="-1"/>
                      <w:sz w:val="21"/>
                      <w:szCs w:val="21"/>
                      <w:highlight w:val="none"/>
                    </w:rPr>
                    <w:t>集中收集后外售资源回收商</w:t>
                  </w:r>
                </w:p>
              </w:tc>
              <w:tc>
                <w:tcPr>
                  <w:tcW w:w="701" w:type="dxa"/>
                  <w:noWrap w:val="0"/>
                  <w:vAlign w:val="center"/>
                </w:tcPr>
                <w:p w14:paraId="043DEEE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642" w:type="dxa"/>
                  <w:vMerge w:val="restart"/>
                  <w:noWrap w:val="0"/>
                  <w:vAlign w:val="center"/>
                </w:tcPr>
                <w:p w14:paraId="7B99E376">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sz w:val="21"/>
                      <w:szCs w:val="21"/>
                      <w:highlight w:val="none"/>
                    </w:rPr>
                  </w:pPr>
                  <w:r>
                    <w:rPr>
                      <w:rFonts w:hint="default" w:ascii="Times New Roman" w:hAnsi="Times New Roman" w:eastAsia="宋体" w:cs="Times New Roman"/>
                      <w:strike w:val="0"/>
                      <w:dstrike w:val="0"/>
                      <w:color w:val="auto"/>
                      <w:kern w:val="0"/>
                      <w:sz w:val="21"/>
                      <w:szCs w:val="21"/>
                      <w:highlight w:val="none"/>
                      <w:lang w:val="en-US" w:eastAsia="zh-CN" w:bidi="ar"/>
                    </w:rPr>
                    <w:t>100%</w:t>
                  </w:r>
                </w:p>
                <w:p w14:paraId="109B8830">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bidi="ar"/>
                    </w:rPr>
                    <w:t>处置</w:t>
                  </w:r>
                </w:p>
              </w:tc>
            </w:tr>
            <w:tr w14:paraId="13BC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shd w:val="clear" w:color="auto" w:fill="auto"/>
                  <w:noWrap w:val="0"/>
                  <w:vAlign w:val="center"/>
                </w:tcPr>
                <w:p w14:paraId="06EE324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珠胚生产</w:t>
                  </w:r>
                </w:p>
              </w:tc>
              <w:tc>
                <w:tcPr>
                  <w:tcW w:w="818" w:type="dxa"/>
                  <w:shd w:val="clear" w:color="auto" w:fill="auto"/>
                  <w:noWrap w:val="0"/>
                  <w:vAlign w:val="center"/>
                </w:tcPr>
                <w:p w14:paraId="0DBFF4D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珠胚生产</w:t>
                  </w:r>
                  <w:r>
                    <w:rPr>
                      <w:rFonts w:hint="default" w:ascii="Times New Roman" w:hAnsi="Times New Roman" w:eastAsia="宋体" w:cs="Times New Roman"/>
                      <w:strike w:val="0"/>
                      <w:dstrike w:val="0"/>
                      <w:color w:val="auto"/>
                      <w:sz w:val="21"/>
                      <w:szCs w:val="21"/>
                      <w:highlight w:val="none"/>
                      <w:vertAlign w:val="baseline"/>
                      <w:lang w:val="en-US" w:eastAsia="zh-CN"/>
                    </w:rPr>
                    <w:t>布袋</w:t>
                  </w:r>
                  <w:r>
                    <w:rPr>
                      <w:rFonts w:hint="eastAsia" w:cs="Times New Roman"/>
                      <w:strike w:val="0"/>
                      <w:dstrike w:val="0"/>
                      <w:color w:val="auto"/>
                      <w:sz w:val="21"/>
                      <w:szCs w:val="21"/>
                      <w:highlight w:val="none"/>
                      <w:vertAlign w:val="baseline"/>
                      <w:lang w:val="en-US" w:eastAsia="zh-CN"/>
                    </w:rPr>
                    <w:t>除尘灰</w:t>
                  </w:r>
                </w:p>
              </w:tc>
              <w:tc>
                <w:tcPr>
                  <w:tcW w:w="757" w:type="dxa"/>
                  <w:noWrap w:val="0"/>
                  <w:vAlign w:val="center"/>
                </w:tcPr>
                <w:p w14:paraId="7C3B5F4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402F77F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1DA1C4E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354DCC1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10DD3AB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40.64</w:t>
                  </w:r>
                </w:p>
              </w:tc>
              <w:tc>
                <w:tcPr>
                  <w:tcW w:w="478" w:type="dxa"/>
                  <w:noWrap w:val="0"/>
                  <w:vAlign w:val="center"/>
                </w:tcPr>
                <w:p w14:paraId="5ABA062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11AE286C">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color w:val="auto"/>
                      <w:sz w:val="21"/>
                      <w:szCs w:val="21"/>
                      <w:highlight w:val="none"/>
                      <w:lang w:val="en-US" w:eastAsia="zh-CN"/>
                    </w:rPr>
                    <w:t>经收集后作为原料重新回用</w:t>
                  </w:r>
                  <w:r>
                    <w:rPr>
                      <w:rFonts w:hint="eastAsia" w:cs="Times New Roman"/>
                      <w:color w:val="auto"/>
                      <w:spacing w:val="-2"/>
                      <w:sz w:val="21"/>
                      <w:szCs w:val="21"/>
                      <w:highlight w:val="none"/>
                      <w:lang w:eastAsia="zh-CN"/>
                    </w:rPr>
                    <w:t>珠胚生产</w:t>
                  </w:r>
                </w:p>
              </w:tc>
              <w:tc>
                <w:tcPr>
                  <w:tcW w:w="701" w:type="dxa"/>
                  <w:noWrap w:val="0"/>
                  <w:vAlign w:val="center"/>
                </w:tcPr>
                <w:p w14:paraId="223833CD">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40.64</w:t>
                  </w:r>
                </w:p>
              </w:tc>
              <w:tc>
                <w:tcPr>
                  <w:tcW w:w="642" w:type="dxa"/>
                  <w:vMerge w:val="continue"/>
                  <w:noWrap w:val="0"/>
                  <w:vAlign w:val="center"/>
                </w:tcPr>
                <w:p w14:paraId="616CA0BA">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kern w:val="0"/>
                      <w:sz w:val="21"/>
                      <w:szCs w:val="21"/>
                      <w:highlight w:val="none"/>
                      <w:lang w:val="en-US" w:eastAsia="zh-CN" w:bidi="ar"/>
                    </w:rPr>
                  </w:pPr>
                </w:p>
              </w:tc>
            </w:tr>
            <w:tr w14:paraId="0287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2D44ECC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4A805C7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边角废料</w:t>
                  </w:r>
                </w:p>
              </w:tc>
              <w:tc>
                <w:tcPr>
                  <w:tcW w:w="757" w:type="dxa"/>
                  <w:noWrap w:val="0"/>
                  <w:vAlign w:val="center"/>
                </w:tcPr>
                <w:p w14:paraId="03615D0F">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6F1378B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2E9304E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20C3CA2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2A1E445">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478" w:type="dxa"/>
                  <w:noWrap w:val="0"/>
                  <w:vAlign w:val="center"/>
                </w:tcPr>
                <w:p w14:paraId="2280658A">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restart"/>
                  <w:noWrap w:val="0"/>
                  <w:vAlign w:val="center"/>
                </w:tcPr>
                <w:p w14:paraId="2114A54C">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收集后回用于</w:t>
                  </w:r>
                  <w:r>
                    <w:rPr>
                      <w:rFonts w:hint="eastAsia" w:cs="Times New Roman"/>
                      <w:color w:val="auto"/>
                      <w:spacing w:val="-2"/>
                      <w:sz w:val="21"/>
                      <w:szCs w:val="21"/>
                      <w:highlight w:val="none"/>
                      <w:lang w:eastAsia="zh-CN"/>
                    </w:rPr>
                    <w:t>珠胚生产，</w:t>
                  </w:r>
                  <w:r>
                    <w:rPr>
                      <w:rFonts w:hint="eastAsia" w:cs="Times New Roman"/>
                      <w:color w:val="auto"/>
                      <w:spacing w:val="-1"/>
                      <w:sz w:val="21"/>
                      <w:szCs w:val="21"/>
                      <w:highlight w:val="none"/>
                      <w:lang w:val="en-US" w:eastAsia="zh-CN"/>
                    </w:rPr>
                    <w:t>重新熔制</w:t>
                  </w:r>
                </w:p>
              </w:tc>
              <w:tc>
                <w:tcPr>
                  <w:tcW w:w="701" w:type="dxa"/>
                  <w:noWrap w:val="0"/>
                  <w:vAlign w:val="center"/>
                </w:tcPr>
                <w:p w14:paraId="14CB4FC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642" w:type="dxa"/>
                  <w:vMerge w:val="continue"/>
                  <w:noWrap w:val="0"/>
                  <w:vAlign w:val="center"/>
                </w:tcPr>
                <w:p w14:paraId="3498030B">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61AA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002EB7D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77D8D34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残次品</w:t>
                  </w:r>
                </w:p>
              </w:tc>
              <w:tc>
                <w:tcPr>
                  <w:tcW w:w="757" w:type="dxa"/>
                  <w:noWrap w:val="0"/>
                  <w:vAlign w:val="center"/>
                </w:tcPr>
                <w:p w14:paraId="2E2F50D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159BFBB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613A7E7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79AC389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4E0DB8ED">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478" w:type="dxa"/>
                  <w:noWrap w:val="0"/>
                  <w:vAlign w:val="center"/>
                </w:tcPr>
                <w:p w14:paraId="239CA39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noWrap w:val="0"/>
                  <w:vAlign w:val="center"/>
                </w:tcPr>
                <w:p w14:paraId="7B32AE74">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701" w:type="dxa"/>
                  <w:noWrap w:val="0"/>
                  <w:vAlign w:val="center"/>
                </w:tcPr>
                <w:p w14:paraId="46D55BF3">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c>
                <w:tcPr>
                  <w:tcW w:w="642" w:type="dxa"/>
                  <w:vMerge w:val="continue"/>
                  <w:noWrap w:val="0"/>
                  <w:vAlign w:val="center"/>
                </w:tcPr>
                <w:p w14:paraId="67EB452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14E1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shd w:val="clear" w:color="auto" w:fill="auto"/>
                  <w:noWrap w:val="0"/>
                  <w:vAlign w:val="center"/>
                </w:tcPr>
                <w:p w14:paraId="157212D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、烫钻生产</w:t>
                  </w:r>
                </w:p>
              </w:tc>
              <w:tc>
                <w:tcPr>
                  <w:tcW w:w="818" w:type="dxa"/>
                  <w:shd w:val="clear" w:color="auto" w:fill="auto"/>
                  <w:noWrap w:val="0"/>
                  <w:vAlign w:val="center"/>
                </w:tcPr>
                <w:p w14:paraId="7F53833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沉渣</w:t>
                  </w:r>
                </w:p>
              </w:tc>
              <w:tc>
                <w:tcPr>
                  <w:tcW w:w="757" w:type="dxa"/>
                  <w:noWrap w:val="0"/>
                  <w:vAlign w:val="center"/>
                </w:tcPr>
                <w:p w14:paraId="1F40E270">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0285488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54F8A09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63CC26C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28D67592">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8876.93</w:t>
                  </w:r>
                </w:p>
              </w:tc>
              <w:tc>
                <w:tcPr>
                  <w:tcW w:w="478" w:type="dxa"/>
                  <w:noWrap w:val="0"/>
                  <w:vAlign w:val="center"/>
                </w:tcPr>
                <w:p w14:paraId="19D8581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19079A4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经脱水干化后</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p>
              </w:tc>
              <w:tc>
                <w:tcPr>
                  <w:tcW w:w="701" w:type="dxa"/>
                  <w:noWrap w:val="0"/>
                  <w:vAlign w:val="center"/>
                </w:tcPr>
                <w:p w14:paraId="2B97916A">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8876.93</w:t>
                  </w:r>
                </w:p>
              </w:tc>
              <w:tc>
                <w:tcPr>
                  <w:tcW w:w="642" w:type="dxa"/>
                  <w:vMerge w:val="continue"/>
                  <w:noWrap w:val="0"/>
                  <w:vAlign w:val="center"/>
                </w:tcPr>
                <w:p w14:paraId="4704A69C">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097F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253913F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5F8A751D">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生化污水处理站污泥</w:t>
                  </w:r>
                </w:p>
              </w:tc>
              <w:tc>
                <w:tcPr>
                  <w:tcW w:w="757" w:type="dxa"/>
                  <w:noWrap w:val="0"/>
                  <w:vAlign w:val="center"/>
                </w:tcPr>
                <w:p w14:paraId="150B6770">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6D9883C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20E443B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448FCF6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7424427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53.52</w:t>
                  </w:r>
                </w:p>
              </w:tc>
              <w:tc>
                <w:tcPr>
                  <w:tcW w:w="478" w:type="dxa"/>
                  <w:noWrap w:val="0"/>
                  <w:vAlign w:val="center"/>
                </w:tcPr>
                <w:p w14:paraId="755E059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4340AA5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污泥干化后委托环</w:t>
                  </w:r>
                  <w:r>
                    <w:rPr>
                      <w:rFonts w:hint="default" w:ascii="Times New Roman" w:hAnsi="Times New Roman" w:eastAsia="宋体" w:cs="Times New Roman"/>
                      <w:color w:val="auto"/>
                      <w:spacing w:val="-2"/>
                      <w:sz w:val="21"/>
                      <w:szCs w:val="21"/>
                      <w:highlight w:val="none"/>
                    </w:rPr>
                    <w:t>卫部门清运处置</w:t>
                  </w:r>
                </w:p>
              </w:tc>
              <w:tc>
                <w:tcPr>
                  <w:tcW w:w="701" w:type="dxa"/>
                  <w:noWrap w:val="0"/>
                  <w:vAlign w:val="center"/>
                </w:tcPr>
                <w:p w14:paraId="73AE3BDC">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53.52</w:t>
                  </w:r>
                </w:p>
              </w:tc>
              <w:tc>
                <w:tcPr>
                  <w:tcW w:w="642" w:type="dxa"/>
                  <w:vMerge w:val="continue"/>
                  <w:noWrap w:val="0"/>
                  <w:vAlign w:val="center"/>
                </w:tcPr>
                <w:p w14:paraId="2099A219">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0319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shd w:val="clear" w:color="auto" w:fill="auto"/>
                  <w:noWrap w:val="0"/>
                  <w:vAlign w:val="center"/>
                </w:tcPr>
                <w:p w14:paraId="767EC24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烫钻生产</w:t>
                  </w:r>
                </w:p>
              </w:tc>
              <w:tc>
                <w:tcPr>
                  <w:tcW w:w="818" w:type="dxa"/>
                  <w:shd w:val="clear" w:color="auto" w:fill="auto"/>
                  <w:noWrap w:val="0"/>
                  <w:vAlign w:val="center"/>
                </w:tcPr>
                <w:p w14:paraId="619E92A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旧磨轮芯</w:t>
                  </w:r>
                </w:p>
              </w:tc>
              <w:tc>
                <w:tcPr>
                  <w:tcW w:w="757" w:type="dxa"/>
                  <w:noWrap w:val="0"/>
                  <w:vAlign w:val="center"/>
                </w:tcPr>
                <w:p w14:paraId="14360909">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D4BE6A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5AA3E58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20E8560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F004DF9">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478" w:type="dxa"/>
                  <w:noWrap w:val="0"/>
                  <w:vAlign w:val="center"/>
                </w:tcPr>
                <w:p w14:paraId="5C6A18F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5B424A66">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经收集后</w:t>
                  </w:r>
                  <w:r>
                    <w:rPr>
                      <w:rFonts w:hint="default" w:ascii="Times New Roman" w:hAnsi="Times New Roman" w:eastAsia="宋体" w:cs="Times New Roman"/>
                      <w:color w:val="auto"/>
                      <w:spacing w:val="-1"/>
                      <w:sz w:val="21"/>
                      <w:szCs w:val="21"/>
                      <w:highlight w:val="none"/>
                      <w:lang w:val="en-US" w:eastAsia="zh-CN"/>
                    </w:rPr>
                    <w:t>由厂家回收</w:t>
                  </w:r>
                </w:p>
              </w:tc>
              <w:tc>
                <w:tcPr>
                  <w:tcW w:w="701" w:type="dxa"/>
                  <w:noWrap w:val="0"/>
                  <w:vAlign w:val="center"/>
                </w:tcPr>
                <w:p w14:paraId="2092D5A8">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42" w:type="dxa"/>
                  <w:vMerge w:val="continue"/>
                  <w:noWrap w:val="0"/>
                  <w:vAlign w:val="center"/>
                </w:tcPr>
                <w:p w14:paraId="56A4E77D">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2EE2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75ED384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462715A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旧抛轮</w:t>
                  </w:r>
                </w:p>
              </w:tc>
              <w:tc>
                <w:tcPr>
                  <w:tcW w:w="757" w:type="dxa"/>
                  <w:noWrap w:val="0"/>
                  <w:vAlign w:val="center"/>
                </w:tcPr>
                <w:p w14:paraId="30809C96">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06280B4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6A054E2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387694F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2AEF7500">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478" w:type="dxa"/>
                  <w:noWrap w:val="0"/>
                  <w:vAlign w:val="center"/>
                </w:tcPr>
                <w:p w14:paraId="3754635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3A29540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回收后返</w:t>
                  </w:r>
                  <w:r>
                    <w:rPr>
                      <w:rFonts w:hint="default" w:ascii="Times New Roman" w:hAnsi="Times New Roman" w:eastAsia="宋体" w:cs="Times New Roman"/>
                      <w:color w:val="auto"/>
                      <w:spacing w:val="-1"/>
                      <w:sz w:val="21"/>
                      <w:szCs w:val="21"/>
                      <w:highlight w:val="none"/>
                    </w:rPr>
                    <w:t>回至抛轮修复生产线，加工修复后重新投入使用</w:t>
                  </w:r>
                </w:p>
              </w:tc>
              <w:tc>
                <w:tcPr>
                  <w:tcW w:w="701" w:type="dxa"/>
                  <w:noWrap w:val="0"/>
                  <w:vAlign w:val="center"/>
                </w:tcPr>
                <w:p w14:paraId="669449C7">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642" w:type="dxa"/>
                  <w:vMerge w:val="continue"/>
                  <w:noWrap w:val="0"/>
                  <w:vAlign w:val="center"/>
                </w:tcPr>
                <w:p w14:paraId="7B5F405B">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0EEC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2C582B4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40CF4A1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烫钻残次品</w:t>
                  </w:r>
                </w:p>
              </w:tc>
              <w:tc>
                <w:tcPr>
                  <w:tcW w:w="757" w:type="dxa"/>
                  <w:noWrap w:val="0"/>
                  <w:vAlign w:val="center"/>
                </w:tcPr>
                <w:p w14:paraId="16360CA3">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05CBE0D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6DE32D3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7EC23F2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2388B45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478" w:type="dxa"/>
                  <w:noWrap w:val="0"/>
                  <w:vAlign w:val="center"/>
                </w:tcPr>
                <w:p w14:paraId="49FB4DE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7028C2C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经收集后返</w:t>
                  </w:r>
                  <w:r>
                    <w:rPr>
                      <w:rFonts w:hint="default" w:ascii="Times New Roman" w:hAnsi="Times New Roman" w:eastAsia="宋体" w:cs="Times New Roman"/>
                      <w:color w:val="auto"/>
                      <w:spacing w:val="-2"/>
                      <w:sz w:val="21"/>
                      <w:szCs w:val="21"/>
                      <w:highlight w:val="none"/>
                    </w:rPr>
                    <w:t>回</w:t>
                  </w:r>
                  <w:r>
                    <w:rPr>
                      <w:rFonts w:hint="eastAsia" w:cs="Times New Roman"/>
                      <w:color w:val="auto"/>
                      <w:spacing w:val="-2"/>
                      <w:sz w:val="21"/>
                      <w:szCs w:val="21"/>
                      <w:highlight w:val="none"/>
                      <w:lang w:eastAsia="zh-CN"/>
                    </w:rPr>
                    <w:t>珠胚生产</w:t>
                  </w:r>
                  <w:r>
                    <w:rPr>
                      <w:rFonts w:hint="default" w:ascii="Times New Roman" w:hAnsi="Times New Roman" w:eastAsia="宋体" w:cs="Times New Roman"/>
                      <w:color w:val="auto"/>
                      <w:spacing w:val="-2"/>
                      <w:sz w:val="21"/>
                      <w:szCs w:val="21"/>
                      <w:highlight w:val="none"/>
                    </w:rPr>
                    <w:t>线</w:t>
                  </w:r>
                  <w:r>
                    <w:rPr>
                      <w:rFonts w:hint="default" w:ascii="Times New Roman" w:hAnsi="Times New Roman" w:eastAsia="宋体" w:cs="Times New Roman"/>
                      <w:color w:val="auto"/>
                      <w:spacing w:val="-1"/>
                      <w:sz w:val="21"/>
                      <w:szCs w:val="21"/>
                      <w:highlight w:val="none"/>
                    </w:rPr>
                    <w:t>电熔炉再利用</w:t>
                  </w:r>
                </w:p>
              </w:tc>
              <w:tc>
                <w:tcPr>
                  <w:tcW w:w="701" w:type="dxa"/>
                  <w:noWrap w:val="0"/>
                  <w:vAlign w:val="center"/>
                </w:tcPr>
                <w:p w14:paraId="59EF328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42" w:type="dxa"/>
                  <w:vMerge w:val="continue"/>
                  <w:noWrap w:val="0"/>
                  <w:vAlign w:val="center"/>
                </w:tcPr>
                <w:p w14:paraId="0A8ED86F">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732B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470D240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047CCE3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废吸塑片</w:t>
                  </w:r>
                </w:p>
              </w:tc>
              <w:tc>
                <w:tcPr>
                  <w:tcW w:w="757" w:type="dxa"/>
                  <w:noWrap w:val="0"/>
                  <w:vAlign w:val="center"/>
                </w:tcPr>
                <w:p w14:paraId="12027610">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88964F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55C3914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0EBBE4F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2F3439CB">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3760</w:t>
                  </w:r>
                </w:p>
              </w:tc>
              <w:tc>
                <w:tcPr>
                  <w:tcW w:w="478" w:type="dxa"/>
                  <w:noWrap w:val="0"/>
                  <w:vAlign w:val="center"/>
                </w:tcPr>
                <w:p w14:paraId="0A52135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restart"/>
                  <w:noWrap w:val="0"/>
                  <w:vAlign w:val="center"/>
                </w:tcPr>
                <w:p w14:paraId="66ED20A8">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收集后直接返回吸塑</w:t>
                  </w:r>
                  <w:r>
                    <w:rPr>
                      <w:rFonts w:hint="default" w:ascii="Times New Roman" w:hAnsi="Times New Roman" w:eastAsia="宋体" w:cs="Times New Roman"/>
                      <w:color w:val="auto"/>
                      <w:spacing w:val="-2"/>
                      <w:sz w:val="21"/>
                      <w:szCs w:val="21"/>
                      <w:highlight w:val="none"/>
                    </w:rPr>
                    <w:t>片生产线</w:t>
                  </w:r>
                  <w:r>
                    <w:rPr>
                      <w:rFonts w:hint="default" w:ascii="Times New Roman" w:hAnsi="Times New Roman" w:eastAsia="宋体" w:cs="Times New Roman"/>
                      <w:color w:val="auto"/>
                      <w:spacing w:val="-2"/>
                      <w:sz w:val="21"/>
                      <w:szCs w:val="21"/>
                      <w:highlight w:val="none"/>
                      <w:lang w:val="en-US" w:eastAsia="zh-CN"/>
                    </w:rPr>
                    <w:t>再利用</w:t>
                  </w:r>
                </w:p>
              </w:tc>
              <w:tc>
                <w:tcPr>
                  <w:tcW w:w="701" w:type="dxa"/>
                  <w:noWrap w:val="0"/>
                  <w:vAlign w:val="center"/>
                </w:tcPr>
                <w:p w14:paraId="63A13C44">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3760</w:t>
                  </w:r>
                </w:p>
              </w:tc>
              <w:tc>
                <w:tcPr>
                  <w:tcW w:w="642" w:type="dxa"/>
                  <w:vMerge w:val="continue"/>
                  <w:noWrap w:val="0"/>
                  <w:vAlign w:val="center"/>
                </w:tcPr>
                <w:p w14:paraId="1DC007AA">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503E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54B47A9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757F028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吸塑片切片边角料</w:t>
                  </w:r>
                </w:p>
              </w:tc>
              <w:tc>
                <w:tcPr>
                  <w:tcW w:w="757" w:type="dxa"/>
                  <w:noWrap w:val="0"/>
                  <w:vAlign w:val="center"/>
                </w:tcPr>
                <w:p w14:paraId="15BCE88E">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6814EA5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01EBE43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7C3C5D7D">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1D9E5CB8">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478" w:type="dxa"/>
                  <w:noWrap w:val="0"/>
                  <w:vAlign w:val="center"/>
                </w:tcPr>
                <w:p w14:paraId="6221CDC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noWrap w:val="0"/>
                  <w:vAlign w:val="center"/>
                </w:tcPr>
                <w:p w14:paraId="35C2A735">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701" w:type="dxa"/>
                  <w:noWrap w:val="0"/>
                  <w:vAlign w:val="center"/>
                </w:tcPr>
                <w:p w14:paraId="6DAC9983">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642" w:type="dxa"/>
                  <w:vMerge w:val="continue"/>
                  <w:noWrap w:val="0"/>
                  <w:vAlign w:val="center"/>
                </w:tcPr>
                <w:p w14:paraId="63985776">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11AA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6F8BB54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4B28F64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碱洗沉渣</w:t>
                  </w:r>
                </w:p>
              </w:tc>
              <w:tc>
                <w:tcPr>
                  <w:tcW w:w="757" w:type="dxa"/>
                  <w:noWrap w:val="0"/>
                  <w:vAlign w:val="center"/>
                </w:tcPr>
                <w:p w14:paraId="5926F553">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0DC9C3C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4ACD66D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4A8C0C6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9784482">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20.73</w:t>
                  </w:r>
                </w:p>
              </w:tc>
              <w:tc>
                <w:tcPr>
                  <w:tcW w:w="478" w:type="dxa"/>
                  <w:noWrap w:val="0"/>
                  <w:vAlign w:val="center"/>
                </w:tcPr>
                <w:p w14:paraId="68F13B9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6BFD2933">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收集后外售给胶粉厂作为原料使用</w:t>
                  </w:r>
                  <w:r>
                    <w:rPr>
                      <w:rFonts w:hint="eastAsia" w:cs="Times New Roman"/>
                      <w:color w:val="auto"/>
                      <w:spacing w:val="-1"/>
                      <w:sz w:val="21"/>
                      <w:szCs w:val="21"/>
                      <w:highlight w:val="none"/>
                      <w:lang w:val="en-US" w:eastAsia="zh-CN"/>
                    </w:rPr>
                    <w:t>（首次进行属性鉴定）</w:t>
                  </w:r>
                </w:p>
              </w:tc>
              <w:tc>
                <w:tcPr>
                  <w:tcW w:w="701" w:type="dxa"/>
                  <w:noWrap w:val="0"/>
                  <w:vAlign w:val="center"/>
                </w:tcPr>
                <w:p w14:paraId="738A862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20.73</w:t>
                  </w:r>
                </w:p>
              </w:tc>
              <w:tc>
                <w:tcPr>
                  <w:tcW w:w="642" w:type="dxa"/>
                  <w:vMerge w:val="continue"/>
                  <w:noWrap w:val="0"/>
                  <w:vAlign w:val="center"/>
                </w:tcPr>
                <w:p w14:paraId="7FC0F40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22F3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shd w:val="clear" w:color="auto" w:fill="auto"/>
                  <w:noWrap w:val="0"/>
                  <w:vAlign w:val="center"/>
                </w:tcPr>
                <w:p w14:paraId="2A134DD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PVC片生产</w:t>
                  </w:r>
                </w:p>
              </w:tc>
              <w:tc>
                <w:tcPr>
                  <w:tcW w:w="818" w:type="dxa"/>
                  <w:shd w:val="clear" w:color="auto" w:fill="auto"/>
                  <w:noWrap w:val="0"/>
                  <w:vAlign w:val="center"/>
                </w:tcPr>
                <w:p w14:paraId="4FAE430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吸塑片除尘器粉尘</w:t>
                  </w:r>
                </w:p>
              </w:tc>
              <w:tc>
                <w:tcPr>
                  <w:tcW w:w="757" w:type="dxa"/>
                  <w:noWrap w:val="0"/>
                  <w:vAlign w:val="center"/>
                </w:tcPr>
                <w:p w14:paraId="52D9D8C6">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31EA46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0542F3F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6391018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10612DB9">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20.26</w:t>
                  </w:r>
                </w:p>
              </w:tc>
              <w:tc>
                <w:tcPr>
                  <w:tcW w:w="478" w:type="dxa"/>
                  <w:noWrap w:val="0"/>
                  <w:vAlign w:val="center"/>
                </w:tcPr>
                <w:p w14:paraId="2F9EEE8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restart"/>
                  <w:noWrap w:val="0"/>
                  <w:vAlign w:val="center"/>
                </w:tcPr>
                <w:p w14:paraId="6D588F26">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收集后回收用于吸塑片生产工序再利用</w:t>
                  </w:r>
                </w:p>
              </w:tc>
              <w:tc>
                <w:tcPr>
                  <w:tcW w:w="701" w:type="dxa"/>
                  <w:noWrap w:val="0"/>
                  <w:vAlign w:val="center"/>
                </w:tcPr>
                <w:p w14:paraId="12227113">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20.26</w:t>
                  </w:r>
                </w:p>
              </w:tc>
              <w:tc>
                <w:tcPr>
                  <w:tcW w:w="642" w:type="dxa"/>
                  <w:vMerge w:val="continue"/>
                  <w:noWrap w:val="0"/>
                  <w:vAlign w:val="center"/>
                </w:tcPr>
                <w:p w14:paraId="5D370FB9">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245E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shd w:val="clear" w:color="auto" w:fill="auto"/>
                  <w:noWrap w:val="0"/>
                  <w:vAlign w:val="center"/>
                </w:tcPr>
                <w:p w14:paraId="237F21E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818" w:type="dxa"/>
                  <w:shd w:val="clear" w:color="auto" w:fill="auto"/>
                  <w:noWrap w:val="0"/>
                  <w:vAlign w:val="center"/>
                </w:tcPr>
                <w:p w14:paraId="7CDD6F0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吸塑片废边角料</w:t>
                  </w:r>
                </w:p>
              </w:tc>
              <w:tc>
                <w:tcPr>
                  <w:tcW w:w="757" w:type="dxa"/>
                  <w:noWrap w:val="0"/>
                  <w:vAlign w:val="center"/>
                </w:tcPr>
                <w:p w14:paraId="27CFB737">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28A7B53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4CCC4C7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5A579AF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1C58C29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78" w:type="dxa"/>
                  <w:noWrap w:val="0"/>
                  <w:vAlign w:val="center"/>
                </w:tcPr>
                <w:p w14:paraId="190CD4C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noWrap w:val="0"/>
                  <w:vAlign w:val="center"/>
                </w:tcPr>
                <w:p w14:paraId="0AABE54D">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p>
              </w:tc>
              <w:tc>
                <w:tcPr>
                  <w:tcW w:w="701" w:type="dxa"/>
                  <w:noWrap w:val="0"/>
                  <w:vAlign w:val="center"/>
                </w:tcPr>
                <w:p w14:paraId="792AD01E">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642" w:type="dxa"/>
                  <w:vMerge w:val="continue"/>
                  <w:noWrap w:val="0"/>
                  <w:vAlign w:val="center"/>
                </w:tcPr>
                <w:p w14:paraId="289E38A8">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457B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shd w:val="clear" w:color="auto" w:fill="auto"/>
                  <w:noWrap w:val="0"/>
                  <w:vAlign w:val="center"/>
                </w:tcPr>
                <w:p w14:paraId="516F1AA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抛轮修复生产</w:t>
                  </w:r>
                </w:p>
              </w:tc>
              <w:tc>
                <w:tcPr>
                  <w:tcW w:w="818" w:type="dxa"/>
                  <w:shd w:val="clear" w:color="auto" w:fill="auto"/>
                  <w:noWrap w:val="0"/>
                  <w:vAlign w:val="center"/>
                </w:tcPr>
                <w:p w14:paraId="060E640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抛轮修复收尘</w:t>
                  </w:r>
                </w:p>
              </w:tc>
              <w:tc>
                <w:tcPr>
                  <w:tcW w:w="757" w:type="dxa"/>
                  <w:noWrap w:val="0"/>
                  <w:vAlign w:val="center"/>
                </w:tcPr>
                <w:p w14:paraId="5913B873">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4E650D9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34F2E6D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1B831A9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59C15EF">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0.166</w:t>
                  </w:r>
                </w:p>
              </w:tc>
              <w:tc>
                <w:tcPr>
                  <w:tcW w:w="478" w:type="dxa"/>
                  <w:noWrap w:val="0"/>
                  <w:vAlign w:val="center"/>
                </w:tcPr>
                <w:p w14:paraId="3C2C886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589A7BD5">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rPr>
                    <w:t>收集后回用生</w:t>
                  </w:r>
                  <w:r>
                    <w:rPr>
                      <w:rFonts w:hint="default" w:ascii="Times New Roman" w:hAnsi="Times New Roman" w:eastAsia="宋体" w:cs="Times New Roman"/>
                      <w:color w:val="auto"/>
                      <w:spacing w:val="-2"/>
                      <w:sz w:val="21"/>
                      <w:szCs w:val="21"/>
                      <w:highlight w:val="none"/>
                    </w:rPr>
                    <w:t>产线</w:t>
                  </w:r>
                  <w:r>
                    <w:rPr>
                      <w:rFonts w:hint="default" w:ascii="Times New Roman" w:hAnsi="Times New Roman" w:eastAsia="宋体" w:cs="Times New Roman"/>
                      <w:color w:val="auto"/>
                      <w:spacing w:val="-2"/>
                      <w:sz w:val="21"/>
                      <w:szCs w:val="21"/>
                      <w:highlight w:val="none"/>
                      <w:lang w:val="en-US" w:eastAsia="zh-CN"/>
                    </w:rPr>
                    <w:t>再利用</w:t>
                  </w:r>
                </w:p>
              </w:tc>
              <w:tc>
                <w:tcPr>
                  <w:tcW w:w="701" w:type="dxa"/>
                  <w:noWrap w:val="0"/>
                  <w:vAlign w:val="center"/>
                </w:tcPr>
                <w:p w14:paraId="2C35434C">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0.166</w:t>
                  </w:r>
                </w:p>
              </w:tc>
              <w:tc>
                <w:tcPr>
                  <w:tcW w:w="642" w:type="dxa"/>
                  <w:vMerge w:val="continue"/>
                  <w:noWrap w:val="0"/>
                  <w:vAlign w:val="center"/>
                </w:tcPr>
                <w:p w14:paraId="29384528">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73EA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14:paraId="3A5A56F3">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去离子水制备</w:t>
                  </w:r>
                </w:p>
              </w:tc>
              <w:tc>
                <w:tcPr>
                  <w:tcW w:w="818" w:type="dxa"/>
                  <w:noWrap w:val="0"/>
                  <w:vAlign w:val="center"/>
                </w:tcPr>
                <w:p w14:paraId="1585D4C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废石英砂</w:t>
                  </w:r>
                </w:p>
              </w:tc>
              <w:tc>
                <w:tcPr>
                  <w:tcW w:w="757" w:type="dxa"/>
                  <w:noWrap w:val="0"/>
                  <w:vAlign w:val="center"/>
                </w:tcPr>
                <w:p w14:paraId="5FC1CBA4">
                  <w:pPr>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2893CC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4E2F2CB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129ADFF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833C79F">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0.05</w:t>
                  </w:r>
                </w:p>
              </w:tc>
              <w:tc>
                <w:tcPr>
                  <w:tcW w:w="478" w:type="dxa"/>
                  <w:noWrap w:val="0"/>
                  <w:vAlign w:val="center"/>
                </w:tcPr>
                <w:p w14:paraId="1E9B31A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restart"/>
                  <w:noWrap w:val="0"/>
                  <w:vAlign w:val="center"/>
                </w:tcPr>
                <w:p w14:paraId="25026B6D">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由厂家定期更换收集后</w:t>
                  </w:r>
                  <w:r>
                    <w:rPr>
                      <w:rFonts w:hint="eastAsia" w:cs="Times New Roman"/>
                      <w:b w:val="0"/>
                      <w:bCs w:val="0"/>
                      <w:strike w:val="0"/>
                      <w:dstrike w:val="0"/>
                      <w:color w:val="auto"/>
                      <w:sz w:val="21"/>
                      <w:szCs w:val="21"/>
                      <w:highlight w:val="none"/>
                      <w:lang w:val="en-US" w:eastAsia="zh-CN"/>
                    </w:rPr>
                    <w:t>带走处理</w:t>
                  </w:r>
                </w:p>
              </w:tc>
              <w:tc>
                <w:tcPr>
                  <w:tcW w:w="701" w:type="dxa"/>
                  <w:shd w:val="clear" w:color="auto" w:fill="auto"/>
                  <w:noWrap w:val="0"/>
                  <w:vAlign w:val="center"/>
                </w:tcPr>
                <w:p w14:paraId="0032E2A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0.05</w:t>
                  </w:r>
                </w:p>
              </w:tc>
              <w:tc>
                <w:tcPr>
                  <w:tcW w:w="642" w:type="dxa"/>
                  <w:vMerge w:val="continue"/>
                  <w:noWrap w:val="0"/>
                  <w:vAlign w:val="center"/>
                </w:tcPr>
                <w:p w14:paraId="72F81653">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485D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2C088B34">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1EA9ECD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废活性炭</w:t>
                  </w:r>
                </w:p>
              </w:tc>
              <w:tc>
                <w:tcPr>
                  <w:tcW w:w="757" w:type="dxa"/>
                  <w:noWrap w:val="0"/>
                  <w:vAlign w:val="center"/>
                </w:tcPr>
                <w:p w14:paraId="52E8DA89">
                  <w:pPr>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31622C9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5D8C160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5A44665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1F566085">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0.24</w:t>
                  </w:r>
                </w:p>
              </w:tc>
              <w:tc>
                <w:tcPr>
                  <w:tcW w:w="478" w:type="dxa"/>
                  <w:noWrap w:val="0"/>
                  <w:vAlign w:val="center"/>
                </w:tcPr>
                <w:p w14:paraId="7B2A809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noWrap w:val="0"/>
                  <w:vAlign w:val="center"/>
                </w:tcPr>
                <w:p w14:paraId="1AA611A3">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701" w:type="dxa"/>
                  <w:shd w:val="clear" w:color="auto" w:fill="auto"/>
                  <w:noWrap w:val="0"/>
                  <w:vAlign w:val="center"/>
                </w:tcPr>
                <w:p w14:paraId="271335E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0.24</w:t>
                  </w:r>
                </w:p>
              </w:tc>
              <w:tc>
                <w:tcPr>
                  <w:tcW w:w="642" w:type="dxa"/>
                  <w:vMerge w:val="continue"/>
                  <w:noWrap w:val="0"/>
                  <w:vAlign w:val="center"/>
                </w:tcPr>
                <w:p w14:paraId="7E954AB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2DA4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6582961E">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shd w:val="clear" w:color="auto" w:fill="auto"/>
                  <w:noWrap w:val="0"/>
                  <w:vAlign w:val="center"/>
                </w:tcPr>
                <w:p w14:paraId="482D345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kern w:val="1"/>
                      <w:sz w:val="21"/>
                      <w:szCs w:val="21"/>
                      <w:highlight w:val="no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废反渗透膜</w:t>
                  </w:r>
                </w:p>
              </w:tc>
              <w:tc>
                <w:tcPr>
                  <w:tcW w:w="757" w:type="dxa"/>
                  <w:shd w:val="clear" w:color="auto" w:fill="auto"/>
                  <w:noWrap w:val="0"/>
                  <w:vAlign w:val="center"/>
                </w:tcPr>
                <w:p w14:paraId="76943F8A">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shd w:val="clear" w:color="auto" w:fill="auto"/>
                  <w:noWrap w:val="0"/>
                  <w:vAlign w:val="center"/>
                </w:tcPr>
                <w:p w14:paraId="5CCC990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shd w:val="clear" w:color="auto" w:fill="auto"/>
                  <w:noWrap w:val="0"/>
                  <w:vAlign w:val="center"/>
                </w:tcPr>
                <w:p w14:paraId="7042B0F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shd w:val="clear" w:color="auto" w:fill="auto"/>
                  <w:noWrap w:val="0"/>
                  <w:vAlign w:val="center"/>
                </w:tcPr>
                <w:p w14:paraId="6DAB9DF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shd w:val="clear" w:color="auto" w:fill="auto"/>
                  <w:noWrap w:val="0"/>
                  <w:vAlign w:val="center"/>
                </w:tcPr>
                <w:p w14:paraId="23C86FD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0.03</w:t>
                  </w:r>
                </w:p>
              </w:tc>
              <w:tc>
                <w:tcPr>
                  <w:tcW w:w="478" w:type="dxa"/>
                  <w:shd w:val="clear" w:color="auto" w:fill="auto"/>
                  <w:noWrap w:val="0"/>
                  <w:vAlign w:val="center"/>
                </w:tcPr>
                <w:p w14:paraId="1E26F50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shd w:val="clear" w:color="auto" w:fill="auto"/>
                  <w:noWrap w:val="0"/>
                  <w:vAlign w:val="center"/>
                </w:tcPr>
                <w:p w14:paraId="2CB76D81">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kern w:val="1"/>
                      <w:sz w:val="21"/>
                      <w:szCs w:val="21"/>
                      <w:highlight w:val="none"/>
                      <w:lang w:val="en-US" w:eastAsia="zh-CN" w:bidi="ar-SA"/>
                    </w:rPr>
                  </w:pPr>
                </w:p>
              </w:tc>
              <w:tc>
                <w:tcPr>
                  <w:tcW w:w="701" w:type="dxa"/>
                  <w:shd w:val="clear" w:color="auto" w:fill="auto"/>
                  <w:noWrap w:val="0"/>
                  <w:vAlign w:val="center"/>
                </w:tcPr>
                <w:p w14:paraId="199FCB8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0.03</w:t>
                  </w:r>
                </w:p>
              </w:tc>
              <w:tc>
                <w:tcPr>
                  <w:tcW w:w="642" w:type="dxa"/>
                  <w:vMerge w:val="continue"/>
                  <w:noWrap w:val="0"/>
                  <w:vAlign w:val="center"/>
                </w:tcPr>
                <w:p w14:paraId="46B43C12">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11BD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251F8B91">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0F8DA04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w:t>
                  </w:r>
                  <w:r>
                    <w:rPr>
                      <w:rFonts w:hint="eastAsia" w:cs="Times New Roman"/>
                      <w:bCs/>
                      <w:strike w:val="0"/>
                      <w:dstrike w:val="0"/>
                      <w:color w:val="auto"/>
                      <w:spacing w:val="-10"/>
                      <w:sz w:val="21"/>
                      <w:szCs w:val="21"/>
                      <w:highlight w:val="none"/>
                      <w:lang w:val="en-US" w:eastAsia="zh-CN"/>
                    </w:rPr>
                    <w:t>离子交换树脂</w:t>
                  </w:r>
                </w:p>
              </w:tc>
              <w:tc>
                <w:tcPr>
                  <w:tcW w:w="757" w:type="dxa"/>
                  <w:noWrap w:val="0"/>
                  <w:vAlign w:val="center"/>
                </w:tcPr>
                <w:p w14:paraId="40DC6CB6">
                  <w:pPr>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一般工业固废</w:t>
                  </w:r>
                </w:p>
              </w:tc>
              <w:tc>
                <w:tcPr>
                  <w:tcW w:w="729" w:type="dxa"/>
                  <w:noWrap w:val="0"/>
                  <w:vAlign w:val="center"/>
                </w:tcPr>
                <w:p w14:paraId="6348360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02D5736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770C014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018BD63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0.</w:t>
                  </w:r>
                  <w:r>
                    <w:rPr>
                      <w:rFonts w:hint="eastAsia" w:cs="Times New Roman"/>
                      <w:strike w:val="0"/>
                      <w:dstrike w:val="0"/>
                      <w:color w:val="auto"/>
                      <w:sz w:val="21"/>
                      <w:szCs w:val="21"/>
                      <w:highlight w:val="none"/>
                      <w:vertAlign w:val="baseline"/>
                      <w:lang w:val="en-US" w:eastAsia="zh-CN"/>
                    </w:rPr>
                    <w:t>15</w:t>
                  </w:r>
                </w:p>
              </w:tc>
              <w:tc>
                <w:tcPr>
                  <w:tcW w:w="478" w:type="dxa"/>
                  <w:noWrap w:val="0"/>
                  <w:vAlign w:val="center"/>
                </w:tcPr>
                <w:p w14:paraId="5AAC513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vMerge w:val="continue"/>
                  <w:noWrap w:val="0"/>
                  <w:vAlign w:val="center"/>
                </w:tcPr>
                <w:p w14:paraId="6F8A54A2">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701" w:type="dxa"/>
                  <w:shd w:val="clear" w:color="auto" w:fill="auto"/>
                  <w:noWrap w:val="0"/>
                  <w:vAlign w:val="center"/>
                </w:tcPr>
                <w:p w14:paraId="59DD311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w:t>
                  </w:r>
                  <w:r>
                    <w:rPr>
                      <w:rFonts w:hint="eastAsia" w:cs="Times New Roman"/>
                      <w:strike w:val="0"/>
                      <w:dstrike w:val="0"/>
                      <w:color w:val="auto"/>
                      <w:sz w:val="21"/>
                      <w:szCs w:val="21"/>
                      <w:highlight w:val="none"/>
                      <w:vertAlign w:val="baseline"/>
                      <w:lang w:val="en-US" w:eastAsia="zh-CN"/>
                    </w:rPr>
                    <w:t>15</w:t>
                  </w:r>
                </w:p>
              </w:tc>
              <w:tc>
                <w:tcPr>
                  <w:tcW w:w="642" w:type="dxa"/>
                  <w:vMerge w:val="continue"/>
                  <w:noWrap w:val="0"/>
                  <w:vAlign w:val="center"/>
                </w:tcPr>
                <w:p w14:paraId="00C1CBE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4308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14:paraId="3CF65E5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kern w:val="0"/>
                      <w:sz w:val="21"/>
                      <w:szCs w:val="21"/>
                      <w:highlight w:val="no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生活办公</w:t>
                  </w:r>
                </w:p>
              </w:tc>
              <w:tc>
                <w:tcPr>
                  <w:tcW w:w="818" w:type="dxa"/>
                  <w:noWrap w:val="0"/>
                  <w:vAlign w:val="center"/>
                </w:tcPr>
                <w:p w14:paraId="046CA07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57" w:type="dxa"/>
                  <w:noWrap w:val="0"/>
                  <w:vAlign w:val="center"/>
                </w:tcPr>
                <w:p w14:paraId="172753D6">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29" w:type="dxa"/>
                  <w:noWrap w:val="0"/>
                  <w:vAlign w:val="center"/>
                </w:tcPr>
                <w:p w14:paraId="255326B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1F3D84F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7BAEAB4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7D6D325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50.49</w:t>
                  </w:r>
                </w:p>
              </w:tc>
              <w:tc>
                <w:tcPr>
                  <w:tcW w:w="478" w:type="dxa"/>
                  <w:noWrap w:val="0"/>
                  <w:vAlign w:val="center"/>
                </w:tcPr>
                <w:p w14:paraId="72DD23E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547B0A5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经收集后由环卫部门集中清运</w:t>
                  </w:r>
                </w:p>
              </w:tc>
              <w:tc>
                <w:tcPr>
                  <w:tcW w:w="701" w:type="dxa"/>
                  <w:noWrap w:val="0"/>
                  <w:vAlign w:val="center"/>
                </w:tcPr>
                <w:p w14:paraId="2053C869">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50.49</w:t>
                  </w:r>
                </w:p>
              </w:tc>
              <w:tc>
                <w:tcPr>
                  <w:tcW w:w="642" w:type="dxa"/>
                  <w:vMerge w:val="continue"/>
                  <w:noWrap w:val="0"/>
                  <w:vAlign w:val="center"/>
                </w:tcPr>
                <w:p w14:paraId="7672876D">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378E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73EB964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74DC87D1">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隔油池油污</w:t>
                  </w:r>
                </w:p>
              </w:tc>
              <w:tc>
                <w:tcPr>
                  <w:tcW w:w="757" w:type="dxa"/>
                  <w:noWrap w:val="0"/>
                  <w:vAlign w:val="center"/>
                </w:tcPr>
                <w:p w14:paraId="100C858E">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29" w:type="dxa"/>
                  <w:noWrap w:val="0"/>
                  <w:vAlign w:val="center"/>
                </w:tcPr>
                <w:p w14:paraId="55247DB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4FB637A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273790C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4488EE26">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478" w:type="dxa"/>
                  <w:noWrap w:val="0"/>
                  <w:vAlign w:val="center"/>
                </w:tcPr>
                <w:p w14:paraId="4182159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0624FFD6">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定期清掏后收集于废油脂收集桶内委托有资质的单位处置</w:t>
                  </w:r>
                </w:p>
              </w:tc>
              <w:tc>
                <w:tcPr>
                  <w:tcW w:w="701" w:type="dxa"/>
                  <w:noWrap w:val="0"/>
                  <w:vAlign w:val="center"/>
                </w:tcPr>
                <w:p w14:paraId="013E2282">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642" w:type="dxa"/>
                  <w:vMerge w:val="continue"/>
                  <w:noWrap w:val="0"/>
                  <w:vAlign w:val="center"/>
                </w:tcPr>
                <w:p w14:paraId="4FD47DFF">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327C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71BAD81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30D66EA8">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食堂泔水</w:t>
                  </w:r>
                </w:p>
              </w:tc>
              <w:tc>
                <w:tcPr>
                  <w:tcW w:w="757" w:type="dxa"/>
                  <w:noWrap w:val="0"/>
                  <w:vAlign w:val="center"/>
                </w:tcPr>
                <w:p w14:paraId="1CB8C02A">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29" w:type="dxa"/>
                  <w:noWrap w:val="0"/>
                  <w:vAlign w:val="center"/>
                </w:tcPr>
                <w:p w14:paraId="3A029C9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42D78C3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60FA8A2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700" w:type="dxa"/>
                  <w:noWrap w:val="0"/>
                  <w:vAlign w:val="center"/>
                </w:tcPr>
                <w:p w14:paraId="5275CB2C">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478" w:type="dxa"/>
                  <w:noWrap w:val="0"/>
                  <w:vAlign w:val="center"/>
                </w:tcPr>
                <w:p w14:paraId="0A3FD9C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20A5BF3C">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由建设单位自行收集后交由相关资质单位进行处置</w:t>
                  </w:r>
                </w:p>
              </w:tc>
              <w:tc>
                <w:tcPr>
                  <w:tcW w:w="701" w:type="dxa"/>
                  <w:noWrap w:val="0"/>
                  <w:vAlign w:val="center"/>
                </w:tcPr>
                <w:p w14:paraId="0DC29C1D">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642" w:type="dxa"/>
                  <w:vMerge w:val="continue"/>
                  <w:noWrap w:val="0"/>
                  <w:vAlign w:val="center"/>
                </w:tcPr>
                <w:p w14:paraId="21CDD14D">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556A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14ADCBF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1D77F8DD">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化粪池污泥</w:t>
                  </w:r>
                </w:p>
              </w:tc>
              <w:tc>
                <w:tcPr>
                  <w:tcW w:w="757" w:type="dxa"/>
                  <w:noWrap w:val="0"/>
                  <w:vAlign w:val="center"/>
                </w:tcPr>
                <w:p w14:paraId="23F54686">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729" w:type="dxa"/>
                  <w:noWrap w:val="0"/>
                  <w:vAlign w:val="center"/>
                </w:tcPr>
                <w:p w14:paraId="14FF87B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58A6308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noWrap w:val="0"/>
                  <w:vAlign w:val="center"/>
                </w:tcPr>
                <w:p w14:paraId="08C04DB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kern w:val="2"/>
                      <w:sz w:val="21"/>
                      <w:szCs w:val="21"/>
                      <w:highlight w:val="none"/>
                      <w:vertAlign w:val="baseline"/>
                      <w:lang w:val="en-US" w:eastAsia="zh-CN" w:bidi="ar-SA"/>
                    </w:rPr>
                    <w:t>/</w:t>
                  </w:r>
                </w:p>
              </w:tc>
              <w:tc>
                <w:tcPr>
                  <w:tcW w:w="700" w:type="dxa"/>
                  <w:noWrap w:val="0"/>
                  <w:vAlign w:val="center"/>
                </w:tcPr>
                <w:p w14:paraId="3C4819C7">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12.74</w:t>
                  </w:r>
                </w:p>
              </w:tc>
              <w:tc>
                <w:tcPr>
                  <w:tcW w:w="478" w:type="dxa"/>
                  <w:noWrap w:val="0"/>
                  <w:vAlign w:val="center"/>
                </w:tcPr>
                <w:p w14:paraId="434FAA66">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1245" w:type="dxa"/>
                  <w:noWrap w:val="0"/>
                  <w:vAlign w:val="center"/>
                </w:tcPr>
                <w:p w14:paraId="16F38D44">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定期委托环卫部门定期清掏、清运处置</w:t>
                  </w:r>
                </w:p>
              </w:tc>
              <w:tc>
                <w:tcPr>
                  <w:tcW w:w="701" w:type="dxa"/>
                  <w:noWrap w:val="0"/>
                  <w:vAlign w:val="center"/>
                </w:tcPr>
                <w:p w14:paraId="3ABB5B6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w:t>
                  </w:r>
                </w:p>
              </w:tc>
              <w:tc>
                <w:tcPr>
                  <w:tcW w:w="642" w:type="dxa"/>
                  <w:vMerge w:val="continue"/>
                  <w:noWrap w:val="0"/>
                  <w:vAlign w:val="center"/>
                </w:tcPr>
                <w:p w14:paraId="1A2572F5">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r w14:paraId="70F5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14:paraId="061CF581">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设备维护修理</w:t>
                  </w:r>
                </w:p>
              </w:tc>
              <w:tc>
                <w:tcPr>
                  <w:tcW w:w="818" w:type="dxa"/>
                  <w:noWrap w:val="0"/>
                  <w:vAlign w:val="center"/>
                </w:tcPr>
                <w:p w14:paraId="191A27C1">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废润滑油</w:t>
                  </w:r>
                </w:p>
              </w:tc>
              <w:tc>
                <w:tcPr>
                  <w:tcW w:w="757" w:type="dxa"/>
                  <w:vMerge w:val="restart"/>
                  <w:noWrap w:val="0"/>
                  <w:vAlign w:val="center"/>
                </w:tcPr>
                <w:p w14:paraId="718E2917">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bidi="ar"/>
                    </w:rPr>
                    <w:t>危废，HW08，</w:t>
                  </w:r>
                  <w:r>
                    <w:rPr>
                      <w:rFonts w:hint="default" w:ascii="Times New Roman" w:hAnsi="Times New Roman" w:eastAsia="宋体" w:cs="Times New Roman"/>
                      <w:bCs/>
                      <w:strike w:val="0"/>
                      <w:dstrike w:val="0"/>
                      <w:color w:val="auto"/>
                      <w:spacing w:val="-10"/>
                      <w:sz w:val="21"/>
                      <w:szCs w:val="21"/>
                      <w:highlight w:val="none"/>
                      <w:lang w:val="en-US" w:eastAsia="zh-CN"/>
                    </w:rPr>
                    <w:t>900-249-08</w:t>
                  </w:r>
                </w:p>
              </w:tc>
              <w:tc>
                <w:tcPr>
                  <w:tcW w:w="729" w:type="dxa"/>
                  <w:vMerge w:val="restart"/>
                  <w:noWrap w:val="0"/>
                  <w:vAlign w:val="center"/>
                </w:tcPr>
                <w:p w14:paraId="4E601B6A">
                  <w:pPr>
                    <w:pStyle w:val="28"/>
                    <w:keepNext w:val="0"/>
                    <w:keepLines w:val="0"/>
                    <w:pageBreakBefore w:val="0"/>
                    <w:widowControl w:val="0"/>
                    <w:kinsoku/>
                    <w:wordWrap/>
                    <w:overflowPunct/>
                    <w:topLinePunct w:val="0"/>
                    <w:autoSpaceDE/>
                    <w:autoSpaceDN/>
                    <w:bidi w:val="0"/>
                    <w:adjustRightInd/>
                    <w:snapToGrid/>
                    <w:spacing w:after="0"/>
                    <w:ind w:left="0" w:leftChars="0" w:right="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noWrap w:val="0"/>
                  <w:vAlign w:val="center"/>
                </w:tcPr>
                <w:p w14:paraId="68DEB41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液态</w:t>
                  </w:r>
                </w:p>
              </w:tc>
              <w:tc>
                <w:tcPr>
                  <w:tcW w:w="550" w:type="dxa"/>
                  <w:vMerge w:val="restart"/>
                  <w:noWrap w:val="0"/>
                  <w:vAlign w:val="center"/>
                </w:tcPr>
                <w:p w14:paraId="556F31B4">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strike w:val="0"/>
                      <w:dstrike w:val="0"/>
                      <w:color w:val="auto"/>
                      <w:kern w:val="0"/>
                      <w:sz w:val="21"/>
                      <w:szCs w:val="21"/>
                      <w:highlight w:val="none"/>
                      <w:lang w:val="en-US" w:eastAsia="zh-CN" w:bidi="ar"/>
                    </w:rPr>
                    <w:t>T，I</w:t>
                  </w:r>
                </w:p>
              </w:tc>
              <w:tc>
                <w:tcPr>
                  <w:tcW w:w="700" w:type="dxa"/>
                  <w:noWrap w:val="0"/>
                  <w:vAlign w:val="center"/>
                </w:tcPr>
                <w:p w14:paraId="28A5C8A2">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478" w:type="dxa"/>
                  <w:vMerge w:val="restart"/>
                  <w:noWrap w:val="0"/>
                  <w:vAlign w:val="center"/>
                </w:tcPr>
                <w:p w14:paraId="29522F11">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eastAsia" w:cs="Times New Roman"/>
                      <w:strike w:val="0"/>
                      <w:dstrike w:val="0"/>
                      <w:color w:val="auto"/>
                      <w:sz w:val="21"/>
                      <w:szCs w:val="21"/>
                      <w:highlight w:val="none"/>
                      <w:vertAlign w:val="baseline"/>
                      <w:lang w:val="en-US" w:eastAsia="zh-CN"/>
                    </w:rPr>
                    <w:t>危险废物贮存库</w:t>
                  </w:r>
                </w:p>
              </w:tc>
              <w:tc>
                <w:tcPr>
                  <w:tcW w:w="1245" w:type="dxa"/>
                  <w:vMerge w:val="restart"/>
                  <w:noWrap w:val="0"/>
                  <w:vAlign w:val="center"/>
                </w:tcPr>
                <w:p w14:paraId="0BDC5E79">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bidi="ar"/>
                    </w:rPr>
                    <w:t>委托资质单位清运和处置</w:t>
                  </w:r>
                  <w:r>
                    <w:rPr>
                      <w:rFonts w:hint="eastAsia" w:cs="Times New Roman"/>
                      <w:strike w:val="0"/>
                      <w:dstrike w:val="0"/>
                      <w:color w:val="auto"/>
                      <w:kern w:val="0"/>
                      <w:sz w:val="21"/>
                      <w:szCs w:val="21"/>
                      <w:highlight w:val="none"/>
                      <w:lang w:val="en-US" w:eastAsia="zh-CN" w:bidi="ar"/>
                    </w:rPr>
                    <w:t>（</w:t>
                  </w:r>
                  <w:r>
                    <w:rPr>
                      <w:rFonts w:hint="eastAsia" w:ascii="Times New Roman" w:hAnsi="Times New Roman" w:eastAsia="宋体" w:cs="Times New Roman"/>
                      <w:color w:val="auto"/>
                      <w:spacing w:val="-1"/>
                      <w:sz w:val="21"/>
                      <w:szCs w:val="21"/>
                      <w:highlight w:val="none"/>
                      <w:lang w:val="en-US" w:eastAsia="zh-CN"/>
                    </w:rPr>
                    <w:t>与曲靖同磊再生资源回收有限公司签订危险废物处置合同</w:t>
                  </w:r>
                  <w:r>
                    <w:rPr>
                      <w:rFonts w:hint="eastAsia" w:cs="Times New Roman"/>
                      <w:strike w:val="0"/>
                      <w:dstrike w:val="0"/>
                      <w:color w:val="auto"/>
                      <w:kern w:val="0"/>
                      <w:sz w:val="21"/>
                      <w:szCs w:val="21"/>
                      <w:highlight w:val="none"/>
                      <w:lang w:val="en-US" w:eastAsia="zh-CN" w:bidi="ar"/>
                    </w:rPr>
                    <w:t>）</w:t>
                  </w:r>
                </w:p>
              </w:tc>
              <w:tc>
                <w:tcPr>
                  <w:tcW w:w="701" w:type="dxa"/>
                  <w:noWrap w:val="0"/>
                  <w:vAlign w:val="center"/>
                </w:tcPr>
                <w:p w14:paraId="506A218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42" w:type="dxa"/>
                  <w:vMerge w:val="restart"/>
                  <w:noWrap w:val="0"/>
                  <w:vAlign w:val="center"/>
                </w:tcPr>
                <w:p w14:paraId="3B547121">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bidi="ar"/>
                    </w:rPr>
                    <w:t>危废间暂存，建立台账及危废转移制度</w:t>
                  </w:r>
                </w:p>
              </w:tc>
            </w:tr>
            <w:tr w14:paraId="2912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14:paraId="4692F684">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p>
              </w:tc>
              <w:tc>
                <w:tcPr>
                  <w:tcW w:w="818" w:type="dxa"/>
                  <w:noWrap w:val="0"/>
                  <w:vAlign w:val="center"/>
                </w:tcPr>
                <w:p w14:paraId="089B97CA">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bCs/>
                      <w:strike w:val="0"/>
                      <w:dstrike w:val="0"/>
                      <w:color w:val="auto"/>
                      <w:spacing w:val="-10"/>
                      <w:sz w:val="21"/>
                      <w:szCs w:val="21"/>
                      <w:highlight w:val="no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废油桶</w:t>
                  </w:r>
                </w:p>
              </w:tc>
              <w:tc>
                <w:tcPr>
                  <w:tcW w:w="757" w:type="dxa"/>
                  <w:vMerge w:val="continue"/>
                  <w:noWrap w:val="0"/>
                  <w:vAlign w:val="center"/>
                </w:tcPr>
                <w:p w14:paraId="059AFADD">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kern w:val="0"/>
                      <w:sz w:val="21"/>
                      <w:szCs w:val="21"/>
                      <w:highlight w:val="none"/>
                      <w:lang w:val="en-US" w:eastAsia="zh-CN" w:bidi="ar"/>
                    </w:rPr>
                  </w:pPr>
                </w:p>
              </w:tc>
              <w:tc>
                <w:tcPr>
                  <w:tcW w:w="729" w:type="dxa"/>
                  <w:vMerge w:val="continue"/>
                  <w:noWrap w:val="0"/>
                  <w:vAlign w:val="center"/>
                </w:tcPr>
                <w:p w14:paraId="10ABDCA7">
                  <w:pPr>
                    <w:pStyle w:val="28"/>
                    <w:keepNext w:val="0"/>
                    <w:keepLines w:val="0"/>
                    <w:pageBreakBefore w:val="0"/>
                    <w:widowControl w:val="0"/>
                    <w:kinsoku/>
                    <w:wordWrap/>
                    <w:overflowPunct/>
                    <w:topLinePunct w:val="0"/>
                    <w:autoSpaceDE/>
                    <w:autoSpaceDN/>
                    <w:bidi w:val="0"/>
                    <w:adjustRightInd/>
                    <w:snapToGrid/>
                    <w:spacing w:after="0"/>
                    <w:ind w:left="0" w:leftChars="0" w:right="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604" w:type="dxa"/>
                  <w:shd w:val="clear" w:color="auto" w:fill="auto"/>
                  <w:noWrap w:val="0"/>
                  <w:vAlign w:val="center"/>
                </w:tcPr>
                <w:p w14:paraId="1458892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vMerge w:val="continue"/>
                  <w:shd w:val="clear" w:color="auto" w:fill="auto"/>
                  <w:noWrap w:val="0"/>
                  <w:vAlign w:val="center"/>
                </w:tcPr>
                <w:p w14:paraId="03034506">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p>
              </w:tc>
              <w:tc>
                <w:tcPr>
                  <w:tcW w:w="700" w:type="dxa"/>
                  <w:noWrap w:val="0"/>
                  <w:vAlign w:val="center"/>
                </w:tcPr>
                <w:p w14:paraId="64E667B8">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478" w:type="dxa"/>
                  <w:vMerge w:val="continue"/>
                  <w:noWrap w:val="0"/>
                  <w:vAlign w:val="center"/>
                </w:tcPr>
                <w:p w14:paraId="15B84320">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c>
                <w:tcPr>
                  <w:tcW w:w="1245" w:type="dxa"/>
                  <w:vMerge w:val="continue"/>
                  <w:noWrap w:val="0"/>
                  <w:vAlign w:val="center"/>
                </w:tcPr>
                <w:p w14:paraId="0497295E">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kern w:val="0"/>
                      <w:sz w:val="21"/>
                      <w:szCs w:val="21"/>
                      <w:highlight w:val="none"/>
                      <w:lang w:val="en-US" w:eastAsia="zh-CN" w:bidi="ar"/>
                    </w:rPr>
                  </w:pPr>
                </w:p>
              </w:tc>
              <w:tc>
                <w:tcPr>
                  <w:tcW w:w="701" w:type="dxa"/>
                  <w:noWrap w:val="0"/>
                  <w:vAlign w:val="center"/>
                </w:tcPr>
                <w:p w14:paraId="52FF0C61">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642" w:type="dxa"/>
                  <w:vMerge w:val="continue"/>
                  <w:noWrap w:val="0"/>
                  <w:vAlign w:val="center"/>
                </w:tcPr>
                <w:p w14:paraId="7640D674">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kern w:val="0"/>
                      <w:sz w:val="21"/>
                      <w:szCs w:val="21"/>
                      <w:highlight w:val="none"/>
                      <w:lang w:val="en-US" w:eastAsia="zh-CN" w:bidi="ar"/>
                    </w:rPr>
                  </w:pPr>
                </w:p>
              </w:tc>
            </w:tr>
            <w:tr w14:paraId="6017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12" w:type="dxa"/>
                  <w:shd w:val="clear" w:color="auto" w:fill="auto"/>
                  <w:noWrap w:val="0"/>
                  <w:vAlign w:val="center"/>
                </w:tcPr>
                <w:p w14:paraId="39802C6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bidi="ar"/>
                    </w:rPr>
                    <w:t>有机废气处理装置</w:t>
                  </w:r>
                </w:p>
              </w:tc>
              <w:tc>
                <w:tcPr>
                  <w:tcW w:w="818" w:type="dxa"/>
                  <w:shd w:val="clear" w:color="auto" w:fill="auto"/>
                  <w:noWrap w:val="0"/>
                  <w:vAlign w:val="center"/>
                </w:tcPr>
                <w:p w14:paraId="0B3D625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废活性炭</w:t>
                  </w:r>
                </w:p>
              </w:tc>
              <w:tc>
                <w:tcPr>
                  <w:tcW w:w="757" w:type="dxa"/>
                  <w:shd w:val="clear" w:color="auto" w:fill="auto"/>
                  <w:noWrap w:val="0"/>
                  <w:vAlign w:val="center"/>
                </w:tcPr>
                <w:p w14:paraId="73AF79F5">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bidi="ar"/>
                    </w:rPr>
                    <w:t>危废，HW49，900-039-49</w:t>
                  </w:r>
                </w:p>
              </w:tc>
              <w:tc>
                <w:tcPr>
                  <w:tcW w:w="729" w:type="dxa"/>
                  <w:shd w:val="clear" w:color="auto" w:fill="auto"/>
                  <w:noWrap w:val="0"/>
                  <w:vAlign w:val="center"/>
                </w:tcPr>
                <w:p w14:paraId="0F28AD1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shd w:val="clear" w:color="auto" w:fill="auto"/>
                  <w:noWrap w:val="0"/>
                  <w:vAlign w:val="center"/>
                </w:tcPr>
                <w:p w14:paraId="5868808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shd w:val="clear" w:color="auto" w:fill="auto"/>
                  <w:noWrap w:val="0"/>
                  <w:vAlign w:val="center"/>
                </w:tcPr>
                <w:p w14:paraId="4FC4E9C2">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strike w:val="0"/>
                      <w:dstrike w:val="0"/>
                      <w:color w:val="auto"/>
                      <w:kern w:val="0"/>
                      <w:sz w:val="21"/>
                      <w:szCs w:val="21"/>
                      <w:highlight w:val="none"/>
                      <w:lang w:val="en-US" w:eastAsia="zh-CN" w:bidi="ar"/>
                    </w:rPr>
                    <w:t>T</w:t>
                  </w:r>
                </w:p>
              </w:tc>
              <w:tc>
                <w:tcPr>
                  <w:tcW w:w="700" w:type="dxa"/>
                  <w:shd w:val="clear" w:color="auto" w:fill="auto"/>
                  <w:noWrap w:val="0"/>
                  <w:vAlign w:val="center"/>
                </w:tcPr>
                <w:p w14:paraId="394B8FB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15.81</w:t>
                  </w:r>
                </w:p>
              </w:tc>
              <w:tc>
                <w:tcPr>
                  <w:tcW w:w="478" w:type="dxa"/>
                  <w:vMerge w:val="continue"/>
                  <w:shd w:val="clear" w:color="auto" w:fill="auto"/>
                  <w:noWrap w:val="0"/>
                  <w:vAlign w:val="center"/>
                </w:tcPr>
                <w:p w14:paraId="7069B48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p>
              </w:tc>
              <w:tc>
                <w:tcPr>
                  <w:tcW w:w="1245" w:type="dxa"/>
                  <w:vMerge w:val="continue"/>
                  <w:shd w:val="clear" w:color="auto" w:fill="auto"/>
                  <w:noWrap w:val="0"/>
                  <w:vAlign w:val="center"/>
                </w:tcPr>
                <w:p w14:paraId="3250168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p>
              </w:tc>
              <w:tc>
                <w:tcPr>
                  <w:tcW w:w="701" w:type="dxa"/>
                  <w:shd w:val="clear" w:color="auto" w:fill="auto"/>
                  <w:noWrap w:val="0"/>
                  <w:vAlign w:val="center"/>
                </w:tcPr>
                <w:p w14:paraId="0F535F00">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15.81</w:t>
                  </w:r>
                </w:p>
              </w:tc>
              <w:tc>
                <w:tcPr>
                  <w:tcW w:w="642" w:type="dxa"/>
                  <w:vMerge w:val="continue"/>
                  <w:noWrap w:val="0"/>
                  <w:vAlign w:val="center"/>
                </w:tcPr>
                <w:p w14:paraId="39844E55">
                  <w:pPr>
                    <w:keepNext w:val="0"/>
                    <w:keepLines w:val="0"/>
                    <w:pageBreakBefore w:val="0"/>
                    <w:widowControl/>
                    <w:suppressLineNumbers w:val="0"/>
                    <w:kinsoku/>
                    <w:wordWrap/>
                    <w:overflowPunct/>
                    <w:topLinePunct w:val="0"/>
                    <w:bidi w:val="0"/>
                    <w:ind w:left="0" w:leftChars="0" w:right="0"/>
                    <w:jc w:val="center"/>
                    <w:rPr>
                      <w:rFonts w:hint="default" w:ascii="Times New Roman" w:hAnsi="Times New Roman" w:eastAsia="宋体" w:cs="Times New Roman"/>
                      <w:strike w:val="0"/>
                      <w:dstrike w:val="0"/>
                      <w:color w:val="auto"/>
                      <w:kern w:val="0"/>
                      <w:sz w:val="21"/>
                      <w:szCs w:val="21"/>
                      <w:highlight w:val="none"/>
                      <w:lang w:val="en-US" w:eastAsia="zh-CN" w:bidi="ar"/>
                    </w:rPr>
                  </w:pPr>
                </w:p>
              </w:tc>
            </w:tr>
            <w:tr w14:paraId="78AB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noWrap w:val="0"/>
                  <w:vAlign w:val="center"/>
                </w:tcPr>
                <w:p w14:paraId="617AC11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color w:val="auto"/>
                      <w:sz w:val="21"/>
                      <w:szCs w:val="21"/>
                      <w:highlight w:val="none"/>
                      <w:lang w:val="en-US" w:eastAsia="zh-CN"/>
                    </w:rPr>
                    <w:t>化学品</w:t>
                  </w:r>
                  <w:r>
                    <w:rPr>
                      <w:rFonts w:hint="default" w:ascii="Times New Roman" w:hAnsi="Times New Roman" w:eastAsia="宋体" w:cs="Times New Roman"/>
                      <w:strike w:val="0"/>
                      <w:dstrike w:val="0"/>
                      <w:color w:val="auto"/>
                      <w:sz w:val="21"/>
                      <w:szCs w:val="21"/>
                      <w:highlight w:val="none"/>
                      <w:vertAlign w:val="baseline"/>
                      <w:lang w:val="en-US" w:eastAsia="zh-CN"/>
                    </w:rPr>
                    <w:t>包装</w:t>
                  </w:r>
                </w:p>
              </w:tc>
              <w:tc>
                <w:tcPr>
                  <w:tcW w:w="818" w:type="dxa"/>
                  <w:noWrap w:val="0"/>
                  <w:vAlign w:val="center"/>
                </w:tcPr>
                <w:p w14:paraId="6F65897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color w:val="auto"/>
                      <w:sz w:val="21"/>
                      <w:szCs w:val="21"/>
                      <w:highlight w:val="none"/>
                      <w:lang w:val="en-US" w:eastAsia="zh-CN"/>
                    </w:rPr>
                    <w:t>废化学品包装物</w:t>
                  </w:r>
                </w:p>
              </w:tc>
              <w:tc>
                <w:tcPr>
                  <w:tcW w:w="757" w:type="dxa"/>
                  <w:shd w:val="clear" w:color="auto" w:fill="auto"/>
                  <w:noWrap w:val="0"/>
                  <w:vAlign w:val="center"/>
                </w:tcPr>
                <w:p w14:paraId="4912A029">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bidi="ar"/>
                    </w:rPr>
                    <w:t>危废，HW49，900-0</w:t>
                  </w:r>
                  <w:r>
                    <w:rPr>
                      <w:rFonts w:hint="eastAsia" w:eastAsia="宋体" w:cs="Times New Roman"/>
                      <w:strike w:val="0"/>
                      <w:dstrike w:val="0"/>
                      <w:color w:val="auto"/>
                      <w:kern w:val="0"/>
                      <w:sz w:val="21"/>
                      <w:szCs w:val="21"/>
                      <w:highlight w:val="none"/>
                      <w:lang w:val="en-US" w:eastAsia="zh-CN" w:bidi="ar"/>
                    </w:rPr>
                    <w:t>41-</w:t>
                  </w:r>
                  <w:r>
                    <w:rPr>
                      <w:rFonts w:hint="default" w:ascii="Times New Roman" w:hAnsi="Times New Roman" w:eastAsia="宋体" w:cs="Times New Roman"/>
                      <w:strike w:val="0"/>
                      <w:dstrike w:val="0"/>
                      <w:color w:val="auto"/>
                      <w:kern w:val="0"/>
                      <w:sz w:val="21"/>
                      <w:szCs w:val="21"/>
                      <w:highlight w:val="none"/>
                      <w:lang w:val="en-US" w:eastAsia="zh-CN" w:bidi="ar"/>
                    </w:rPr>
                    <w:t>49</w:t>
                  </w:r>
                </w:p>
              </w:tc>
              <w:tc>
                <w:tcPr>
                  <w:tcW w:w="729" w:type="dxa"/>
                  <w:shd w:val="clear" w:color="auto" w:fill="auto"/>
                  <w:noWrap w:val="0"/>
                  <w:vAlign w:val="center"/>
                </w:tcPr>
                <w:p w14:paraId="76E39A92">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w:t>
                  </w:r>
                </w:p>
              </w:tc>
              <w:tc>
                <w:tcPr>
                  <w:tcW w:w="604" w:type="dxa"/>
                  <w:shd w:val="clear" w:color="auto" w:fill="auto"/>
                  <w:noWrap w:val="0"/>
                  <w:vAlign w:val="center"/>
                </w:tcPr>
                <w:p w14:paraId="2E8D4E0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固态</w:t>
                  </w:r>
                </w:p>
              </w:tc>
              <w:tc>
                <w:tcPr>
                  <w:tcW w:w="550" w:type="dxa"/>
                  <w:shd w:val="clear" w:color="auto" w:fill="auto"/>
                  <w:noWrap w:val="0"/>
                  <w:vAlign w:val="center"/>
                </w:tcPr>
                <w:p w14:paraId="0C1E921F">
                  <w:pPr>
                    <w:keepNext w:val="0"/>
                    <w:keepLines w:val="0"/>
                    <w:pageBreakBefore w:val="0"/>
                    <w:widowControl/>
                    <w:suppressLineNumbers w:val="0"/>
                    <w:kinsoku/>
                    <w:wordWrap/>
                    <w:overflowPunct/>
                    <w:topLinePunct w:val="0"/>
                    <w:bidi w:val="0"/>
                    <w:ind w:left="0" w:leftChars="0" w:right="0" w:rightChars="0"/>
                    <w:jc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strike w:val="0"/>
                      <w:dstrike w:val="0"/>
                      <w:color w:val="auto"/>
                      <w:kern w:val="0"/>
                      <w:sz w:val="21"/>
                      <w:szCs w:val="21"/>
                      <w:highlight w:val="none"/>
                      <w:lang w:val="en-US" w:eastAsia="zh-CN" w:bidi="ar"/>
                    </w:rPr>
                    <w:t>T/In</w:t>
                  </w:r>
                </w:p>
              </w:tc>
              <w:tc>
                <w:tcPr>
                  <w:tcW w:w="700" w:type="dxa"/>
                  <w:shd w:val="clear" w:color="auto" w:fill="auto"/>
                  <w:noWrap w:val="0"/>
                  <w:vAlign w:val="center"/>
                </w:tcPr>
                <w:p w14:paraId="653CDFE2">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eastAsia="宋体" w:cs="Times New Roman"/>
                      <w:i w:val="0"/>
                      <w:iCs w:val="0"/>
                      <w:color w:val="auto"/>
                      <w:kern w:val="0"/>
                      <w:sz w:val="21"/>
                      <w:szCs w:val="21"/>
                      <w:highlight w:val="none"/>
                      <w:u w:val="none"/>
                      <w:lang w:val="en-US" w:eastAsia="zh-CN" w:bidi="ar"/>
                    </w:rPr>
                    <w:t>0.15</w:t>
                  </w:r>
                </w:p>
              </w:tc>
              <w:tc>
                <w:tcPr>
                  <w:tcW w:w="478" w:type="dxa"/>
                  <w:vMerge w:val="continue"/>
                  <w:noWrap w:val="0"/>
                  <w:vAlign w:val="center"/>
                </w:tcPr>
                <w:p w14:paraId="4A81214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p>
              </w:tc>
              <w:tc>
                <w:tcPr>
                  <w:tcW w:w="1245" w:type="dxa"/>
                  <w:vMerge w:val="continue"/>
                  <w:noWrap w:val="0"/>
                  <w:vAlign w:val="center"/>
                </w:tcPr>
                <w:p w14:paraId="44BEB98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p>
              </w:tc>
              <w:tc>
                <w:tcPr>
                  <w:tcW w:w="701" w:type="dxa"/>
                  <w:noWrap w:val="0"/>
                  <w:vAlign w:val="center"/>
                </w:tcPr>
                <w:p w14:paraId="37BC867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eastAsia" w:eastAsia="宋体" w:cs="Times New Roman"/>
                      <w:i w:val="0"/>
                      <w:iCs w:val="0"/>
                      <w:color w:val="auto"/>
                      <w:kern w:val="0"/>
                      <w:sz w:val="21"/>
                      <w:szCs w:val="21"/>
                      <w:highlight w:val="none"/>
                      <w:u w:val="none"/>
                      <w:lang w:val="en-US" w:eastAsia="zh-CN" w:bidi="ar"/>
                    </w:rPr>
                    <w:t>0.15</w:t>
                  </w:r>
                </w:p>
              </w:tc>
              <w:tc>
                <w:tcPr>
                  <w:tcW w:w="642" w:type="dxa"/>
                  <w:vMerge w:val="continue"/>
                  <w:noWrap w:val="0"/>
                  <w:vAlign w:val="center"/>
                </w:tcPr>
                <w:p w14:paraId="0D2A2EE2">
                  <w:pPr>
                    <w:pStyle w:val="28"/>
                    <w:keepNext w:val="0"/>
                    <w:keepLines w:val="0"/>
                    <w:pageBreakBefore w:val="0"/>
                    <w:widowControl w:val="0"/>
                    <w:kinsoku/>
                    <w:wordWrap/>
                    <w:overflowPunct/>
                    <w:topLinePunct w:val="0"/>
                    <w:autoSpaceDE/>
                    <w:autoSpaceDN/>
                    <w:bidi w:val="0"/>
                    <w:adjustRightInd/>
                    <w:snapToGrid/>
                    <w:spacing w:after="0"/>
                    <w:ind w:left="0" w:leftChars="0" w:right="0" w:firstLine="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p>
              </w:tc>
            </w:tr>
          </w:tbl>
          <w:p w14:paraId="037AEAEB">
            <w:pPr>
              <w:pStyle w:val="66"/>
              <w:keepNext w:val="0"/>
              <w:keepLines w:val="0"/>
              <w:pageBreakBefore w:val="0"/>
              <w:kinsoku/>
              <w:wordWrap/>
              <w:overflowPunct/>
              <w:topLinePunct/>
              <w:autoSpaceDE w:val="0"/>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trike w:val="0"/>
                <w:dstrike w:val="0"/>
                <w:color w:val="auto"/>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strike w:val="0"/>
                <w:dstrike w:val="0"/>
                <w:color w:val="auto"/>
                <w:highlight w:val="none"/>
              </w:rPr>
              <w:t>固体废物处置合理性分析</w:t>
            </w:r>
          </w:p>
          <w:p w14:paraId="4E41251C">
            <w:pPr>
              <w:keepNext w:val="0"/>
              <w:keepLines w:val="0"/>
              <w:pageBreakBefore w:val="0"/>
              <w:widowControl/>
              <w:suppressLineNumbers w:val="0"/>
              <w:kinsoku/>
              <w:wordWrap/>
              <w:overflowPunct/>
              <w:topLinePunct/>
              <w:autoSpaceDE w:val="0"/>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strike w:val="0"/>
                <w:dstrike w:val="0"/>
                <w:color w:val="auto"/>
                <w:kern w:val="0"/>
                <w:sz w:val="24"/>
                <w:szCs w:val="24"/>
                <w:highlight w:val="none"/>
                <w:lang w:val="en-US" w:eastAsia="zh-CN" w:bidi="ar"/>
              </w:rPr>
              <w:t>（1）一般固废影响分析</w:t>
            </w:r>
          </w:p>
          <w:p w14:paraId="3154B51F">
            <w:pPr>
              <w:pStyle w:val="16"/>
              <w:spacing w:line="360" w:lineRule="auto"/>
              <w:ind w:firstLine="480" w:firstLineChars="200"/>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 w:val="24"/>
                <w:szCs w:val="24"/>
                <w:highlight w:val="none"/>
              </w:rPr>
              <w:t>一般工业固废临时暂存区的具体设置和建设要求为：</w:t>
            </w:r>
          </w:p>
          <w:p w14:paraId="385C987D">
            <w:pPr>
              <w:pStyle w:val="16"/>
              <w:numPr>
                <w:ilvl w:val="0"/>
                <w:numId w:val="0"/>
              </w:numPr>
              <w:spacing w:line="360" w:lineRule="auto"/>
              <w:ind w:firstLine="480" w:firstLineChars="200"/>
              <w:rPr>
                <w:rFonts w:hint="eastAsia" w:ascii="Times New Roman" w:hAnsi="Times New Roman" w:eastAsia="宋体" w:cs="Times New Roman"/>
                <w:caps w:val="0"/>
                <w:smallCaps w:val="0"/>
                <w:color w:val="auto"/>
                <w:sz w:val="24"/>
                <w:szCs w:val="24"/>
                <w:highlight w:val="none"/>
                <w:lang w:val="en-US" w:eastAsia="zh-CN"/>
              </w:rPr>
            </w:pPr>
            <w:r>
              <w:rPr>
                <w:rFonts w:hint="eastAsia" w:ascii="Times New Roman" w:hAnsi="Times New Roman" w:eastAsia="宋体" w:cs="Times New Roman"/>
                <w:caps w:val="0"/>
                <w:smallCaps w:val="0"/>
                <w:color w:val="auto"/>
                <w:kern w:val="2"/>
                <w:sz w:val="24"/>
                <w:szCs w:val="24"/>
                <w:lang w:val="en-US" w:eastAsia="zh-CN" w:bidi="ar-SA"/>
              </w:rPr>
              <w:t>（1）</w:t>
            </w:r>
            <w:r>
              <w:rPr>
                <w:rFonts w:hint="default" w:ascii="Times New Roman" w:hAnsi="Times New Roman" w:eastAsia="宋体" w:cs="Times New Roman"/>
                <w:caps w:val="0"/>
                <w:smallCaps w:val="0"/>
                <w:color w:val="auto"/>
                <w:sz w:val="24"/>
                <w:szCs w:val="24"/>
                <w:highlight w:val="none"/>
              </w:rPr>
              <w:t>一</w:t>
            </w:r>
            <w:r>
              <w:rPr>
                <w:rFonts w:hint="default" w:ascii="Times New Roman" w:hAnsi="Times New Roman" w:eastAsia="宋体" w:cs="Times New Roman"/>
                <w:caps w:val="0"/>
                <w:smallCaps w:val="0"/>
                <w:color w:val="auto"/>
                <w:sz w:val="24"/>
                <w:szCs w:val="24"/>
                <w:highlight w:val="none"/>
                <w:lang w:val="en-US" w:eastAsia="zh-CN"/>
              </w:rPr>
              <w:t>般工业固废</w:t>
            </w:r>
            <w:r>
              <w:rPr>
                <w:rFonts w:hint="eastAsia" w:ascii="Times New Roman" w:cs="Times New Roman"/>
                <w:caps w:val="0"/>
                <w:smallCaps w:val="0"/>
                <w:color w:val="auto"/>
                <w:sz w:val="24"/>
                <w:szCs w:val="24"/>
                <w:highlight w:val="none"/>
                <w:lang w:val="en-US" w:eastAsia="zh-CN"/>
              </w:rPr>
              <w:t>在</w:t>
            </w:r>
            <w:r>
              <w:rPr>
                <w:rFonts w:hint="eastAsia" w:ascii="Times New Roman" w:hAnsi="Times New Roman" w:eastAsia="宋体" w:cs="Times New Roman"/>
                <w:caps w:val="0"/>
                <w:smallCaps w:val="0"/>
                <w:color w:val="auto"/>
                <w:sz w:val="24"/>
                <w:szCs w:val="24"/>
                <w:highlight w:val="none"/>
                <w:lang w:val="en-US" w:eastAsia="zh-CN"/>
              </w:rPr>
              <w:t>项目区</w:t>
            </w:r>
            <w:r>
              <w:rPr>
                <w:rFonts w:hint="default" w:ascii="Times New Roman" w:hAnsi="Times New Roman" w:eastAsia="宋体" w:cs="Times New Roman"/>
                <w:caps w:val="0"/>
                <w:smallCaps w:val="0"/>
                <w:color w:val="auto"/>
                <w:sz w:val="24"/>
                <w:szCs w:val="24"/>
                <w:highlight w:val="none"/>
                <w:lang w:val="en-US" w:eastAsia="zh-CN"/>
              </w:rPr>
              <w:t>临时暂存</w:t>
            </w:r>
            <w:r>
              <w:rPr>
                <w:rFonts w:hint="eastAsia" w:ascii="Times New Roman" w:hAnsi="Times New Roman" w:eastAsia="宋体" w:cs="Times New Roman"/>
                <w:caps w:val="0"/>
                <w:smallCaps w:val="0"/>
                <w:color w:val="auto"/>
                <w:sz w:val="24"/>
                <w:szCs w:val="24"/>
                <w:highlight w:val="none"/>
                <w:lang w:val="en-US" w:eastAsia="zh-CN"/>
              </w:rPr>
              <w:t>，</w:t>
            </w:r>
            <w:r>
              <w:rPr>
                <w:rFonts w:hint="default" w:ascii="Times New Roman" w:hAnsi="Times New Roman" w:eastAsia="宋体" w:cs="Times New Roman"/>
                <w:caps w:val="0"/>
                <w:smallCaps w:val="0"/>
                <w:color w:val="auto"/>
                <w:sz w:val="24"/>
                <w:szCs w:val="24"/>
                <w:highlight w:val="none"/>
                <w:lang w:val="en-US" w:eastAsia="zh-CN"/>
              </w:rPr>
              <w:t>贮存过程应满足相应防渗漏、防雨淋、防扬尘等环境保护要求</w:t>
            </w:r>
            <w:r>
              <w:rPr>
                <w:rFonts w:hint="eastAsia" w:ascii="Times New Roman" w:hAnsi="Times New Roman" w:eastAsia="宋体" w:cs="Times New Roman"/>
                <w:caps w:val="0"/>
                <w:smallCaps w:val="0"/>
                <w:color w:val="auto"/>
                <w:sz w:val="24"/>
                <w:szCs w:val="24"/>
                <w:highlight w:val="none"/>
                <w:lang w:val="en-US" w:eastAsia="zh-CN"/>
              </w:rPr>
              <w:t>，参照</w:t>
            </w:r>
            <w:r>
              <w:rPr>
                <w:rFonts w:hint="default" w:ascii="Times New Roman" w:hAnsi="Times New Roman" w:eastAsia="宋体" w:cs="Times New Roman"/>
                <w:caps w:val="0"/>
                <w:smallCaps w:val="0"/>
                <w:color w:val="auto"/>
                <w:sz w:val="24"/>
                <w:szCs w:val="24"/>
                <w:highlight w:val="none"/>
                <w:lang w:val="en-US" w:eastAsia="zh-CN"/>
              </w:rPr>
              <w:t>《一般工业固体废物贮存和填埋污染控制标准》（GB18599</w:t>
            </w:r>
            <w:r>
              <w:rPr>
                <w:rFonts w:hint="default" w:ascii="Times New Roman" w:hAnsi="Times New Roman" w:eastAsia="宋体" w:cs="Times New Roman"/>
                <w:caps w:val="0"/>
                <w:smallCaps w:val="0"/>
                <w:color w:val="auto"/>
                <w:sz w:val="24"/>
                <w:szCs w:val="24"/>
                <w:highlight w:val="none"/>
              </w:rPr>
              <w:t>-20</w:t>
            </w:r>
            <w:r>
              <w:rPr>
                <w:rFonts w:hint="default" w:ascii="Times New Roman" w:hAnsi="Times New Roman" w:eastAsia="宋体" w:cs="Times New Roman"/>
                <w:caps w:val="0"/>
                <w:smallCaps w:val="0"/>
                <w:color w:val="auto"/>
                <w:sz w:val="24"/>
                <w:szCs w:val="24"/>
                <w:highlight w:val="none"/>
                <w:lang w:val="en-US" w:eastAsia="zh-CN"/>
              </w:rPr>
              <w:t>20</w:t>
            </w:r>
            <w:r>
              <w:rPr>
                <w:rFonts w:hint="default" w:ascii="Times New Roman" w:hAnsi="Times New Roman" w:eastAsia="宋体" w:cs="Times New Roman"/>
                <w:caps w:val="0"/>
                <w:smallCaps w:val="0"/>
                <w:color w:val="auto"/>
                <w:sz w:val="24"/>
                <w:szCs w:val="24"/>
                <w:highlight w:val="none"/>
              </w:rPr>
              <w:t>）I类场设置要求</w:t>
            </w:r>
            <w:r>
              <w:rPr>
                <w:rFonts w:hint="eastAsia" w:ascii="Times New Roman" w:hAnsi="Times New Roman" w:eastAsia="宋体" w:cs="Times New Roman"/>
                <w:caps w:val="0"/>
                <w:smallCaps w:val="0"/>
                <w:color w:val="auto"/>
                <w:sz w:val="24"/>
                <w:szCs w:val="24"/>
                <w:highlight w:val="none"/>
                <w:lang w:eastAsia="zh-CN"/>
              </w:rPr>
              <w:t>；</w:t>
            </w:r>
            <w:r>
              <w:rPr>
                <w:rFonts w:hint="eastAsia" w:ascii="Times New Roman" w:hAnsi="Times New Roman" w:eastAsia="宋体" w:cs="Times New Roman"/>
                <w:caps w:val="0"/>
                <w:smallCaps w:val="0"/>
                <w:color w:val="auto"/>
                <w:sz w:val="24"/>
                <w:szCs w:val="24"/>
                <w:highlight w:val="none"/>
                <w:lang w:val="en-US" w:eastAsia="zh-CN"/>
              </w:rPr>
              <w:t>且贮存须完全仓储化，严禁露天堆放。</w:t>
            </w:r>
          </w:p>
          <w:p w14:paraId="15DA15DD">
            <w:pPr>
              <w:pStyle w:val="16"/>
              <w:numPr>
                <w:ilvl w:val="0"/>
                <w:numId w:val="0"/>
              </w:numPr>
              <w:spacing w:line="360" w:lineRule="auto"/>
              <w:ind w:firstLine="480" w:firstLineChars="200"/>
              <w:rPr>
                <w:rFonts w:hint="default" w:ascii="Times New Roman" w:hAnsi="Times New Roman" w:eastAsia="宋体" w:cs="Times New Roman"/>
                <w:caps w:val="0"/>
                <w:smallCaps w:val="0"/>
                <w:color w:val="auto"/>
                <w:sz w:val="24"/>
                <w:szCs w:val="24"/>
                <w:highlight w:val="none"/>
                <w:lang w:eastAsia="zh-CN"/>
              </w:rPr>
            </w:pPr>
            <w:r>
              <w:rPr>
                <w:rFonts w:hint="default" w:ascii="Times New Roman" w:hAnsi="Times New Roman" w:eastAsia="宋体" w:cs="Times New Roman"/>
                <w:caps w:val="0"/>
                <w:smallCaps w:val="0"/>
                <w:color w:val="auto"/>
                <w:kern w:val="2"/>
                <w:sz w:val="24"/>
                <w:szCs w:val="24"/>
                <w:lang w:val="en-US" w:eastAsia="zh-CN" w:bidi="ar-SA"/>
              </w:rPr>
              <w:t>（2）</w:t>
            </w:r>
            <w:r>
              <w:rPr>
                <w:rFonts w:hint="eastAsia" w:ascii="Times New Roman" w:hAnsi="Times New Roman" w:eastAsia="宋体" w:cs="Times New Roman"/>
                <w:caps w:val="0"/>
                <w:smallCaps w:val="0"/>
                <w:color w:val="auto"/>
                <w:sz w:val="24"/>
                <w:szCs w:val="24"/>
                <w:highlight w:val="none"/>
                <w:lang w:val="en-US" w:eastAsia="zh-CN"/>
              </w:rPr>
              <w:t>贮存场所必须具备完善的防扬散、防流失、防渗漏等环境保护措施，防止对周边土壤、地下水及大气造成二次污染；贮存点产生的渗滤污水须妥善收集并回流至厂区污水处理设施进行处理</w:t>
            </w:r>
            <w:r>
              <w:rPr>
                <w:rFonts w:hint="default" w:ascii="Times New Roman" w:hAnsi="Times New Roman" w:eastAsia="宋体" w:cs="Times New Roman"/>
                <w:caps w:val="0"/>
                <w:smallCaps w:val="0"/>
                <w:color w:val="auto"/>
                <w:sz w:val="24"/>
                <w:szCs w:val="24"/>
                <w:highlight w:val="none"/>
                <w:lang w:eastAsia="zh-CN"/>
              </w:rPr>
              <w:t>。</w:t>
            </w:r>
          </w:p>
          <w:p w14:paraId="73BCBE41">
            <w:pPr>
              <w:pStyle w:val="16"/>
              <w:spacing w:line="360" w:lineRule="auto"/>
              <w:ind w:firstLine="480" w:firstLineChars="200"/>
              <w:rPr>
                <w:rFonts w:hint="default" w:ascii="Times New Roman" w:hAnsi="Times New Roman" w:eastAsia="宋体" w:cs="Times New Roman"/>
                <w:caps w:val="0"/>
                <w:smallCaps w:val="0"/>
                <w:color w:val="auto"/>
                <w:sz w:val="24"/>
                <w:szCs w:val="24"/>
                <w:highlight w:val="none"/>
              </w:rPr>
            </w:pPr>
            <w:r>
              <w:rPr>
                <w:rFonts w:hint="default" w:ascii="Times New Roman" w:hAnsi="Times New Roman" w:eastAsia="宋体" w:cs="Times New Roman"/>
                <w:caps w:val="0"/>
                <w:smallCaps w:val="0"/>
                <w:color w:val="auto"/>
                <w:sz w:val="24"/>
                <w:szCs w:val="24"/>
                <w:highlight w:val="none"/>
              </w:rPr>
              <w:t>（</w:t>
            </w:r>
            <w:r>
              <w:rPr>
                <w:rFonts w:hint="eastAsia" w:ascii="Times New Roman" w:cs="Times New Roman"/>
                <w:caps w:val="0"/>
                <w:smallCaps w:val="0"/>
                <w:color w:val="auto"/>
                <w:sz w:val="24"/>
                <w:szCs w:val="24"/>
                <w:highlight w:val="none"/>
                <w:lang w:val="en-US" w:eastAsia="zh-CN"/>
              </w:rPr>
              <w:t>3</w:t>
            </w:r>
            <w:r>
              <w:rPr>
                <w:rFonts w:hint="default" w:ascii="Times New Roman" w:hAnsi="Times New Roman" w:eastAsia="宋体" w:cs="Times New Roman"/>
                <w:caps w:val="0"/>
                <w:smallCaps w:val="0"/>
                <w:color w:val="auto"/>
                <w:sz w:val="24"/>
                <w:szCs w:val="24"/>
                <w:highlight w:val="none"/>
              </w:rPr>
              <w:t>）临时堆场的堆放储存，</w:t>
            </w:r>
            <w:r>
              <w:rPr>
                <w:rFonts w:hint="default" w:ascii="Times New Roman" w:hAnsi="Times New Roman" w:eastAsia="宋体" w:cs="Times New Roman"/>
                <w:caps w:val="0"/>
                <w:smallCaps w:val="0"/>
                <w:color w:val="auto"/>
                <w:sz w:val="24"/>
                <w:szCs w:val="24"/>
                <w:highlight w:val="none"/>
                <w:lang w:eastAsia="zh-CN"/>
              </w:rPr>
              <w:t>及时</w:t>
            </w:r>
            <w:r>
              <w:rPr>
                <w:rFonts w:hint="default" w:ascii="Times New Roman" w:hAnsi="Times New Roman" w:eastAsia="宋体" w:cs="Times New Roman"/>
                <w:caps w:val="0"/>
                <w:smallCaps w:val="0"/>
                <w:color w:val="auto"/>
                <w:sz w:val="24"/>
                <w:szCs w:val="24"/>
                <w:highlight w:val="none"/>
              </w:rPr>
              <w:t>进行清运处理，该存储区固体废弃物不得超过要求的30天。</w:t>
            </w:r>
          </w:p>
          <w:p w14:paraId="70B32C24">
            <w:pPr>
              <w:spacing w:line="360" w:lineRule="auto"/>
              <w:ind w:firstLine="480" w:firstLineChars="200"/>
              <w:rPr>
                <w:rFonts w:hint="default" w:ascii="Times New Roman" w:hAnsi="Times New Roman" w:eastAsia="宋体" w:cs="Times New Roman"/>
                <w:caps w:val="0"/>
                <w:smallCaps w:val="0"/>
                <w:snapToGrid w:val="0"/>
                <w:color w:val="auto"/>
                <w:sz w:val="24"/>
                <w:szCs w:val="24"/>
                <w:highlight w:val="none"/>
              </w:rPr>
            </w:pPr>
            <w:r>
              <w:rPr>
                <w:rFonts w:hint="default" w:ascii="Times New Roman" w:hAnsi="Times New Roman" w:eastAsia="宋体" w:cs="Times New Roman"/>
                <w:caps w:val="0"/>
                <w:smallCaps w:val="0"/>
                <w:color w:val="auto"/>
                <w:sz w:val="24"/>
                <w:szCs w:val="24"/>
                <w:highlight w:val="none"/>
                <w:lang w:val="en-US" w:eastAsia="zh-CN"/>
              </w:rPr>
              <w:t>项目一般固废均按照相应措施采取了收集及妥善处置措施，</w:t>
            </w:r>
            <w:r>
              <w:rPr>
                <w:rFonts w:hint="default" w:ascii="Times New Roman" w:hAnsi="Times New Roman" w:eastAsia="宋体" w:cs="Times New Roman"/>
                <w:caps w:val="0"/>
                <w:smallCaps w:val="0"/>
                <w:color w:val="auto"/>
                <w:sz w:val="24"/>
                <w:szCs w:val="24"/>
                <w:highlight w:val="none"/>
              </w:rPr>
              <w:t>一般固废处置率100%，对周围环境影响较小。</w:t>
            </w:r>
          </w:p>
          <w:p w14:paraId="292FCA0A">
            <w:pPr>
              <w:keepNext w:val="0"/>
              <w:keepLines w:val="0"/>
              <w:pageBreakBefore w:val="0"/>
              <w:widowControl/>
              <w:suppressLineNumbers w:val="0"/>
              <w:kinsoku/>
              <w:wordWrap/>
              <w:overflowPunct/>
              <w:topLinePunct/>
              <w:autoSpaceDE w:val="0"/>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b/>
                <w:bCs/>
                <w:strike w:val="0"/>
                <w:dstrike w:val="0"/>
                <w:color w:val="auto"/>
                <w:kern w:val="0"/>
                <w:sz w:val="24"/>
                <w:szCs w:val="24"/>
                <w:highlight w:val="none"/>
                <w:lang w:val="en-US" w:eastAsia="zh-CN" w:bidi="ar"/>
              </w:rPr>
              <w:t>（2）危险废物影响分析</w:t>
            </w:r>
          </w:p>
          <w:p w14:paraId="7453697A">
            <w:pPr>
              <w:pStyle w:val="19"/>
              <w:keepNext w:val="0"/>
              <w:keepLines w:val="0"/>
              <w:pageBreakBefore w:val="0"/>
              <w:kinsoku/>
              <w:overflowPunct/>
              <w:topLinePunct w:val="0"/>
              <w:autoSpaceDE/>
              <w:autoSpaceDN/>
              <w:bidi w:val="0"/>
              <w:adjustRightInd/>
              <w:snapToGrid/>
              <w:spacing w:after="0" w:line="360" w:lineRule="auto"/>
              <w:ind w:firstLine="480" w:firstLineChars="200"/>
              <w:jc w:val="both"/>
              <w:rPr>
                <w:rFonts w:hint="default" w:ascii="Times New Roman" w:hAnsi="Times New Roman" w:eastAsia="宋体" w:cs="Times New Roman"/>
                <w:b/>
                <w:bCs/>
                <w:caps w:val="0"/>
                <w:smallCaps w:val="0"/>
                <w:color w:val="auto"/>
                <w:sz w:val="24"/>
                <w:szCs w:val="24"/>
                <w:highlight w:val="none"/>
                <w:lang w:eastAsia="zh-CN"/>
              </w:rPr>
            </w:pPr>
            <w:r>
              <w:rPr>
                <w:rFonts w:hint="default" w:ascii="Times New Roman" w:hAnsi="Times New Roman" w:eastAsia="宋体" w:cs="Times New Roman"/>
                <w:strike w:val="0"/>
                <w:dstrike w:val="0"/>
                <w:color w:val="auto"/>
                <w:kern w:val="0"/>
                <w:sz w:val="24"/>
                <w:szCs w:val="24"/>
                <w:highlight w:val="none"/>
                <w:lang w:val="en-US" w:eastAsia="zh-CN" w:bidi="ar"/>
              </w:rPr>
              <w:t>本次评价要求建设单位建设1间</w:t>
            </w:r>
            <w:r>
              <w:rPr>
                <w:rFonts w:hint="eastAsia" w:cs="Times New Roman"/>
                <w:strike w:val="0"/>
                <w:dstrike w:val="0"/>
                <w:color w:val="auto"/>
                <w:kern w:val="0"/>
                <w:sz w:val="24"/>
                <w:szCs w:val="24"/>
                <w:highlight w:val="none"/>
                <w:lang w:val="en-US" w:eastAsia="zh-CN" w:bidi="ar"/>
              </w:rPr>
              <w:t>危险废物贮存库</w:t>
            </w:r>
            <w:r>
              <w:rPr>
                <w:rFonts w:hint="default" w:ascii="Times New Roman" w:hAnsi="Times New Roman" w:eastAsia="宋体" w:cs="Times New Roman"/>
                <w:strike w:val="0"/>
                <w:dstrike w:val="0"/>
                <w:color w:val="auto"/>
                <w:kern w:val="0"/>
                <w:sz w:val="24"/>
                <w:szCs w:val="24"/>
                <w:highlight w:val="none"/>
                <w:lang w:val="en-US" w:eastAsia="zh-CN" w:bidi="ar"/>
              </w:rPr>
              <w:t>，占地面积约30m</w:t>
            </w:r>
            <w:r>
              <w:rPr>
                <w:rFonts w:hint="default" w:ascii="Times New Roman" w:hAnsi="Times New Roman" w:eastAsia="宋体" w:cs="Times New Roman"/>
                <w:strike w:val="0"/>
                <w:dstrike w:val="0"/>
                <w:color w:val="auto"/>
                <w:kern w:val="0"/>
                <w:sz w:val="24"/>
                <w:szCs w:val="24"/>
                <w:highlight w:val="none"/>
                <w:vertAlign w:val="superscript"/>
                <w:lang w:val="en-US" w:eastAsia="zh-CN" w:bidi="ar"/>
              </w:rPr>
              <w:t>2</w:t>
            </w:r>
            <w:r>
              <w:rPr>
                <w:rFonts w:hint="default" w:ascii="Times New Roman" w:hAnsi="Times New Roman" w:eastAsia="宋体" w:cs="Times New Roman"/>
                <w:strike w:val="0"/>
                <w:dstrike w:val="0"/>
                <w:color w:val="auto"/>
                <w:kern w:val="0"/>
                <w:sz w:val="24"/>
                <w:szCs w:val="24"/>
                <w:highlight w:val="none"/>
                <w:lang w:val="en-US" w:eastAsia="zh-CN" w:bidi="ar"/>
              </w:rPr>
              <w:t>，</w:t>
            </w:r>
            <w:r>
              <w:rPr>
                <w:rFonts w:hint="default" w:ascii="Times New Roman" w:hAnsi="Times New Roman" w:eastAsia="宋体" w:cs="Times New Roman"/>
                <w:caps w:val="0"/>
                <w:smallCaps w:val="0"/>
                <w:color w:val="auto"/>
                <w:sz w:val="24"/>
                <w:szCs w:val="24"/>
                <w:highlight w:val="none"/>
              </w:rPr>
              <w:t>按照</w:t>
            </w:r>
            <w:r>
              <w:rPr>
                <w:rFonts w:hint="default" w:ascii="Times New Roman" w:hAnsi="Times New Roman" w:eastAsia="宋体" w:cs="Times New Roman"/>
                <w:caps w:val="0"/>
                <w:smallCaps w:val="0"/>
                <w:color w:val="auto"/>
                <w:sz w:val="24"/>
                <w:szCs w:val="24"/>
                <w:highlight w:val="none"/>
                <w:lang w:val="en-US" w:eastAsia="zh-CN"/>
              </w:rPr>
              <w:t>《危险废物收集 贮存 运输技术规范》（HJ2025-2012）</w:t>
            </w:r>
            <w:r>
              <w:rPr>
                <w:rFonts w:hint="default" w:ascii="Times New Roman" w:hAnsi="Times New Roman" w:eastAsia="宋体" w:cs="Times New Roman"/>
                <w:caps w:val="0"/>
                <w:smallCaps w:val="0"/>
                <w:color w:val="auto"/>
                <w:sz w:val="24"/>
                <w:szCs w:val="24"/>
                <w:highlight w:val="none"/>
              </w:rPr>
              <w:t>、《危险废物贮存污染控制标准》</w:t>
            </w:r>
            <w:r>
              <w:rPr>
                <w:rFonts w:hint="eastAsia" w:cs="Times New Roman"/>
                <w:caps w:val="0"/>
                <w:smallCaps w:val="0"/>
                <w:color w:val="auto"/>
                <w:sz w:val="24"/>
                <w:szCs w:val="24"/>
                <w:highlight w:val="none"/>
                <w:lang w:eastAsia="zh-CN"/>
              </w:rPr>
              <w:t>（</w:t>
            </w:r>
            <w:r>
              <w:rPr>
                <w:rFonts w:hint="default" w:ascii="Times New Roman" w:hAnsi="Times New Roman" w:eastAsia="宋体" w:cs="Times New Roman"/>
                <w:caps w:val="0"/>
                <w:smallCaps w:val="0"/>
                <w:color w:val="auto"/>
                <w:sz w:val="24"/>
                <w:szCs w:val="24"/>
                <w:highlight w:val="none"/>
              </w:rPr>
              <w:t>GB18597-2023</w:t>
            </w:r>
            <w:r>
              <w:rPr>
                <w:rFonts w:hint="eastAsia" w:cs="Times New Roman"/>
                <w:caps w:val="0"/>
                <w:smallCaps w:val="0"/>
                <w:color w:val="auto"/>
                <w:sz w:val="24"/>
                <w:szCs w:val="24"/>
                <w:highlight w:val="none"/>
                <w:lang w:eastAsia="zh-CN"/>
              </w:rPr>
              <w:t>）</w:t>
            </w:r>
            <w:r>
              <w:rPr>
                <w:rFonts w:hint="default" w:ascii="Times New Roman" w:hAnsi="Times New Roman" w:eastAsia="宋体" w:cs="Times New Roman"/>
                <w:caps w:val="0"/>
                <w:smallCaps w:val="0"/>
                <w:color w:val="auto"/>
                <w:sz w:val="24"/>
                <w:szCs w:val="24"/>
                <w:highlight w:val="none"/>
              </w:rPr>
              <w:t>中对危废收集、贮存要求，对本项目危险固废日常收集、贮存及管理提出以下要求</w:t>
            </w:r>
            <w:r>
              <w:rPr>
                <w:rFonts w:hint="default" w:ascii="Times New Roman" w:hAnsi="Times New Roman" w:eastAsia="宋体" w:cs="Times New Roman"/>
                <w:caps w:val="0"/>
                <w:smallCaps w:val="0"/>
                <w:color w:val="auto"/>
                <w:sz w:val="24"/>
                <w:szCs w:val="24"/>
                <w:highlight w:val="none"/>
                <w:lang w:eastAsia="zh-CN"/>
              </w:rPr>
              <w:t>：</w:t>
            </w:r>
          </w:p>
          <w:p w14:paraId="188F87EB">
            <w:pPr>
              <w:pStyle w:val="19"/>
              <w:keepNext w:val="0"/>
              <w:keepLines w:val="0"/>
              <w:pageBreakBefore w:val="0"/>
              <w:kinsoku/>
              <w:overflowPunct/>
              <w:topLinePunct w:val="0"/>
              <w:autoSpaceDE/>
              <w:autoSpaceDN/>
              <w:bidi w:val="0"/>
              <w:adjustRightInd/>
              <w:snapToGrid/>
              <w:spacing w:after="0" w:line="360" w:lineRule="auto"/>
              <w:ind w:firstLine="482" w:firstLineChars="200"/>
              <w:jc w:val="both"/>
              <w:rPr>
                <w:rFonts w:hint="default" w:ascii="Times New Roman" w:hAnsi="Times New Roman" w:eastAsia="宋体" w:cs="Times New Roman"/>
                <w:b/>
                <w:bCs/>
                <w:caps w:val="0"/>
                <w:smallCaps w:val="0"/>
                <w:color w:val="auto"/>
                <w:sz w:val="24"/>
                <w:szCs w:val="24"/>
                <w:highlight w:val="none"/>
                <w:lang w:val="en-US" w:eastAsia="zh-CN"/>
              </w:rPr>
            </w:pPr>
            <w:r>
              <w:rPr>
                <w:rFonts w:hint="default" w:ascii="Times New Roman" w:hAnsi="Times New Roman" w:eastAsia="宋体" w:cs="Times New Roman"/>
                <w:b/>
                <w:bCs/>
                <w:caps w:val="0"/>
                <w:smallCaps w:val="0"/>
                <w:color w:val="auto"/>
                <w:sz w:val="24"/>
                <w:szCs w:val="24"/>
                <w:highlight w:val="none"/>
                <w:lang w:val="en-US" w:eastAsia="zh-CN"/>
              </w:rPr>
              <w:t>1</w:t>
            </w:r>
            <w:r>
              <w:rPr>
                <w:rFonts w:hint="default" w:ascii="Times New Roman" w:hAnsi="Times New Roman" w:eastAsia="宋体" w:cs="Times New Roman"/>
                <w:b/>
                <w:bCs/>
                <w:caps w:val="0"/>
                <w:smallCaps w:val="0"/>
                <w:color w:val="auto"/>
                <w:sz w:val="24"/>
                <w:szCs w:val="24"/>
                <w:highlight w:val="none"/>
                <w:lang w:eastAsia="zh-CN"/>
              </w:rPr>
              <w:t>）</w:t>
            </w:r>
            <w:r>
              <w:rPr>
                <w:rFonts w:hint="default" w:ascii="Times New Roman" w:hAnsi="Times New Roman" w:eastAsia="宋体" w:cs="Times New Roman"/>
                <w:b/>
                <w:bCs/>
                <w:caps w:val="0"/>
                <w:smallCaps w:val="0"/>
                <w:color w:val="auto"/>
                <w:sz w:val="24"/>
                <w:szCs w:val="24"/>
                <w:highlight w:val="none"/>
                <w:lang w:val="en-US" w:eastAsia="zh-CN"/>
              </w:rPr>
              <w:t>危废收集、暂存控制要求</w:t>
            </w:r>
          </w:p>
          <w:p w14:paraId="615CC152">
            <w:pPr>
              <w:pStyle w:val="73"/>
              <w:keepNext w:val="0"/>
              <w:keepLines w:val="0"/>
              <w:pageBreakBefore w:val="0"/>
              <w:kinsoku/>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b/>
                <w:bCs/>
                <w:caps w:val="0"/>
                <w:smallCaps w:val="0"/>
                <w:color w:val="auto"/>
                <w:highlight w:val="none"/>
                <w:lang w:val="en-US" w:eastAsia="zh-CN"/>
              </w:rPr>
            </w:pPr>
            <w:r>
              <w:rPr>
                <w:rFonts w:hint="default" w:ascii="Times New Roman" w:hAnsi="Times New Roman" w:eastAsia="宋体" w:cs="Times New Roman"/>
                <w:b/>
                <w:bCs/>
                <w:caps w:val="0"/>
                <w:smallCaps w:val="0"/>
                <w:color w:val="auto"/>
                <w:highlight w:val="none"/>
                <w:lang w:val="en-US" w:eastAsia="zh-CN"/>
              </w:rPr>
              <w:t>①总体要求</w:t>
            </w:r>
          </w:p>
          <w:p w14:paraId="55789995">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根据</w:t>
            </w:r>
            <w:r>
              <w:rPr>
                <w:rFonts w:hint="default" w:ascii="Times New Roman" w:hAnsi="Times New Roman" w:eastAsia="宋体" w:cs="Times New Roman"/>
                <w:caps w:val="0"/>
                <w:smallCaps w:val="0"/>
                <w:color w:val="auto"/>
                <w:highlight w:val="none"/>
                <w:lang w:eastAsia="zh-CN"/>
              </w:rPr>
              <w:t>《危险废物贮存污染控制标准》（GB18597-2023），</w:t>
            </w:r>
            <w:r>
              <w:rPr>
                <w:rFonts w:hint="default" w:ascii="Times New Roman" w:hAnsi="Times New Roman" w:eastAsia="宋体" w:cs="Times New Roman"/>
                <w:caps w:val="0"/>
                <w:smallCaps w:val="0"/>
                <w:color w:val="auto"/>
                <w:highlight w:val="none"/>
                <w:lang w:val="en-US" w:eastAsia="zh-CN"/>
              </w:rPr>
              <w:t>产生、收集、贮存危险废物的单位应建造危险废物贮存设施或贮存场所，并根据需要选择贮存设施类型；贮存危险废物</w:t>
            </w:r>
            <w:r>
              <w:rPr>
                <w:rFonts w:hint="default" w:ascii="Times New Roman" w:hAnsi="Times New Roman" w:eastAsia="宋体" w:cs="Times New Roman"/>
                <w:caps w:val="0"/>
                <w:smallCaps w:val="0"/>
                <w:color w:val="auto"/>
                <w:highlight w:val="none"/>
                <w:lang w:eastAsia="zh-CN"/>
              </w:rPr>
              <w:t>应根据危险废物的</w:t>
            </w:r>
            <w:r>
              <w:rPr>
                <w:rFonts w:hint="default" w:ascii="Times New Roman" w:hAnsi="Times New Roman" w:eastAsia="宋体" w:cs="Times New Roman"/>
                <w:caps w:val="0"/>
                <w:smallCaps w:val="0"/>
                <w:color w:val="auto"/>
                <w:highlight w:val="none"/>
                <w:lang w:val="en-US" w:eastAsia="zh-CN"/>
              </w:rPr>
              <w:t>类型、数量、形态、物理化学性质和环境风险等因素，确定贮存设施或场所类型和规模；</w:t>
            </w:r>
            <w:r>
              <w:rPr>
                <w:rFonts w:hint="default" w:ascii="Times New Roman" w:hAnsi="Times New Roman" w:eastAsia="宋体" w:cs="Times New Roman"/>
                <w:caps w:val="0"/>
                <w:smallCaps w:val="0"/>
                <w:color w:val="auto"/>
                <w:highlight w:val="none"/>
                <w:lang w:eastAsia="zh-CN"/>
              </w:rPr>
              <w:t>应根据危险废物的</w:t>
            </w:r>
            <w:r>
              <w:rPr>
                <w:rFonts w:hint="default" w:ascii="Times New Roman" w:hAnsi="Times New Roman" w:eastAsia="宋体" w:cs="Times New Roman"/>
                <w:caps w:val="0"/>
                <w:smallCaps w:val="0"/>
                <w:color w:val="auto"/>
                <w:highlight w:val="none"/>
                <w:lang w:val="en-US" w:eastAsia="zh-CN"/>
              </w:rPr>
              <w:t>类别、形态、物理化学性质和污染防治要求进行分类贮存，且应避免危险废物与不相容的物质或者材料接触；应根据危险废物的形态、物理化学性质、包装形式和污染迁移途径，采取措施减少渗滤液及其衍生废物、渗漏的液态废物、粉尘、VOCs、酸雾、有毒有害大气污染物和刺激性气味气体等污染物的产生，防止其污染环境；危险废物贮存过程产生的液态废物和固态废物应分类收集，按其环境管理要求妥善处置；贮存设施或场所、容器和包装物应按HJ 1276要求设置危险废物贮存设施或场所标志、危险废物贮存分区标志和危险废物标签等危险废物识别标志。</w:t>
            </w:r>
          </w:p>
          <w:p w14:paraId="683C706B">
            <w:pPr>
              <w:pStyle w:val="73"/>
              <w:keepNext w:val="0"/>
              <w:keepLines w:val="0"/>
              <w:pageBreakBefore w:val="0"/>
              <w:kinsoku/>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b/>
                <w:bCs/>
                <w:caps w:val="0"/>
                <w:smallCaps w:val="0"/>
                <w:color w:val="auto"/>
                <w:highlight w:val="none"/>
                <w:lang w:eastAsia="zh-CN"/>
              </w:rPr>
            </w:pPr>
            <w:r>
              <w:rPr>
                <w:rFonts w:hint="default" w:ascii="Times New Roman" w:hAnsi="Times New Roman" w:eastAsia="宋体" w:cs="Times New Roman"/>
                <w:b/>
                <w:bCs/>
                <w:caps w:val="0"/>
                <w:smallCaps w:val="0"/>
                <w:color w:val="auto"/>
                <w:highlight w:val="none"/>
                <w:lang w:val="en-US" w:eastAsia="zh-CN"/>
              </w:rPr>
              <w:t>②贮存设施污染控制要求</w:t>
            </w:r>
          </w:p>
          <w:p w14:paraId="760B2BCE">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z w:val="24"/>
                <w:szCs w:val="24"/>
                <w:highlight w:val="none"/>
                <w:lang w:eastAsia="zh-CN"/>
              </w:rPr>
            </w:pPr>
            <w:r>
              <w:rPr>
                <w:rFonts w:hint="default" w:ascii="Times New Roman" w:hAnsi="Times New Roman" w:eastAsia="宋体" w:cs="Times New Roman"/>
                <w:caps w:val="0"/>
                <w:smallCaps w:val="0"/>
                <w:color w:val="auto"/>
                <w:highlight w:val="none"/>
                <w:lang w:val="en-US" w:eastAsia="zh-CN"/>
              </w:rPr>
              <w:t>A.</w:t>
            </w:r>
            <w:r>
              <w:rPr>
                <w:rFonts w:hint="default" w:ascii="Times New Roman" w:hAnsi="Times New Roman" w:eastAsia="宋体" w:cs="Times New Roman"/>
                <w:caps w:val="0"/>
                <w:smallCaps w:val="0"/>
                <w:color w:val="auto"/>
                <w:sz w:val="24"/>
                <w:szCs w:val="24"/>
                <w:highlight w:val="none"/>
                <w:lang w:val="en-US" w:eastAsia="zh-CN"/>
              </w:rPr>
              <w:t>根据</w:t>
            </w:r>
            <w:r>
              <w:rPr>
                <w:rFonts w:hint="default" w:ascii="Times New Roman" w:hAnsi="Times New Roman" w:eastAsia="宋体" w:cs="Times New Roman"/>
                <w:caps w:val="0"/>
                <w:smallCaps w:val="0"/>
                <w:color w:val="auto"/>
                <w:sz w:val="24"/>
                <w:szCs w:val="24"/>
                <w:highlight w:val="none"/>
                <w:lang w:eastAsia="zh-CN"/>
              </w:rPr>
              <w:t>形态、物理化学性质、包装形式和污染物迁移途径，采取必要的防风、防晒、防雨、防渗、防腐以及其他环境污染防治措施，</w:t>
            </w:r>
            <w:r>
              <w:rPr>
                <w:rFonts w:hint="default" w:ascii="Times New Roman" w:hAnsi="Times New Roman" w:eastAsia="宋体" w:cs="Times New Roman"/>
                <w:caps w:val="0"/>
                <w:smallCaps w:val="0"/>
                <w:color w:val="auto"/>
                <w:sz w:val="24"/>
                <w:szCs w:val="24"/>
                <w:highlight w:val="none"/>
                <w:lang w:val="en-US" w:eastAsia="zh-CN"/>
              </w:rPr>
              <w:t>不应露天堆放危险废物；</w:t>
            </w:r>
          </w:p>
          <w:p w14:paraId="6B7D4F83">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highlight w:val="none"/>
                <w:lang w:val="en-US" w:eastAsia="zh-CN"/>
              </w:rPr>
              <w:t>B.</w:t>
            </w:r>
            <w:r>
              <w:rPr>
                <w:rFonts w:hint="default" w:ascii="Times New Roman" w:hAnsi="Times New Roman" w:eastAsia="宋体" w:cs="Times New Roman"/>
                <w:caps w:val="0"/>
                <w:smallCaps w:val="0"/>
                <w:color w:val="auto"/>
                <w:sz w:val="24"/>
                <w:szCs w:val="24"/>
                <w:highlight w:val="none"/>
                <w:lang w:eastAsia="zh-CN"/>
              </w:rPr>
              <w:t>应根据危险废物的</w:t>
            </w:r>
            <w:r>
              <w:rPr>
                <w:rFonts w:hint="default" w:ascii="Times New Roman" w:hAnsi="Times New Roman" w:eastAsia="宋体" w:cs="Times New Roman"/>
                <w:caps w:val="0"/>
                <w:smallCaps w:val="0"/>
                <w:color w:val="auto"/>
                <w:sz w:val="24"/>
                <w:szCs w:val="24"/>
                <w:highlight w:val="none"/>
                <w:lang w:val="en-US" w:eastAsia="zh-CN"/>
              </w:rPr>
              <w:t>类别、数量、形态、物理化学性质和污染防治等要求设置必要的贮存分区，避免不相容的危险废物接触、混合。</w:t>
            </w:r>
          </w:p>
          <w:p w14:paraId="0E6D7148">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z w:val="24"/>
                <w:szCs w:val="24"/>
                <w:highlight w:val="none"/>
                <w:lang w:eastAsia="zh-CN"/>
              </w:rPr>
            </w:pPr>
            <w:r>
              <w:rPr>
                <w:rFonts w:hint="default" w:ascii="Times New Roman" w:hAnsi="Times New Roman" w:eastAsia="宋体" w:cs="Times New Roman"/>
                <w:caps w:val="0"/>
                <w:smallCaps w:val="0"/>
                <w:color w:val="auto"/>
                <w:sz w:val="24"/>
                <w:szCs w:val="24"/>
                <w:highlight w:val="none"/>
                <w:lang w:val="en-US" w:eastAsia="zh-CN"/>
              </w:rPr>
              <w:t>C</w:t>
            </w:r>
            <w:r>
              <w:rPr>
                <w:rFonts w:hint="default" w:ascii="Times New Roman" w:hAnsi="Times New Roman" w:eastAsia="宋体" w:cs="Times New Roman"/>
                <w:caps w:val="0"/>
                <w:smallCaps w:val="0"/>
                <w:color w:val="auto"/>
                <w:highlight w:val="none"/>
                <w:lang w:val="en-US" w:eastAsia="zh-CN"/>
              </w:rPr>
              <w:t>.</w:t>
            </w:r>
            <w:r>
              <w:rPr>
                <w:rFonts w:hint="default" w:ascii="Times New Roman" w:hAnsi="Times New Roman" w:eastAsia="宋体" w:cs="Times New Roman"/>
                <w:caps w:val="0"/>
                <w:smallCaps w:val="0"/>
                <w:color w:val="auto"/>
                <w:sz w:val="24"/>
                <w:szCs w:val="24"/>
                <w:highlight w:val="none"/>
                <w:lang w:val="en-US" w:eastAsia="zh-CN"/>
              </w:rPr>
              <w:t>贮存设施或贮存分区内</w:t>
            </w:r>
            <w:r>
              <w:rPr>
                <w:rFonts w:hint="default" w:ascii="Times New Roman" w:hAnsi="Times New Roman" w:eastAsia="宋体" w:cs="Times New Roman"/>
                <w:caps w:val="0"/>
                <w:smallCaps w:val="0"/>
                <w:color w:val="auto"/>
                <w:sz w:val="24"/>
                <w:szCs w:val="24"/>
                <w:highlight w:val="none"/>
                <w:lang w:eastAsia="zh-CN"/>
              </w:rPr>
              <w:t>地面、墙面裙脚、堵截泄漏的围堰、接触危险废物的隔板和墙体等应采用坚固的材料建造，表面无裂缝。</w:t>
            </w:r>
          </w:p>
          <w:p w14:paraId="6FC27AD2">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kern w:val="2"/>
                <w:sz w:val="24"/>
                <w:szCs w:val="24"/>
                <w:highlight w:val="none"/>
                <w:lang w:val="en-US" w:eastAsia="zh-CN"/>
              </w:rPr>
            </w:pPr>
            <w:r>
              <w:rPr>
                <w:rFonts w:hint="default" w:ascii="Times New Roman" w:hAnsi="Times New Roman" w:eastAsia="宋体" w:cs="Times New Roman"/>
                <w:caps w:val="0"/>
                <w:smallCaps w:val="0"/>
                <w:color w:val="auto"/>
                <w:kern w:val="2"/>
                <w:sz w:val="24"/>
                <w:szCs w:val="24"/>
                <w:highlight w:val="none"/>
                <w:lang w:val="en-US" w:eastAsia="zh-CN"/>
              </w:rPr>
              <w:t>D</w:t>
            </w:r>
            <w:r>
              <w:rPr>
                <w:rFonts w:hint="default" w:ascii="Times New Roman" w:hAnsi="Times New Roman" w:eastAsia="宋体" w:cs="Times New Roman"/>
                <w:caps w:val="0"/>
                <w:smallCaps w:val="0"/>
                <w:color w:val="auto"/>
                <w:highlight w:val="none"/>
                <w:lang w:val="en-US" w:eastAsia="zh-CN"/>
              </w:rPr>
              <w:t>.</w:t>
            </w:r>
            <w:r>
              <w:rPr>
                <w:rFonts w:hint="default" w:ascii="Times New Roman" w:hAnsi="Times New Roman" w:eastAsia="宋体" w:cs="Times New Roman"/>
                <w:caps w:val="0"/>
                <w:smallCaps w:val="0"/>
                <w:color w:val="auto"/>
                <w:kern w:val="2"/>
                <w:sz w:val="24"/>
                <w:szCs w:val="24"/>
                <w:highlight w:val="none"/>
                <w:lang w:val="en-US" w:eastAsia="zh-CN"/>
              </w:rPr>
              <w:t>贮存设施</w:t>
            </w:r>
            <w:r>
              <w:rPr>
                <w:rFonts w:hint="default" w:ascii="Times New Roman" w:hAnsi="Times New Roman" w:eastAsia="宋体" w:cs="Times New Roman"/>
                <w:caps w:val="0"/>
                <w:smallCaps w:val="0"/>
                <w:color w:val="auto"/>
                <w:sz w:val="24"/>
                <w:szCs w:val="24"/>
                <w:highlight w:val="none"/>
                <w:lang w:eastAsia="zh-CN"/>
              </w:rPr>
              <w:t>地面与裙脚应采取表面防渗措施；表面防渗材料应与所接触的物料或污染物相容，</w:t>
            </w:r>
            <w:r>
              <w:rPr>
                <w:rFonts w:hint="default" w:ascii="Times New Roman" w:hAnsi="Times New Roman" w:eastAsia="宋体" w:cs="Times New Roman"/>
                <w:caps w:val="0"/>
                <w:smallCaps w:val="0"/>
                <w:color w:val="auto"/>
                <w:kern w:val="2"/>
                <w:sz w:val="24"/>
                <w:szCs w:val="24"/>
                <w:highlight w:val="none"/>
                <w:lang w:val="en-US" w:eastAsia="zh-CN"/>
              </w:rPr>
              <w:t>可采用抗渗混凝土、高密度聚乙烯膜、钠基膨润土防水毡或其他防渗性能等效的材料；贮存的危险废物直接接触地面的，还应进行基础防渗，</w:t>
            </w:r>
            <w:r>
              <w:rPr>
                <w:rFonts w:hint="default" w:ascii="Times New Roman" w:hAnsi="Times New Roman" w:eastAsia="宋体" w:cs="Times New Roman"/>
                <w:caps w:val="0"/>
                <w:smallCaps w:val="0"/>
                <w:color w:val="auto"/>
                <w:kern w:val="2"/>
                <w:sz w:val="24"/>
                <w:szCs w:val="24"/>
                <w:highlight w:val="none"/>
                <w:lang w:eastAsia="zh-CN"/>
              </w:rPr>
              <w:t>防渗层为至少1m厚黏土层（渗透系数≤10</w:t>
            </w:r>
            <w:r>
              <w:rPr>
                <w:rFonts w:hint="default" w:ascii="Times New Roman" w:hAnsi="Times New Roman" w:eastAsia="宋体" w:cs="Times New Roman"/>
                <w:caps w:val="0"/>
                <w:smallCaps w:val="0"/>
                <w:color w:val="auto"/>
                <w:kern w:val="2"/>
                <w:sz w:val="24"/>
                <w:szCs w:val="24"/>
                <w:highlight w:val="none"/>
                <w:vertAlign w:val="superscript"/>
                <w:lang w:eastAsia="zh-CN"/>
              </w:rPr>
              <w:t>-7</w:t>
            </w:r>
            <w:r>
              <w:rPr>
                <w:rFonts w:hint="default" w:ascii="Times New Roman" w:hAnsi="Times New Roman" w:eastAsia="宋体" w:cs="Times New Roman"/>
                <w:caps w:val="0"/>
                <w:smallCaps w:val="0"/>
                <w:color w:val="auto"/>
                <w:kern w:val="2"/>
                <w:sz w:val="24"/>
                <w:szCs w:val="24"/>
                <w:highlight w:val="none"/>
                <w:lang w:eastAsia="zh-CN"/>
              </w:rPr>
              <w:t>cm/s），</w:t>
            </w:r>
            <w:r>
              <w:rPr>
                <w:rFonts w:hint="default" w:ascii="Times New Roman" w:hAnsi="Times New Roman" w:eastAsia="宋体" w:cs="Times New Roman"/>
                <w:caps w:val="0"/>
                <w:smallCaps w:val="0"/>
                <w:color w:val="auto"/>
                <w:kern w:val="2"/>
                <w:sz w:val="24"/>
                <w:szCs w:val="24"/>
                <w:highlight w:val="none"/>
                <w:lang w:val="en-US" w:eastAsia="zh-CN"/>
              </w:rPr>
              <w:t>或至少</w:t>
            </w:r>
            <w:r>
              <w:rPr>
                <w:rFonts w:hint="default" w:ascii="Times New Roman" w:hAnsi="Times New Roman" w:eastAsia="宋体" w:cs="Times New Roman"/>
                <w:caps w:val="0"/>
                <w:smallCaps w:val="0"/>
                <w:color w:val="auto"/>
                <w:kern w:val="2"/>
                <w:sz w:val="24"/>
                <w:szCs w:val="24"/>
                <w:highlight w:val="none"/>
                <w:lang w:eastAsia="zh-CN"/>
              </w:rPr>
              <w:t>2mm厚高密度聚乙烯</w:t>
            </w:r>
            <w:r>
              <w:rPr>
                <w:rFonts w:hint="default" w:ascii="Times New Roman" w:hAnsi="Times New Roman" w:eastAsia="宋体" w:cs="Times New Roman"/>
                <w:caps w:val="0"/>
                <w:smallCaps w:val="0"/>
                <w:color w:val="auto"/>
                <w:kern w:val="2"/>
                <w:sz w:val="24"/>
                <w:szCs w:val="24"/>
                <w:highlight w:val="none"/>
                <w:lang w:val="en-US" w:eastAsia="zh-CN"/>
              </w:rPr>
              <w:t>膜等人工防渗材料（</w:t>
            </w:r>
            <w:r>
              <w:rPr>
                <w:rFonts w:hint="default" w:ascii="Times New Roman" w:hAnsi="Times New Roman" w:eastAsia="宋体" w:cs="Times New Roman"/>
                <w:caps w:val="0"/>
                <w:smallCaps w:val="0"/>
                <w:color w:val="auto"/>
                <w:kern w:val="2"/>
                <w:sz w:val="24"/>
                <w:szCs w:val="24"/>
                <w:highlight w:val="none"/>
                <w:lang w:eastAsia="zh-CN"/>
              </w:rPr>
              <w:t>渗透系数≤10</w:t>
            </w:r>
            <w:r>
              <w:rPr>
                <w:rFonts w:hint="default" w:ascii="Times New Roman" w:hAnsi="Times New Roman" w:eastAsia="宋体" w:cs="Times New Roman"/>
                <w:caps w:val="0"/>
                <w:smallCaps w:val="0"/>
                <w:color w:val="auto"/>
                <w:kern w:val="2"/>
                <w:sz w:val="24"/>
                <w:szCs w:val="24"/>
                <w:highlight w:val="none"/>
                <w:vertAlign w:val="superscript"/>
                <w:lang w:eastAsia="zh-CN"/>
              </w:rPr>
              <w:t>-10</w:t>
            </w:r>
            <w:r>
              <w:rPr>
                <w:rFonts w:hint="default" w:ascii="Times New Roman" w:hAnsi="Times New Roman" w:eastAsia="宋体" w:cs="Times New Roman"/>
                <w:caps w:val="0"/>
                <w:smallCaps w:val="0"/>
                <w:color w:val="auto"/>
                <w:kern w:val="2"/>
                <w:sz w:val="24"/>
                <w:szCs w:val="24"/>
                <w:highlight w:val="none"/>
                <w:lang w:eastAsia="zh-CN"/>
              </w:rPr>
              <w:t>cm/s</w:t>
            </w:r>
            <w:r>
              <w:rPr>
                <w:rFonts w:hint="default" w:ascii="Times New Roman" w:hAnsi="Times New Roman" w:eastAsia="宋体" w:cs="Times New Roman"/>
                <w:caps w:val="0"/>
                <w:smallCaps w:val="0"/>
                <w:color w:val="auto"/>
                <w:kern w:val="2"/>
                <w:sz w:val="24"/>
                <w:szCs w:val="24"/>
                <w:highlight w:val="none"/>
                <w:lang w:val="en-US" w:eastAsia="zh-CN"/>
              </w:rPr>
              <w:t>），或其他防渗性能等效的材料。</w:t>
            </w:r>
          </w:p>
          <w:p w14:paraId="2D9ACF55">
            <w:pPr>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kern w:val="2"/>
                <w:sz w:val="24"/>
                <w:szCs w:val="24"/>
                <w:highlight w:val="none"/>
                <w:lang w:val="en-US" w:eastAsia="zh-CN"/>
              </w:rPr>
            </w:pPr>
            <w:r>
              <w:rPr>
                <w:rFonts w:hint="default" w:ascii="Times New Roman" w:hAnsi="Times New Roman" w:eastAsia="宋体" w:cs="Times New Roman"/>
                <w:caps w:val="0"/>
                <w:smallCaps w:val="0"/>
                <w:color w:val="auto"/>
                <w:kern w:val="2"/>
                <w:sz w:val="24"/>
                <w:szCs w:val="24"/>
                <w:highlight w:val="none"/>
                <w:lang w:val="en-US" w:eastAsia="zh-CN"/>
              </w:rPr>
              <w:t>E</w:t>
            </w:r>
            <w:r>
              <w:rPr>
                <w:rFonts w:hint="default" w:ascii="Times New Roman" w:hAnsi="Times New Roman" w:eastAsia="宋体" w:cs="Times New Roman"/>
                <w:caps w:val="0"/>
                <w:smallCaps w:val="0"/>
                <w:color w:val="auto"/>
                <w:highlight w:val="none"/>
                <w:lang w:val="en-US" w:eastAsia="zh-CN"/>
              </w:rPr>
              <w:t>.</w:t>
            </w:r>
            <w:r>
              <w:rPr>
                <w:rFonts w:hint="default" w:ascii="Times New Roman" w:hAnsi="Times New Roman" w:eastAsia="宋体" w:cs="Times New Roman"/>
                <w:caps w:val="0"/>
                <w:smallCaps w:val="0"/>
                <w:color w:val="auto"/>
                <w:kern w:val="2"/>
                <w:sz w:val="24"/>
                <w:szCs w:val="24"/>
                <w:highlight w:val="none"/>
                <w:lang w:val="en-US" w:eastAsia="zh-CN"/>
              </w:rPr>
              <w:t>同一暂存间宜采用相同的防渗、防腐工艺（包括防渗、防腐结构或材料），防渗、防腐材料应覆盖所有可能与废物及其渗滤液、渗漏液等接触的构筑物表面；采用不同防渗、防腐工艺应分别建设贮存分区。</w:t>
            </w:r>
          </w:p>
          <w:p w14:paraId="6D7A85E6">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sz w:val="24"/>
                <w:szCs w:val="24"/>
                <w:highlight w:val="none"/>
                <w:lang w:val="en-US" w:eastAsia="zh-CN"/>
              </w:rPr>
            </w:pPr>
            <w:r>
              <w:rPr>
                <w:rFonts w:hint="default" w:ascii="Times New Roman" w:hAnsi="Times New Roman" w:eastAsia="宋体" w:cs="Times New Roman"/>
                <w:caps w:val="0"/>
                <w:smallCaps w:val="0"/>
                <w:color w:val="auto"/>
                <w:sz w:val="24"/>
                <w:szCs w:val="24"/>
                <w:highlight w:val="none"/>
                <w:lang w:val="en-US" w:eastAsia="zh-CN"/>
              </w:rPr>
              <w:t>F贮存设施应采取技术和管理措施防止无关人员进入。</w:t>
            </w:r>
          </w:p>
          <w:p w14:paraId="337C36EF">
            <w:pPr>
              <w:pStyle w:val="73"/>
              <w:keepNext w:val="0"/>
              <w:keepLines w:val="0"/>
              <w:pageBreakBefore w:val="0"/>
              <w:kinsoku/>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b/>
                <w:bCs/>
                <w:caps w:val="0"/>
                <w:smallCaps w:val="0"/>
                <w:color w:val="auto"/>
                <w:highlight w:val="none"/>
                <w:lang w:val="en-US" w:eastAsia="zh-CN"/>
              </w:rPr>
            </w:pPr>
            <w:r>
              <w:rPr>
                <w:rFonts w:hint="default" w:ascii="Times New Roman" w:hAnsi="Times New Roman" w:eastAsia="宋体" w:cs="Times New Roman"/>
                <w:b/>
                <w:bCs/>
                <w:caps w:val="0"/>
                <w:smallCaps w:val="0"/>
                <w:color w:val="auto"/>
                <w:highlight w:val="none"/>
                <w:lang w:val="en-US" w:eastAsia="zh-CN"/>
              </w:rPr>
              <w:t>③贮存过程污染控制要求</w:t>
            </w:r>
          </w:p>
          <w:p w14:paraId="1D9F7A6E">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A.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14:paraId="64859B4C">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B.贮存设施运行环境管理要求</w:t>
            </w:r>
          </w:p>
          <w:p w14:paraId="0B4FC596">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a.危险废物存入贮存设施前应对危险废物类别和特性与危险废物标签等危险废物识别标志的一致性进行核验，不一致的或类别、特性不明的不应存入；</w:t>
            </w:r>
          </w:p>
          <w:p w14:paraId="050723B5">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b.应定期检查危险废物的贮存状况，及时清理贮存设施地面，更换破损泄漏的危险废物贮存容器和包装物，保证堆存危险废物的防雨、防风、防扬尘等设施功能完好；</w:t>
            </w:r>
          </w:p>
          <w:p w14:paraId="6177A9E0">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c.作业设备及车辆等结束作业离开贮存设施时，应对其残留的危险废物进行清理，清理的废物或清洗废水应收集处理；</w:t>
            </w:r>
          </w:p>
          <w:p w14:paraId="0025E378">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d.贮存设施运行期间，应按国家有关标准和规定建立危险废物管理台账并保存；</w:t>
            </w:r>
          </w:p>
          <w:p w14:paraId="403FB436">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e.贮存设施所有者或运营者应建立贮存设施环境管理制度、管理人员岗位职责制度、设施运行操作制度、人员岗位培训制度等；</w:t>
            </w:r>
          </w:p>
          <w:p w14:paraId="0AA9551B">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val="en-US" w:eastAsia="zh-CN"/>
              </w:rPr>
            </w:pPr>
            <w:r>
              <w:rPr>
                <w:rFonts w:hint="default" w:ascii="Times New Roman" w:hAnsi="Times New Roman" w:eastAsia="宋体" w:cs="Times New Roman"/>
                <w:caps w:val="0"/>
                <w:smallCaps w:val="0"/>
                <w:color w:val="auto"/>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2A8AF687">
            <w:pPr>
              <w:pStyle w:val="73"/>
              <w:keepNext w:val="0"/>
              <w:keepLines w:val="0"/>
              <w:pageBreakBefore w:val="0"/>
              <w:kinsoku/>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mallCaps w:val="0"/>
                <w:color w:val="auto"/>
                <w:highlight w:val="none"/>
                <w:lang w:eastAsia="zh-CN"/>
              </w:rPr>
            </w:pPr>
            <w:r>
              <w:rPr>
                <w:rFonts w:hint="default" w:ascii="Times New Roman" w:hAnsi="Times New Roman" w:eastAsia="宋体" w:cs="Times New Roman"/>
                <w:caps w:val="0"/>
                <w:smallCaps w:val="0"/>
                <w:color w:val="auto"/>
                <w:highlight w:val="none"/>
                <w:lang w:val="en-US" w:eastAsia="zh-CN"/>
              </w:rPr>
              <w:t>g.贮存设施所有者或运营者应建立贮存设施全部档案，包括设计、施工、验收、运行、监测和环境应急等，应按国家有关档案管理的法律法规进行整理和归档。</w:t>
            </w:r>
          </w:p>
          <w:p w14:paraId="0C16A1D1">
            <w:pPr>
              <w:spacing w:line="360" w:lineRule="auto"/>
              <w:ind w:firstLine="422" w:firstLineChars="200"/>
              <w:rPr>
                <w:rFonts w:hint="default" w:ascii="Times New Roman" w:hAnsi="Times New Roman" w:eastAsia="宋体" w:cs="Times New Roman"/>
                <w:b/>
                <w:bCs/>
                <w:i w:val="0"/>
                <w:iCs/>
                <w:caps w:val="0"/>
                <w:smallCaps w:val="0"/>
                <w:color w:val="auto"/>
                <w:sz w:val="24"/>
                <w:szCs w:val="24"/>
                <w:highlight w:val="none"/>
                <w:lang w:val="en-US" w:eastAsia="zh-CN"/>
              </w:rPr>
            </w:pPr>
            <w:r>
              <w:rPr>
                <w:rFonts w:hint="default" w:ascii="Times New Roman" w:hAnsi="Times New Roman" w:eastAsia="宋体" w:cs="Times New Roman"/>
                <w:b/>
                <w:bCs/>
                <w:caps w:val="0"/>
                <w:smallCaps w:val="0"/>
                <w:color w:val="auto"/>
                <w:highlight w:val="none"/>
                <w:lang w:val="en-US" w:eastAsia="zh-CN"/>
              </w:rPr>
              <w:t>2）</w:t>
            </w:r>
            <w:r>
              <w:rPr>
                <w:rFonts w:hint="default" w:ascii="Times New Roman" w:hAnsi="Times New Roman" w:eastAsia="宋体" w:cs="Times New Roman"/>
                <w:b/>
                <w:bCs/>
                <w:i w:val="0"/>
                <w:iCs/>
                <w:caps w:val="0"/>
                <w:smallCaps w:val="0"/>
                <w:color w:val="auto"/>
                <w:sz w:val="24"/>
                <w:szCs w:val="24"/>
                <w:highlight w:val="none"/>
                <w:lang w:val="en-US" w:eastAsia="zh-CN"/>
              </w:rPr>
              <w:t>危废的管理及转移登记</w:t>
            </w:r>
          </w:p>
          <w:p w14:paraId="120EC50D">
            <w:pPr>
              <w:spacing w:line="360" w:lineRule="auto"/>
              <w:ind w:firstLine="480" w:firstLineChars="200"/>
              <w:rPr>
                <w:rFonts w:hint="eastAsia" w:cs="Times New Roman"/>
                <w:caps w:val="0"/>
                <w:smallCaps w:val="0"/>
                <w:color w:val="auto"/>
                <w:sz w:val="24"/>
                <w:szCs w:val="24"/>
                <w:highlight w:val="none"/>
                <w:lang w:eastAsia="zh-CN"/>
              </w:rPr>
            </w:pPr>
            <w:r>
              <w:rPr>
                <w:rFonts w:hint="default" w:ascii="Times New Roman" w:hAnsi="Times New Roman" w:eastAsia="宋体" w:cs="Times New Roman"/>
                <w:caps w:val="0"/>
                <w:smallCaps w:val="0"/>
                <w:color w:val="auto"/>
                <w:sz w:val="24"/>
                <w:szCs w:val="24"/>
                <w:highlight w:val="none"/>
                <w:lang w:eastAsia="zh-CN"/>
              </w:rPr>
              <w:t>项目日常运营中不得将不相容的废物</w:t>
            </w:r>
            <w:r>
              <w:rPr>
                <w:rFonts w:hint="eastAsia" w:cs="Times New Roman"/>
                <w:caps w:val="0"/>
                <w:smallCaps w:val="0"/>
                <w:color w:val="auto"/>
                <w:sz w:val="24"/>
                <w:szCs w:val="24"/>
                <w:highlight w:val="none"/>
                <w:lang w:eastAsia="zh-CN"/>
              </w:rPr>
              <w:t>混合</w:t>
            </w:r>
            <w:r>
              <w:rPr>
                <w:rFonts w:hint="default" w:ascii="Times New Roman" w:hAnsi="Times New Roman" w:eastAsia="宋体" w:cs="Times New Roman"/>
                <w:caps w:val="0"/>
                <w:smallCaps w:val="0"/>
                <w:color w:val="auto"/>
                <w:sz w:val="24"/>
                <w:szCs w:val="24"/>
                <w:highlight w:val="none"/>
                <w:lang w:eastAsia="zh-CN"/>
              </w:rPr>
              <w:t>存放，必须定期对危险废物包装容器和贮存设施进行检查，发现破损，应及时采取措施清理更换</w:t>
            </w:r>
            <w:r>
              <w:rPr>
                <w:rFonts w:hint="eastAsia" w:cs="Times New Roman"/>
                <w:caps w:val="0"/>
                <w:smallCaps w:val="0"/>
                <w:color w:val="auto"/>
                <w:sz w:val="24"/>
                <w:szCs w:val="24"/>
                <w:highlight w:val="none"/>
                <w:lang w:eastAsia="zh-CN"/>
              </w:rPr>
              <w:t>。</w:t>
            </w:r>
          </w:p>
          <w:p w14:paraId="5237AFB1">
            <w:pPr>
              <w:spacing w:line="360" w:lineRule="auto"/>
              <w:ind w:firstLine="480" w:firstLineChars="200"/>
              <w:rPr>
                <w:rFonts w:hint="default" w:ascii="Times New Roman" w:hAnsi="Times New Roman" w:eastAsia="宋体" w:cs="Times New Roman"/>
                <w:caps w:val="0"/>
                <w:smallCaps w:val="0"/>
                <w:color w:val="auto"/>
                <w:sz w:val="24"/>
                <w:szCs w:val="24"/>
                <w:highlight w:val="none"/>
                <w:lang w:eastAsia="zh-CN"/>
              </w:rPr>
            </w:pPr>
            <w:r>
              <w:rPr>
                <w:rFonts w:hint="default" w:ascii="Times New Roman" w:hAnsi="Times New Roman" w:eastAsia="宋体" w:cs="Times New Roman"/>
                <w:caps w:val="0"/>
                <w:smallCaps w:val="0"/>
                <w:color w:val="auto"/>
                <w:sz w:val="24"/>
                <w:szCs w:val="24"/>
                <w:highlight w:val="none"/>
                <w:lang w:eastAsia="zh-CN"/>
              </w:rPr>
              <w:t>建设单位应严格按照</w:t>
            </w:r>
            <w:r>
              <w:rPr>
                <w:rFonts w:hint="eastAsia" w:ascii="Times New Roman" w:hAnsi="Times New Roman" w:eastAsia="宋体" w:cs="Times New Roman"/>
                <w:caps w:val="0"/>
                <w:smallCaps w:val="0"/>
                <w:color w:val="auto"/>
                <w:sz w:val="24"/>
                <w:szCs w:val="24"/>
                <w:highlight w:val="none"/>
                <w:lang w:eastAsia="zh-CN"/>
              </w:rPr>
              <w:t>《</w:t>
            </w:r>
            <w:r>
              <w:rPr>
                <w:rFonts w:hint="default" w:ascii="Times New Roman" w:hAnsi="Times New Roman" w:eastAsia="宋体" w:cs="Times New Roman"/>
                <w:caps w:val="0"/>
                <w:smallCaps w:val="0"/>
                <w:color w:val="auto"/>
                <w:sz w:val="24"/>
                <w:szCs w:val="24"/>
                <w:highlight w:val="none"/>
                <w:lang w:eastAsia="zh-CN"/>
              </w:rPr>
              <w:t>危险废物管理计划和管理台账制定技术导则</w:t>
            </w:r>
            <w:r>
              <w:rPr>
                <w:rFonts w:hint="eastAsia" w:ascii="Times New Roman" w:hAnsi="Times New Roman" w:eastAsia="宋体" w:cs="Times New Roman"/>
                <w:caps w:val="0"/>
                <w:smallCaps w:val="0"/>
                <w:color w:val="auto"/>
                <w:sz w:val="24"/>
                <w:szCs w:val="24"/>
                <w:highlight w:val="none"/>
                <w:lang w:eastAsia="zh-CN"/>
              </w:rPr>
              <w:t>》（</w:t>
            </w:r>
            <w:r>
              <w:rPr>
                <w:rFonts w:hint="default" w:ascii="Times New Roman" w:hAnsi="Times New Roman" w:eastAsia="宋体" w:cs="Times New Roman"/>
                <w:caps w:val="0"/>
                <w:smallCaps w:val="0"/>
                <w:color w:val="auto"/>
                <w:sz w:val="24"/>
                <w:szCs w:val="24"/>
                <w:highlight w:val="none"/>
                <w:lang w:eastAsia="zh-CN"/>
              </w:rPr>
              <w:t>HJ1259</w:t>
            </w:r>
            <w:r>
              <w:rPr>
                <w:rFonts w:hint="eastAsia" w:ascii="Times New Roman" w:hAnsi="Times New Roman" w:eastAsia="宋体" w:cs="Times New Roman"/>
                <w:caps w:val="0"/>
                <w:smallCaps w:val="0"/>
                <w:color w:val="auto"/>
                <w:sz w:val="24"/>
                <w:szCs w:val="24"/>
                <w:highlight w:val="none"/>
                <w:lang w:val="en-US" w:eastAsia="zh-CN"/>
              </w:rPr>
              <w:t>-</w:t>
            </w:r>
            <w:r>
              <w:rPr>
                <w:rFonts w:hint="default" w:ascii="Times New Roman" w:hAnsi="Times New Roman" w:eastAsia="宋体" w:cs="Times New Roman"/>
                <w:caps w:val="0"/>
                <w:smallCaps w:val="0"/>
                <w:color w:val="auto"/>
                <w:sz w:val="24"/>
                <w:szCs w:val="24"/>
                <w:highlight w:val="none"/>
                <w:lang w:eastAsia="zh-CN"/>
              </w:rPr>
              <w:t>2022</w:t>
            </w:r>
            <w:r>
              <w:rPr>
                <w:rFonts w:hint="eastAsia" w:ascii="Times New Roman" w:hAnsi="Times New Roman" w:eastAsia="宋体" w:cs="Times New Roman"/>
                <w:caps w:val="0"/>
                <w:smallCaps w:val="0"/>
                <w:color w:val="auto"/>
                <w:sz w:val="24"/>
                <w:szCs w:val="24"/>
                <w:highlight w:val="none"/>
                <w:lang w:eastAsia="zh-CN"/>
              </w:rPr>
              <w:t>）</w:t>
            </w:r>
            <w:r>
              <w:rPr>
                <w:rFonts w:hint="default" w:ascii="Times New Roman" w:hAnsi="Times New Roman" w:eastAsia="宋体" w:cs="Times New Roman"/>
                <w:caps w:val="0"/>
                <w:smallCaps w:val="0"/>
                <w:color w:val="auto"/>
                <w:sz w:val="24"/>
                <w:szCs w:val="24"/>
                <w:highlight w:val="none"/>
                <w:lang w:eastAsia="zh-CN"/>
              </w:rPr>
              <w:t>的相关规定，编制危险废物管理计划</w:t>
            </w:r>
            <w:r>
              <w:rPr>
                <w:rFonts w:hint="eastAsia" w:ascii="Times New Roman" w:hAnsi="Times New Roman" w:eastAsia="宋体" w:cs="Times New Roman"/>
                <w:caps w:val="0"/>
                <w:smallCaps w:val="0"/>
                <w:color w:val="auto"/>
                <w:sz w:val="24"/>
                <w:szCs w:val="24"/>
                <w:highlight w:val="none"/>
                <w:lang w:eastAsia="zh-CN"/>
              </w:rPr>
              <w:t>、</w:t>
            </w:r>
            <w:r>
              <w:rPr>
                <w:rFonts w:hint="eastAsia" w:cs="Times New Roman"/>
                <w:caps w:val="0"/>
                <w:smallCaps w:val="0"/>
                <w:color w:val="auto"/>
                <w:sz w:val="24"/>
                <w:szCs w:val="24"/>
                <w:highlight w:val="none"/>
                <w:lang w:eastAsia="zh-CN"/>
              </w:rPr>
              <w:t>填写</w:t>
            </w:r>
            <w:r>
              <w:rPr>
                <w:rFonts w:hint="default" w:ascii="Times New Roman" w:hAnsi="Times New Roman" w:eastAsia="宋体" w:cs="Times New Roman"/>
                <w:caps w:val="0"/>
                <w:smallCaps w:val="0"/>
                <w:color w:val="auto"/>
                <w:sz w:val="24"/>
                <w:szCs w:val="24"/>
                <w:highlight w:val="none"/>
                <w:lang w:eastAsia="zh-CN"/>
              </w:rPr>
              <w:t>危险废物转移联单，建立危险废物产生记录台账，定期核查自行贮存和处置的危险废物记录及相关证明材料，妥善保存规定期限内的危废转移联单及危废处置协议等相关资料。</w:t>
            </w:r>
          </w:p>
          <w:p w14:paraId="4F60489F">
            <w:pPr>
              <w:keepNext w:val="0"/>
              <w:keepLines w:val="0"/>
              <w:pageBreakBefore w:val="0"/>
              <w:widowControl w:val="0"/>
              <w:kinsoku/>
              <w:wordWrap/>
              <w:overflowPunct/>
              <w:topLinePunct/>
              <w:autoSpaceDE w:val="0"/>
              <w:autoSpaceDN/>
              <w:bidi w:val="0"/>
              <w:adjustRightInd w:val="0"/>
              <w:snapToGrid w:val="0"/>
              <w:spacing w:line="360" w:lineRule="auto"/>
              <w:ind w:right="0"/>
              <w:textAlignment w:val="auto"/>
              <w:rPr>
                <w:rFonts w:hint="default" w:ascii="Times New Roman" w:hAnsi="Times New Roman" w:eastAsia="宋体" w:cs="Times New Roman"/>
                <w:b/>
                <w:bCs w:val="0"/>
                <w:strike w:val="0"/>
                <w:dstrike w:val="0"/>
                <w:color w:val="auto"/>
                <w:spacing w:val="-10"/>
                <w:sz w:val="24"/>
                <w:szCs w:val="24"/>
                <w:highlight w:val="none"/>
                <w:lang w:val="en-US" w:eastAsia="zh-CN"/>
              </w:rPr>
            </w:pPr>
            <w:r>
              <w:rPr>
                <w:rFonts w:hint="default" w:ascii="Times New Roman" w:hAnsi="Times New Roman" w:eastAsia="宋体" w:cs="Times New Roman"/>
                <w:b/>
                <w:bCs w:val="0"/>
                <w:strike w:val="0"/>
                <w:dstrike w:val="0"/>
                <w:color w:val="auto"/>
                <w:spacing w:val="-10"/>
                <w:sz w:val="24"/>
                <w:szCs w:val="24"/>
                <w:highlight w:val="none"/>
                <w:lang w:val="en-US" w:eastAsia="zh-CN"/>
              </w:rPr>
              <w:t>五、</w:t>
            </w:r>
            <w:r>
              <w:rPr>
                <w:rFonts w:hint="default" w:ascii="Times New Roman" w:hAnsi="Times New Roman" w:eastAsia="宋体" w:cs="Times New Roman"/>
                <w:b/>
                <w:bCs w:val="0"/>
                <w:strike w:val="0"/>
                <w:dstrike w:val="0"/>
                <w:color w:val="auto"/>
                <w:spacing w:val="-10"/>
                <w:sz w:val="24"/>
                <w:szCs w:val="24"/>
                <w:highlight w:val="none"/>
                <w:lang w:eastAsia="zh-CN"/>
              </w:rPr>
              <w:t>地下水、</w:t>
            </w:r>
            <w:r>
              <w:rPr>
                <w:rFonts w:hint="default" w:ascii="Times New Roman" w:hAnsi="Times New Roman" w:eastAsia="宋体" w:cs="Times New Roman"/>
                <w:b/>
                <w:bCs w:val="0"/>
                <w:strike w:val="0"/>
                <w:dstrike w:val="0"/>
                <w:color w:val="auto"/>
                <w:spacing w:val="-10"/>
                <w:sz w:val="24"/>
                <w:szCs w:val="24"/>
                <w:highlight w:val="none"/>
                <w:lang w:val="en-US" w:eastAsia="zh-CN"/>
              </w:rPr>
              <w:t>土壤环境影响分析</w:t>
            </w:r>
          </w:p>
          <w:p w14:paraId="3B64BD03">
            <w:pPr>
              <w:keepNext w:val="0"/>
              <w:keepLines w:val="0"/>
              <w:pageBreakBefore w:val="0"/>
              <w:widowControl w:val="0"/>
              <w:kinsoku/>
              <w:wordWrap/>
              <w:overflowPunct/>
              <w:topLinePunct/>
              <w:autoSpaceDE w:val="0"/>
              <w:autoSpaceDN/>
              <w:bidi w:val="0"/>
              <w:spacing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为确保项目污染物对周围地下水和土壤环境产生不利影响，防范危险品泄漏环境风险，本项目应加强管理，规范作业，地下水保护措施与对策应符合《环境影响评价技术导则</w:t>
            </w:r>
            <w:r>
              <w:rPr>
                <w:rFonts w:hint="eastAsia"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地下水环境（</w:t>
            </w:r>
            <w:r>
              <w:rPr>
                <w:rFonts w:hint="eastAsia" w:cs="Times New Roman"/>
                <w:color w:val="auto"/>
                <w:kern w:val="2"/>
                <w:sz w:val="24"/>
                <w:szCs w:val="24"/>
                <w:highlight w:val="none"/>
                <w:lang w:val="en-US" w:eastAsia="zh-CN" w:bidi="ar-SA"/>
              </w:rPr>
              <w:t>试行</w:t>
            </w:r>
            <w:r>
              <w:rPr>
                <w:rFonts w:hint="eastAsia" w:ascii="Times New Roman" w:hAnsi="Times New Roman" w:eastAsia="宋体" w:cs="Times New Roman"/>
                <w:color w:val="auto"/>
                <w:kern w:val="2"/>
                <w:sz w:val="24"/>
                <w:szCs w:val="24"/>
                <w:highlight w:val="none"/>
                <w:lang w:val="en-US" w:eastAsia="zh-CN" w:bidi="ar-SA"/>
              </w:rPr>
              <w:t>）》（HJ610-2016）的相关规定，</w:t>
            </w:r>
            <w:r>
              <w:rPr>
                <w:rStyle w:val="78"/>
                <w:rFonts w:hint="eastAsia" w:ascii="Times New Roman" w:hAnsi="Times New Roman" w:eastAsia="宋体" w:cs="Times New Roman"/>
                <w:bCs/>
                <w:color w:val="auto"/>
                <w:sz w:val="24"/>
                <w:highlight w:val="none"/>
                <w:lang w:val="en-US" w:eastAsia="zh-CN"/>
              </w:rPr>
              <w:t>污染防治措施按照“源头控制、分区防渗、污染监控、应急响应”相结合的原则，</w:t>
            </w:r>
            <w:r>
              <w:rPr>
                <w:rFonts w:hint="eastAsia" w:ascii="Times New Roman" w:hAnsi="Times New Roman" w:eastAsia="宋体" w:cs="Times New Roman"/>
                <w:color w:val="auto"/>
                <w:kern w:val="2"/>
                <w:sz w:val="24"/>
                <w:szCs w:val="24"/>
                <w:highlight w:val="none"/>
                <w:lang w:val="en-US" w:eastAsia="zh-CN" w:bidi="ar-SA"/>
              </w:rPr>
              <w:t>结合本项目生产工艺布局，制定本项目的地下水污染防控措施。</w:t>
            </w:r>
          </w:p>
          <w:p w14:paraId="7DF989EA">
            <w:pPr>
              <w:keepNext w:val="0"/>
              <w:keepLines w:val="0"/>
              <w:pageBreakBefore w:val="0"/>
              <w:widowControl w:val="0"/>
              <w:kinsoku/>
              <w:wordWrap/>
              <w:overflowPunct/>
              <w:topLinePunct/>
              <w:autoSpaceDE w:val="0"/>
              <w:autoSpaceDN/>
              <w:bidi w:val="0"/>
              <w:spacing w:line="360" w:lineRule="auto"/>
              <w:ind w:left="0" w:right="0" w:firstLine="464"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4"/>
                <w:sz w:val="24"/>
                <w:szCs w:val="24"/>
                <w:highlight w:val="none"/>
              </w:rPr>
              <w:t>项目生产过程中产生的废气为挥发性有机物、颗粒物</w:t>
            </w:r>
            <w:r>
              <w:rPr>
                <w:rFonts w:hint="default" w:ascii="Times New Roman" w:hAnsi="Times New Roman" w:eastAsia="宋体" w:cs="Times New Roman"/>
                <w:strike w:val="0"/>
                <w:dstrike w:val="0"/>
                <w:color w:val="auto"/>
                <w:spacing w:val="-4"/>
                <w:sz w:val="24"/>
                <w:szCs w:val="24"/>
                <w:highlight w:val="none"/>
                <w:lang w:val="en-US" w:eastAsia="zh-CN"/>
              </w:rPr>
              <w:t>及氯化氢，</w:t>
            </w:r>
            <w:r>
              <w:rPr>
                <w:rFonts w:hint="default" w:ascii="Times New Roman" w:hAnsi="Times New Roman" w:eastAsia="宋体" w:cs="Times New Roman"/>
                <w:color w:val="auto"/>
                <w:spacing w:val="-3"/>
                <w:sz w:val="24"/>
                <w:szCs w:val="24"/>
                <w:highlight w:val="none"/>
              </w:rPr>
              <w:t>外排废气污染物中不含重金属</w:t>
            </w:r>
            <w:r>
              <w:rPr>
                <w:rFonts w:hint="default" w:ascii="Times New Roman" w:hAnsi="Times New Roman" w:eastAsia="宋体" w:cs="Times New Roman"/>
                <w:strike w:val="0"/>
                <w:dstrike w:val="0"/>
                <w:color w:val="auto"/>
                <w:spacing w:val="-4"/>
                <w:sz w:val="24"/>
                <w:szCs w:val="24"/>
                <w:highlight w:val="none"/>
              </w:rPr>
              <w:t>；项目的生产废水</w:t>
            </w:r>
            <w:r>
              <w:rPr>
                <w:rFonts w:hint="default" w:ascii="Times New Roman" w:hAnsi="Times New Roman" w:eastAsia="宋体" w:cs="Times New Roman"/>
                <w:strike w:val="0"/>
                <w:dstrike w:val="0"/>
                <w:color w:val="auto"/>
                <w:spacing w:val="-4"/>
                <w:sz w:val="24"/>
                <w:szCs w:val="24"/>
                <w:highlight w:val="none"/>
                <w:lang w:val="en-US" w:eastAsia="zh-CN"/>
              </w:rPr>
              <w:t>经处理后大部分</w:t>
            </w:r>
            <w:r>
              <w:rPr>
                <w:rFonts w:hint="default" w:ascii="Times New Roman" w:hAnsi="Times New Roman" w:eastAsia="宋体" w:cs="Times New Roman"/>
                <w:strike w:val="0"/>
                <w:dstrike w:val="0"/>
                <w:color w:val="auto"/>
                <w:spacing w:val="-4"/>
                <w:sz w:val="24"/>
                <w:szCs w:val="24"/>
                <w:highlight w:val="none"/>
              </w:rPr>
              <w:t>循环</w:t>
            </w:r>
            <w:r>
              <w:rPr>
                <w:rFonts w:hint="default" w:ascii="Times New Roman" w:hAnsi="Times New Roman" w:eastAsia="宋体" w:cs="Times New Roman"/>
                <w:strike w:val="0"/>
                <w:dstrike w:val="0"/>
                <w:color w:val="auto"/>
                <w:spacing w:val="-3"/>
                <w:sz w:val="24"/>
                <w:szCs w:val="24"/>
                <w:highlight w:val="none"/>
              </w:rPr>
              <w:t>使用</w:t>
            </w:r>
            <w:r>
              <w:rPr>
                <w:rFonts w:hint="default" w:ascii="Times New Roman" w:hAnsi="Times New Roman" w:eastAsia="宋体" w:cs="Times New Roman"/>
                <w:strike w:val="0"/>
                <w:dstrike w:val="0"/>
                <w:color w:val="auto"/>
                <w:spacing w:val="-3"/>
                <w:sz w:val="24"/>
                <w:szCs w:val="24"/>
                <w:highlight w:val="none"/>
                <w:lang w:eastAsia="zh-CN"/>
              </w:rPr>
              <w:t>、</w:t>
            </w:r>
            <w:r>
              <w:rPr>
                <w:rFonts w:hint="default" w:ascii="Times New Roman" w:hAnsi="Times New Roman" w:eastAsia="宋体" w:cs="Times New Roman"/>
                <w:strike w:val="0"/>
                <w:dstrike w:val="0"/>
                <w:color w:val="auto"/>
                <w:spacing w:val="-3"/>
                <w:sz w:val="24"/>
                <w:szCs w:val="24"/>
                <w:highlight w:val="none"/>
                <w:lang w:val="en-US" w:eastAsia="zh-CN"/>
              </w:rPr>
              <w:t>少部分</w:t>
            </w:r>
            <w:r>
              <w:rPr>
                <w:rFonts w:hint="default" w:ascii="Times New Roman" w:hAnsi="Times New Roman" w:eastAsia="宋体" w:cs="Times New Roman"/>
                <w:color w:val="auto"/>
                <w:spacing w:val="-2"/>
                <w:sz w:val="24"/>
                <w:szCs w:val="24"/>
                <w:highlight w:val="none"/>
                <w:lang w:val="en-US" w:eastAsia="zh-CN"/>
              </w:rPr>
              <w:t>压滤后进入生化污水处理站</w:t>
            </w:r>
            <w:r>
              <w:rPr>
                <w:rFonts w:hint="default" w:ascii="Times New Roman" w:hAnsi="Times New Roman" w:eastAsia="宋体" w:cs="Times New Roman"/>
                <w:b w:val="0"/>
                <w:bCs w:val="0"/>
                <w:strike w:val="0"/>
                <w:dstrike w:val="0"/>
                <w:color w:val="auto"/>
                <w:kern w:val="2"/>
                <w:sz w:val="24"/>
                <w:szCs w:val="24"/>
                <w:highlight w:val="none"/>
                <w:lang w:val="en-US" w:eastAsia="zh-CN" w:bidi="ar-SA"/>
              </w:rPr>
              <w:t>处理达标后通过园区污水管网排入云南易门产业园区六街和麦子田片区集中式生活污水处理厂处理</w:t>
            </w:r>
            <w:r>
              <w:rPr>
                <w:rFonts w:hint="default" w:ascii="Times New Roman" w:hAnsi="Times New Roman" w:eastAsia="宋体" w:cs="Times New Roman"/>
                <w:strike w:val="0"/>
                <w:dstrike w:val="0"/>
                <w:color w:val="auto"/>
                <w:spacing w:val="-3"/>
                <w:sz w:val="24"/>
                <w:szCs w:val="24"/>
                <w:highlight w:val="none"/>
                <w:lang w:eastAsia="zh-CN"/>
              </w:rPr>
              <w:t>；</w:t>
            </w:r>
            <w:r>
              <w:rPr>
                <w:rFonts w:hint="default" w:ascii="Times New Roman" w:hAnsi="Times New Roman" w:eastAsia="宋体" w:cs="Times New Roman"/>
                <w:b w:val="0"/>
                <w:bCs w:val="0"/>
                <w:strike w:val="0"/>
                <w:dstrike w:val="0"/>
                <w:color w:val="auto"/>
                <w:kern w:val="2"/>
                <w:sz w:val="24"/>
                <w:szCs w:val="24"/>
                <w:highlight w:val="none"/>
                <w:lang w:val="en-US" w:eastAsia="zh-CN" w:bidi="ar-SA"/>
              </w:rPr>
              <w:t>生活污水经化粪池处理达标后通过园区污水管网排入云南易门产业园区六街和麦子田片区集中式生活污水处理厂处理</w:t>
            </w:r>
            <w:r>
              <w:rPr>
                <w:rFonts w:hint="default" w:ascii="Times New Roman" w:hAnsi="Times New Roman" w:eastAsia="宋体" w:cs="Times New Roman"/>
                <w:strike w:val="0"/>
                <w:dstrike w:val="0"/>
                <w:color w:val="auto"/>
                <w:spacing w:val="-3"/>
                <w:sz w:val="24"/>
                <w:szCs w:val="24"/>
                <w:highlight w:val="none"/>
              </w:rPr>
              <w:t>；本项目的风险物质为</w:t>
            </w:r>
            <w:r>
              <w:rPr>
                <w:rFonts w:hint="default" w:ascii="Times New Roman" w:hAnsi="Times New Roman" w:eastAsia="宋体" w:cs="Times New Roman"/>
                <w:strike w:val="0"/>
                <w:dstrike w:val="0"/>
                <w:color w:val="auto"/>
                <w:spacing w:val="-3"/>
                <w:sz w:val="24"/>
                <w:szCs w:val="24"/>
                <w:highlight w:val="none"/>
                <w:lang w:val="en-US" w:eastAsia="zh-CN"/>
              </w:rPr>
              <w:t>片碱、</w:t>
            </w:r>
            <w:r>
              <w:rPr>
                <w:rFonts w:hint="default" w:ascii="Times New Roman" w:hAnsi="Times New Roman" w:eastAsia="宋体" w:cs="Times New Roman"/>
                <w:strike w:val="0"/>
                <w:dstrike w:val="0"/>
                <w:color w:val="auto"/>
                <w:spacing w:val="-3"/>
                <w:sz w:val="24"/>
                <w:szCs w:val="24"/>
                <w:highlight w:val="none"/>
              </w:rPr>
              <w:t>废</w:t>
            </w:r>
            <w:r>
              <w:rPr>
                <w:rFonts w:hint="default" w:ascii="Times New Roman" w:hAnsi="Times New Roman" w:eastAsia="宋体" w:cs="Times New Roman"/>
                <w:strike w:val="0"/>
                <w:dstrike w:val="0"/>
                <w:color w:val="auto"/>
                <w:spacing w:val="-3"/>
                <w:sz w:val="24"/>
                <w:szCs w:val="24"/>
                <w:highlight w:val="none"/>
                <w:lang w:eastAsia="zh-CN"/>
              </w:rPr>
              <w:t>润滑油、</w:t>
            </w:r>
            <w:r>
              <w:rPr>
                <w:rFonts w:hint="default" w:ascii="Times New Roman" w:hAnsi="Times New Roman" w:eastAsia="宋体" w:cs="Times New Roman"/>
                <w:strike w:val="0"/>
                <w:dstrike w:val="0"/>
                <w:color w:val="auto"/>
                <w:spacing w:val="-3"/>
                <w:sz w:val="24"/>
                <w:szCs w:val="24"/>
                <w:highlight w:val="none"/>
                <w:lang w:val="en-US" w:eastAsia="zh-CN"/>
              </w:rPr>
              <w:t>废活性炭等</w:t>
            </w:r>
            <w:r>
              <w:rPr>
                <w:rFonts w:hint="default" w:ascii="Times New Roman" w:hAnsi="Times New Roman" w:eastAsia="宋体" w:cs="Times New Roman"/>
                <w:strike w:val="0"/>
                <w:dstrike w:val="0"/>
                <w:color w:val="auto"/>
                <w:spacing w:val="-3"/>
                <w:sz w:val="24"/>
                <w:szCs w:val="24"/>
                <w:highlight w:val="none"/>
              </w:rPr>
              <w:t>，不涉</w:t>
            </w:r>
            <w:r>
              <w:rPr>
                <w:rFonts w:hint="default" w:ascii="Times New Roman" w:hAnsi="Times New Roman" w:eastAsia="宋体" w:cs="Times New Roman"/>
                <w:strike w:val="0"/>
                <w:dstrike w:val="0"/>
                <w:color w:val="auto"/>
                <w:spacing w:val="-4"/>
                <w:sz w:val="24"/>
                <w:szCs w:val="24"/>
                <w:highlight w:val="none"/>
              </w:rPr>
              <w:t>及有毒有害和易燃易爆危险物质存</w:t>
            </w:r>
            <w:r>
              <w:rPr>
                <w:rFonts w:hint="default" w:ascii="Times New Roman" w:hAnsi="Times New Roman" w:eastAsia="宋体" w:cs="Times New Roman"/>
                <w:strike w:val="0"/>
                <w:dstrike w:val="0"/>
                <w:color w:val="auto"/>
                <w:spacing w:val="-8"/>
                <w:sz w:val="24"/>
                <w:szCs w:val="24"/>
                <w:highlight w:val="none"/>
              </w:rPr>
              <w:t>储量超过临界量。</w:t>
            </w:r>
          </w:p>
          <w:p w14:paraId="19F57FAF">
            <w:pPr>
              <w:keepNext w:val="0"/>
              <w:keepLines w:val="0"/>
              <w:pageBreakBefore w:val="0"/>
              <w:widowControl w:val="0"/>
              <w:kinsoku/>
              <w:wordWrap/>
              <w:overflowPunct/>
              <w:topLinePunct/>
              <w:autoSpaceDE w:val="0"/>
              <w:autoSpaceDN/>
              <w:bidi w:val="0"/>
              <w:spacing w:line="360" w:lineRule="auto"/>
              <w:ind w:left="0" w:right="0" w:firstLine="480" w:firstLineChars="200"/>
              <w:jc w:val="both"/>
              <w:textAlignment w:val="auto"/>
              <w:rPr>
                <w:rFonts w:hint="eastAsia" w:ascii="Times New Roman" w:hAnsi="Times New Roman" w:eastAsia="宋体" w:cs="Times New Roman"/>
                <w:b w:val="0"/>
                <w:bCs w:val="0"/>
                <w:strike w:val="0"/>
                <w:dstrike w:val="0"/>
                <w:color w:val="auto"/>
                <w:kern w:val="2"/>
                <w:sz w:val="24"/>
                <w:szCs w:val="24"/>
                <w:highlight w:val="none"/>
                <w:lang w:val="en-US" w:eastAsia="zh-CN" w:bidi="ar-SA"/>
              </w:rPr>
            </w:pPr>
            <w:r>
              <w:rPr>
                <w:rFonts w:hint="eastAsia" w:ascii="Times New Roman" w:hAnsi="Times New Roman" w:eastAsia="宋体" w:cs="Times New Roman"/>
                <w:b w:val="0"/>
                <w:bCs w:val="0"/>
                <w:strike w:val="0"/>
                <w:dstrike w:val="0"/>
                <w:color w:val="auto"/>
                <w:kern w:val="2"/>
                <w:sz w:val="24"/>
                <w:szCs w:val="24"/>
                <w:highlight w:val="none"/>
                <w:lang w:val="en-US" w:eastAsia="zh-CN" w:bidi="ar-SA"/>
              </w:rPr>
              <w:t>（1）源头控制</w:t>
            </w:r>
          </w:p>
          <w:p w14:paraId="0A88281F">
            <w:pPr>
              <w:keepNext w:val="0"/>
              <w:keepLines w:val="0"/>
              <w:pageBreakBefore w:val="0"/>
              <w:widowControl w:val="0"/>
              <w:kinsoku/>
              <w:wordWrap/>
              <w:overflowPunct/>
              <w:topLinePunct/>
              <w:autoSpaceDE w:val="0"/>
              <w:autoSpaceDN/>
              <w:bidi w:val="0"/>
              <w:spacing w:line="360" w:lineRule="auto"/>
              <w:ind w:left="0" w:right="0" w:firstLine="480" w:firstLineChars="200"/>
              <w:jc w:val="both"/>
              <w:textAlignment w:val="auto"/>
              <w:rPr>
                <w:rFonts w:hint="eastAsia" w:ascii="Times New Roman" w:hAnsi="Times New Roman" w:eastAsia="宋体" w:cs="Times New Roman"/>
                <w:b w:val="0"/>
                <w:bCs w:val="0"/>
                <w:strike w:val="0"/>
                <w:dstrike w:val="0"/>
                <w:color w:val="auto"/>
                <w:kern w:val="2"/>
                <w:sz w:val="24"/>
                <w:szCs w:val="24"/>
                <w:highlight w:val="none"/>
                <w:lang w:val="en-US" w:eastAsia="zh-CN" w:bidi="ar-SA"/>
              </w:rPr>
            </w:pPr>
            <w:r>
              <w:rPr>
                <w:rFonts w:hint="eastAsia" w:ascii="Times New Roman" w:hAnsi="Times New Roman" w:eastAsia="宋体" w:cs="Times New Roman"/>
                <w:b w:val="0"/>
                <w:bCs w:val="0"/>
                <w:strike w:val="0"/>
                <w:dstrike w:val="0"/>
                <w:color w:val="auto"/>
                <w:kern w:val="2"/>
                <w:sz w:val="24"/>
                <w:szCs w:val="24"/>
                <w:highlight w:val="none"/>
                <w:lang w:val="en-US" w:eastAsia="zh-CN" w:bidi="ar-SA"/>
              </w:rPr>
              <w:t>源头控制可以从以下几个方面进行控制：实施废物循环利用，减少污染物的排放量；严格操作程序，避免运输、生产过程物料泄漏、掉落。</w:t>
            </w:r>
          </w:p>
          <w:p w14:paraId="4239BCD6">
            <w:pPr>
              <w:keepNext w:val="0"/>
              <w:keepLines w:val="0"/>
              <w:pageBreakBefore w:val="0"/>
              <w:widowControl w:val="0"/>
              <w:kinsoku/>
              <w:wordWrap/>
              <w:overflowPunct/>
              <w:topLinePunct/>
              <w:autoSpaceDE w:val="0"/>
              <w:autoSpaceDN/>
              <w:bidi w:val="0"/>
              <w:spacing w:line="360" w:lineRule="auto"/>
              <w:ind w:left="0" w:right="0" w:firstLine="480" w:firstLineChars="200"/>
              <w:jc w:val="both"/>
              <w:textAlignment w:val="auto"/>
              <w:rPr>
                <w:rFonts w:hint="eastAsia" w:ascii="Times New Roman" w:hAnsi="Times New Roman" w:eastAsia="宋体" w:cs="Times New Roman"/>
                <w:b w:val="0"/>
                <w:bCs w:val="0"/>
                <w:strike w:val="0"/>
                <w:dstrike w:val="0"/>
                <w:color w:val="auto"/>
                <w:kern w:val="2"/>
                <w:sz w:val="24"/>
                <w:szCs w:val="24"/>
                <w:highlight w:val="none"/>
                <w:lang w:val="en-US" w:eastAsia="zh-CN" w:bidi="ar-SA"/>
              </w:rPr>
            </w:pPr>
            <w:r>
              <w:rPr>
                <w:rFonts w:hint="eastAsia" w:ascii="Times New Roman" w:hAnsi="Times New Roman" w:eastAsia="宋体" w:cs="Times New Roman"/>
                <w:b w:val="0"/>
                <w:bCs w:val="0"/>
                <w:strike w:val="0"/>
                <w:dstrike w:val="0"/>
                <w:color w:val="auto"/>
                <w:kern w:val="2"/>
                <w:sz w:val="24"/>
                <w:szCs w:val="24"/>
                <w:highlight w:val="none"/>
                <w:lang w:val="en-US" w:eastAsia="zh-CN" w:bidi="ar-SA"/>
              </w:rPr>
              <w:t>（2）分区防渗</w:t>
            </w:r>
          </w:p>
          <w:p w14:paraId="4217431E">
            <w:pPr>
              <w:keepNext w:val="0"/>
              <w:keepLines w:val="0"/>
              <w:pageBreakBefore w:val="0"/>
              <w:widowControl w:val="0"/>
              <w:kinsoku/>
              <w:wordWrap/>
              <w:overflowPunct/>
              <w:topLinePunct/>
              <w:autoSpaceDE w:val="0"/>
              <w:autoSpaceDN/>
              <w:bidi w:val="0"/>
              <w:spacing w:line="360" w:lineRule="auto"/>
              <w:ind w:left="0" w:right="0" w:firstLine="464" w:firstLineChars="200"/>
              <w:jc w:val="both"/>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4"/>
                <w:sz w:val="24"/>
                <w:szCs w:val="24"/>
                <w:highlight w:val="none"/>
              </w:rPr>
              <w:t>项目运行期正常工况不会对地下水、土壤造成污染，非正常工况地下水、</w:t>
            </w:r>
            <w:r>
              <w:rPr>
                <w:rFonts w:hint="default" w:ascii="Times New Roman" w:hAnsi="Times New Roman" w:eastAsia="宋体" w:cs="Times New Roman"/>
                <w:strike w:val="0"/>
                <w:dstrike w:val="0"/>
                <w:color w:val="auto"/>
                <w:spacing w:val="-4"/>
                <w:sz w:val="24"/>
                <w:szCs w:val="24"/>
                <w:highlight w:val="none"/>
                <w:lang w:eastAsia="zh-CN"/>
              </w:rPr>
              <w:t>土</w:t>
            </w:r>
            <w:r>
              <w:rPr>
                <w:rFonts w:hint="default" w:ascii="Times New Roman" w:hAnsi="Times New Roman" w:eastAsia="宋体" w:cs="Times New Roman"/>
                <w:strike w:val="0"/>
                <w:dstrike w:val="0"/>
                <w:color w:val="auto"/>
                <w:spacing w:val="7"/>
                <w:sz w:val="24"/>
                <w:szCs w:val="24"/>
                <w:highlight w:val="none"/>
                <w:lang w:eastAsia="zh-CN"/>
              </w:rPr>
              <w:t>壤污染</w:t>
            </w:r>
            <w:r>
              <w:rPr>
                <w:rFonts w:hint="default" w:ascii="Times New Roman" w:hAnsi="Times New Roman" w:eastAsia="宋体" w:cs="Times New Roman"/>
                <w:strike w:val="0"/>
                <w:dstrike w:val="0"/>
                <w:color w:val="auto"/>
                <w:spacing w:val="-3"/>
                <w:sz w:val="24"/>
                <w:szCs w:val="24"/>
                <w:highlight w:val="none"/>
              </w:rPr>
              <w:t>途径主要为废</w:t>
            </w:r>
            <w:r>
              <w:rPr>
                <w:rFonts w:hint="default" w:ascii="Times New Roman" w:hAnsi="Times New Roman" w:eastAsia="宋体" w:cs="Times New Roman"/>
                <w:strike w:val="0"/>
                <w:dstrike w:val="0"/>
                <w:color w:val="auto"/>
                <w:spacing w:val="-3"/>
                <w:sz w:val="24"/>
                <w:szCs w:val="24"/>
                <w:highlight w:val="none"/>
                <w:lang w:eastAsia="zh-CN"/>
              </w:rPr>
              <w:t>润滑油</w:t>
            </w:r>
            <w:r>
              <w:rPr>
                <w:rFonts w:hint="default" w:ascii="Times New Roman" w:hAnsi="Times New Roman" w:eastAsia="宋体" w:cs="Times New Roman"/>
                <w:strike w:val="0"/>
                <w:dstrike w:val="0"/>
                <w:color w:val="auto"/>
                <w:spacing w:val="-4"/>
                <w:sz w:val="24"/>
                <w:szCs w:val="24"/>
                <w:highlight w:val="none"/>
              </w:rPr>
              <w:t>、危险废物</w:t>
            </w:r>
            <w:r>
              <w:rPr>
                <w:rFonts w:hint="default" w:ascii="Times New Roman" w:hAnsi="Times New Roman" w:eastAsia="宋体" w:cs="Times New Roman"/>
                <w:strike w:val="0"/>
                <w:dstrike w:val="0"/>
                <w:color w:val="auto"/>
                <w:spacing w:val="-4"/>
                <w:sz w:val="24"/>
                <w:szCs w:val="24"/>
                <w:highlight w:val="none"/>
                <w:lang w:val="en-US" w:eastAsia="zh-CN"/>
              </w:rPr>
              <w:t>等</w:t>
            </w:r>
            <w:r>
              <w:rPr>
                <w:rFonts w:hint="default" w:ascii="Times New Roman" w:hAnsi="Times New Roman" w:eastAsia="宋体" w:cs="Times New Roman"/>
                <w:strike w:val="0"/>
                <w:dstrike w:val="0"/>
                <w:color w:val="auto"/>
                <w:spacing w:val="-4"/>
                <w:sz w:val="24"/>
                <w:szCs w:val="24"/>
                <w:highlight w:val="none"/>
                <w:lang w:eastAsia="zh-CN"/>
              </w:rPr>
              <w:t>泄漏下</w:t>
            </w:r>
            <w:r>
              <w:rPr>
                <w:rFonts w:hint="default" w:ascii="Times New Roman" w:hAnsi="Times New Roman" w:eastAsia="宋体" w:cs="Times New Roman"/>
                <w:strike w:val="0"/>
                <w:dstrike w:val="0"/>
                <w:color w:val="auto"/>
                <w:spacing w:val="-4"/>
                <w:sz w:val="24"/>
                <w:szCs w:val="24"/>
                <w:highlight w:val="none"/>
              </w:rPr>
              <w:t>渗、生化污水处理站、圆磨循环水池等故障污染地下水及土壤。</w:t>
            </w:r>
            <w:r>
              <w:rPr>
                <w:rFonts w:hint="default" w:ascii="Times New Roman" w:hAnsi="Times New Roman" w:eastAsia="宋体" w:cs="Times New Roman"/>
                <w:strike w:val="0"/>
                <w:dstrike w:val="0"/>
                <w:color w:val="auto"/>
                <w:spacing w:val="-8"/>
                <w:sz w:val="24"/>
                <w:szCs w:val="24"/>
                <w:highlight w:val="none"/>
              </w:rPr>
              <w:t>废</w:t>
            </w:r>
            <w:r>
              <w:rPr>
                <w:rFonts w:hint="default" w:ascii="Times New Roman" w:hAnsi="Times New Roman" w:eastAsia="宋体" w:cs="Times New Roman"/>
                <w:strike w:val="0"/>
                <w:dstrike w:val="0"/>
                <w:color w:val="auto"/>
                <w:spacing w:val="-8"/>
                <w:sz w:val="24"/>
                <w:szCs w:val="24"/>
                <w:highlight w:val="none"/>
                <w:lang w:eastAsia="zh-CN"/>
              </w:rPr>
              <w:t>润滑油</w:t>
            </w:r>
            <w:r>
              <w:rPr>
                <w:rFonts w:hint="default" w:ascii="Times New Roman" w:hAnsi="Times New Roman" w:eastAsia="宋体" w:cs="Times New Roman"/>
                <w:strike w:val="0"/>
                <w:dstrike w:val="0"/>
                <w:color w:val="auto"/>
                <w:spacing w:val="-8"/>
                <w:sz w:val="24"/>
                <w:szCs w:val="24"/>
                <w:highlight w:val="none"/>
              </w:rPr>
              <w:t>、危险废物</w:t>
            </w:r>
            <w:r>
              <w:rPr>
                <w:rFonts w:hint="default" w:ascii="Times New Roman" w:hAnsi="Times New Roman" w:eastAsia="宋体" w:cs="Times New Roman"/>
                <w:strike w:val="0"/>
                <w:dstrike w:val="0"/>
                <w:color w:val="auto"/>
                <w:spacing w:val="-8"/>
                <w:sz w:val="24"/>
                <w:szCs w:val="24"/>
                <w:highlight w:val="none"/>
                <w:lang w:val="en-US" w:eastAsia="zh-CN"/>
              </w:rPr>
              <w:t>等</w:t>
            </w:r>
            <w:r>
              <w:rPr>
                <w:rFonts w:hint="default" w:ascii="Times New Roman" w:hAnsi="Times New Roman" w:eastAsia="宋体" w:cs="Times New Roman"/>
                <w:strike w:val="0"/>
                <w:dstrike w:val="0"/>
                <w:color w:val="auto"/>
                <w:spacing w:val="-8"/>
                <w:sz w:val="24"/>
                <w:szCs w:val="24"/>
                <w:highlight w:val="none"/>
              </w:rPr>
              <w:t>暂存对地下水及土壤产生污染的途径主要为渗透污染。</w:t>
            </w:r>
            <w:r>
              <w:rPr>
                <w:rFonts w:hint="default" w:ascii="Times New Roman" w:hAnsi="Times New Roman" w:eastAsia="宋体" w:cs="Times New Roman"/>
                <w:strike w:val="0"/>
                <w:dstrike w:val="0"/>
                <w:color w:val="auto"/>
                <w:spacing w:val="-3"/>
                <w:sz w:val="24"/>
                <w:szCs w:val="24"/>
                <w:highlight w:val="none"/>
              </w:rPr>
              <w:t>渗透污染是导致地下水污染的普遍和主要方式，因此项目内根据项目</w:t>
            </w:r>
            <w:r>
              <w:rPr>
                <w:rFonts w:hint="default" w:ascii="Times New Roman" w:hAnsi="Times New Roman" w:eastAsia="宋体" w:cs="Times New Roman"/>
                <w:strike w:val="0"/>
                <w:dstrike w:val="0"/>
                <w:color w:val="auto"/>
                <w:spacing w:val="-4"/>
                <w:sz w:val="24"/>
                <w:szCs w:val="24"/>
                <w:highlight w:val="none"/>
              </w:rPr>
              <w:t>各生产、生活功能单元可能产生污染的地区，将项目区划分为重点防渗区、一般防渗区、简单防渗区。环评要求对</w:t>
            </w:r>
            <w:r>
              <w:rPr>
                <w:rFonts w:hint="eastAsia" w:cs="Times New Roman"/>
                <w:strike w:val="0"/>
                <w:dstrike w:val="0"/>
                <w:color w:val="auto"/>
                <w:spacing w:val="-4"/>
                <w:sz w:val="24"/>
                <w:szCs w:val="24"/>
                <w:highlight w:val="none"/>
                <w:lang w:eastAsia="zh-CN"/>
              </w:rPr>
              <w:t>危险废物贮存库</w:t>
            </w:r>
            <w:r>
              <w:rPr>
                <w:rFonts w:hint="default" w:ascii="Times New Roman" w:hAnsi="Times New Roman" w:eastAsia="宋体" w:cs="Times New Roman"/>
                <w:strike w:val="0"/>
                <w:dstrike w:val="0"/>
                <w:color w:val="auto"/>
                <w:spacing w:val="-4"/>
                <w:sz w:val="24"/>
                <w:szCs w:val="24"/>
                <w:highlight w:val="none"/>
              </w:rPr>
              <w:t>、</w:t>
            </w:r>
            <w:r>
              <w:rPr>
                <w:rFonts w:hint="default" w:ascii="Times New Roman" w:hAnsi="Times New Roman" w:eastAsia="宋体" w:cs="Times New Roman"/>
                <w:strike w:val="0"/>
                <w:dstrike w:val="0"/>
                <w:color w:val="auto"/>
                <w:spacing w:val="-4"/>
                <w:sz w:val="24"/>
                <w:szCs w:val="24"/>
                <w:highlight w:val="none"/>
                <w:lang w:val="en-US" w:eastAsia="zh-CN"/>
              </w:rPr>
              <w:t>碱库</w:t>
            </w:r>
            <w:r>
              <w:rPr>
                <w:rFonts w:hint="default" w:ascii="Times New Roman" w:hAnsi="Times New Roman" w:eastAsia="宋体" w:cs="Times New Roman"/>
                <w:strike w:val="0"/>
                <w:dstrike w:val="0"/>
                <w:color w:val="auto"/>
                <w:spacing w:val="-4"/>
                <w:sz w:val="24"/>
                <w:szCs w:val="24"/>
                <w:highlight w:val="none"/>
              </w:rPr>
              <w:t>做重点防渗处理；生产废水处理设施</w:t>
            </w:r>
            <w:r>
              <w:rPr>
                <w:rFonts w:hint="default" w:ascii="Times New Roman" w:hAnsi="Times New Roman" w:eastAsia="宋体" w:cs="Times New Roman"/>
                <w:strike w:val="0"/>
                <w:dstrike w:val="0"/>
                <w:color w:val="auto"/>
                <w:spacing w:val="-4"/>
                <w:sz w:val="24"/>
                <w:szCs w:val="24"/>
                <w:highlight w:val="none"/>
                <w:lang w:eastAsia="zh-CN"/>
              </w:rPr>
              <w:t>、</w:t>
            </w:r>
            <w:r>
              <w:rPr>
                <w:rFonts w:hint="default" w:ascii="Times New Roman" w:hAnsi="Times New Roman" w:eastAsia="宋体" w:cs="Times New Roman"/>
                <w:strike w:val="0"/>
                <w:dstrike w:val="0"/>
                <w:color w:val="auto"/>
                <w:spacing w:val="-4"/>
                <w:sz w:val="24"/>
                <w:szCs w:val="24"/>
                <w:highlight w:val="none"/>
              </w:rPr>
              <w:t>生活污水处理设施区域、</w:t>
            </w:r>
            <w:r>
              <w:rPr>
                <w:rFonts w:hint="default" w:ascii="Times New Roman" w:hAnsi="Times New Roman" w:eastAsia="宋体" w:cs="Times New Roman"/>
                <w:color w:val="auto"/>
                <w:spacing w:val="8"/>
                <w:sz w:val="24"/>
                <w:szCs w:val="24"/>
                <w:highlight w:val="none"/>
                <w:lang w:val="en-US" w:eastAsia="zh-CN"/>
              </w:rPr>
              <w:t>原料库</w:t>
            </w:r>
            <w:r>
              <w:rPr>
                <w:rFonts w:hint="default" w:ascii="Times New Roman" w:hAnsi="Times New Roman" w:eastAsia="宋体" w:cs="Times New Roman"/>
                <w:color w:val="auto"/>
                <w:spacing w:val="8"/>
                <w:sz w:val="24"/>
                <w:szCs w:val="24"/>
                <w:highlight w:val="none"/>
              </w:rPr>
              <w:t>、</w:t>
            </w:r>
            <w:r>
              <w:rPr>
                <w:rFonts w:hint="default" w:ascii="Times New Roman" w:hAnsi="Times New Roman" w:eastAsia="宋体" w:cs="Times New Roman"/>
                <w:color w:val="auto"/>
                <w:spacing w:val="9"/>
                <w:sz w:val="24"/>
                <w:szCs w:val="24"/>
                <w:highlight w:val="none"/>
                <w:lang w:val="en-US" w:eastAsia="zh-CN"/>
              </w:rPr>
              <w:t>辅料库</w:t>
            </w:r>
            <w:r>
              <w:rPr>
                <w:rFonts w:hint="default" w:ascii="Times New Roman" w:hAnsi="Times New Roman" w:eastAsia="宋体" w:cs="Times New Roman"/>
                <w:strike w:val="0"/>
                <w:dstrike w:val="0"/>
                <w:color w:val="auto"/>
                <w:spacing w:val="-4"/>
                <w:sz w:val="24"/>
                <w:szCs w:val="24"/>
                <w:highlight w:val="none"/>
                <w:lang w:val="en-US" w:eastAsia="zh-CN"/>
              </w:rPr>
              <w:t>等</w:t>
            </w:r>
            <w:r>
              <w:rPr>
                <w:rFonts w:hint="default" w:ascii="Times New Roman" w:hAnsi="Times New Roman" w:eastAsia="宋体" w:cs="Times New Roman"/>
                <w:strike w:val="0"/>
                <w:dstrike w:val="0"/>
                <w:color w:val="auto"/>
                <w:spacing w:val="-4"/>
                <w:sz w:val="24"/>
                <w:szCs w:val="24"/>
                <w:highlight w:val="none"/>
              </w:rPr>
              <w:t>做一般防渗；</w:t>
            </w:r>
            <w:r>
              <w:rPr>
                <w:rFonts w:hint="default" w:ascii="Times New Roman" w:hAnsi="Times New Roman" w:eastAsia="宋体" w:cs="Times New Roman"/>
                <w:color w:val="auto"/>
                <w:spacing w:val="9"/>
                <w:sz w:val="24"/>
                <w:szCs w:val="24"/>
                <w:highlight w:val="none"/>
              </w:rPr>
              <w:t>综合楼、宿舍</w:t>
            </w:r>
            <w:r>
              <w:rPr>
                <w:rFonts w:hint="eastAsia" w:cs="Times New Roman"/>
                <w:color w:val="auto"/>
                <w:spacing w:val="9"/>
                <w:sz w:val="24"/>
                <w:szCs w:val="24"/>
                <w:highlight w:val="none"/>
                <w:lang w:val="en-US" w:eastAsia="zh-CN"/>
              </w:rPr>
              <w:t>楼</w:t>
            </w:r>
            <w:r>
              <w:rPr>
                <w:rFonts w:hint="default" w:ascii="Times New Roman" w:hAnsi="Times New Roman" w:eastAsia="宋体" w:cs="Times New Roman"/>
                <w:color w:val="auto"/>
                <w:spacing w:val="9"/>
                <w:sz w:val="24"/>
                <w:szCs w:val="24"/>
                <w:highlight w:val="none"/>
                <w:lang w:val="en-US" w:eastAsia="zh-CN"/>
              </w:rPr>
              <w:t>、</w:t>
            </w:r>
            <w:r>
              <w:rPr>
                <w:rFonts w:hint="default" w:ascii="Times New Roman" w:hAnsi="Times New Roman" w:eastAsia="宋体" w:cs="Times New Roman"/>
                <w:strike w:val="0"/>
                <w:dstrike w:val="0"/>
                <w:color w:val="auto"/>
                <w:spacing w:val="-4"/>
                <w:sz w:val="24"/>
                <w:szCs w:val="24"/>
                <w:highlight w:val="none"/>
              </w:rPr>
              <w:t>生产</w:t>
            </w:r>
            <w:r>
              <w:rPr>
                <w:rFonts w:hint="default" w:ascii="Times New Roman" w:hAnsi="Times New Roman" w:eastAsia="宋体" w:cs="Times New Roman"/>
                <w:strike w:val="0"/>
                <w:dstrike w:val="0"/>
                <w:color w:val="auto"/>
                <w:spacing w:val="-4"/>
                <w:sz w:val="24"/>
                <w:szCs w:val="24"/>
                <w:highlight w:val="none"/>
                <w:lang w:val="en-US" w:eastAsia="zh-CN"/>
              </w:rPr>
              <w:t>厂房</w:t>
            </w:r>
            <w:r>
              <w:rPr>
                <w:rFonts w:hint="default" w:ascii="Times New Roman" w:hAnsi="Times New Roman" w:eastAsia="宋体" w:cs="Times New Roman"/>
                <w:strike w:val="0"/>
                <w:dstrike w:val="0"/>
                <w:color w:val="auto"/>
                <w:spacing w:val="-4"/>
                <w:sz w:val="24"/>
                <w:szCs w:val="24"/>
                <w:highlight w:val="none"/>
              </w:rPr>
              <w:t>、原辅料</w:t>
            </w:r>
            <w:r>
              <w:rPr>
                <w:rFonts w:hint="default" w:ascii="Times New Roman" w:hAnsi="Times New Roman" w:eastAsia="宋体" w:cs="Times New Roman"/>
                <w:strike w:val="0"/>
                <w:dstrike w:val="0"/>
                <w:color w:val="auto"/>
                <w:spacing w:val="-4"/>
                <w:sz w:val="24"/>
                <w:szCs w:val="24"/>
                <w:highlight w:val="none"/>
                <w:lang w:val="en-US" w:eastAsia="zh-CN"/>
              </w:rPr>
              <w:t>仓库</w:t>
            </w:r>
            <w:r>
              <w:rPr>
                <w:rFonts w:hint="default" w:ascii="Times New Roman" w:hAnsi="Times New Roman" w:eastAsia="宋体" w:cs="Times New Roman"/>
                <w:strike w:val="0"/>
                <w:dstrike w:val="0"/>
                <w:color w:val="auto"/>
                <w:spacing w:val="-4"/>
                <w:sz w:val="24"/>
                <w:szCs w:val="24"/>
                <w:highlight w:val="none"/>
              </w:rPr>
              <w:t>、产品</w:t>
            </w:r>
            <w:r>
              <w:rPr>
                <w:rFonts w:hint="default" w:ascii="Times New Roman" w:hAnsi="Times New Roman" w:eastAsia="宋体" w:cs="Times New Roman"/>
                <w:strike w:val="0"/>
                <w:dstrike w:val="0"/>
                <w:color w:val="auto"/>
                <w:spacing w:val="-4"/>
                <w:sz w:val="24"/>
                <w:szCs w:val="24"/>
                <w:highlight w:val="none"/>
                <w:lang w:val="en-US" w:eastAsia="zh-CN"/>
              </w:rPr>
              <w:t>仓库</w:t>
            </w:r>
            <w:r>
              <w:rPr>
                <w:rFonts w:hint="default" w:ascii="Times New Roman" w:hAnsi="Times New Roman" w:eastAsia="宋体" w:cs="Times New Roman"/>
                <w:color w:val="auto"/>
                <w:spacing w:val="9"/>
                <w:sz w:val="24"/>
                <w:szCs w:val="24"/>
                <w:highlight w:val="none"/>
              </w:rPr>
              <w:t>等区域</w:t>
            </w:r>
            <w:r>
              <w:rPr>
                <w:rFonts w:hint="default" w:ascii="Times New Roman" w:hAnsi="Times New Roman" w:eastAsia="宋体" w:cs="Times New Roman"/>
                <w:strike w:val="0"/>
                <w:dstrike w:val="0"/>
                <w:color w:val="auto"/>
                <w:spacing w:val="-4"/>
                <w:sz w:val="24"/>
                <w:szCs w:val="24"/>
                <w:highlight w:val="none"/>
              </w:rPr>
              <w:t>做简</w:t>
            </w:r>
            <w:r>
              <w:rPr>
                <w:rFonts w:hint="default" w:ascii="Times New Roman" w:hAnsi="Times New Roman" w:eastAsia="宋体" w:cs="Times New Roman"/>
                <w:strike w:val="0"/>
                <w:dstrike w:val="0"/>
                <w:color w:val="auto"/>
                <w:spacing w:val="-1"/>
                <w:sz w:val="24"/>
                <w:szCs w:val="24"/>
                <w:highlight w:val="none"/>
              </w:rPr>
              <w:t>单防渗。具体防渗措施如下：</w:t>
            </w:r>
          </w:p>
          <w:p w14:paraId="489FAE25">
            <w:pPr>
              <w:keepNext w:val="0"/>
              <w:keepLines w:val="0"/>
              <w:pageBreakBefore w:val="0"/>
              <w:widowControl w:val="0"/>
              <w:kinsoku/>
              <w:wordWrap/>
              <w:overflowPunct/>
              <w:topLinePunct/>
              <w:autoSpaceDE w:val="0"/>
              <w:autoSpaceDN/>
              <w:bidi w:val="0"/>
              <w:spacing w:line="360" w:lineRule="auto"/>
              <w:ind w:left="0" w:right="0" w:firstLine="480" w:firstLineChars="200"/>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z w:val="24"/>
                <w:szCs w:val="24"/>
                <w:highlight w:val="none"/>
              </w:rPr>
              <w:t>①重点防渗措施：</w:t>
            </w:r>
            <w:r>
              <w:rPr>
                <w:rFonts w:hint="eastAsia" w:cs="Times New Roman"/>
                <w:strike w:val="0"/>
                <w:dstrike w:val="0"/>
                <w:color w:val="auto"/>
                <w:sz w:val="24"/>
                <w:szCs w:val="24"/>
                <w:highlight w:val="none"/>
                <w:lang w:eastAsia="zh-CN"/>
              </w:rPr>
              <w:t>危险废物贮存库</w:t>
            </w:r>
            <w:r>
              <w:rPr>
                <w:rFonts w:hint="default" w:ascii="Times New Roman" w:hAnsi="Times New Roman" w:eastAsia="宋体" w:cs="Times New Roman"/>
                <w:strike w:val="0"/>
                <w:dstrike w:val="0"/>
                <w:color w:val="auto"/>
                <w:sz w:val="24"/>
                <w:szCs w:val="24"/>
                <w:highlight w:val="none"/>
              </w:rPr>
              <w:t>做重点防渗处理，</w:t>
            </w:r>
            <w:r>
              <w:rPr>
                <w:rFonts w:hint="default" w:ascii="Times New Roman" w:hAnsi="Times New Roman" w:eastAsia="宋体" w:cs="Times New Roman"/>
                <w:b w:val="0"/>
                <w:bCs w:val="0"/>
                <w:strike w:val="0"/>
                <w:dstrike w:val="0"/>
                <w:color w:val="auto"/>
                <w:sz w:val="24"/>
                <w:highlight w:val="none"/>
                <w:lang w:val="en-US" w:eastAsia="zh-CN"/>
              </w:rPr>
              <w:t>按照</w:t>
            </w:r>
            <w:r>
              <w:rPr>
                <w:rFonts w:hint="default" w:ascii="Times New Roman" w:hAnsi="Times New Roman" w:eastAsia="宋体" w:cs="Times New Roman"/>
                <w:strike w:val="0"/>
                <w:dstrike w:val="0"/>
                <w:color w:val="auto"/>
                <w:sz w:val="24"/>
                <w:highlight w:val="none"/>
                <w:lang w:val="en-US" w:eastAsia="zh-CN"/>
              </w:rPr>
              <w:t>《危险废物贮存污染控制标准》（GB18597-2023）</w:t>
            </w:r>
            <w:r>
              <w:rPr>
                <w:rFonts w:hint="default" w:ascii="Times New Roman" w:hAnsi="Times New Roman" w:eastAsia="宋体" w:cs="Times New Roman"/>
                <w:b w:val="0"/>
                <w:bCs w:val="0"/>
                <w:strike w:val="0"/>
                <w:dstrike w:val="0"/>
                <w:color w:val="auto"/>
                <w:sz w:val="24"/>
                <w:highlight w:val="none"/>
                <w:lang w:val="en-US" w:eastAsia="zh-CN"/>
              </w:rPr>
              <w:t>的要求，</w:t>
            </w:r>
            <w:r>
              <w:rPr>
                <w:rFonts w:hint="default" w:ascii="Times New Roman" w:hAnsi="Times New Roman" w:eastAsia="宋体" w:cs="Times New Roman"/>
                <w:strike w:val="0"/>
                <w:dstrike w:val="0"/>
                <w:color w:val="auto"/>
                <w:sz w:val="24"/>
                <w:highlight w:val="none"/>
                <w:lang w:val="en-US" w:eastAsia="zh-CN"/>
              </w:rPr>
              <w:t>基础必须防渗，</w:t>
            </w:r>
            <w:r>
              <w:rPr>
                <w:rFonts w:hint="default" w:ascii="Times New Roman" w:hAnsi="Times New Roman" w:eastAsia="宋体" w:cs="Times New Roman"/>
                <w:strike w:val="0"/>
                <w:dstrike w:val="0"/>
                <w:color w:val="auto"/>
                <w:sz w:val="24"/>
                <w:highlight w:val="none"/>
              </w:rPr>
              <w:t>防渗层为至少1m厚黏土层（渗透系数≤10</w:t>
            </w:r>
            <w:r>
              <w:rPr>
                <w:rFonts w:hint="default" w:ascii="Times New Roman" w:hAnsi="Times New Roman" w:eastAsia="宋体" w:cs="Times New Roman"/>
                <w:strike w:val="0"/>
                <w:dstrike w:val="0"/>
                <w:color w:val="auto"/>
                <w:sz w:val="24"/>
                <w:highlight w:val="none"/>
                <w:vertAlign w:val="superscript"/>
                <w:lang w:val="en-US" w:eastAsia="zh-CN"/>
              </w:rPr>
              <w:t>-</w:t>
            </w:r>
            <w:r>
              <w:rPr>
                <w:rFonts w:hint="default" w:ascii="Times New Roman" w:hAnsi="Times New Roman" w:eastAsia="宋体" w:cs="Times New Roman"/>
                <w:strike w:val="0"/>
                <w:dstrike w:val="0"/>
                <w:color w:val="auto"/>
                <w:sz w:val="24"/>
                <w:highlight w:val="none"/>
                <w:vertAlign w:val="superscript"/>
              </w:rPr>
              <w:t>7</w:t>
            </w:r>
            <w:r>
              <w:rPr>
                <w:rFonts w:hint="default" w:ascii="Times New Roman" w:hAnsi="Times New Roman" w:eastAsia="宋体" w:cs="Times New Roman"/>
                <w:strike w:val="0"/>
                <w:dstrike w:val="0"/>
                <w:color w:val="auto"/>
                <w:sz w:val="24"/>
                <w:highlight w:val="none"/>
              </w:rPr>
              <w:t>cm/s），或至少2mm厚高密度聚乙烯</w:t>
            </w:r>
            <w:r>
              <w:rPr>
                <w:rFonts w:hint="default" w:ascii="Times New Roman" w:hAnsi="Times New Roman" w:eastAsia="宋体" w:cs="Times New Roman"/>
                <w:strike w:val="0"/>
                <w:dstrike w:val="0"/>
                <w:color w:val="auto"/>
                <w:sz w:val="24"/>
                <w:highlight w:val="none"/>
                <w:lang w:val="en-US" w:eastAsia="zh-CN"/>
              </w:rPr>
              <w:t>膜等人工防渗材料</w:t>
            </w: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rPr>
              <w:t>渗透系数≤10</w:t>
            </w:r>
            <w:r>
              <w:rPr>
                <w:rFonts w:hint="default" w:ascii="Times New Roman" w:hAnsi="Times New Roman" w:eastAsia="宋体" w:cs="Times New Roman"/>
                <w:strike w:val="0"/>
                <w:dstrike w:val="0"/>
                <w:color w:val="auto"/>
                <w:sz w:val="24"/>
                <w:highlight w:val="none"/>
                <w:vertAlign w:val="superscript"/>
                <w:lang w:val="en-US" w:eastAsia="zh-CN"/>
              </w:rPr>
              <w:t>-</w:t>
            </w:r>
            <w:r>
              <w:rPr>
                <w:rFonts w:hint="default" w:ascii="Times New Roman" w:hAnsi="Times New Roman" w:eastAsia="宋体" w:cs="Times New Roman"/>
                <w:strike w:val="0"/>
                <w:dstrike w:val="0"/>
                <w:color w:val="auto"/>
                <w:sz w:val="24"/>
                <w:highlight w:val="none"/>
                <w:vertAlign w:val="superscript"/>
              </w:rPr>
              <w:t>10</w:t>
            </w:r>
            <w:r>
              <w:rPr>
                <w:rFonts w:hint="default" w:ascii="Times New Roman" w:hAnsi="Times New Roman" w:eastAsia="宋体" w:cs="Times New Roman"/>
                <w:strike w:val="0"/>
                <w:dstrike w:val="0"/>
                <w:color w:val="auto"/>
                <w:sz w:val="24"/>
                <w:highlight w:val="none"/>
              </w:rPr>
              <w:t>cm/s</w:t>
            </w: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rPr>
              <w:t>或至</w:t>
            </w:r>
            <w:r>
              <w:rPr>
                <w:rFonts w:hint="default" w:ascii="Times New Roman" w:hAnsi="Times New Roman" w:eastAsia="宋体" w:cs="Times New Roman"/>
                <w:strike w:val="0"/>
                <w:dstrike w:val="0"/>
                <w:color w:val="auto"/>
                <w:sz w:val="24"/>
                <w:highlight w:val="none"/>
                <w:lang w:val="en-US" w:eastAsia="zh-CN"/>
              </w:rPr>
              <w:t>其他防渗性能等效的</w:t>
            </w:r>
            <w:r>
              <w:rPr>
                <w:rFonts w:hint="default" w:ascii="Times New Roman" w:hAnsi="Times New Roman" w:eastAsia="宋体" w:cs="Times New Roman"/>
                <w:strike w:val="0"/>
                <w:dstrike w:val="0"/>
                <w:color w:val="auto"/>
                <w:sz w:val="24"/>
                <w:highlight w:val="none"/>
              </w:rPr>
              <w:t>材料</w:t>
            </w:r>
            <w:r>
              <w:rPr>
                <w:rFonts w:hint="default" w:ascii="Times New Roman" w:hAnsi="Times New Roman" w:eastAsia="宋体" w:cs="Times New Roman"/>
                <w:strike w:val="0"/>
                <w:dstrike w:val="0"/>
                <w:color w:val="auto"/>
                <w:sz w:val="24"/>
                <w:szCs w:val="24"/>
                <w:highlight w:val="none"/>
              </w:rPr>
              <w:t>；</w:t>
            </w:r>
            <w:r>
              <w:rPr>
                <w:rFonts w:hint="default" w:ascii="Times New Roman" w:hAnsi="Times New Roman" w:eastAsia="宋体" w:cs="Times New Roman"/>
                <w:b w:val="0"/>
                <w:bCs w:val="0"/>
                <w:strike w:val="0"/>
                <w:dstrike w:val="0"/>
                <w:color w:val="auto"/>
                <w:sz w:val="24"/>
                <w:highlight w:val="none"/>
                <w:lang w:val="en-US" w:eastAsia="zh-CN"/>
              </w:rPr>
              <w:t>碱库等按照《环境影响评价技术导则地下水环境》（HJ610-2016）中重点防渗区的防渗要求进行防渗设计，</w:t>
            </w:r>
            <w:r>
              <w:rPr>
                <w:rFonts w:hint="default" w:ascii="Times New Roman" w:hAnsi="Times New Roman" w:eastAsia="宋体" w:cs="Times New Roman"/>
                <w:strike w:val="0"/>
                <w:dstrike w:val="0"/>
                <w:color w:val="auto"/>
                <w:sz w:val="24"/>
                <w:highlight w:val="none"/>
              </w:rPr>
              <w:t>防渗层防渗效果须等效于等效黏土防渗层Mb</w:t>
            </w:r>
            <w:r>
              <w:rPr>
                <w:rFonts w:hint="default" w:ascii="Times New Roman" w:hAnsi="Times New Roman" w:eastAsia="宋体" w:cs="Times New Roman"/>
                <w:b w:val="0"/>
                <w:bCs w:val="0"/>
                <w:strike w:val="0"/>
                <w:dstrike w:val="0"/>
                <w:color w:val="auto"/>
                <w:sz w:val="24"/>
                <w:highlight w:val="none"/>
                <w:lang w:val="en-US" w:eastAsia="zh-CN"/>
              </w:rPr>
              <w:t>≥6.0m，渗透系数≤1.0</w:t>
            </w:r>
            <w:r>
              <w:rPr>
                <w:rFonts w:hint="default" w:ascii="Times New Roman" w:hAnsi="Times New Roman" w:eastAsia="宋体" w:cs="Times New Roman"/>
                <w:i w:val="0"/>
                <w:iCs w:val="0"/>
                <w:caps w:val="0"/>
                <w:strike w:val="0"/>
                <w:dstrike w:val="0"/>
                <w:color w:val="auto"/>
                <w:spacing w:val="0"/>
                <w:sz w:val="19"/>
                <w:szCs w:val="19"/>
                <w:highlight w:val="none"/>
                <w:shd w:val="clear" w:color="auto" w:fill="FFFFFF"/>
              </w:rPr>
              <w:t>×</w:t>
            </w:r>
            <w:r>
              <w:rPr>
                <w:rFonts w:hint="default" w:ascii="Times New Roman" w:hAnsi="Times New Roman" w:eastAsia="宋体" w:cs="Times New Roman"/>
                <w:b w:val="0"/>
                <w:bCs w:val="0"/>
                <w:strike w:val="0"/>
                <w:dstrike w:val="0"/>
                <w:color w:val="auto"/>
                <w:sz w:val="24"/>
                <w:highlight w:val="none"/>
                <w:lang w:val="en-US" w:eastAsia="zh-CN"/>
              </w:rPr>
              <w:t>10</w:t>
            </w:r>
            <w:r>
              <w:rPr>
                <w:rFonts w:hint="default" w:ascii="Times New Roman" w:hAnsi="Times New Roman" w:eastAsia="宋体" w:cs="Times New Roman"/>
                <w:strike w:val="0"/>
                <w:dstrike w:val="0"/>
                <w:color w:val="auto"/>
                <w:sz w:val="24"/>
                <w:highlight w:val="none"/>
                <w:vertAlign w:val="superscript"/>
                <w:lang w:val="en-US" w:eastAsia="zh-CN"/>
              </w:rPr>
              <w:t>-</w:t>
            </w:r>
            <w:r>
              <w:rPr>
                <w:rFonts w:hint="default" w:ascii="Times New Roman" w:hAnsi="Times New Roman" w:eastAsia="宋体" w:cs="Times New Roman"/>
                <w:b w:val="0"/>
                <w:bCs w:val="0"/>
                <w:strike w:val="0"/>
                <w:dstrike w:val="0"/>
                <w:color w:val="auto"/>
                <w:sz w:val="24"/>
                <w:highlight w:val="none"/>
                <w:vertAlign w:val="superscript"/>
                <w:lang w:val="en-US" w:eastAsia="zh-CN"/>
              </w:rPr>
              <w:t>7</w:t>
            </w:r>
            <w:r>
              <w:rPr>
                <w:rFonts w:hint="default" w:ascii="Times New Roman" w:hAnsi="Times New Roman" w:eastAsia="宋体" w:cs="Times New Roman"/>
                <w:b w:val="0"/>
                <w:bCs w:val="0"/>
                <w:strike w:val="0"/>
                <w:dstrike w:val="0"/>
                <w:color w:val="auto"/>
                <w:sz w:val="24"/>
                <w:highlight w:val="none"/>
                <w:lang w:val="en-US" w:eastAsia="zh-CN"/>
              </w:rPr>
              <w:t>cm/s的黏土层的防渗性能</w:t>
            </w:r>
            <w:r>
              <w:rPr>
                <w:rFonts w:hint="default" w:ascii="Times New Roman" w:hAnsi="Times New Roman" w:eastAsia="宋体" w:cs="Times New Roman"/>
                <w:strike w:val="0"/>
                <w:dstrike w:val="0"/>
                <w:color w:val="auto"/>
                <w:spacing w:val="-2"/>
                <w:sz w:val="24"/>
                <w:szCs w:val="24"/>
                <w:highlight w:val="none"/>
              </w:rPr>
              <w:t>。</w:t>
            </w:r>
          </w:p>
          <w:p w14:paraId="42622194">
            <w:pPr>
              <w:keepNext w:val="0"/>
              <w:keepLines w:val="0"/>
              <w:pageBreakBefore w:val="0"/>
              <w:widowControl w:val="0"/>
              <w:kinsoku/>
              <w:wordWrap/>
              <w:overflowPunct/>
              <w:topLinePunct/>
              <w:autoSpaceDE w:val="0"/>
              <w:autoSpaceDN/>
              <w:bidi w:val="0"/>
              <w:spacing w:line="360" w:lineRule="auto"/>
              <w:ind w:left="0" w:right="0" w:firstLine="480" w:firstLineChars="200"/>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position w:val="2"/>
                <w:sz w:val="24"/>
                <w:szCs w:val="24"/>
                <w:highlight w:val="none"/>
              </w:rPr>
              <w:t>②一般防渗措施：</w:t>
            </w:r>
            <w:r>
              <w:rPr>
                <w:rFonts w:hint="default" w:ascii="Times New Roman" w:hAnsi="Times New Roman" w:eastAsia="宋体" w:cs="Times New Roman"/>
                <w:b w:val="0"/>
                <w:bCs w:val="0"/>
                <w:strike w:val="0"/>
                <w:dstrike w:val="0"/>
                <w:color w:val="auto"/>
                <w:sz w:val="24"/>
                <w:highlight w:val="none"/>
                <w:lang w:val="en-US" w:eastAsia="zh-CN"/>
              </w:rPr>
              <w:t>生产废水处理设施、</w:t>
            </w:r>
            <w:r>
              <w:rPr>
                <w:rFonts w:hint="default" w:ascii="Times New Roman" w:hAnsi="Times New Roman" w:eastAsia="宋体" w:cs="Times New Roman"/>
                <w:strike w:val="0"/>
                <w:dstrike w:val="0"/>
                <w:color w:val="auto"/>
                <w:sz w:val="24"/>
                <w:highlight w:val="none"/>
                <w:lang w:val="en-US" w:eastAsia="zh-CN"/>
              </w:rPr>
              <w:t>原料库</w:t>
            </w:r>
            <w:r>
              <w:rPr>
                <w:rFonts w:hint="default" w:ascii="Times New Roman" w:hAnsi="Times New Roman" w:eastAsia="宋体" w:cs="Times New Roman"/>
                <w:strike w:val="0"/>
                <w:dstrike w:val="0"/>
                <w:color w:val="auto"/>
                <w:sz w:val="24"/>
                <w:highlight w:val="none"/>
              </w:rPr>
              <w:t>、</w:t>
            </w:r>
            <w:r>
              <w:rPr>
                <w:rFonts w:hint="default" w:ascii="Times New Roman" w:hAnsi="Times New Roman" w:eastAsia="宋体" w:cs="Times New Roman"/>
                <w:b w:val="0"/>
                <w:bCs w:val="0"/>
                <w:strike w:val="0"/>
                <w:dstrike w:val="0"/>
                <w:color w:val="auto"/>
                <w:sz w:val="24"/>
                <w:highlight w:val="none"/>
                <w:lang w:val="en-US" w:eastAsia="zh-CN"/>
              </w:rPr>
              <w:t>辅料库、</w:t>
            </w:r>
            <w:r>
              <w:rPr>
                <w:rFonts w:hint="default" w:ascii="Times New Roman" w:hAnsi="Times New Roman" w:eastAsia="宋体" w:cs="Times New Roman"/>
                <w:strike w:val="0"/>
                <w:dstrike w:val="0"/>
                <w:color w:val="auto"/>
                <w:sz w:val="24"/>
                <w:highlight w:val="none"/>
              </w:rPr>
              <w:t>生活污水处理设施区域</w:t>
            </w: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隔油池、化粪池</w:t>
            </w:r>
            <w:r>
              <w:rPr>
                <w:rFonts w:hint="default" w:ascii="Times New Roman" w:hAnsi="Times New Roman" w:eastAsia="宋体"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highlight w:val="none"/>
                <w:lang w:val="en-US" w:eastAsia="zh-CN"/>
              </w:rPr>
              <w:t>进行一般防渗，</w:t>
            </w:r>
            <w:r>
              <w:rPr>
                <w:rFonts w:hint="default" w:ascii="Times New Roman" w:hAnsi="Times New Roman" w:eastAsia="宋体" w:cs="Times New Roman"/>
                <w:strike w:val="0"/>
                <w:dstrike w:val="0"/>
                <w:color w:val="auto"/>
                <w:sz w:val="24"/>
                <w:highlight w:val="none"/>
              </w:rPr>
              <w:t>要求采取铺设2.0mm树脂膜进行防渗，防渗层防渗效果须等效于等效黏土防渗层Mb≥1.5m，渗透系数≤1×10</w:t>
            </w:r>
            <w:r>
              <w:rPr>
                <w:rFonts w:hint="default" w:ascii="Times New Roman" w:hAnsi="Times New Roman" w:eastAsia="宋体" w:cs="Times New Roman"/>
                <w:strike w:val="0"/>
                <w:dstrike w:val="0"/>
                <w:color w:val="auto"/>
                <w:sz w:val="24"/>
                <w:highlight w:val="none"/>
                <w:vertAlign w:val="superscript"/>
                <w:lang w:val="en-US" w:eastAsia="zh-CN"/>
              </w:rPr>
              <w:t>-</w:t>
            </w:r>
            <w:r>
              <w:rPr>
                <w:rFonts w:hint="default" w:ascii="Times New Roman" w:hAnsi="Times New Roman" w:eastAsia="宋体" w:cs="Times New Roman"/>
                <w:strike w:val="0"/>
                <w:dstrike w:val="0"/>
                <w:color w:val="auto"/>
                <w:sz w:val="24"/>
                <w:highlight w:val="none"/>
                <w:vertAlign w:val="superscript"/>
              </w:rPr>
              <w:t>7</w:t>
            </w:r>
            <w:r>
              <w:rPr>
                <w:rFonts w:hint="default" w:ascii="Times New Roman" w:hAnsi="Times New Roman" w:eastAsia="宋体" w:cs="Times New Roman"/>
                <w:strike w:val="0"/>
                <w:dstrike w:val="0"/>
                <w:color w:val="auto"/>
                <w:sz w:val="24"/>
                <w:highlight w:val="none"/>
              </w:rPr>
              <w:t>cm/s</w:t>
            </w:r>
            <w:r>
              <w:rPr>
                <w:rFonts w:hint="default" w:ascii="Times New Roman" w:hAnsi="Times New Roman" w:eastAsia="宋体" w:cs="Times New Roman"/>
                <w:strike w:val="0"/>
                <w:dstrike w:val="0"/>
                <w:color w:val="auto"/>
                <w:spacing w:val="-1"/>
                <w:position w:val="2"/>
                <w:sz w:val="24"/>
                <w:szCs w:val="24"/>
                <w:highlight w:val="none"/>
              </w:rPr>
              <w:t>。</w:t>
            </w:r>
          </w:p>
          <w:p w14:paraId="227C70E3">
            <w:pPr>
              <w:keepNext w:val="0"/>
              <w:keepLines w:val="0"/>
              <w:pageBreakBefore w:val="0"/>
              <w:widowControl w:val="0"/>
              <w:kinsoku/>
              <w:wordWrap/>
              <w:overflowPunct/>
              <w:topLinePunct/>
              <w:autoSpaceDE w:val="0"/>
              <w:autoSpaceDN/>
              <w:bidi w:val="0"/>
              <w:spacing w:line="360" w:lineRule="auto"/>
              <w:ind w:left="0" w:right="0" w:firstLine="476" w:firstLineChars="200"/>
              <w:textAlignment w:val="auto"/>
              <w:rPr>
                <w:rFonts w:hint="default" w:ascii="Times New Roman" w:hAnsi="Times New Roman" w:eastAsia="宋体" w:cs="Times New Roman"/>
                <w:strike w:val="0"/>
                <w:dstrike w:val="0"/>
                <w:color w:val="auto"/>
                <w:sz w:val="24"/>
                <w:szCs w:val="24"/>
                <w:highlight w:val="none"/>
              </w:rPr>
            </w:pPr>
            <w:r>
              <w:rPr>
                <w:rFonts w:hint="default" w:ascii="Times New Roman" w:hAnsi="Times New Roman" w:eastAsia="宋体" w:cs="Times New Roman"/>
                <w:strike w:val="0"/>
                <w:dstrike w:val="0"/>
                <w:color w:val="auto"/>
                <w:spacing w:val="-1"/>
                <w:sz w:val="24"/>
                <w:szCs w:val="24"/>
                <w:highlight w:val="none"/>
              </w:rPr>
              <w:t>③简单防渗措施：</w:t>
            </w:r>
            <w:r>
              <w:rPr>
                <w:rFonts w:hint="default" w:ascii="Times New Roman" w:hAnsi="Times New Roman" w:eastAsia="宋体" w:cs="Times New Roman"/>
                <w:strike w:val="0"/>
                <w:dstrike w:val="0"/>
                <w:color w:val="auto"/>
                <w:sz w:val="24"/>
                <w:highlight w:val="none"/>
              </w:rPr>
              <w:t>综合楼、宿舍</w:t>
            </w:r>
            <w:r>
              <w:rPr>
                <w:rFonts w:hint="eastAsia" w:cs="Times New Roman"/>
                <w:strike w:val="0"/>
                <w:dstrike w:val="0"/>
                <w:color w:val="auto"/>
                <w:sz w:val="24"/>
                <w:highlight w:val="none"/>
                <w:lang w:val="en-US" w:eastAsia="zh-CN"/>
              </w:rPr>
              <w:t>楼</w:t>
            </w:r>
            <w:r>
              <w:rPr>
                <w:rFonts w:hint="default" w:ascii="Times New Roman" w:hAnsi="Times New Roman" w:eastAsia="宋体" w:cs="Times New Roman"/>
                <w:strike w:val="0"/>
                <w:dstrike w:val="0"/>
                <w:color w:val="auto"/>
                <w:sz w:val="24"/>
                <w:highlight w:val="none"/>
              </w:rPr>
              <w:t>、生产</w:t>
            </w:r>
            <w:r>
              <w:rPr>
                <w:rFonts w:hint="default" w:ascii="Times New Roman" w:hAnsi="Times New Roman" w:eastAsia="宋体" w:cs="Times New Roman"/>
                <w:strike w:val="0"/>
                <w:dstrike w:val="0"/>
                <w:color w:val="auto"/>
                <w:sz w:val="24"/>
                <w:highlight w:val="none"/>
                <w:lang w:val="en-US" w:eastAsia="zh-CN"/>
              </w:rPr>
              <w:t>厂房</w:t>
            </w:r>
            <w:r>
              <w:rPr>
                <w:rFonts w:hint="default" w:ascii="Times New Roman" w:hAnsi="Times New Roman" w:eastAsia="宋体" w:cs="Times New Roman"/>
                <w:strike w:val="0"/>
                <w:dstrike w:val="0"/>
                <w:color w:val="auto"/>
                <w:sz w:val="24"/>
                <w:highlight w:val="none"/>
              </w:rPr>
              <w:t>、</w:t>
            </w:r>
            <w:r>
              <w:rPr>
                <w:rFonts w:hint="default" w:ascii="Times New Roman" w:hAnsi="Times New Roman" w:eastAsia="宋体" w:cs="Times New Roman"/>
                <w:strike w:val="0"/>
                <w:dstrike w:val="0"/>
                <w:color w:val="auto"/>
                <w:sz w:val="24"/>
                <w:highlight w:val="none"/>
                <w:lang w:val="en-US" w:eastAsia="zh-CN"/>
              </w:rPr>
              <w:t>半成品仓库、成品仓库</w:t>
            </w:r>
            <w:r>
              <w:rPr>
                <w:rFonts w:hint="eastAsia" w:cs="Times New Roman"/>
                <w:strike w:val="0"/>
                <w:dstrike w:val="0"/>
                <w:color w:val="auto"/>
                <w:sz w:val="24"/>
                <w:highlight w:val="none"/>
                <w:lang w:val="en-US" w:eastAsia="zh-CN"/>
              </w:rPr>
              <w:t>等</w:t>
            </w:r>
            <w:r>
              <w:rPr>
                <w:rFonts w:hint="default" w:ascii="Times New Roman" w:hAnsi="Times New Roman" w:eastAsia="宋体" w:cs="Times New Roman"/>
                <w:strike w:val="0"/>
                <w:dstrike w:val="0"/>
                <w:color w:val="auto"/>
                <w:sz w:val="24"/>
                <w:highlight w:val="none"/>
                <w:lang w:val="en-US" w:eastAsia="zh-CN"/>
              </w:rPr>
              <w:t>其他</w:t>
            </w:r>
            <w:r>
              <w:rPr>
                <w:rFonts w:hint="default" w:ascii="Times New Roman" w:hAnsi="Times New Roman" w:eastAsia="宋体" w:cs="Times New Roman"/>
                <w:strike w:val="0"/>
                <w:dstrike w:val="0"/>
                <w:color w:val="auto"/>
                <w:spacing w:val="-1"/>
                <w:sz w:val="24"/>
                <w:szCs w:val="24"/>
                <w:highlight w:val="none"/>
                <w:lang w:val="en-US" w:eastAsia="zh-CN"/>
              </w:rPr>
              <w:t>区域</w:t>
            </w:r>
            <w:r>
              <w:rPr>
                <w:rFonts w:hint="default" w:ascii="Times New Roman" w:hAnsi="Times New Roman" w:eastAsia="宋体" w:cs="Times New Roman"/>
                <w:strike w:val="0"/>
                <w:dstrike w:val="0"/>
                <w:color w:val="auto"/>
                <w:spacing w:val="-1"/>
                <w:sz w:val="24"/>
                <w:szCs w:val="24"/>
                <w:highlight w:val="none"/>
              </w:rPr>
              <w:t>采取一般地面硬化措施。</w:t>
            </w:r>
          </w:p>
          <w:p w14:paraId="43AC30D0">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项目运营期建设单位需加强管理，定期巡视，一旦发现危险废物暂存设施等破损引起储存物渗漏，应及时进行检修或更换储存设施。</w:t>
            </w:r>
          </w:p>
          <w:p w14:paraId="760CBEF0">
            <w:pPr>
              <w:pStyle w:val="19"/>
              <w:keepNext w:val="0"/>
              <w:keepLines w:val="0"/>
              <w:pageBreakBefore w:val="0"/>
              <w:widowControl w:val="0"/>
              <w:kinsoku/>
              <w:wordWrap/>
              <w:overflowPunct/>
              <w:topLinePunct/>
              <w:autoSpaceDE w:val="0"/>
              <w:autoSpaceDN/>
              <w:bidi w:val="0"/>
              <w:adjustRightInd/>
              <w:snapToGrid/>
              <w:spacing w:before="0" w:after="0" w:line="360" w:lineRule="auto"/>
              <w:ind w:firstLine="476"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strike w:val="0"/>
                <w:dstrike w:val="0"/>
                <w:color w:val="auto"/>
                <w:spacing w:val="-1"/>
                <w:sz w:val="24"/>
                <w:szCs w:val="24"/>
                <w:highlight w:val="none"/>
              </w:rPr>
              <w:t>综上所述，项目营运期对地下水及土壤环境影响较小</w:t>
            </w:r>
            <w:r>
              <w:rPr>
                <w:rFonts w:hint="default" w:ascii="Times New Roman" w:hAnsi="Times New Roman" w:eastAsia="宋体" w:cs="Times New Roman"/>
                <w:strike w:val="0"/>
                <w:dstrike w:val="0"/>
                <w:color w:val="auto"/>
                <w:sz w:val="24"/>
                <w:szCs w:val="24"/>
                <w:highlight w:val="none"/>
              </w:rPr>
              <w:t>。针对可能发生的地下水污染，项目污染防治措</w:t>
            </w:r>
            <w:r>
              <w:rPr>
                <w:rFonts w:hint="default" w:ascii="Times New Roman" w:hAnsi="Times New Roman" w:eastAsia="宋体" w:cs="Times New Roman"/>
                <w:strike w:val="0"/>
                <w:dstrike w:val="0"/>
                <w:color w:val="auto"/>
                <w:sz w:val="24"/>
                <w:szCs w:val="24"/>
                <w:highlight w:val="none"/>
                <w:lang w:eastAsia="zh-CN"/>
              </w:rPr>
              <w:t>施以</w:t>
            </w:r>
            <w:r>
              <w:rPr>
                <w:rFonts w:hint="default" w:ascii="Times New Roman" w:hAnsi="Times New Roman" w:eastAsia="宋体" w:cs="Times New Roman"/>
                <w:strike w:val="0"/>
                <w:dstrike w:val="0"/>
                <w:color w:val="auto"/>
                <w:sz w:val="24"/>
                <w:szCs w:val="24"/>
                <w:highlight w:val="none"/>
              </w:rPr>
              <w:t>“源头控制、分区防渗、污染监控、应急响应”相结合的原则，从污染物的产生、入渗、扩散、应急响应全方位进行防控</w:t>
            </w:r>
            <w:r>
              <w:rPr>
                <w:rFonts w:hint="default" w:ascii="Times New Roman" w:hAnsi="Times New Roman" w:eastAsia="宋体" w:cs="Times New Roman"/>
                <w:strike w:val="0"/>
                <w:dstrike w:val="0"/>
                <w:color w:val="auto"/>
                <w:sz w:val="24"/>
                <w:szCs w:val="24"/>
                <w:highlight w:val="none"/>
                <w:lang w:eastAsia="zh-CN"/>
              </w:rPr>
              <w:t>。</w:t>
            </w:r>
          </w:p>
          <w:p w14:paraId="2E0DA68E">
            <w:pPr>
              <w:pStyle w:val="28"/>
              <w:keepNext w:val="0"/>
              <w:keepLines w:val="0"/>
              <w:pageBreakBefore w:val="0"/>
              <w:numPr>
                <w:ilvl w:val="0"/>
                <w:numId w:val="0"/>
              </w:numPr>
              <w:kinsoku/>
              <w:overflowPunct/>
              <w:topLinePunct/>
              <w:autoSpaceDE w:val="0"/>
              <w:bidi w:val="0"/>
              <w:ind w:left="0" w:leftChars="0" w:firstLine="0" w:firstLineChars="0"/>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六、环境风险评价</w:t>
            </w:r>
          </w:p>
          <w:p w14:paraId="608D33B5">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评价依据</w:t>
            </w:r>
          </w:p>
          <w:p w14:paraId="30E50530">
            <w:pPr>
              <w:keepNext w:val="0"/>
              <w:keepLines w:val="0"/>
              <w:pageBreakBefore w:val="0"/>
              <w:widowControl w:val="0"/>
              <w:kinsoku/>
              <w:wordWrap/>
              <w:overflowPunct/>
              <w:topLinePunct/>
              <w:autoSpaceDE w:val="0"/>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A60049A">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风险源调查</w:t>
            </w:r>
          </w:p>
          <w:p w14:paraId="0CCD179A">
            <w:pPr>
              <w:keepNext w:val="0"/>
              <w:keepLines w:val="0"/>
              <w:pageBreakBefore w:val="0"/>
              <w:kinsoku/>
              <w:overflowPunct/>
              <w:topLinePunct/>
              <w:autoSpaceDE w:val="0"/>
              <w:bidi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highlight w:val="none"/>
              </w:rPr>
              <w:t>建设项目环境风险评价技术导则》（HJ169-2018）的要求，对项目区可能涉及的风险物质区域，主要从下表中所列各个方面进行环境风险源基本情况调查。</w:t>
            </w:r>
          </w:p>
          <w:p w14:paraId="50B12668">
            <w:pPr>
              <w:keepNext w:val="0"/>
              <w:keepLines w:val="0"/>
              <w:pageBreakBefore w:val="0"/>
              <w:widowControl w:val="0"/>
              <w:kinsoku/>
              <w:wordWrap/>
              <w:overflowPunct/>
              <w:topLinePunct/>
              <w:autoSpaceDE w:val="0"/>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环境风险源基本调查一览表</w:t>
            </w:r>
          </w:p>
          <w:tbl>
            <w:tblPr>
              <w:tblStyle w:val="29"/>
              <w:tblW w:w="80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778"/>
              <w:gridCol w:w="1372"/>
              <w:gridCol w:w="2229"/>
              <w:gridCol w:w="2990"/>
            </w:tblGrid>
            <w:tr w14:paraId="41052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tcBorders>
                    <w:right w:val="single" w:color="auto" w:sz="4" w:space="0"/>
                  </w:tcBorders>
                  <w:noWrap w:val="0"/>
                  <w:vAlign w:val="center"/>
                </w:tcPr>
                <w:p w14:paraId="39AA4180">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序号</w:t>
                  </w:r>
                </w:p>
              </w:tc>
              <w:tc>
                <w:tcPr>
                  <w:tcW w:w="2150" w:type="dxa"/>
                  <w:gridSpan w:val="2"/>
                  <w:tcBorders>
                    <w:left w:val="single" w:color="auto" w:sz="4" w:space="0"/>
                    <w:right w:val="single" w:color="auto" w:sz="4" w:space="0"/>
                  </w:tcBorders>
                  <w:noWrap w:val="0"/>
                  <w:vAlign w:val="center"/>
                </w:tcPr>
                <w:p w14:paraId="2D3D33A2">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调查对象</w:t>
                  </w:r>
                </w:p>
              </w:tc>
              <w:tc>
                <w:tcPr>
                  <w:tcW w:w="2229" w:type="dxa"/>
                  <w:tcBorders>
                    <w:left w:val="single" w:color="auto" w:sz="4" w:space="0"/>
                  </w:tcBorders>
                  <w:noWrap w:val="0"/>
                  <w:vAlign w:val="center"/>
                </w:tcPr>
                <w:p w14:paraId="79404D52">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调查内容</w:t>
                  </w:r>
                </w:p>
              </w:tc>
              <w:tc>
                <w:tcPr>
                  <w:tcW w:w="2990" w:type="dxa"/>
                  <w:noWrap w:val="0"/>
                  <w:vAlign w:val="center"/>
                </w:tcPr>
                <w:p w14:paraId="049F8823">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调查结果</w:t>
                  </w:r>
                </w:p>
              </w:tc>
            </w:tr>
            <w:tr w14:paraId="7F5FC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restart"/>
                  <w:tcBorders>
                    <w:right w:val="single" w:color="auto" w:sz="4" w:space="0"/>
                  </w:tcBorders>
                  <w:noWrap w:val="0"/>
                  <w:vAlign w:val="center"/>
                </w:tcPr>
                <w:p w14:paraId="3B82346F">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778" w:type="dxa"/>
                  <w:vMerge w:val="restart"/>
                  <w:tcBorders>
                    <w:left w:val="single" w:color="auto" w:sz="4" w:space="0"/>
                  </w:tcBorders>
                  <w:noWrap w:val="0"/>
                  <w:vAlign w:val="center"/>
                </w:tcPr>
                <w:p w14:paraId="10AACA61">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风险物质</w:t>
                  </w:r>
                </w:p>
              </w:tc>
              <w:tc>
                <w:tcPr>
                  <w:tcW w:w="1372" w:type="dxa"/>
                  <w:tcBorders>
                    <w:right w:val="single" w:color="auto" w:sz="4" w:space="0"/>
                  </w:tcBorders>
                  <w:noWrap w:val="0"/>
                  <w:vAlign w:val="center"/>
                </w:tcPr>
                <w:p w14:paraId="4353CDF3">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危险物质</w:t>
                  </w:r>
                </w:p>
              </w:tc>
              <w:tc>
                <w:tcPr>
                  <w:tcW w:w="2229" w:type="dxa"/>
                  <w:vMerge w:val="restart"/>
                  <w:tcBorders>
                    <w:left w:val="single" w:color="auto" w:sz="4" w:space="0"/>
                  </w:tcBorders>
                  <w:noWrap w:val="0"/>
                  <w:vAlign w:val="center"/>
                </w:tcPr>
                <w:p w14:paraId="09BFEF58">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主要针对生产过程中使用的各类风险物质名称及使用量、贮存量进行统计分析</w:t>
                  </w:r>
                </w:p>
              </w:tc>
              <w:tc>
                <w:tcPr>
                  <w:tcW w:w="2990" w:type="dxa"/>
                  <w:vMerge w:val="restart"/>
                  <w:noWrap w:val="0"/>
                  <w:vAlign w:val="center"/>
                </w:tcPr>
                <w:p w14:paraId="2BF08516">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aps w:val="0"/>
                      <w:smallCaps w:val="0"/>
                      <w:color w:val="auto"/>
                      <w:sz w:val="21"/>
                      <w:szCs w:val="21"/>
                      <w:highlight w:val="none"/>
                      <w:lang w:eastAsia="zh-CN"/>
                    </w:rPr>
                    <w:t>本项目主要危险物质为</w:t>
                  </w:r>
                  <w:r>
                    <w:rPr>
                      <w:rFonts w:hint="default" w:ascii="Times New Roman" w:hAnsi="Times New Roman" w:eastAsia="宋体" w:cs="Times New Roman"/>
                      <w:bCs/>
                      <w:caps w:val="0"/>
                      <w:smallCaps w:val="0"/>
                      <w:color w:val="auto"/>
                      <w:sz w:val="21"/>
                      <w:szCs w:val="21"/>
                      <w:highlight w:val="none"/>
                      <w:lang w:val="en-US" w:eastAsia="zh-CN"/>
                    </w:rPr>
                    <w:t>氢氧化钠、润滑油</w:t>
                  </w:r>
                  <w:r>
                    <w:rPr>
                      <w:rFonts w:hint="eastAsia" w:cs="Times New Roman"/>
                      <w:bCs/>
                      <w:caps w:val="0"/>
                      <w:smallCaps w:val="0"/>
                      <w:color w:val="auto"/>
                      <w:sz w:val="21"/>
                      <w:szCs w:val="21"/>
                      <w:highlight w:val="none"/>
                      <w:lang w:val="en-US" w:eastAsia="zh-CN"/>
                    </w:rPr>
                    <w:t>、废润滑油</w:t>
                  </w:r>
                  <w:r>
                    <w:rPr>
                      <w:rFonts w:hint="eastAsia" w:ascii="Times New Roman" w:hAnsi="Times New Roman" w:cs="Times New Roman"/>
                      <w:color w:val="auto"/>
                      <w:kern w:val="2"/>
                      <w:sz w:val="21"/>
                      <w:szCs w:val="21"/>
                      <w:highlight w:val="none"/>
                      <w:lang w:val="en-US" w:eastAsia="zh-CN" w:bidi="ar-SA"/>
                    </w:rPr>
                    <w:t>、稀硫酸</w:t>
                  </w:r>
                </w:p>
              </w:tc>
            </w:tr>
            <w:tr w14:paraId="2AAC3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continue"/>
                  <w:tcBorders>
                    <w:right w:val="single" w:color="auto" w:sz="4" w:space="0"/>
                  </w:tcBorders>
                  <w:noWrap w:val="0"/>
                  <w:vAlign w:val="center"/>
                </w:tcPr>
                <w:p w14:paraId="5C86CA85">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778" w:type="dxa"/>
                  <w:vMerge w:val="continue"/>
                  <w:tcBorders>
                    <w:left w:val="single" w:color="auto" w:sz="4" w:space="0"/>
                  </w:tcBorders>
                  <w:noWrap w:val="0"/>
                  <w:vAlign w:val="center"/>
                </w:tcPr>
                <w:p w14:paraId="3F4BD571">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1372" w:type="dxa"/>
                  <w:tcBorders>
                    <w:right w:val="single" w:color="auto" w:sz="4" w:space="0"/>
                  </w:tcBorders>
                  <w:noWrap w:val="0"/>
                  <w:vAlign w:val="center"/>
                </w:tcPr>
                <w:p w14:paraId="515951E8">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其他危险物质</w:t>
                  </w:r>
                </w:p>
              </w:tc>
              <w:tc>
                <w:tcPr>
                  <w:tcW w:w="2229" w:type="dxa"/>
                  <w:vMerge w:val="continue"/>
                  <w:tcBorders>
                    <w:left w:val="single" w:color="auto" w:sz="4" w:space="0"/>
                  </w:tcBorders>
                  <w:noWrap w:val="0"/>
                  <w:vAlign w:val="center"/>
                </w:tcPr>
                <w:p w14:paraId="0434B80D">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2990" w:type="dxa"/>
                  <w:vMerge w:val="continue"/>
                  <w:noWrap w:val="0"/>
                  <w:vAlign w:val="center"/>
                </w:tcPr>
                <w:p w14:paraId="565E34E1">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r>
            <w:tr w14:paraId="517BD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restart"/>
                  <w:tcBorders>
                    <w:right w:val="single" w:color="auto" w:sz="4" w:space="0"/>
                  </w:tcBorders>
                  <w:noWrap w:val="0"/>
                  <w:vAlign w:val="center"/>
                </w:tcPr>
                <w:p w14:paraId="45A3494E">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778" w:type="dxa"/>
                  <w:vMerge w:val="restart"/>
                  <w:tcBorders>
                    <w:left w:val="single" w:color="auto" w:sz="4" w:space="0"/>
                  </w:tcBorders>
                  <w:noWrap w:val="0"/>
                  <w:vAlign w:val="center"/>
                </w:tcPr>
                <w:p w14:paraId="18381C6D">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生产系统</w:t>
                  </w:r>
                </w:p>
              </w:tc>
              <w:tc>
                <w:tcPr>
                  <w:tcW w:w="1372" w:type="dxa"/>
                  <w:noWrap w:val="0"/>
                  <w:vAlign w:val="center"/>
                </w:tcPr>
                <w:p w14:paraId="638318C1">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生产工艺</w:t>
                  </w:r>
                </w:p>
              </w:tc>
              <w:tc>
                <w:tcPr>
                  <w:tcW w:w="2229" w:type="dxa"/>
                  <w:vMerge w:val="restart"/>
                  <w:noWrap w:val="0"/>
                  <w:vAlign w:val="center"/>
                </w:tcPr>
                <w:p w14:paraId="702AC0FE">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重点对生产工艺流程的各阶段进行研究，分析哪些设备、设施可能成为环境风险源</w:t>
                  </w:r>
                </w:p>
              </w:tc>
              <w:tc>
                <w:tcPr>
                  <w:tcW w:w="2990" w:type="dxa"/>
                  <w:vMerge w:val="restart"/>
                  <w:noWrap w:val="0"/>
                  <w:vAlign w:val="center"/>
                </w:tcPr>
                <w:p w14:paraId="0ACEEC54">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无</w:t>
                  </w:r>
                </w:p>
              </w:tc>
            </w:tr>
            <w:tr w14:paraId="6C89B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continue"/>
                  <w:tcBorders>
                    <w:right w:val="single" w:color="auto" w:sz="4" w:space="0"/>
                  </w:tcBorders>
                  <w:noWrap w:val="0"/>
                  <w:vAlign w:val="center"/>
                </w:tcPr>
                <w:p w14:paraId="0CE9F916">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778" w:type="dxa"/>
                  <w:vMerge w:val="continue"/>
                  <w:tcBorders>
                    <w:left w:val="single" w:color="auto" w:sz="4" w:space="0"/>
                  </w:tcBorders>
                  <w:noWrap w:val="0"/>
                  <w:vAlign w:val="center"/>
                </w:tcPr>
                <w:p w14:paraId="25B606BA">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1372" w:type="dxa"/>
                  <w:noWrap w:val="0"/>
                  <w:vAlign w:val="center"/>
                </w:tcPr>
                <w:p w14:paraId="1F22D997">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生产设施</w:t>
                  </w:r>
                </w:p>
              </w:tc>
              <w:tc>
                <w:tcPr>
                  <w:tcW w:w="2229" w:type="dxa"/>
                  <w:vMerge w:val="continue"/>
                  <w:noWrap w:val="0"/>
                  <w:vAlign w:val="center"/>
                </w:tcPr>
                <w:p w14:paraId="52AE72C1">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2990" w:type="dxa"/>
                  <w:vMerge w:val="continue"/>
                  <w:noWrap w:val="0"/>
                  <w:vAlign w:val="center"/>
                </w:tcPr>
                <w:p w14:paraId="4D393974">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r>
            <w:tr w14:paraId="6C53E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restart"/>
                  <w:tcBorders>
                    <w:right w:val="single" w:color="auto" w:sz="4" w:space="0"/>
                  </w:tcBorders>
                  <w:noWrap w:val="0"/>
                  <w:vAlign w:val="center"/>
                </w:tcPr>
                <w:p w14:paraId="0AE53744">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778" w:type="dxa"/>
                  <w:vMerge w:val="restart"/>
                  <w:tcBorders>
                    <w:left w:val="single" w:color="auto" w:sz="4" w:space="0"/>
                  </w:tcBorders>
                  <w:noWrap w:val="0"/>
                  <w:vAlign w:val="center"/>
                </w:tcPr>
                <w:p w14:paraId="51725377">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污染物及环保设施</w:t>
                  </w:r>
                </w:p>
              </w:tc>
              <w:tc>
                <w:tcPr>
                  <w:tcW w:w="1372" w:type="dxa"/>
                  <w:noWrap w:val="0"/>
                  <w:vAlign w:val="center"/>
                </w:tcPr>
                <w:p w14:paraId="18EC16C2">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2229" w:type="dxa"/>
                  <w:vMerge w:val="restart"/>
                  <w:noWrap w:val="0"/>
                  <w:vAlign w:val="center"/>
                </w:tcPr>
                <w:p w14:paraId="627DE0AF">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对项目排放污染物的种类、产生量以及治理工艺进行分析</w:t>
                  </w:r>
                </w:p>
              </w:tc>
              <w:tc>
                <w:tcPr>
                  <w:tcW w:w="2990" w:type="dxa"/>
                  <w:noWrap w:val="0"/>
                  <w:vAlign w:val="center"/>
                </w:tcPr>
                <w:p w14:paraId="01654270">
                  <w:pPr>
                    <w:keepNext w:val="0"/>
                    <w:keepLines w:val="0"/>
                    <w:pageBreakBefore w:val="0"/>
                    <w:kinsoku/>
                    <w:wordWrap/>
                    <w:overflowPunct/>
                    <w:topLinePunct/>
                    <w:autoSpaceDE w:val="0"/>
                    <w:bidi w:val="0"/>
                    <w:snapToGrid w:val="0"/>
                    <w:ind w:left="0" w:leftChars="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strike w:val="0"/>
                      <w:dstrike w:val="0"/>
                      <w:color w:val="auto"/>
                      <w:spacing w:val="-3"/>
                      <w:sz w:val="21"/>
                      <w:szCs w:val="21"/>
                      <w:highlight w:val="none"/>
                      <w:lang w:val="en-US" w:eastAsia="zh-CN"/>
                    </w:rPr>
                    <w:t>项目</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工序，小部分与其余清洗废水一起经厂区生化污水处理站处理，食堂废水经隔油池处理后同其他生活污水一起经化粪池预处理</w:t>
                  </w:r>
                  <w:r>
                    <w:rPr>
                      <w:rFonts w:hint="default" w:ascii="Times New Roman" w:hAnsi="Times New Roman" w:eastAsia="宋体" w:cs="Times New Roman"/>
                      <w:strike w:val="0"/>
                      <w:dstrike w:val="0"/>
                      <w:color w:val="auto"/>
                      <w:kern w:val="0"/>
                      <w:sz w:val="21"/>
                      <w:szCs w:val="21"/>
                      <w:highlight w:val="none"/>
                      <w:lang w:eastAsia="zh-CN"/>
                    </w:rPr>
                    <w:t>，</w:t>
                  </w:r>
                  <w:r>
                    <w:rPr>
                      <w:rFonts w:hint="eastAsia" w:cs="Times New Roman"/>
                      <w:strike w:val="0"/>
                      <w:dstrike w:val="0"/>
                      <w:color w:val="auto"/>
                      <w:kern w:val="0"/>
                      <w:sz w:val="21"/>
                      <w:szCs w:val="21"/>
                      <w:highlight w:val="none"/>
                      <w:lang w:val="en-US" w:eastAsia="zh-CN"/>
                    </w:rPr>
                    <w:t>在总排口处</w:t>
                  </w:r>
                  <w:r>
                    <w:rPr>
                      <w:rFonts w:hint="default" w:ascii="Times New Roman" w:hAnsi="Times New Roman" w:eastAsia="宋体" w:cs="Times New Roman"/>
                      <w:strike w:val="0"/>
                      <w:dstrike w:val="0"/>
                      <w:color w:val="auto"/>
                      <w:kern w:val="0"/>
                      <w:sz w:val="21"/>
                      <w:szCs w:val="21"/>
                      <w:highlight w:val="none"/>
                      <w:lang w:eastAsia="zh-CN"/>
                    </w:rPr>
                    <w:t>达标后排入园区污水管网，最后进入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p>
              </w:tc>
            </w:tr>
            <w:tr w14:paraId="344C8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continue"/>
                  <w:tcBorders>
                    <w:right w:val="single" w:color="auto" w:sz="4" w:space="0"/>
                  </w:tcBorders>
                  <w:noWrap w:val="0"/>
                  <w:vAlign w:val="center"/>
                </w:tcPr>
                <w:p w14:paraId="0423753F">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778" w:type="dxa"/>
                  <w:vMerge w:val="continue"/>
                  <w:tcBorders>
                    <w:left w:val="single" w:color="auto" w:sz="4" w:space="0"/>
                  </w:tcBorders>
                  <w:noWrap w:val="0"/>
                  <w:vAlign w:val="center"/>
                </w:tcPr>
                <w:p w14:paraId="2B418EE3">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1372" w:type="dxa"/>
                  <w:noWrap w:val="0"/>
                  <w:vAlign w:val="center"/>
                </w:tcPr>
                <w:p w14:paraId="7057F4AA">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2229" w:type="dxa"/>
                  <w:vMerge w:val="continue"/>
                  <w:noWrap w:val="0"/>
                  <w:vAlign w:val="center"/>
                </w:tcPr>
                <w:p w14:paraId="19E13F32">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2990" w:type="dxa"/>
                  <w:noWrap w:val="0"/>
                  <w:vAlign w:val="center"/>
                </w:tcPr>
                <w:p w14:paraId="790BE01D">
                  <w:pPr>
                    <w:keepNext w:val="0"/>
                    <w:keepLines w:val="0"/>
                    <w:pageBreakBefore w:val="0"/>
                    <w:kinsoku/>
                    <w:wordWrap/>
                    <w:overflowPunct/>
                    <w:topLinePunct/>
                    <w:autoSpaceDE w:val="0"/>
                    <w:bidi w:val="0"/>
                    <w:snapToGrid w:val="0"/>
                    <w:ind w:left="0" w:leftChars="0" w:right="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废气为</w:t>
                  </w:r>
                  <w:r>
                    <w:rPr>
                      <w:rFonts w:hint="default" w:ascii="Times New Roman" w:hAnsi="Times New Roman" w:eastAsia="宋体" w:cs="Times New Roman"/>
                      <w:color w:val="auto"/>
                      <w:kern w:val="0"/>
                      <w:sz w:val="21"/>
                      <w:szCs w:val="21"/>
                      <w:highlight w:val="none"/>
                      <w:lang w:val="en-US" w:eastAsia="zh-CN"/>
                    </w:rPr>
                    <w:t>颗粒物、</w:t>
                  </w:r>
                  <w:r>
                    <w:rPr>
                      <w:rFonts w:hint="default" w:ascii="Times New Roman" w:hAnsi="Times New Roman" w:eastAsia="宋体" w:cs="Times New Roman"/>
                      <w:color w:val="auto"/>
                      <w:kern w:val="0"/>
                      <w:sz w:val="21"/>
                      <w:szCs w:val="21"/>
                      <w:highlight w:val="none"/>
                    </w:rPr>
                    <w:t>非甲烷总烃</w:t>
                  </w:r>
                  <w:r>
                    <w:rPr>
                      <w:rFonts w:hint="default" w:ascii="Times New Roman" w:hAnsi="Times New Roman" w:eastAsia="宋体" w:cs="Times New Roman"/>
                      <w:color w:val="auto"/>
                      <w:kern w:val="0"/>
                      <w:sz w:val="21"/>
                      <w:szCs w:val="21"/>
                      <w:highlight w:val="none"/>
                      <w:lang w:val="en-US" w:eastAsia="zh-CN"/>
                    </w:rPr>
                    <w:t>及氯化氢，经处理后</w:t>
                  </w:r>
                  <w:r>
                    <w:rPr>
                      <w:rFonts w:hint="default" w:ascii="Times New Roman" w:hAnsi="Times New Roman" w:eastAsia="宋体" w:cs="Times New Roman"/>
                      <w:color w:val="auto"/>
                      <w:kern w:val="0"/>
                      <w:sz w:val="21"/>
                      <w:szCs w:val="21"/>
                      <w:highlight w:val="none"/>
                    </w:rPr>
                    <w:t>达标排放</w:t>
                  </w:r>
                </w:p>
              </w:tc>
            </w:tr>
            <w:tr w14:paraId="510B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8" w:type="dxa"/>
                  <w:vMerge w:val="continue"/>
                  <w:tcBorders>
                    <w:right w:val="single" w:color="auto" w:sz="4" w:space="0"/>
                  </w:tcBorders>
                  <w:noWrap w:val="0"/>
                  <w:vAlign w:val="center"/>
                </w:tcPr>
                <w:p w14:paraId="48CEECD8">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778" w:type="dxa"/>
                  <w:vMerge w:val="continue"/>
                  <w:tcBorders>
                    <w:left w:val="single" w:color="auto" w:sz="4" w:space="0"/>
                  </w:tcBorders>
                  <w:noWrap w:val="0"/>
                  <w:vAlign w:val="center"/>
                </w:tcPr>
                <w:p w14:paraId="0E2534DF">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1372" w:type="dxa"/>
                  <w:noWrap w:val="0"/>
                  <w:vAlign w:val="center"/>
                </w:tcPr>
                <w:p w14:paraId="64621549">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2229" w:type="dxa"/>
                  <w:vMerge w:val="continue"/>
                  <w:noWrap w:val="0"/>
                  <w:vAlign w:val="center"/>
                </w:tcPr>
                <w:p w14:paraId="5952FA24">
                  <w:pPr>
                    <w:keepNext w:val="0"/>
                    <w:keepLines w:val="0"/>
                    <w:pageBreakBefore w:val="0"/>
                    <w:kinsoku/>
                    <w:wordWrap/>
                    <w:overflowPunct/>
                    <w:topLinePunct/>
                    <w:autoSpaceDE w:val="0"/>
                    <w:bidi w:val="0"/>
                    <w:snapToGrid w:val="0"/>
                    <w:ind w:left="0" w:leftChars="0" w:right="0"/>
                    <w:jc w:val="center"/>
                    <w:rPr>
                      <w:rFonts w:hint="default" w:ascii="Times New Roman" w:hAnsi="Times New Roman" w:eastAsia="宋体" w:cs="Times New Roman"/>
                      <w:color w:val="auto"/>
                      <w:kern w:val="0"/>
                      <w:sz w:val="21"/>
                      <w:szCs w:val="21"/>
                      <w:highlight w:val="none"/>
                    </w:rPr>
                  </w:pPr>
                </w:p>
              </w:tc>
              <w:tc>
                <w:tcPr>
                  <w:tcW w:w="2990" w:type="dxa"/>
                  <w:noWrap w:val="0"/>
                  <w:vAlign w:val="center"/>
                </w:tcPr>
                <w:p w14:paraId="716F56ED">
                  <w:pPr>
                    <w:keepNext w:val="0"/>
                    <w:keepLines w:val="0"/>
                    <w:pageBreakBefore w:val="0"/>
                    <w:kinsoku/>
                    <w:wordWrap/>
                    <w:overflowPunct/>
                    <w:topLinePunct/>
                    <w:autoSpaceDE w:val="0"/>
                    <w:bidi w:val="0"/>
                    <w:snapToGrid w:val="0"/>
                    <w:ind w:left="0" w:leftChars="0" w:right="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项目在设备维护过程中会产生少量的废润滑油，有机废气处理过程中产生废活性炭等</w:t>
                  </w:r>
                </w:p>
              </w:tc>
            </w:tr>
          </w:tbl>
          <w:p w14:paraId="1226B859">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根据调查，同时对照《建设项目环境风险评价技术导则》（HJ169-2018）表B.1，</w:t>
            </w:r>
            <w:r>
              <w:rPr>
                <w:rFonts w:hint="default" w:ascii="Times New Roman" w:hAnsi="Times New Roman" w:eastAsia="宋体" w:cs="Times New Roman"/>
                <w:color w:val="auto"/>
                <w:sz w:val="24"/>
                <w:highlight w:val="none"/>
                <w:lang w:val="en-US" w:eastAsia="zh-CN"/>
              </w:rPr>
              <w:t>本项目主要风险物质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highlight w:val="none"/>
                <w:lang w:val="en-US" w:eastAsia="zh-CN"/>
              </w:rPr>
              <w:t>氢氧化钠</w:t>
            </w:r>
            <w:r>
              <w:rPr>
                <w:rFonts w:hint="eastAsia" w:ascii="Times New Roman" w:hAnsi="Times New Roman" w:cs="Times New Roman"/>
                <w:color w:val="auto"/>
                <w:kern w:val="2"/>
                <w:sz w:val="24"/>
                <w:szCs w:val="24"/>
                <w:highlight w:val="none"/>
                <w:lang w:val="en-US" w:eastAsia="zh-CN" w:bidi="ar-SA"/>
              </w:rPr>
              <w:t>、稀硫酸</w:t>
            </w:r>
            <w:r>
              <w:rPr>
                <w:rFonts w:hint="default" w:ascii="Times New Roman" w:hAnsi="Times New Roman" w:eastAsia="宋体" w:cs="Times New Roman"/>
                <w:color w:val="auto"/>
                <w:kern w:val="1"/>
                <w:sz w:val="24"/>
                <w:highlight w:val="none"/>
              </w:rPr>
              <w:t>和危险废物，生产过程中不涉及导则附录表C、表C.1中所列的危险工艺</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szCs w:val="24"/>
                <w:highlight w:val="none"/>
              </w:rPr>
              <w:t>本项目风险</w:t>
            </w:r>
            <w:r>
              <w:rPr>
                <w:rFonts w:hint="default" w:ascii="Times New Roman" w:hAnsi="Times New Roman" w:eastAsia="宋体" w:cs="Times New Roman"/>
                <w:color w:val="auto"/>
                <w:sz w:val="24"/>
                <w:szCs w:val="24"/>
                <w:highlight w:val="none"/>
                <w:lang w:val="en-US" w:eastAsia="zh-CN"/>
              </w:rPr>
              <w:t>源主要为</w:t>
            </w:r>
            <w:r>
              <w:rPr>
                <w:rFonts w:hint="default" w:ascii="Times New Roman" w:hAnsi="Times New Roman" w:eastAsia="宋体" w:cs="Times New Roman"/>
                <w:color w:val="auto"/>
                <w:kern w:val="0"/>
                <w:sz w:val="24"/>
                <w:szCs w:val="24"/>
                <w:highlight w:val="none"/>
                <w:lang w:val="en-US" w:eastAsia="zh-CN"/>
              </w:rPr>
              <w:t>碱库、</w:t>
            </w:r>
            <w:r>
              <w:rPr>
                <w:rFonts w:hint="eastAsia" w:cs="Times New Roman"/>
                <w:color w:val="auto"/>
                <w:kern w:val="0"/>
                <w:sz w:val="24"/>
                <w:szCs w:val="24"/>
                <w:highlight w:val="none"/>
                <w:lang w:val="en-US" w:eastAsia="zh-CN"/>
              </w:rPr>
              <w:t>污水处理站材料库、</w:t>
            </w:r>
            <w:r>
              <w:rPr>
                <w:rFonts w:hint="eastAsia" w:cs="Times New Roman"/>
                <w:color w:val="auto"/>
                <w:sz w:val="24"/>
                <w:szCs w:val="24"/>
                <w:highlight w:val="none"/>
                <w:lang w:val="en-US" w:eastAsia="zh-CN"/>
              </w:rPr>
              <w:t>危险废物贮存库</w:t>
            </w:r>
            <w:r>
              <w:rPr>
                <w:rFonts w:hint="default" w:ascii="Times New Roman" w:hAnsi="Times New Roman" w:eastAsia="宋体" w:cs="Times New Roman"/>
                <w:color w:val="auto"/>
                <w:sz w:val="24"/>
                <w:szCs w:val="24"/>
                <w:highlight w:val="none"/>
              </w:rPr>
              <w:t>。</w:t>
            </w:r>
          </w:p>
          <w:p w14:paraId="114BF5F1">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风险潜势初判</w:t>
            </w:r>
          </w:p>
          <w:p w14:paraId="67CBDE01">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根据《建设项目环境风险评价技术导则》（HJ169</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2018）附录C中C.1.1危险物质数量与临界量比值。当存在多种危险物质时，则按式（1）计算物质总量与其临界量比值（Q）：</w:t>
            </w:r>
          </w:p>
          <w:p w14:paraId="25ABF423">
            <w:pPr>
              <w:keepNext w:val="0"/>
              <w:keepLines w:val="0"/>
              <w:pageBreakBefore w:val="0"/>
              <w:kinsoku/>
              <w:wordWrap/>
              <w:overflowPunct/>
              <w:topLinePunct/>
              <w:autoSpaceDE w:val="0"/>
              <w:autoSpaceDN w:val="0"/>
              <w:bidi w:val="0"/>
              <w:adjustRightInd w:val="0"/>
              <w:spacing w:line="360" w:lineRule="auto"/>
              <w:ind w:left="0" w:leftChars="0" w:right="0" w:firstLine="480"/>
              <w:jc w:val="center"/>
              <w:rPr>
                <w:rFonts w:hint="default" w:ascii="Times New Roman" w:hAnsi="Times New Roman" w:eastAsia="宋体" w:cs="Times New Roman"/>
                <w:color w:val="auto"/>
                <w:spacing w:val="1"/>
                <w:kern w:val="0"/>
                <w:sz w:val="24"/>
                <w:szCs w:val="28"/>
                <w:highlight w:val="none"/>
              </w:rPr>
            </w:pPr>
            <w:r>
              <w:rPr>
                <w:rFonts w:hint="default" w:ascii="Times New Roman" w:hAnsi="Times New Roman" w:eastAsia="宋体" w:cs="Times New Roman"/>
                <w:color w:val="auto"/>
                <w:highlight w:val="none"/>
              </w:rPr>
              <w:drawing>
                <wp:inline distT="0" distB="0" distL="114300" distR="114300">
                  <wp:extent cx="2608580" cy="771525"/>
                  <wp:effectExtent l="0" t="0" r="1270"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5"/>
                          <a:stretch>
                            <a:fillRect/>
                          </a:stretch>
                        </pic:blipFill>
                        <pic:spPr>
                          <a:xfrm>
                            <a:off x="0" y="0"/>
                            <a:ext cx="2608580" cy="771525"/>
                          </a:xfrm>
                          <a:prstGeom prst="rect">
                            <a:avLst/>
                          </a:prstGeom>
                          <a:noFill/>
                          <a:ln>
                            <a:noFill/>
                          </a:ln>
                        </pic:spPr>
                      </pic:pic>
                    </a:graphicData>
                  </a:graphic>
                </wp:inline>
              </w:drawing>
            </w:r>
          </w:p>
          <w:p w14:paraId="079A1008">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——每种环境风险物质的最大存在总量，t；</w:t>
            </w:r>
          </w:p>
          <w:p w14:paraId="766A2F16">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——每种环境风险物质的临界量，t。</w:t>
            </w:r>
          </w:p>
          <w:p w14:paraId="67706FD7">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当Q＜1时，该项目环境风险潜势为Ⅰ。</w:t>
            </w:r>
          </w:p>
          <w:p w14:paraId="0418EAD5">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当Q≥1时，将Q值划分为：（1）1≤Q小于10；（2）10≤Q＜100；（3）Q≥100。</w:t>
            </w:r>
          </w:p>
          <w:p w14:paraId="7153BBCE">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本项目Q值计算结果如下</w:t>
            </w:r>
            <w:r>
              <w:rPr>
                <w:rFonts w:hint="default" w:ascii="Times New Roman" w:hAnsi="Times New Roman" w:eastAsia="宋体" w:cs="Times New Roman"/>
                <w:color w:val="auto"/>
                <w:sz w:val="24"/>
                <w:highlight w:val="none"/>
                <w:lang w:eastAsia="zh-CN"/>
              </w:rPr>
              <w:t>：</w:t>
            </w:r>
          </w:p>
          <w:p w14:paraId="03A5126E">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项目区突发环境事件风险物质及临界比值</w:t>
            </w:r>
          </w:p>
          <w:tbl>
            <w:tblPr>
              <w:tblStyle w:val="29"/>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2378"/>
              <w:gridCol w:w="1633"/>
              <w:gridCol w:w="1100"/>
              <w:gridCol w:w="1700"/>
            </w:tblGrid>
            <w:tr w14:paraId="1371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6" w:type="dxa"/>
                  <w:noWrap w:val="0"/>
                  <w:vAlign w:val="center"/>
                </w:tcPr>
                <w:p w14:paraId="768A063D">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bCs/>
                      <w:color w:val="auto"/>
                      <w:kern w:val="0"/>
                      <w:highlight w:val="none"/>
                      <w:lang w:val="zh-CN" w:eastAsia="zh-CN"/>
                    </w:rPr>
                  </w:pPr>
                  <w:r>
                    <w:rPr>
                      <w:rFonts w:hint="default" w:ascii="Times New Roman" w:hAnsi="Times New Roman" w:eastAsia="宋体" w:cs="Times New Roman"/>
                      <w:b/>
                      <w:bCs/>
                      <w:strike w:val="0"/>
                      <w:dstrike w:val="0"/>
                      <w:color w:val="auto"/>
                      <w:kern w:val="0"/>
                      <w:sz w:val="21"/>
                      <w:szCs w:val="21"/>
                      <w:highlight w:val="none"/>
                      <w:lang w:val="en-US" w:eastAsia="zh-CN"/>
                    </w:rPr>
                    <w:t>CAS号</w:t>
                  </w:r>
                </w:p>
              </w:tc>
              <w:tc>
                <w:tcPr>
                  <w:tcW w:w="2378" w:type="dxa"/>
                  <w:noWrap w:val="0"/>
                  <w:vAlign w:val="center"/>
                </w:tcPr>
                <w:p w14:paraId="08056B94">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b/>
                      <w:bCs/>
                      <w:color w:val="auto"/>
                      <w:kern w:val="0"/>
                      <w:highlight w:val="none"/>
                      <w:lang w:val="zh-CN"/>
                    </w:rPr>
                  </w:pPr>
                  <w:r>
                    <w:rPr>
                      <w:rFonts w:hint="default" w:ascii="Times New Roman" w:hAnsi="Times New Roman" w:eastAsia="宋体" w:cs="Times New Roman"/>
                      <w:b/>
                      <w:bCs/>
                      <w:color w:val="auto"/>
                      <w:kern w:val="0"/>
                      <w:highlight w:val="none"/>
                      <w:lang w:val="zh-CN"/>
                    </w:rPr>
                    <w:t>危险化学品名称</w:t>
                  </w:r>
                </w:p>
              </w:tc>
              <w:tc>
                <w:tcPr>
                  <w:tcW w:w="1633" w:type="dxa"/>
                  <w:noWrap w:val="0"/>
                  <w:vAlign w:val="center"/>
                </w:tcPr>
                <w:p w14:paraId="50426DBF">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b/>
                      <w:bCs/>
                      <w:color w:val="auto"/>
                      <w:kern w:val="0"/>
                      <w:highlight w:val="none"/>
                      <w:lang w:val="zh-CN"/>
                    </w:rPr>
                  </w:pPr>
                  <w:r>
                    <w:rPr>
                      <w:rFonts w:hint="default" w:ascii="Times New Roman" w:hAnsi="Times New Roman" w:eastAsia="宋体" w:cs="Times New Roman"/>
                      <w:b/>
                      <w:bCs/>
                      <w:color w:val="auto"/>
                      <w:kern w:val="0"/>
                      <w:highlight w:val="none"/>
                      <w:lang w:val="en-US" w:eastAsia="zh-CN"/>
                    </w:rPr>
                    <w:t>单元实际</w:t>
                  </w:r>
                  <w:r>
                    <w:rPr>
                      <w:rFonts w:hint="default" w:ascii="Times New Roman" w:hAnsi="Times New Roman" w:eastAsia="宋体" w:cs="Times New Roman"/>
                      <w:b/>
                      <w:bCs/>
                      <w:color w:val="auto"/>
                      <w:kern w:val="0"/>
                      <w:highlight w:val="none"/>
                      <w:lang w:val="zh-CN"/>
                    </w:rPr>
                    <w:t>最大储存量（</w:t>
                  </w:r>
                  <w:r>
                    <w:rPr>
                      <w:rFonts w:hint="default" w:ascii="Times New Roman" w:hAnsi="Times New Roman" w:eastAsia="宋体" w:cs="Times New Roman"/>
                      <w:b/>
                      <w:bCs/>
                      <w:color w:val="auto"/>
                      <w:kern w:val="0"/>
                      <w:highlight w:val="none"/>
                    </w:rPr>
                    <w:t>t</w:t>
                  </w:r>
                  <w:r>
                    <w:rPr>
                      <w:rFonts w:hint="default" w:ascii="Times New Roman" w:hAnsi="Times New Roman" w:eastAsia="宋体" w:cs="Times New Roman"/>
                      <w:b/>
                      <w:bCs/>
                      <w:color w:val="auto"/>
                      <w:kern w:val="0"/>
                      <w:highlight w:val="none"/>
                      <w:lang w:eastAsia="zh-CN"/>
                    </w:rPr>
                    <w:t>）</w:t>
                  </w:r>
                </w:p>
              </w:tc>
              <w:tc>
                <w:tcPr>
                  <w:tcW w:w="1100" w:type="dxa"/>
                  <w:tcBorders>
                    <w:right w:val="single" w:color="auto" w:sz="4" w:space="0"/>
                  </w:tcBorders>
                  <w:noWrap w:val="0"/>
                  <w:vAlign w:val="center"/>
                </w:tcPr>
                <w:p w14:paraId="5098D0EF">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b/>
                      <w:bCs/>
                      <w:color w:val="auto"/>
                      <w:kern w:val="0"/>
                      <w:highlight w:val="none"/>
                      <w:lang w:val="zh-CN"/>
                    </w:rPr>
                  </w:pPr>
                  <w:r>
                    <w:rPr>
                      <w:rFonts w:hint="default" w:ascii="Times New Roman" w:hAnsi="Times New Roman" w:eastAsia="宋体" w:cs="Times New Roman"/>
                      <w:b/>
                      <w:bCs/>
                      <w:color w:val="auto"/>
                      <w:kern w:val="0"/>
                      <w:highlight w:val="none"/>
                      <w:lang w:val="zh-CN"/>
                    </w:rPr>
                    <w:t>临界量（</w:t>
                  </w:r>
                  <w:r>
                    <w:rPr>
                      <w:rFonts w:hint="default" w:ascii="Times New Roman" w:hAnsi="Times New Roman" w:eastAsia="宋体" w:cs="Times New Roman"/>
                      <w:b/>
                      <w:bCs/>
                      <w:color w:val="auto"/>
                      <w:kern w:val="0"/>
                      <w:highlight w:val="none"/>
                    </w:rPr>
                    <w:t>t</w:t>
                  </w:r>
                  <w:r>
                    <w:rPr>
                      <w:rFonts w:hint="default" w:ascii="Times New Roman" w:hAnsi="Times New Roman" w:eastAsia="宋体" w:cs="Times New Roman"/>
                      <w:b/>
                      <w:bCs/>
                      <w:color w:val="auto"/>
                      <w:kern w:val="0"/>
                      <w:highlight w:val="none"/>
                      <w:lang w:val="zh-CN"/>
                    </w:rPr>
                    <w:t>）</w:t>
                  </w:r>
                </w:p>
              </w:tc>
              <w:tc>
                <w:tcPr>
                  <w:tcW w:w="1700" w:type="dxa"/>
                  <w:tcBorders>
                    <w:left w:val="single" w:color="auto" w:sz="4" w:space="0"/>
                  </w:tcBorders>
                  <w:noWrap w:val="0"/>
                  <w:vAlign w:val="center"/>
                </w:tcPr>
                <w:p w14:paraId="151E4A79">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b/>
                      <w:bCs/>
                      <w:color w:val="auto"/>
                      <w:kern w:val="0"/>
                      <w:highlight w:val="none"/>
                      <w:lang w:val="zh-CN"/>
                    </w:rPr>
                  </w:pPr>
                  <w:r>
                    <w:rPr>
                      <w:rFonts w:hint="default" w:ascii="Times New Roman" w:hAnsi="Times New Roman" w:eastAsia="宋体" w:cs="Times New Roman"/>
                      <w:b/>
                      <w:bCs/>
                      <w:color w:val="auto"/>
                      <w:kern w:val="0"/>
                      <w:highlight w:val="none"/>
                      <w:lang w:val="zh-CN"/>
                    </w:rPr>
                    <w:t>qi/Qi</w:t>
                  </w:r>
                </w:p>
              </w:tc>
            </w:tr>
            <w:tr w14:paraId="79CA6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6" w:type="dxa"/>
                  <w:noWrap w:val="0"/>
                  <w:vAlign w:val="center"/>
                </w:tcPr>
                <w:p w14:paraId="13309ED2">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rPr>
                    <w:t>/</w:t>
                  </w:r>
                </w:p>
              </w:tc>
              <w:tc>
                <w:tcPr>
                  <w:tcW w:w="2378" w:type="dxa"/>
                  <w:noWrap w:val="0"/>
                  <w:vAlign w:val="center"/>
                </w:tcPr>
                <w:p w14:paraId="6BB1FB99">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val="0"/>
                      <w:bCs/>
                      <w:color w:val="auto"/>
                      <w:sz w:val="21"/>
                      <w:szCs w:val="21"/>
                      <w:highlight w:val="none"/>
                      <w:vertAlign w:val="baseline"/>
                      <w:lang w:val="zh-CN" w:eastAsia="zh-CN"/>
                    </w:rPr>
                  </w:pPr>
                  <w:r>
                    <w:rPr>
                      <w:rFonts w:hint="default" w:ascii="Times New Roman" w:hAnsi="Times New Roman" w:eastAsia="宋体" w:cs="Times New Roman"/>
                      <w:strike w:val="0"/>
                      <w:dstrike w:val="0"/>
                      <w:color w:val="auto"/>
                      <w:kern w:val="0"/>
                      <w:sz w:val="21"/>
                      <w:szCs w:val="21"/>
                      <w:highlight w:val="none"/>
                      <w:lang w:val="en-US" w:eastAsia="zh-CN"/>
                    </w:rPr>
                    <w:t>废润滑油（</w:t>
                  </w:r>
                  <w:r>
                    <w:rPr>
                      <w:rFonts w:hint="default" w:ascii="Times New Roman" w:hAnsi="Times New Roman" w:eastAsia="宋体" w:cs="Times New Roman"/>
                      <w:strike w:val="0"/>
                      <w:dstrike w:val="0"/>
                      <w:color w:val="auto"/>
                      <w:kern w:val="0"/>
                      <w:sz w:val="21"/>
                      <w:szCs w:val="21"/>
                      <w:highlight w:val="none"/>
                      <w:lang w:val="zh-CN" w:eastAsia="zh-CN"/>
                    </w:rPr>
                    <w:t>废矿物油</w:t>
                  </w:r>
                  <w:r>
                    <w:rPr>
                      <w:rFonts w:hint="default" w:ascii="Times New Roman" w:hAnsi="Times New Roman" w:eastAsia="宋体" w:cs="Times New Roman"/>
                      <w:strike w:val="0"/>
                      <w:dstrike w:val="0"/>
                      <w:color w:val="auto"/>
                      <w:kern w:val="0"/>
                      <w:sz w:val="21"/>
                      <w:szCs w:val="21"/>
                      <w:highlight w:val="none"/>
                      <w:lang w:val="en-US" w:eastAsia="zh-CN"/>
                    </w:rPr>
                    <w:t>）</w:t>
                  </w:r>
                </w:p>
              </w:tc>
              <w:tc>
                <w:tcPr>
                  <w:tcW w:w="1633" w:type="dxa"/>
                  <w:noWrap w:val="0"/>
                  <w:vAlign w:val="center"/>
                </w:tcPr>
                <w:p w14:paraId="683B1548">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rPr>
                    <w:t>0.5</w:t>
                  </w:r>
                </w:p>
              </w:tc>
              <w:tc>
                <w:tcPr>
                  <w:tcW w:w="1100" w:type="dxa"/>
                  <w:tcBorders>
                    <w:right w:val="single" w:color="auto" w:sz="4" w:space="0"/>
                  </w:tcBorders>
                  <w:noWrap w:val="0"/>
                  <w:vAlign w:val="center"/>
                </w:tcPr>
                <w:p w14:paraId="76C518D8">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rPr>
                    <w:t>2500</w:t>
                  </w:r>
                </w:p>
              </w:tc>
              <w:tc>
                <w:tcPr>
                  <w:tcW w:w="1700" w:type="dxa"/>
                  <w:tcBorders>
                    <w:left w:val="single" w:color="auto" w:sz="4" w:space="0"/>
                  </w:tcBorders>
                  <w:noWrap w:val="0"/>
                  <w:vAlign w:val="center"/>
                </w:tcPr>
                <w:p w14:paraId="2AB12505">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strike w:val="0"/>
                      <w:dstrike w:val="0"/>
                      <w:color w:val="auto"/>
                      <w:kern w:val="0"/>
                      <w:sz w:val="21"/>
                      <w:szCs w:val="21"/>
                      <w:highlight w:val="none"/>
                    </w:rPr>
                    <w:t>0.000</w:t>
                  </w:r>
                  <w:r>
                    <w:rPr>
                      <w:rFonts w:hint="default" w:ascii="Times New Roman" w:hAnsi="Times New Roman" w:eastAsia="宋体" w:cs="Times New Roman"/>
                      <w:strike w:val="0"/>
                      <w:dstrike w:val="0"/>
                      <w:color w:val="auto"/>
                      <w:kern w:val="0"/>
                      <w:sz w:val="21"/>
                      <w:szCs w:val="21"/>
                      <w:highlight w:val="none"/>
                      <w:lang w:val="en-US" w:eastAsia="zh-CN"/>
                    </w:rPr>
                    <w:t>2</w:t>
                  </w:r>
                </w:p>
              </w:tc>
            </w:tr>
            <w:tr w14:paraId="50D4F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6" w:type="dxa"/>
                  <w:noWrap w:val="0"/>
                  <w:vAlign w:val="center"/>
                </w:tcPr>
                <w:p w14:paraId="76134574">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rPr>
                    <w:t>/</w:t>
                  </w:r>
                </w:p>
              </w:tc>
              <w:tc>
                <w:tcPr>
                  <w:tcW w:w="2378" w:type="dxa"/>
                  <w:noWrap w:val="0"/>
                  <w:vAlign w:val="center"/>
                </w:tcPr>
                <w:p w14:paraId="01251F07">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4"/>
                      <w:highlight w:val="none"/>
                      <w:lang w:val="zh-CN"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润滑油（矿物油类）</w:t>
                  </w:r>
                </w:p>
              </w:tc>
              <w:tc>
                <w:tcPr>
                  <w:tcW w:w="1633" w:type="dxa"/>
                  <w:noWrap w:val="0"/>
                  <w:vAlign w:val="center"/>
                </w:tcPr>
                <w:p w14:paraId="7D5DB426">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0.8</w:t>
                  </w:r>
                </w:p>
              </w:tc>
              <w:tc>
                <w:tcPr>
                  <w:tcW w:w="1100" w:type="dxa"/>
                  <w:tcBorders>
                    <w:right w:val="single" w:color="auto" w:sz="4" w:space="0"/>
                  </w:tcBorders>
                  <w:noWrap w:val="0"/>
                  <w:vAlign w:val="center"/>
                </w:tcPr>
                <w:p w14:paraId="5ACE3F8C">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2500</w:t>
                  </w:r>
                </w:p>
              </w:tc>
              <w:tc>
                <w:tcPr>
                  <w:tcW w:w="1700" w:type="dxa"/>
                  <w:tcBorders>
                    <w:left w:val="single" w:color="auto" w:sz="4" w:space="0"/>
                  </w:tcBorders>
                  <w:noWrap w:val="0"/>
                  <w:vAlign w:val="center"/>
                </w:tcPr>
                <w:p w14:paraId="44F2C188">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rPr>
                    <w:t>0.000</w:t>
                  </w:r>
                  <w:r>
                    <w:rPr>
                      <w:rFonts w:hint="default" w:ascii="Times New Roman" w:hAnsi="Times New Roman" w:eastAsia="宋体" w:cs="Times New Roman"/>
                      <w:strike w:val="0"/>
                      <w:dstrike w:val="0"/>
                      <w:color w:val="auto"/>
                      <w:kern w:val="0"/>
                      <w:sz w:val="21"/>
                      <w:szCs w:val="21"/>
                      <w:highlight w:val="none"/>
                      <w:lang w:val="en-US" w:eastAsia="zh-CN"/>
                    </w:rPr>
                    <w:t>32</w:t>
                  </w:r>
                </w:p>
              </w:tc>
            </w:tr>
            <w:tr w14:paraId="426F9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6" w:type="dxa"/>
                  <w:noWrap w:val="0"/>
                  <w:vAlign w:val="center"/>
                </w:tcPr>
                <w:p w14:paraId="124E73AA">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rPr>
                  </w:pPr>
                  <w:r>
                    <w:rPr>
                      <w:rFonts w:hint="default" w:ascii="Times New Roman" w:hAnsi="Times New Roman" w:eastAsia="宋体" w:cs="Times New Roman"/>
                      <w:strike w:val="0"/>
                      <w:dstrike w:val="0"/>
                      <w:color w:val="auto"/>
                      <w:kern w:val="0"/>
                      <w:sz w:val="21"/>
                      <w:szCs w:val="21"/>
                      <w:highlight w:val="none"/>
                      <w:lang w:val="en-US" w:eastAsia="zh-CN"/>
                    </w:rPr>
                    <w:t>7664-93-9</w:t>
                  </w:r>
                </w:p>
              </w:tc>
              <w:tc>
                <w:tcPr>
                  <w:tcW w:w="2378" w:type="dxa"/>
                  <w:noWrap w:val="0"/>
                  <w:vAlign w:val="center"/>
                </w:tcPr>
                <w:p w14:paraId="37D84CF8">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rPr>
                  </w:pPr>
                  <w:r>
                    <w:rPr>
                      <w:rFonts w:hint="eastAsia" w:cs="Times New Roman"/>
                      <w:strike w:val="0"/>
                      <w:dstrike w:val="0"/>
                      <w:color w:val="auto"/>
                      <w:kern w:val="0"/>
                      <w:sz w:val="21"/>
                      <w:szCs w:val="21"/>
                      <w:highlight w:val="none"/>
                      <w:lang w:val="en-US" w:eastAsia="zh-CN"/>
                    </w:rPr>
                    <w:t>硫酸</w:t>
                  </w:r>
                </w:p>
              </w:tc>
              <w:tc>
                <w:tcPr>
                  <w:tcW w:w="1633" w:type="dxa"/>
                  <w:noWrap w:val="0"/>
                  <w:vAlign w:val="center"/>
                </w:tcPr>
                <w:p w14:paraId="554431EF">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rPr>
                  </w:pPr>
                  <w:r>
                    <w:rPr>
                      <w:rFonts w:hint="eastAsia" w:cs="Times New Roman"/>
                      <w:strike w:val="0"/>
                      <w:dstrike w:val="0"/>
                      <w:color w:val="auto"/>
                      <w:kern w:val="0"/>
                      <w:sz w:val="21"/>
                      <w:szCs w:val="21"/>
                      <w:highlight w:val="none"/>
                      <w:lang w:val="en-US" w:eastAsia="zh-CN"/>
                    </w:rPr>
                    <w:t>0.5</w:t>
                  </w:r>
                </w:p>
              </w:tc>
              <w:tc>
                <w:tcPr>
                  <w:tcW w:w="1100" w:type="dxa"/>
                  <w:tcBorders>
                    <w:right w:val="single" w:color="auto" w:sz="4" w:space="0"/>
                  </w:tcBorders>
                  <w:noWrap w:val="0"/>
                  <w:vAlign w:val="center"/>
                </w:tcPr>
                <w:p w14:paraId="541D0846">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rPr>
                  </w:pPr>
                  <w:r>
                    <w:rPr>
                      <w:rFonts w:hint="eastAsia" w:cs="Times New Roman"/>
                      <w:strike w:val="0"/>
                      <w:dstrike w:val="0"/>
                      <w:color w:val="auto"/>
                      <w:kern w:val="0"/>
                      <w:sz w:val="21"/>
                      <w:szCs w:val="21"/>
                      <w:highlight w:val="none"/>
                      <w:lang w:val="en-US" w:eastAsia="zh-CN"/>
                    </w:rPr>
                    <w:t>10</w:t>
                  </w:r>
                </w:p>
              </w:tc>
              <w:tc>
                <w:tcPr>
                  <w:tcW w:w="1700" w:type="dxa"/>
                  <w:tcBorders>
                    <w:left w:val="single" w:color="auto" w:sz="4" w:space="0"/>
                  </w:tcBorders>
                  <w:noWrap w:val="0"/>
                  <w:vAlign w:val="center"/>
                </w:tcPr>
                <w:p w14:paraId="2AF2ED84">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rPr>
                  </w:pPr>
                  <w:r>
                    <w:rPr>
                      <w:rFonts w:hint="eastAsia" w:cs="Times New Roman"/>
                      <w:strike w:val="0"/>
                      <w:dstrike w:val="0"/>
                      <w:color w:val="auto"/>
                      <w:kern w:val="0"/>
                      <w:sz w:val="21"/>
                      <w:szCs w:val="21"/>
                      <w:highlight w:val="none"/>
                      <w:lang w:val="en-US" w:eastAsia="zh-CN"/>
                    </w:rPr>
                    <w:t>0.05</w:t>
                  </w:r>
                </w:p>
              </w:tc>
            </w:tr>
            <w:tr w14:paraId="74D17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6" w:type="dxa"/>
                  <w:shd w:val="clear" w:color="auto" w:fill="auto"/>
                  <w:noWrap w:val="0"/>
                  <w:vAlign w:val="center"/>
                </w:tcPr>
                <w:p w14:paraId="7CB2C9FA">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1310-73-2</w:t>
                  </w:r>
                </w:p>
              </w:tc>
              <w:tc>
                <w:tcPr>
                  <w:tcW w:w="2378" w:type="dxa"/>
                  <w:shd w:val="clear" w:color="auto" w:fill="auto"/>
                  <w:noWrap w:val="0"/>
                  <w:vAlign w:val="center"/>
                </w:tcPr>
                <w:p w14:paraId="054BA7C0">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氢氧化钠</w:t>
                  </w:r>
                </w:p>
              </w:tc>
              <w:tc>
                <w:tcPr>
                  <w:tcW w:w="1633" w:type="dxa"/>
                  <w:shd w:val="clear" w:color="auto" w:fill="auto"/>
                  <w:noWrap w:val="0"/>
                  <w:vAlign w:val="center"/>
                </w:tcPr>
                <w:p w14:paraId="31C91586">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eastAsia" w:cs="Times New Roman"/>
                      <w:strike w:val="0"/>
                      <w:dstrike w:val="0"/>
                      <w:color w:val="auto"/>
                      <w:kern w:val="0"/>
                      <w:sz w:val="21"/>
                      <w:szCs w:val="21"/>
                      <w:highlight w:val="none"/>
                      <w:lang w:val="en-US" w:eastAsia="zh-CN"/>
                    </w:rPr>
                    <w:t>3.0</w:t>
                  </w:r>
                </w:p>
              </w:tc>
              <w:tc>
                <w:tcPr>
                  <w:tcW w:w="1100" w:type="dxa"/>
                  <w:tcBorders>
                    <w:right w:val="single" w:color="auto" w:sz="4" w:space="0"/>
                  </w:tcBorders>
                  <w:shd w:val="clear" w:color="auto" w:fill="auto"/>
                  <w:noWrap w:val="0"/>
                  <w:vAlign w:val="center"/>
                </w:tcPr>
                <w:p w14:paraId="1305DFEE">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50</w:t>
                  </w:r>
                </w:p>
              </w:tc>
              <w:tc>
                <w:tcPr>
                  <w:tcW w:w="1700" w:type="dxa"/>
                  <w:tcBorders>
                    <w:left w:val="single" w:color="auto" w:sz="4" w:space="0"/>
                  </w:tcBorders>
                  <w:shd w:val="clear" w:color="auto" w:fill="auto"/>
                  <w:noWrap w:val="0"/>
                  <w:vAlign w:val="center"/>
                </w:tcPr>
                <w:p w14:paraId="6EFBEA22">
                  <w:pPr>
                    <w:keepNext w:val="0"/>
                    <w:keepLines w:val="0"/>
                    <w:pageBreakBefore w:val="0"/>
                    <w:kinsoku/>
                    <w:wordWrap/>
                    <w:overflowPunct/>
                    <w:topLinePunct/>
                    <w:autoSpaceDE w:val="0"/>
                    <w:bidi w:val="0"/>
                    <w:adjustRightInd w:val="0"/>
                    <w:snapToGrid w:val="0"/>
                    <w:ind w:left="0" w:leftChars="0" w:right="0" w:rightChars="0"/>
                    <w:jc w:val="center"/>
                    <w:textAlignment w:val="baseline"/>
                    <w:rPr>
                      <w:rFonts w:hint="default" w:ascii="Times New Roman" w:hAnsi="Times New Roman" w:eastAsia="宋体" w:cs="Times New Roman"/>
                      <w:strike w:val="0"/>
                      <w:dstrike w:val="0"/>
                      <w:color w:val="auto"/>
                      <w:kern w:val="0"/>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rPr>
                    <w:t>0.0</w:t>
                  </w:r>
                  <w:r>
                    <w:rPr>
                      <w:rFonts w:hint="eastAsia" w:cs="Times New Roman"/>
                      <w:strike w:val="0"/>
                      <w:dstrike w:val="0"/>
                      <w:color w:val="auto"/>
                      <w:kern w:val="0"/>
                      <w:sz w:val="21"/>
                      <w:szCs w:val="21"/>
                      <w:highlight w:val="none"/>
                      <w:lang w:val="en-US" w:eastAsia="zh-CN"/>
                    </w:rPr>
                    <w:t>6</w:t>
                  </w:r>
                </w:p>
              </w:tc>
            </w:tr>
            <w:tr w14:paraId="3D80A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4" w:type="dxa"/>
                  <w:gridSpan w:val="2"/>
                  <w:tcBorders>
                    <w:right w:val="single" w:color="auto" w:sz="4" w:space="0"/>
                  </w:tcBorders>
                  <w:noWrap w:val="0"/>
                  <w:vAlign w:val="center"/>
                </w:tcPr>
                <w:p w14:paraId="548CDA39">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color w:val="auto"/>
                      <w:kern w:val="0"/>
                      <w:highlight w:val="none"/>
                      <w:lang w:val="zh-CN"/>
                    </w:rPr>
                  </w:pPr>
                  <w:r>
                    <w:rPr>
                      <w:rFonts w:hint="default" w:ascii="Times New Roman" w:hAnsi="Times New Roman" w:eastAsia="宋体" w:cs="Times New Roman"/>
                      <w:color w:val="auto"/>
                      <w:kern w:val="0"/>
                      <w:highlight w:val="none"/>
                      <w:lang w:val="zh-CN"/>
                    </w:rPr>
                    <w:t>合计</w:t>
                  </w:r>
                </w:p>
              </w:tc>
              <w:tc>
                <w:tcPr>
                  <w:tcW w:w="2733" w:type="dxa"/>
                  <w:gridSpan w:val="2"/>
                  <w:tcBorders>
                    <w:left w:val="single" w:color="auto" w:sz="4" w:space="0"/>
                    <w:right w:val="single" w:color="auto" w:sz="4" w:space="0"/>
                  </w:tcBorders>
                  <w:noWrap w:val="0"/>
                  <w:vAlign w:val="center"/>
                </w:tcPr>
                <w:p w14:paraId="5444FA39">
                  <w:pPr>
                    <w:keepNext w:val="0"/>
                    <w:keepLines w:val="0"/>
                    <w:pageBreakBefore w:val="0"/>
                    <w:widowControl/>
                    <w:suppressLineNumbers w:val="0"/>
                    <w:kinsoku/>
                    <w:overflowPunct/>
                    <w:topLinePunct/>
                    <w:autoSpaceDE w:val="0"/>
                    <w:bidi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w:t>
                  </w:r>
                </w:p>
              </w:tc>
              <w:tc>
                <w:tcPr>
                  <w:tcW w:w="1700" w:type="dxa"/>
                  <w:tcBorders>
                    <w:left w:val="single" w:color="auto" w:sz="4" w:space="0"/>
                  </w:tcBorders>
                  <w:noWrap w:val="0"/>
                  <w:vAlign w:val="center"/>
                </w:tcPr>
                <w:p w14:paraId="5298783E">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color w:val="auto"/>
                      <w:kern w:val="0"/>
                      <w:highlight w:val="none"/>
                      <w:lang w:val="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w:t>
                  </w:r>
                  <w:r>
                    <w:rPr>
                      <w:rFonts w:hint="default" w:ascii="Times New Roman" w:hAnsi="Times New Roman" w:eastAsia="宋体" w:cs="Times New Roman"/>
                      <w:i w:val="0"/>
                      <w:iCs w:val="0"/>
                      <w:color w:val="auto"/>
                      <w:kern w:val="0"/>
                      <w:sz w:val="21"/>
                      <w:szCs w:val="21"/>
                      <w:highlight w:val="none"/>
                      <w:u w:val="none"/>
                      <w:lang w:val="en-US" w:eastAsia="zh-CN" w:bidi="ar"/>
                    </w:rPr>
                    <w:t>052&lt;</w:t>
                  </w:r>
                  <w:r>
                    <w:rPr>
                      <w:rFonts w:hint="default" w:ascii="Times New Roman" w:hAnsi="Times New Roman" w:eastAsia="宋体" w:cs="Times New Roman"/>
                      <w:color w:val="auto"/>
                      <w:kern w:val="0"/>
                      <w:highlight w:val="none"/>
                      <w:lang w:val="zh-CN"/>
                    </w:rPr>
                    <w:t>1</w:t>
                  </w:r>
                </w:p>
              </w:tc>
            </w:tr>
            <w:tr w14:paraId="7DED6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4" w:type="dxa"/>
                  <w:gridSpan w:val="2"/>
                  <w:tcBorders>
                    <w:right w:val="single" w:color="auto" w:sz="4" w:space="0"/>
                  </w:tcBorders>
                  <w:noWrap w:val="0"/>
                  <w:vAlign w:val="center"/>
                </w:tcPr>
                <w:p w14:paraId="25E0CEB4">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color w:val="auto"/>
                      <w:kern w:val="0"/>
                      <w:highlight w:val="none"/>
                      <w:lang w:val="zh-CN"/>
                    </w:rPr>
                  </w:pPr>
                  <w:r>
                    <w:rPr>
                      <w:rFonts w:hint="default" w:ascii="Times New Roman" w:hAnsi="Times New Roman" w:eastAsia="宋体" w:cs="Times New Roman"/>
                      <w:color w:val="auto"/>
                      <w:kern w:val="0"/>
                      <w:highlight w:val="none"/>
                      <w:lang w:val="zh-CN"/>
                    </w:rPr>
                    <w:t>环境风险潜势</w:t>
                  </w:r>
                </w:p>
              </w:tc>
              <w:tc>
                <w:tcPr>
                  <w:tcW w:w="4433" w:type="dxa"/>
                  <w:gridSpan w:val="3"/>
                  <w:tcBorders>
                    <w:left w:val="single" w:color="auto" w:sz="4" w:space="0"/>
                  </w:tcBorders>
                  <w:noWrap w:val="0"/>
                  <w:vAlign w:val="center"/>
                </w:tcPr>
                <w:p w14:paraId="0082C5C0">
                  <w:pPr>
                    <w:keepNext w:val="0"/>
                    <w:keepLines w:val="0"/>
                    <w:pageBreakBefore w:val="0"/>
                    <w:kinsoku/>
                    <w:wordWrap/>
                    <w:overflowPunct/>
                    <w:topLinePunct/>
                    <w:autoSpaceDE w:val="0"/>
                    <w:bidi w:val="0"/>
                    <w:adjustRightInd w:val="0"/>
                    <w:snapToGrid w:val="0"/>
                    <w:ind w:left="0" w:leftChars="0" w:right="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Ⅰ</w:t>
                  </w:r>
                </w:p>
              </w:tc>
            </w:tr>
          </w:tbl>
          <w:p w14:paraId="14741CB4">
            <w:pPr>
              <w:pStyle w:val="2"/>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根据上表，</w:t>
            </w:r>
            <w:r>
              <w:rPr>
                <w:rFonts w:hint="eastAsia" w:ascii="Times New Roman" w:hAnsi="Times New Roman" w:eastAsia="宋体" w:cs="Times New Roman"/>
                <w:color w:val="auto"/>
                <w:sz w:val="24"/>
                <w:highlight w:val="none"/>
                <w:lang w:val="en-US" w:eastAsia="zh-CN"/>
              </w:rPr>
              <w:t>本项</w:t>
            </w:r>
            <w:r>
              <w:rPr>
                <w:rFonts w:hint="eastAsia" w:ascii="Times New Roman" w:hAnsi="Times New Roman" w:eastAsia="宋体" w:cs="Times New Roman"/>
                <w:color w:val="auto"/>
                <w:sz w:val="24"/>
                <w:szCs w:val="24"/>
                <w:highlight w:val="none"/>
                <w:lang w:val="en-US" w:eastAsia="zh-CN"/>
              </w:rPr>
              <w:t>目Q=0.</w:t>
            </w:r>
            <w:r>
              <w:rPr>
                <w:rFonts w:hint="default" w:ascii="Times New Roman" w:hAnsi="Times New Roman" w:eastAsia="宋体" w:cs="Times New Roman"/>
                <w:color w:val="auto"/>
                <w:kern w:val="0"/>
                <w:sz w:val="24"/>
                <w:szCs w:val="24"/>
                <w:highlight w:val="none"/>
              </w:rPr>
              <w:t>0</w:t>
            </w:r>
            <w:r>
              <w:rPr>
                <w:rFonts w:hint="eastAsia" w:ascii="Times New Roman" w:hAnsi="Times New Roman" w:cs="Times New Roman"/>
                <w:color w:val="auto"/>
                <w:kern w:val="0"/>
                <w:sz w:val="24"/>
                <w:szCs w:val="24"/>
                <w:highlight w:val="none"/>
                <w:lang w:val="en-US" w:eastAsia="zh-CN"/>
              </w:rPr>
              <w:t>11</w:t>
            </w:r>
            <w:r>
              <w:rPr>
                <w:rFonts w:hint="eastAsia" w:ascii="Times New Roman" w:hAnsi="Times New Roman" w:eastAsia="宋体" w:cs="Times New Roman"/>
                <w:color w:val="auto"/>
                <w:kern w:val="0"/>
                <w:sz w:val="24"/>
                <w:szCs w:val="24"/>
                <w:highlight w:val="none"/>
                <w:lang w:val="en-US" w:eastAsia="zh-CN"/>
              </w:rPr>
              <w:t>052</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且不涉及表</w:t>
            </w:r>
            <w:r>
              <w:rPr>
                <w:rFonts w:hint="default" w:ascii="Times New Roman" w:hAnsi="Times New Roman" w:eastAsia="宋体" w:cs="Times New Roman"/>
                <w:color w:val="auto"/>
                <w:sz w:val="24"/>
                <w:szCs w:val="24"/>
                <w:highlight w:val="none"/>
                <w:lang w:val="en-US" w:eastAsia="zh-CN"/>
              </w:rPr>
              <w:t>C.1</w:t>
            </w:r>
            <w:r>
              <w:rPr>
                <w:rFonts w:hint="eastAsia" w:ascii="Times New Roman" w:hAnsi="Times New Roman" w:eastAsia="宋体" w:cs="Times New Roman"/>
                <w:color w:val="auto"/>
                <w:sz w:val="24"/>
                <w:szCs w:val="24"/>
                <w:highlight w:val="none"/>
                <w:lang w:val="en-US" w:eastAsia="zh-CN"/>
              </w:rPr>
              <w:t>中的行业和生产工艺，直接判定项目环境风险潜</w:t>
            </w:r>
            <w:r>
              <w:rPr>
                <w:rFonts w:hint="eastAsia" w:ascii="Times New Roman" w:hAnsi="Times New Roman" w:eastAsia="宋体" w:cs="Times New Roman"/>
                <w:color w:val="auto"/>
                <w:sz w:val="24"/>
                <w:highlight w:val="none"/>
                <w:lang w:val="en-US" w:eastAsia="zh-CN"/>
              </w:rPr>
              <w:t>势为</w:t>
            </w:r>
            <w:r>
              <w:rPr>
                <w:rFonts w:hint="default" w:ascii="Times New Roman" w:hAnsi="Times New Roman" w:eastAsia="宋体" w:cs="Times New Roman"/>
                <w:color w:val="auto"/>
                <w:sz w:val="24"/>
                <w:highlight w:val="none"/>
                <w:lang w:val="en-US" w:eastAsia="zh-CN"/>
              </w:rPr>
              <w:t>I</w:t>
            </w:r>
            <w:r>
              <w:rPr>
                <w:rFonts w:hint="eastAsia" w:ascii="Times New Roman" w:hAnsi="Times New Roman" w:eastAsia="宋体" w:cs="Times New Roman"/>
                <w:color w:val="auto"/>
                <w:sz w:val="24"/>
                <w:highlight w:val="none"/>
                <w:lang w:val="en-US" w:eastAsia="zh-CN"/>
              </w:rPr>
              <w:t>。根据《建设项目环境风险评价技术导则》（</w:t>
            </w:r>
            <w:r>
              <w:rPr>
                <w:rFonts w:hint="default" w:ascii="Times New Roman" w:hAnsi="Times New Roman" w:eastAsia="宋体" w:cs="Times New Roman"/>
                <w:color w:val="auto"/>
                <w:sz w:val="24"/>
                <w:highlight w:val="none"/>
                <w:lang w:val="en-US" w:eastAsia="zh-CN"/>
              </w:rPr>
              <w:t>HJ169-2018</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lang w:val="en-US" w:eastAsia="zh-CN"/>
              </w:rPr>
              <w:t>4.3</w:t>
            </w:r>
            <w:r>
              <w:rPr>
                <w:rFonts w:hint="eastAsia" w:ascii="Times New Roman" w:hAnsi="Times New Roman" w:eastAsia="宋体" w:cs="Times New Roman"/>
                <w:color w:val="auto"/>
                <w:sz w:val="24"/>
                <w:highlight w:val="none"/>
                <w:lang w:val="en-US" w:eastAsia="zh-CN"/>
              </w:rPr>
              <w:t>评价工作等级划分得知，风险潜势为</w:t>
            </w:r>
            <w:r>
              <w:rPr>
                <w:rFonts w:hint="default" w:ascii="Times New Roman" w:hAnsi="Times New Roman" w:eastAsia="宋体" w:cs="Times New Roman"/>
                <w:color w:val="auto"/>
                <w:sz w:val="24"/>
                <w:highlight w:val="none"/>
                <w:lang w:val="en-US" w:eastAsia="zh-CN"/>
              </w:rPr>
              <w:t>Ⅰ</w:t>
            </w:r>
            <w:r>
              <w:rPr>
                <w:rFonts w:hint="eastAsia" w:ascii="Times New Roman" w:hAnsi="Times New Roman" w:eastAsia="宋体" w:cs="Times New Roman"/>
                <w:color w:val="auto"/>
                <w:sz w:val="24"/>
                <w:highlight w:val="none"/>
                <w:lang w:val="en-US" w:eastAsia="zh-CN"/>
              </w:rPr>
              <w:t>，可开展简单分析。</w:t>
            </w:r>
          </w:p>
          <w:p w14:paraId="0EBD9B41">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环境风险识别</w:t>
            </w:r>
          </w:p>
          <w:p w14:paraId="7D69D652">
            <w:pPr>
              <w:pStyle w:val="2"/>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kern w:val="2"/>
                <w:sz w:val="24"/>
                <w:szCs w:val="24"/>
                <w:highlight w:val="none"/>
                <w:lang w:val="en-US" w:eastAsia="zh-CN" w:bidi="ar-SA"/>
              </w:rPr>
              <w:t>风险物质调查情况，结合项目风险物质的使用、暂存情况，项目环境风险事件主要是</w:t>
            </w:r>
            <w:r>
              <w:rPr>
                <w:rFonts w:hint="default" w:ascii="Times New Roman" w:hAnsi="Times New Roman" w:eastAsia="宋体" w:cs="Times New Roman"/>
                <w:color w:val="auto"/>
                <w:kern w:val="2"/>
                <w:sz w:val="24"/>
                <w:szCs w:val="24"/>
                <w:highlight w:val="none"/>
                <w:lang w:val="en-US" w:eastAsia="zh-CN" w:bidi="ar-SA"/>
              </w:rPr>
              <w:t>废润滑油、润滑油、氢氧化钠</w:t>
            </w:r>
            <w:r>
              <w:rPr>
                <w:rFonts w:hint="eastAsia" w:ascii="Times New Roman" w:hAnsi="Times New Roman" w:cs="Times New Roman"/>
                <w:color w:val="auto"/>
                <w:kern w:val="2"/>
                <w:sz w:val="24"/>
                <w:szCs w:val="24"/>
                <w:highlight w:val="none"/>
                <w:lang w:val="en-US" w:eastAsia="zh-CN" w:bidi="ar-SA"/>
              </w:rPr>
              <w:t>、稀硫酸</w:t>
            </w:r>
            <w:r>
              <w:rPr>
                <w:rFonts w:hint="eastAsia" w:ascii="Times New Roman" w:hAnsi="Times New Roman" w:eastAsia="宋体" w:cs="Times New Roman"/>
                <w:color w:val="auto"/>
                <w:kern w:val="2"/>
                <w:sz w:val="24"/>
                <w:szCs w:val="24"/>
                <w:highlight w:val="none"/>
                <w:lang w:val="en-US" w:eastAsia="zh-CN" w:bidi="ar-SA"/>
              </w:rPr>
              <w:t>等出现泄漏、渗漏事故，溢流或者渗漏进入周边土壤和地下水造成污染。其次，风险物质等发生泄漏后，遇明火可能引发火灾，产生</w:t>
            </w:r>
            <w:r>
              <w:rPr>
                <w:rFonts w:hint="default" w:ascii="Times New Roman" w:hAnsi="Times New Roman" w:eastAsia="宋体" w:cs="Times New Roman"/>
                <w:color w:val="auto"/>
                <w:kern w:val="2"/>
                <w:sz w:val="24"/>
                <w:szCs w:val="24"/>
                <w:highlight w:val="none"/>
                <w:lang w:val="en-US" w:eastAsia="zh-CN" w:bidi="ar-SA"/>
              </w:rPr>
              <w:t>CO</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、烟尘等次生污染物，进入大气环境造成大气污染。</w:t>
            </w:r>
          </w:p>
          <w:p w14:paraId="310E3DEF">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环境风险影响分析</w:t>
            </w:r>
          </w:p>
          <w:p w14:paraId="4628BFF2">
            <w:pPr>
              <w:pStyle w:val="2"/>
              <w:spacing w:line="360" w:lineRule="auto"/>
              <w:ind w:firstLine="482" w:firstLineChars="200"/>
              <w:textAlignment w:val="baseline"/>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（1）风险物质泄漏</w:t>
            </w:r>
          </w:p>
          <w:p w14:paraId="51EF7E4B">
            <w:pPr>
              <w:pStyle w:val="2"/>
              <w:spacing w:line="360" w:lineRule="auto"/>
              <w:ind w:firstLine="480" w:firstLineChars="200"/>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润滑油、废润滑油、氢氧化钠</w:t>
            </w:r>
            <w:r>
              <w:rPr>
                <w:rFonts w:hint="eastAsia" w:ascii="Times New Roman" w:hAnsi="Times New Roman" w:cs="Times New Roman"/>
                <w:color w:val="auto"/>
                <w:kern w:val="2"/>
                <w:sz w:val="24"/>
                <w:szCs w:val="24"/>
                <w:highlight w:val="none"/>
                <w:lang w:val="en-US" w:eastAsia="zh-CN" w:bidi="ar-SA"/>
              </w:rPr>
              <w:t>、稀硫酸</w:t>
            </w:r>
            <w:r>
              <w:rPr>
                <w:rFonts w:hint="eastAsia" w:ascii="Times New Roman" w:hAnsi="Times New Roman" w:eastAsia="宋体" w:cs="Times New Roman"/>
                <w:color w:val="auto"/>
                <w:kern w:val="2"/>
                <w:sz w:val="24"/>
                <w:szCs w:val="24"/>
                <w:highlight w:val="none"/>
                <w:lang w:val="en-US" w:eastAsia="zh-CN" w:bidi="ar-SA"/>
              </w:rPr>
              <w:t>等在转移、存放过程中由于装盛容器破损或人员操作不当等原因发生泄漏，随地表径流汇入地表水、地下水造成地表水、地下水污染；同时油品渗入土壤，造成土壤污染。</w:t>
            </w:r>
          </w:p>
          <w:p w14:paraId="7C3ED2BB">
            <w:pPr>
              <w:pStyle w:val="2"/>
              <w:numPr>
                <w:ilvl w:val="0"/>
                <w:numId w:val="8"/>
              </w:numPr>
              <w:spacing w:line="360" w:lineRule="auto"/>
              <w:ind w:firstLine="482" w:firstLineChars="200"/>
              <w:textAlignment w:val="baseline"/>
              <w:rPr>
                <w:rFonts w:hint="eastAsia"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废气</w:t>
            </w:r>
            <w:r>
              <w:rPr>
                <w:rFonts w:hint="eastAsia" w:ascii="Times New Roman" w:hAnsi="Times New Roman" w:eastAsia="宋体" w:cs="Times New Roman"/>
                <w:b/>
                <w:bCs/>
                <w:color w:val="auto"/>
                <w:kern w:val="2"/>
                <w:sz w:val="24"/>
                <w:szCs w:val="24"/>
                <w:highlight w:val="none"/>
                <w:lang w:val="en-US" w:eastAsia="zh-CN" w:bidi="ar-SA"/>
              </w:rPr>
              <w:t>处理设施非正常排放</w:t>
            </w:r>
          </w:p>
          <w:p w14:paraId="4BA8B67E">
            <w:pPr>
              <w:pStyle w:val="2"/>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污染物治理设施生产设施非正常情况主要考虑“布袋除尘器”及“三级活性炭装置”发生故障，无法正常运行或停止运行，排放的污染物会存在超标排放现象</w:t>
            </w:r>
            <w:r>
              <w:rPr>
                <w:rFonts w:hint="eastAsia" w:ascii="Times New Roman" w:hAnsi="Times New Roman" w:eastAsia="宋体" w:cs="Times New Roman"/>
                <w:color w:val="auto"/>
                <w:kern w:val="2"/>
                <w:sz w:val="24"/>
                <w:szCs w:val="24"/>
                <w:highlight w:val="none"/>
                <w:lang w:val="en-US" w:eastAsia="zh-CN" w:bidi="ar-SA"/>
              </w:rPr>
              <w:t>，会污染环境空气</w:t>
            </w:r>
            <w:r>
              <w:rPr>
                <w:rFonts w:hint="default" w:ascii="Times New Roman" w:hAnsi="Times New Roman" w:eastAsia="宋体" w:cs="Times New Roman"/>
                <w:color w:val="auto"/>
                <w:kern w:val="2"/>
                <w:sz w:val="24"/>
                <w:szCs w:val="24"/>
                <w:highlight w:val="none"/>
                <w:lang w:val="en-US" w:eastAsia="zh-CN" w:bidi="ar-SA"/>
              </w:rPr>
              <w:t>。</w:t>
            </w:r>
          </w:p>
          <w:p w14:paraId="1E713A0E">
            <w:pPr>
              <w:pStyle w:val="2"/>
              <w:spacing w:line="360" w:lineRule="auto"/>
              <w:ind w:firstLine="482" w:firstLineChars="200"/>
              <w:textAlignment w:val="baseline"/>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（3）燃烧火灾</w:t>
            </w:r>
          </w:p>
          <w:p w14:paraId="4DDF6BC4">
            <w:pPr>
              <w:pStyle w:val="2"/>
              <w:spacing w:line="360" w:lineRule="auto"/>
              <w:ind w:firstLine="480" w:firstLineChars="200"/>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区用火不当，可能引起火灾事故。发生火灾事故时其伴生的火灾废气中含有氮氧化物、一氧化碳、二氧化碳和不完全燃烧时的大量黑烟，黑烟中有未经燃烧的油雾、碳粒等，会污染环境空气，影响周围敏感环境人群的身体健康；火灾爆炸事故下会产生消防废水，其废水中含有大量灰渣、</w:t>
            </w:r>
            <w:r>
              <w:rPr>
                <w:rFonts w:hint="default" w:ascii="Times New Roman" w:hAnsi="Times New Roman" w:eastAsia="宋体" w:cs="Times New Roman"/>
                <w:color w:val="auto"/>
                <w:kern w:val="2"/>
                <w:sz w:val="24"/>
                <w:szCs w:val="24"/>
                <w:highlight w:val="none"/>
                <w:lang w:val="en-US" w:eastAsia="zh-CN" w:bidi="ar-SA"/>
              </w:rPr>
              <w:t>SS</w:t>
            </w:r>
            <w:r>
              <w:rPr>
                <w:rFonts w:hint="eastAsia" w:ascii="Times New Roman" w:hAnsi="Times New Roman" w:eastAsia="宋体" w:cs="Times New Roman"/>
                <w:color w:val="auto"/>
                <w:kern w:val="2"/>
                <w:sz w:val="24"/>
                <w:szCs w:val="24"/>
                <w:highlight w:val="none"/>
                <w:lang w:val="en-US" w:eastAsia="zh-CN" w:bidi="ar-SA"/>
              </w:rPr>
              <w:t>、油渣等污染物，如消防废水泄漏排放至厂区及厂外土壤环境中，消防废水部分下渗影响地下水环境，部分形成地表径流，流至项目区周边箐沟内，对地表水环境造成影响以及对周边土壤环境造成影响。</w:t>
            </w:r>
          </w:p>
          <w:p w14:paraId="64C76AA3">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风险防范措施</w:t>
            </w:r>
          </w:p>
          <w:p w14:paraId="73972781">
            <w:pPr>
              <w:keepNext w:val="0"/>
              <w:keepLines w:val="0"/>
              <w:pageBreakBefore w:val="0"/>
              <w:kinsoku/>
              <w:wordWrap/>
              <w:overflowPunct/>
              <w:topLinePunct/>
              <w:autoSpaceDE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trike w:val="0"/>
                <w:dstrike w:val="0"/>
                <w:color w:val="auto"/>
                <w:szCs w:val="21"/>
                <w:highlight w:val="none"/>
                <w:lang w:eastAsia="zh-CN"/>
              </w:rPr>
              <w:t>（</w:t>
            </w:r>
            <w:r>
              <w:rPr>
                <w:rFonts w:hint="eastAsia" w:ascii="Times New Roman" w:hAnsi="Times New Roman" w:eastAsia="宋体" w:cs="Times New Roman"/>
                <w:strike w:val="0"/>
                <w:dstrike w:val="0"/>
                <w:color w:val="auto"/>
                <w:szCs w:val="21"/>
                <w:highlight w:val="none"/>
                <w:lang w:val="en-US" w:eastAsia="zh-CN"/>
              </w:rPr>
              <w:t>1</w:t>
            </w:r>
            <w:r>
              <w:rPr>
                <w:rFonts w:hint="eastAsia" w:ascii="Times New Roman" w:hAnsi="Times New Roman" w:eastAsia="宋体" w:cs="Times New Roman"/>
                <w:strike w:val="0"/>
                <w:dstrike w:val="0"/>
                <w:color w:val="auto"/>
                <w:szCs w:val="21"/>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针对火灾风险，应按规范设置灭火和消防装备；在生产区域明显位置张贴禁用明火的告示，加强油类物质存放区域的巡查；工作人员要熟练掌握操作技术和防火安全管理规定；定期检查材料存储的安全状态，以防止泄漏引发火灾、爆炸。</w:t>
            </w:r>
          </w:p>
          <w:p w14:paraId="7E2A9255">
            <w:pPr>
              <w:keepNext w:val="0"/>
              <w:keepLines w:val="0"/>
              <w:pageBreakBefore w:val="0"/>
              <w:kinsoku/>
              <w:wordWrap/>
              <w:overflowPunct/>
              <w:topLinePunct/>
              <w:autoSpaceDE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针对泄漏，</w:t>
            </w:r>
            <w:r>
              <w:rPr>
                <w:rFonts w:hint="eastAsia" w:cs="Times New Roman"/>
                <w:color w:val="auto"/>
                <w:kern w:val="2"/>
                <w:sz w:val="24"/>
                <w:szCs w:val="24"/>
                <w:highlight w:val="none"/>
                <w:lang w:val="en-US" w:eastAsia="zh-CN" w:bidi="ar-SA"/>
              </w:rPr>
              <w:t>危险废物贮存库</w:t>
            </w:r>
            <w:r>
              <w:rPr>
                <w:rFonts w:hint="default" w:ascii="Times New Roman" w:hAnsi="Times New Roman" w:eastAsia="宋体" w:cs="Times New Roman"/>
                <w:color w:val="auto"/>
                <w:kern w:val="2"/>
                <w:sz w:val="24"/>
                <w:szCs w:val="24"/>
                <w:highlight w:val="none"/>
                <w:lang w:val="en-US" w:eastAsia="zh-CN" w:bidi="ar-SA"/>
              </w:rPr>
              <w:t>按《危险废物贮存污染控制标准》（GB18597-2023）要求进行建设，严格落实防渗措施（防风、防晒、防雨、防渗、防腐等），委托有资质的危险废物处置单位清运处置；配备化学品库管理人员，对氢氧化钠</w:t>
            </w:r>
            <w:r>
              <w:rPr>
                <w:rFonts w:hint="eastAsia" w:ascii="Times New Roman" w:hAnsi="Times New Roman" w:cs="Times New Roman"/>
                <w:color w:val="auto"/>
                <w:kern w:val="2"/>
                <w:sz w:val="24"/>
                <w:szCs w:val="24"/>
                <w:highlight w:val="none"/>
                <w:lang w:val="en-US" w:eastAsia="zh-CN" w:bidi="ar-SA"/>
              </w:rPr>
              <w:t>、稀硫酸</w:t>
            </w:r>
            <w:r>
              <w:rPr>
                <w:rFonts w:hint="default" w:ascii="Times New Roman" w:hAnsi="Times New Roman" w:eastAsia="宋体" w:cs="Times New Roman"/>
                <w:color w:val="auto"/>
                <w:kern w:val="2"/>
                <w:sz w:val="24"/>
                <w:szCs w:val="24"/>
                <w:highlight w:val="none"/>
                <w:lang w:val="en-US" w:eastAsia="zh-CN" w:bidi="ar-SA"/>
              </w:rPr>
              <w:t>等化学品分类存放，按生产需求定量领取化学品，避免化学品泄漏造成环境污染。化学品按需请购，减少存量；工作人员必须经过专职培训后方能上岗，做到操作规范。禁止闲杂人员进入化学品库，确保碱库环境管理的规范性。碱库设置双人双锁、标识，建立严格入库、出库手续，派专人管理，以防止危险化学品泄漏外流。</w:t>
            </w:r>
          </w:p>
          <w:p w14:paraId="75D99FF7">
            <w:pPr>
              <w:keepNext w:val="0"/>
              <w:keepLines w:val="0"/>
              <w:pageBreakBefore w:val="0"/>
              <w:kinsoku/>
              <w:wordWrap/>
              <w:overflowPunct/>
              <w:topLinePunct/>
              <w:autoSpaceDE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针对废气</w:t>
            </w:r>
            <w:r>
              <w:rPr>
                <w:rFonts w:hint="eastAsia" w:ascii="Times New Roman" w:hAnsi="Times New Roman" w:eastAsia="宋体" w:cs="Times New Roman"/>
                <w:color w:val="auto"/>
                <w:kern w:val="2"/>
                <w:sz w:val="24"/>
                <w:szCs w:val="24"/>
                <w:highlight w:val="none"/>
                <w:lang w:val="en-US" w:eastAsia="zh-CN" w:bidi="ar-SA"/>
              </w:rPr>
              <w:t>处理设施非正常排放</w:t>
            </w:r>
            <w:r>
              <w:rPr>
                <w:rFonts w:hint="default" w:ascii="Times New Roman" w:hAnsi="Times New Roman" w:eastAsia="宋体" w:cs="Times New Roman"/>
                <w:color w:val="auto"/>
                <w:kern w:val="2"/>
                <w:sz w:val="24"/>
                <w:szCs w:val="24"/>
                <w:highlight w:val="none"/>
                <w:lang w:val="en-US" w:eastAsia="zh-CN" w:bidi="ar-SA"/>
              </w:rPr>
              <w:t>，应加强废气治理设施的日常维护管理，确保废气治理系统处在良好的运转状态；委托有资质的监测机构定期对废气排放口监测，掌握污染物的排放情况，建立废气治理措施运行台账管理制度，杜绝废气事故排放。</w:t>
            </w:r>
          </w:p>
          <w:p w14:paraId="42B96A2D">
            <w:pPr>
              <w:keepNext w:val="0"/>
              <w:keepLines w:val="0"/>
              <w:pageBreakBefore w:val="0"/>
              <w:kinsoku/>
              <w:wordWrap/>
              <w:overflowPunct/>
              <w:topLinePunct/>
              <w:autoSpaceDE w:val="0"/>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针对建立健全安全环境管理制度，要坚持“预防为主”的方针，防患于未然，操作人员必须严格按照操作规程办事，认真执行巡检制度，避免因检查不到位或错误操作而发生事故；建立健全的环境管理制度，指定相关责任人；消防器材完好到位，并设置火灾报警装置。加强项目区安全环保管理，对所有职工进行安全环保的教育和培训。</w:t>
            </w:r>
          </w:p>
          <w:p w14:paraId="20B31A4D">
            <w:pPr>
              <w:keepNext w:val="0"/>
              <w:keepLines w:val="0"/>
              <w:pageBreakBefore w:val="0"/>
              <w:kinsoku/>
              <w:wordWrap/>
              <w:overflowPunct/>
              <w:topLinePunct/>
              <w:autoSpaceDE w:val="0"/>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针对安全防范措施，</w:t>
            </w:r>
            <w:r>
              <w:rPr>
                <w:rFonts w:hint="eastAsia" w:cs="Times New Roman"/>
                <w:color w:val="auto"/>
                <w:kern w:val="2"/>
                <w:sz w:val="24"/>
                <w:szCs w:val="24"/>
                <w:highlight w:val="none"/>
                <w:lang w:val="en-US" w:eastAsia="zh-CN" w:bidi="ar-SA"/>
              </w:rPr>
              <w:t>危险废物贮存库</w:t>
            </w:r>
            <w:r>
              <w:rPr>
                <w:rFonts w:hint="default" w:ascii="Times New Roman" w:hAnsi="Times New Roman" w:eastAsia="宋体" w:cs="Times New Roman"/>
                <w:color w:val="auto"/>
                <w:kern w:val="2"/>
                <w:sz w:val="24"/>
                <w:szCs w:val="24"/>
                <w:highlight w:val="none"/>
                <w:lang w:val="en-US" w:eastAsia="zh-CN" w:bidi="ar-SA"/>
              </w:rPr>
              <w:t>禁止明火，需动火作业时必须得到安全负责人的批准，并采取必要的安全防范措施后才能进行；在醒目与安全有关的地方应设立“禁止烟火”、“禁止吸烟”、“当心火灾”、“火警电话”等安全标志。除临时安全标志外，不得将安全标志设在可移动的物体上；必须对安全设施进行经常性维护、保养等，并定期检测，保证正常运转。</w:t>
            </w:r>
          </w:p>
          <w:p w14:paraId="206D19A9">
            <w:pPr>
              <w:keepNext w:val="0"/>
              <w:keepLines w:val="0"/>
              <w:pageBreakBefore w:val="0"/>
              <w:widowControl/>
              <w:kinsoku/>
              <w:wordWrap/>
              <w:overflowPunct/>
              <w:topLinePunct/>
              <w:autoSpaceDE w:val="0"/>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后期及时编制突发环境事件应急预案并完成备案；开展相应应急演练。</w:t>
            </w:r>
          </w:p>
          <w:p w14:paraId="48DF8F25">
            <w:pPr>
              <w:pStyle w:val="3"/>
              <w:keepNext w:val="0"/>
              <w:keepLines w:val="0"/>
              <w:pageBreakBefore w:val="0"/>
              <w:kinsoku/>
              <w:wordWrap/>
              <w:overflowPunct/>
              <w:autoSpaceDE w:val="0"/>
              <w:bidi w:val="0"/>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color w:val="auto"/>
                <w:kern w:val="2"/>
                <w:sz w:val="24"/>
                <w:szCs w:val="24"/>
                <w:highlight w:val="none"/>
                <w:lang w:val="en-US" w:eastAsia="zh-CN" w:bidi="ar-SA"/>
              </w:rPr>
              <w:t>（7）</w:t>
            </w:r>
            <w:r>
              <w:rPr>
                <w:rFonts w:hint="default" w:ascii="Times New Roman" w:hAnsi="Times New Roman" w:eastAsia="宋体" w:cs="Times New Roman"/>
                <w:color w:val="auto"/>
                <w:kern w:val="2"/>
                <w:sz w:val="24"/>
                <w:szCs w:val="24"/>
                <w:highlight w:val="none"/>
                <w:lang w:val="en-US" w:eastAsia="zh-CN" w:bidi="ar-SA"/>
              </w:rPr>
              <w:t>应急物资：自备防护服、防护口罩、灭火器等消防灭火器材；119火警电话、120急救电话及应急通讯装置。</w:t>
            </w:r>
          </w:p>
          <w:p w14:paraId="109F9D84">
            <w:pPr>
              <w:keepNext w:val="0"/>
              <w:keepLines w:val="0"/>
              <w:pageBreakBefore w:val="0"/>
              <w:widowControl w:val="0"/>
              <w:numPr>
                <w:ilvl w:val="0"/>
                <w:numId w:val="7"/>
              </w:numPr>
              <w:kinsoku/>
              <w:wordWrap/>
              <w:overflowPunct/>
              <w:topLinePunct/>
              <w:autoSpaceDE w:val="0"/>
              <w:autoSpaceDN/>
              <w:bidi w:val="0"/>
              <w:adjustRightInd/>
              <w:snapToGrid/>
              <w:spacing w:line="360" w:lineRule="auto"/>
              <w:ind w:leftChars="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 xml:space="preserve">结论 </w:t>
            </w:r>
          </w:p>
          <w:p w14:paraId="6A066885">
            <w:pPr>
              <w:pStyle w:val="2"/>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通过对本项目各个风险源分析表明，风险的发生和前期勘查、预防、生产过程中管理密不可分，生产中要以</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预防为主，防治结合</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为指导，采取有效的风险预防措施，风险一旦发生，必须立即采取应急措施。企业应加强风险隐患的排查，一旦发现安全隐患立即清除，一旦发生事故立即妥善处理。在严格落实各项安全、环保对策措施后，本项目存在的环境风险是可接受的。</w:t>
            </w:r>
          </w:p>
          <w:p w14:paraId="66F750FC">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rPr>
            </w:pPr>
          </w:p>
          <w:p w14:paraId="243596A4">
            <w:pPr>
              <w:keepNext w:val="0"/>
              <w:keepLines w:val="0"/>
              <w:pageBreakBefore w:val="0"/>
              <w:widowControl w:val="0"/>
              <w:kinsoku/>
              <w:wordWrap/>
              <w:overflowPunct/>
              <w:topLinePunct/>
              <w:autoSpaceDE w:val="0"/>
              <w:autoSpaceDN/>
              <w:bidi w:val="0"/>
              <w:adjustRightInd/>
              <w:snapToGrid/>
              <w:spacing w:line="240" w:lineRule="auto"/>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建设项目环境风险简单分析内容表</w:t>
            </w:r>
          </w:p>
          <w:tbl>
            <w:tblPr>
              <w:tblStyle w:val="29"/>
              <w:tblW w:w="80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8"/>
              <w:gridCol w:w="1194"/>
              <w:gridCol w:w="1957"/>
              <w:gridCol w:w="1228"/>
              <w:gridCol w:w="2256"/>
            </w:tblGrid>
            <w:tr w14:paraId="128ED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8" w:type="dxa"/>
                  <w:noWrap w:val="0"/>
                  <w:vAlign w:val="center"/>
                </w:tcPr>
                <w:p w14:paraId="1F9D50B1">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建设项目名称</w:t>
                  </w:r>
                </w:p>
              </w:tc>
              <w:tc>
                <w:tcPr>
                  <w:tcW w:w="6635" w:type="dxa"/>
                  <w:gridSpan w:val="4"/>
                  <w:noWrap w:val="0"/>
                  <w:vAlign w:val="center"/>
                </w:tcPr>
                <w:p w14:paraId="0133671B">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年产6000吨高品质水晶钻石新材料研发生产制造项目</w:t>
                  </w:r>
                </w:p>
              </w:tc>
            </w:tr>
            <w:tr w14:paraId="0C1CD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noWrap w:val="0"/>
                  <w:vAlign w:val="center"/>
                </w:tcPr>
                <w:p w14:paraId="0A32B9C1">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建设地点</w:t>
                  </w:r>
                </w:p>
              </w:tc>
              <w:tc>
                <w:tcPr>
                  <w:tcW w:w="6635" w:type="dxa"/>
                  <w:gridSpan w:val="4"/>
                  <w:noWrap w:val="0"/>
                  <w:vAlign w:val="center"/>
                </w:tcPr>
                <w:p w14:paraId="69285F9B">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云南</w:t>
                  </w:r>
                  <w:r>
                    <w:rPr>
                      <w:rFonts w:hint="default" w:ascii="Times New Roman" w:hAnsi="Times New Roman" w:eastAsia="宋体" w:cs="Times New Roman"/>
                      <w:color w:val="auto"/>
                      <w:sz w:val="21"/>
                      <w:szCs w:val="21"/>
                      <w:highlight w:val="none"/>
                    </w:rPr>
                    <w:t>省</w:t>
                  </w:r>
                  <w:r>
                    <w:rPr>
                      <w:rFonts w:hint="default" w:ascii="Times New Roman" w:hAnsi="Times New Roman" w:eastAsia="宋体" w:cs="Times New Roman"/>
                      <w:color w:val="auto"/>
                      <w:sz w:val="21"/>
                      <w:szCs w:val="21"/>
                      <w:highlight w:val="none"/>
                      <w:lang w:eastAsia="zh-CN"/>
                    </w:rPr>
                    <w:t>玉溪</w:t>
                  </w:r>
                  <w:r>
                    <w:rPr>
                      <w:rFonts w:hint="default" w:ascii="Times New Roman" w:hAnsi="Times New Roman" w:eastAsia="宋体" w:cs="Times New Roman"/>
                      <w:color w:val="auto"/>
                      <w:sz w:val="21"/>
                      <w:szCs w:val="21"/>
                      <w:highlight w:val="none"/>
                    </w:rPr>
                    <w:t>市</w:t>
                  </w:r>
                  <w:r>
                    <w:rPr>
                      <w:rFonts w:hint="default" w:ascii="Times New Roman" w:hAnsi="Times New Roman" w:eastAsia="宋体" w:cs="Times New Roman"/>
                      <w:color w:val="auto"/>
                      <w:sz w:val="21"/>
                      <w:szCs w:val="21"/>
                      <w:highlight w:val="none"/>
                      <w:lang w:eastAsia="zh-CN"/>
                    </w:rPr>
                    <w:t>易门</w:t>
                  </w:r>
                  <w:r>
                    <w:rPr>
                      <w:rFonts w:hint="default" w:ascii="Times New Roman" w:hAnsi="Times New Roman" w:eastAsia="宋体" w:cs="Times New Roman"/>
                      <w:color w:val="auto"/>
                      <w:sz w:val="21"/>
                      <w:szCs w:val="21"/>
                      <w:highlight w:val="none"/>
                    </w:rPr>
                    <w:t>县</w:t>
                  </w:r>
                  <w:r>
                    <w:rPr>
                      <w:rFonts w:hint="default" w:ascii="Times New Roman" w:hAnsi="Times New Roman" w:eastAsia="宋体" w:cs="Times New Roman"/>
                      <w:color w:val="auto"/>
                      <w:sz w:val="21"/>
                      <w:szCs w:val="21"/>
                      <w:highlight w:val="none"/>
                      <w:lang w:eastAsia="zh-CN"/>
                    </w:rPr>
                    <w:t>龙泉</w:t>
                  </w:r>
                  <w:r>
                    <w:rPr>
                      <w:rFonts w:hint="default" w:ascii="Times New Roman" w:hAnsi="Times New Roman" w:eastAsia="宋体" w:cs="Times New Roman"/>
                      <w:color w:val="auto"/>
                      <w:sz w:val="21"/>
                      <w:szCs w:val="21"/>
                      <w:highlight w:val="none"/>
                    </w:rPr>
                    <w:t>街道</w:t>
                  </w:r>
                  <w:r>
                    <w:rPr>
                      <w:rFonts w:hint="default" w:ascii="Times New Roman" w:hAnsi="Times New Roman" w:eastAsia="宋体" w:cs="Times New Roman"/>
                      <w:color w:val="auto"/>
                      <w:sz w:val="21"/>
                      <w:szCs w:val="21"/>
                      <w:highlight w:val="none"/>
                      <w:lang w:eastAsia="zh-CN"/>
                    </w:rPr>
                    <w:t>易门产业园区麦子田片区</w:t>
                  </w:r>
                </w:p>
              </w:tc>
            </w:tr>
            <w:tr w14:paraId="4E6D9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noWrap w:val="0"/>
                  <w:vAlign w:val="center"/>
                </w:tcPr>
                <w:p w14:paraId="537A3F92">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地理坐标</w:t>
                  </w:r>
                </w:p>
              </w:tc>
              <w:tc>
                <w:tcPr>
                  <w:tcW w:w="1194" w:type="dxa"/>
                  <w:noWrap w:val="0"/>
                  <w:vAlign w:val="center"/>
                </w:tcPr>
                <w:p w14:paraId="508BD8F1">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957" w:type="dxa"/>
                  <w:noWrap w:val="0"/>
                  <w:vAlign w:val="center"/>
                </w:tcPr>
                <w:p w14:paraId="18C048F6">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aps w:val="0"/>
                      <w:color w:val="auto"/>
                      <w:spacing w:val="0"/>
                      <w:sz w:val="21"/>
                      <w:szCs w:val="21"/>
                      <w:highlight w:val="none"/>
                      <w:lang w:val="en-US" w:eastAsia="zh-CN"/>
                    </w:rPr>
                    <w:t>102°12′32.542″E</w:t>
                  </w:r>
                </w:p>
              </w:tc>
              <w:tc>
                <w:tcPr>
                  <w:tcW w:w="1228" w:type="dxa"/>
                  <w:noWrap w:val="0"/>
                  <w:vAlign w:val="center"/>
                </w:tcPr>
                <w:p w14:paraId="25D044E7">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2256" w:type="dxa"/>
                  <w:noWrap w:val="0"/>
                  <w:vAlign w:val="center"/>
                </w:tcPr>
                <w:p w14:paraId="3CAA038B">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aps w:val="0"/>
                      <w:color w:val="auto"/>
                      <w:spacing w:val="0"/>
                      <w:sz w:val="21"/>
                      <w:szCs w:val="21"/>
                      <w:highlight w:val="none"/>
                      <w:lang w:val="en-US" w:eastAsia="zh-CN"/>
                    </w:rPr>
                    <w:t>24°46′0.178″N</w:t>
                  </w:r>
                </w:p>
              </w:tc>
            </w:tr>
            <w:tr w14:paraId="1B40D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noWrap w:val="0"/>
                  <w:vAlign w:val="center"/>
                </w:tcPr>
                <w:p w14:paraId="3369E6DC">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主要危险物质及分布</w:t>
                  </w:r>
                </w:p>
              </w:tc>
              <w:tc>
                <w:tcPr>
                  <w:tcW w:w="6635" w:type="dxa"/>
                  <w:gridSpan w:val="4"/>
                  <w:noWrap w:val="0"/>
                  <w:vAlign w:val="center"/>
                </w:tcPr>
                <w:p w14:paraId="49D20E9A">
                  <w:pPr>
                    <w:keepNext w:val="0"/>
                    <w:keepLines w:val="0"/>
                    <w:pageBreakBefore w:val="0"/>
                    <w:kinsoku/>
                    <w:overflowPunct/>
                    <w:topLinePunct/>
                    <w:autoSpaceDE w:val="0"/>
                    <w:bidi w:val="0"/>
                    <w:spacing w:line="24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本项目主要风险物质为</w:t>
                  </w:r>
                  <w:r>
                    <w:rPr>
                      <w:rFonts w:hint="default" w:ascii="Times New Roman" w:hAnsi="Times New Roman" w:eastAsia="宋体" w:cs="Times New Roman"/>
                      <w:strike w:val="0"/>
                      <w:dstrike w:val="0"/>
                      <w:color w:val="auto"/>
                      <w:sz w:val="21"/>
                      <w:szCs w:val="21"/>
                      <w:highlight w:val="none"/>
                    </w:rPr>
                    <w:t>废</w:t>
                  </w:r>
                  <w:r>
                    <w:rPr>
                      <w:rFonts w:hint="default" w:ascii="Times New Roman" w:hAnsi="Times New Roman" w:eastAsia="宋体" w:cs="Times New Roman"/>
                      <w:strike w:val="0"/>
                      <w:dstrike w:val="0"/>
                      <w:color w:val="auto"/>
                      <w:sz w:val="21"/>
                      <w:szCs w:val="21"/>
                      <w:highlight w:val="none"/>
                      <w:lang w:eastAsia="zh-CN"/>
                    </w:rPr>
                    <w:t>润滑油</w:t>
                  </w:r>
                  <w:r>
                    <w:rPr>
                      <w:rFonts w:hint="default" w:ascii="Times New Roman" w:hAnsi="Times New Roman" w:eastAsia="宋体" w:cs="Times New Roman"/>
                      <w:strike w:val="0"/>
                      <w:dstrike w:val="0"/>
                      <w:color w:val="auto"/>
                      <w:sz w:val="21"/>
                      <w:szCs w:val="21"/>
                      <w:highlight w:val="none"/>
                      <w:lang w:val="en-US" w:eastAsia="zh-CN"/>
                    </w:rPr>
                    <w:t>、润滑油、氢氧化钠</w:t>
                  </w:r>
                  <w:r>
                    <w:rPr>
                      <w:rFonts w:hint="eastAsia" w:ascii="Times New Roman" w:hAnsi="Times New Roman" w:cs="Times New Roman"/>
                      <w:color w:val="auto"/>
                      <w:kern w:val="2"/>
                      <w:sz w:val="21"/>
                      <w:szCs w:val="21"/>
                      <w:highlight w:val="none"/>
                      <w:lang w:val="en-US" w:eastAsia="zh-CN" w:bidi="ar-SA"/>
                    </w:rPr>
                    <w:t>、稀硫酸</w:t>
                  </w:r>
                  <w:r>
                    <w:rPr>
                      <w:rFonts w:hint="default" w:ascii="Times New Roman" w:hAnsi="Times New Roman" w:eastAsia="宋体" w:cs="Times New Roman"/>
                      <w:color w:val="auto"/>
                      <w:kern w:val="1"/>
                      <w:sz w:val="21"/>
                      <w:szCs w:val="21"/>
                      <w:highlight w:val="none"/>
                    </w:rPr>
                    <w:t>和危险废物，</w:t>
                  </w:r>
                  <w:r>
                    <w:rPr>
                      <w:rFonts w:hint="default" w:ascii="Times New Roman" w:hAnsi="Times New Roman" w:eastAsia="宋体" w:cs="Times New Roman"/>
                      <w:color w:val="auto"/>
                      <w:sz w:val="21"/>
                      <w:szCs w:val="21"/>
                      <w:highlight w:val="none"/>
                    </w:rPr>
                    <w:t>风险</w:t>
                  </w:r>
                  <w:r>
                    <w:rPr>
                      <w:rFonts w:hint="default" w:ascii="Times New Roman" w:hAnsi="Times New Roman" w:eastAsia="宋体" w:cs="Times New Roman"/>
                      <w:color w:val="auto"/>
                      <w:sz w:val="21"/>
                      <w:szCs w:val="21"/>
                      <w:highlight w:val="none"/>
                      <w:lang w:val="en-US" w:eastAsia="zh-CN"/>
                    </w:rPr>
                    <w:t>源主要为</w:t>
                  </w:r>
                  <w:r>
                    <w:rPr>
                      <w:rFonts w:hint="default" w:ascii="Times New Roman" w:hAnsi="Times New Roman" w:eastAsia="宋体" w:cs="Times New Roman"/>
                      <w:color w:val="auto"/>
                      <w:kern w:val="0"/>
                      <w:sz w:val="21"/>
                      <w:szCs w:val="21"/>
                      <w:highlight w:val="none"/>
                      <w:lang w:val="en-US" w:eastAsia="zh-CN"/>
                    </w:rPr>
                    <w:t>碱库</w:t>
                  </w:r>
                  <w:r>
                    <w:rPr>
                      <w:rFonts w:hint="eastAsia" w:cs="Times New Roman"/>
                      <w:color w:val="auto"/>
                      <w:kern w:val="0"/>
                      <w:sz w:val="21"/>
                      <w:szCs w:val="21"/>
                      <w:highlight w:val="none"/>
                      <w:lang w:val="en-US" w:eastAsia="zh-CN"/>
                    </w:rPr>
                    <w:t>、污水处理站材料库</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sz w:val="21"/>
                      <w:szCs w:val="21"/>
                      <w:highlight w:val="none"/>
                      <w:lang w:val="en-US" w:eastAsia="zh-CN"/>
                    </w:rPr>
                    <w:t>危险废物贮存库</w:t>
                  </w:r>
                  <w:r>
                    <w:rPr>
                      <w:rFonts w:hint="default" w:ascii="Times New Roman" w:hAnsi="Times New Roman" w:eastAsia="宋体" w:cs="Times New Roman"/>
                      <w:color w:val="auto"/>
                      <w:sz w:val="21"/>
                      <w:szCs w:val="21"/>
                      <w:highlight w:val="none"/>
                    </w:rPr>
                    <w:t>。</w:t>
                  </w:r>
                </w:p>
              </w:tc>
            </w:tr>
            <w:tr w14:paraId="566A9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noWrap w:val="0"/>
                  <w:vAlign w:val="center"/>
                </w:tcPr>
                <w:p w14:paraId="02E4C0BF">
                  <w:pPr>
                    <w:keepNext w:val="0"/>
                    <w:keepLines w:val="0"/>
                    <w:pageBreakBefore w:val="0"/>
                    <w:widowControl/>
                    <w:kinsoku/>
                    <w:wordWrap/>
                    <w:overflowPunct/>
                    <w:topLinePunct/>
                    <w:autoSpaceDE w:val="0"/>
                    <w:autoSpaceDN/>
                    <w:bidi w:val="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环境影响途径及危害后果</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大气、地表水、地下水等</w:t>
                  </w:r>
                  <w:r>
                    <w:rPr>
                      <w:rFonts w:hint="default" w:ascii="Times New Roman" w:hAnsi="Times New Roman" w:eastAsia="宋体" w:cs="Times New Roman"/>
                      <w:b/>
                      <w:bCs/>
                      <w:color w:val="auto"/>
                      <w:sz w:val="21"/>
                      <w:szCs w:val="21"/>
                      <w:highlight w:val="none"/>
                      <w:lang w:eastAsia="zh-CN"/>
                    </w:rPr>
                    <w:t>）</w:t>
                  </w:r>
                </w:p>
              </w:tc>
              <w:tc>
                <w:tcPr>
                  <w:tcW w:w="6635" w:type="dxa"/>
                  <w:gridSpan w:val="4"/>
                  <w:noWrap w:val="0"/>
                  <w:vAlign w:val="center"/>
                </w:tcPr>
                <w:p w14:paraId="781BDC82">
                  <w:pPr>
                    <w:keepNext w:val="0"/>
                    <w:keepLines w:val="0"/>
                    <w:pageBreakBefore w:val="0"/>
                    <w:widowControl/>
                    <w:suppressLineNumbers w:val="0"/>
                    <w:kinsoku/>
                    <w:wordWrap/>
                    <w:overflowPunct/>
                    <w:topLinePunct/>
                    <w:autoSpaceDE w:val="0"/>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本项目危险物质</w:t>
                  </w:r>
                  <w:r>
                    <w:rPr>
                      <w:rFonts w:hint="default" w:ascii="Times New Roman" w:hAnsi="Times New Roman" w:eastAsia="宋体" w:cs="Times New Roman"/>
                      <w:color w:val="auto"/>
                      <w:sz w:val="21"/>
                      <w:szCs w:val="21"/>
                      <w:highlight w:val="none"/>
                    </w:rPr>
                    <w:t>若</w:t>
                  </w:r>
                  <w:r>
                    <w:rPr>
                      <w:rFonts w:hint="default" w:ascii="Times New Roman" w:hAnsi="Times New Roman" w:eastAsia="宋体" w:cs="Times New Roman"/>
                      <w:color w:val="auto"/>
                      <w:sz w:val="21"/>
                      <w:szCs w:val="21"/>
                      <w:highlight w:val="none"/>
                      <w:lang w:val="en-US" w:eastAsia="zh-CN"/>
                    </w:rPr>
                    <w:t>管理、使用或</w:t>
                  </w:r>
                  <w:r>
                    <w:rPr>
                      <w:rFonts w:hint="default" w:ascii="Times New Roman" w:hAnsi="Times New Roman" w:eastAsia="宋体" w:cs="Times New Roman"/>
                      <w:color w:val="auto"/>
                      <w:sz w:val="21"/>
                      <w:szCs w:val="21"/>
                      <w:highlight w:val="none"/>
                    </w:rPr>
                    <w:t>处置不当，造成危险物质向环境中扩散的事故，就会给周围环境造成不良的影响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其影响途径主要</w:t>
                  </w:r>
                  <w:r>
                    <w:rPr>
                      <w:rFonts w:hint="default" w:ascii="Times New Roman" w:hAnsi="Times New Roman" w:eastAsia="宋体" w:cs="Times New Roman"/>
                      <w:color w:val="auto"/>
                      <w:sz w:val="21"/>
                      <w:szCs w:val="21"/>
                      <w:highlight w:val="none"/>
                    </w:rPr>
                    <w:t>为：</w:t>
                  </w:r>
                </w:p>
                <w:p w14:paraId="7F0DDB37">
                  <w:pPr>
                    <w:keepNext w:val="0"/>
                    <w:keepLines w:val="0"/>
                    <w:pageBreakBefore w:val="0"/>
                    <w:widowControl/>
                    <w:suppressLineNumbers w:val="0"/>
                    <w:kinsoku/>
                    <w:wordWrap/>
                    <w:overflowPunct/>
                    <w:topLinePunct/>
                    <w:autoSpaceDE w:val="0"/>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①危险物质</w:t>
                  </w:r>
                  <w:r>
                    <w:rPr>
                      <w:rFonts w:hint="default" w:ascii="Times New Roman" w:hAnsi="Times New Roman" w:eastAsia="宋体" w:cs="Times New Roman"/>
                      <w:color w:val="auto"/>
                      <w:sz w:val="21"/>
                      <w:szCs w:val="21"/>
                      <w:highlight w:val="none"/>
                    </w:rPr>
                    <w:t>储存过程中发生泄漏事故，</w:t>
                  </w:r>
                  <w:r>
                    <w:rPr>
                      <w:rFonts w:hint="default" w:ascii="Times New Roman" w:hAnsi="Times New Roman" w:eastAsia="宋体" w:cs="Times New Roman"/>
                      <w:color w:val="auto"/>
                      <w:sz w:val="21"/>
                      <w:szCs w:val="21"/>
                      <w:highlight w:val="none"/>
                      <w:lang w:val="en-US" w:eastAsia="zh-CN"/>
                    </w:rPr>
                    <w:t>危险物质通过漫流进入土壤及地表水体，污染地表水环境及</w:t>
                  </w:r>
                  <w:r>
                    <w:rPr>
                      <w:rFonts w:hint="default" w:ascii="Times New Roman" w:hAnsi="Times New Roman" w:eastAsia="宋体" w:cs="Times New Roman"/>
                      <w:color w:val="auto"/>
                      <w:sz w:val="21"/>
                      <w:szCs w:val="21"/>
                      <w:highlight w:val="none"/>
                    </w:rPr>
                    <w:t>通过渗透的方式污染地下水环境；</w:t>
                  </w:r>
                </w:p>
                <w:p w14:paraId="51606173">
                  <w:pPr>
                    <w:keepNext w:val="0"/>
                    <w:keepLines w:val="0"/>
                    <w:pageBreakBefore w:val="0"/>
                    <w:widowControl/>
                    <w:suppressLineNumbers w:val="0"/>
                    <w:kinsoku/>
                    <w:wordWrap/>
                    <w:overflowPunct/>
                    <w:topLinePunct/>
                    <w:autoSpaceDE w:val="0"/>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②可燃类危险物质</w:t>
                  </w:r>
                  <w:r>
                    <w:rPr>
                      <w:rFonts w:hint="default" w:ascii="Times New Roman" w:hAnsi="Times New Roman" w:eastAsia="宋体" w:cs="Times New Roman"/>
                      <w:color w:val="auto"/>
                      <w:sz w:val="21"/>
                      <w:szCs w:val="21"/>
                      <w:highlight w:val="none"/>
                    </w:rPr>
                    <w:t>挥发</w:t>
                  </w:r>
                  <w:r>
                    <w:rPr>
                      <w:rFonts w:hint="default" w:ascii="Times New Roman" w:hAnsi="Times New Roman" w:eastAsia="宋体" w:cs="Times New Roman"/>
                      <w:color w:val="auto"/>
                      <w:sz w:val="21"/>
                      <w:szCs w:val="21"/>
                      <w:highlight w:val="none"/>
                      <w:lang w:val="en-US" w:eastAsia="zh-CN"/>
                    </w:rPr>
                    <w:t>或燃烧、爆炸产生的次生/伴生</w:t>
                  </w:r>
                  <w:r>
                    <w:rPr>
                      <w:rFonts w:hint="default" w:ascii="Times New Roman" w:hAnsi="Times New Roman" w:eastAsia="宋体"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lang w:val="en-US" w:eastAsia="zh-CN"/>
                    </w:rPr>
                    <w:t>CO等危险物质</w:t>
                  </w:r>
                  <w:r>
                    <w:rPr>
                      <w:rFonts w:hint="default" w:ascii="Times New Roman" w:hAnsi="Times New Roman" w:eastAsia="宋体" w:cs="Times New Roman"/>
                      <w:color w:val="auto"/>
                      <w:sz w:val="21"/>
                      <w:szCs w:val="21"/>
                      <w:highlight w:val="none"/>
                    </w:rPr>
                    <w:t>会进入大气环境</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对环境空气造成污染；</w:t>
                  </w:r>
                </w:p>
                <w:p w14:paraId="5CDDF451">
                  <w:pPr>
                    <w:keepNext w:val="0"/>
                    <w:keepLines w:val="0"/>
                    <w:pageBreakBefore w:val="0"/>
                    <w:widowControl/>
                    <w:suppressLineNumbers w:val="0"/>
                    <w:kinsoku/>
                    <w:wordWrap/>
                    <w:overflowPunct/>
                    <w:topLinePunct/>
                    <w:autoSpaceDE w:val="0"/>
                    <w:autoSpaceDN/>
                    <w:bidi w:val="0"/>
                    <w:adjustRightInd/>
                    <w:snapToGrid/>
                    <w:spacing w:line="24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③消防废水随着地表径流进入地表水体或</w:t>
                  </w:r>
                  <w:r>
                    <w:rPr>
                      <w:rFonts w:hint="default" w:ascii="Times New Roman" w:hAnsi="Times New Roman" w:eastAsia="宋体" w:cs="Times New Roman"/>
                      <w:color w:val="auto"/>
                      <w:kern w:val="2"/>
                      <w:sz w:val="21"/>
                      <w:szCs w:val="21"/>
                      <w:highlight w:val="none"/>
                      <w:lang w:val="en-US" w:eastAsia="zh-CN" w:bidi="ar-SA"/>
                    </w:rPr>
                    <w:t>下渗进入地下水，对地表水、地下水水质造成影响。</w:t>
                  </w:r>
                </w:p>
              </w:tc>
            </w:tr>
            <w:tr w14:paraId="3D307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tcBorders>
                    <w:right w:val="single" w:color="auto" w:sz="4" w:space="0"/>
                  </w:tcBorders>
                  <w:shd w:val="clear" w:color="auto" w:fill="auto"/>
                  <w:noWrap w:val="0"/>
                  <w:vAlign w:val="center"/>
                </w:tcPr>
                <w:p w14:paraId="55F3616F">
                  <w:pPr>
                    <w:keepNext w:val="0"/>
                    <w:keepLines w:val="0"/>
                    <w:pageBreakBefore w:val="0"/>
                    <w:kinsoku/>
                    <w:overflowPunct/>
                    <w:topLinePunct/>
                    <w:autoSpaceDE w:val="0"/>
                    <w:bidi w:val="0"/>
                    <w:snapToGrid w:val="0"/>
                    <w:jc w:val="center"/>
                    <w:rPr>
                      <w:rFonts w:hint="default" w:ascii="Times New Roman" w:hAnsi="Times New Roman" w:eastAsia="宋体" w:cs="Times New Roman"/>
                      <w:b/>
                      <w:bCs/>
                      <w:strike w:val="0"/>
                      <w:dstrike w:val="0"/>
                      <w:color w:val="auto"/>
                      <w:kern w:val="2"/>
                      <w:sz w:val="21"/>
                      <w:szCs w:val="21"/>
                      <w:highlight w:val="none"/>
                      <w:lang w:val="en-US" w:eastAsia="zh-CN" w:bidi="ar-SA"/>
                    </w:rPr>
                  </w:pPr>
                  <w:r>
                    <w:rPr>
                      <w:rFonts w:hint="default" w:ascii="Times New Roman" w:hAnsi="Times New Roman" w:eastAsia="宋体" w:cs="Times New Roman"/>
                      <w:b/>
                      <w:strike w:val="0"/>
                      <w:dstrike w:val="0"/>
                      <w:color w:val="auto"/>
                      <w:szCs w:val="21"/>
                      <w:highlight w:val="none"/>
                    </w:rPr>
                    <w:t>危险物质及危险废物储存要求</w:t>
                  </w:r>
                </w:p>
              </w:tc>
              <w:tc>
                <w:tcPr>
                  <w:tcW w:w="6635" w:type="dxa"/>
                  <w:gridSpan w:val="4"/>
                  <w:tcBorders>
                    <w:left w:val="single" w:color="auto" w:sz="4" w:space="0"/>
                  </w:tcBorders>
                  <w:shd w:val="clear" w:color="auto" w:fill="auto"/>
                  <w:noWrap w:val="0"/>
                  <w:vAlign w:val="center"/>
                </w:tcPr>
                <w:p w14:paraId="6E37EBED">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val="en-US" w:eastAsia="zh-CN" w:bidi="ar"/>
                    </w:rPr>
                  </w:pPr>
                  <w:r>
                    <w:rPr>
                      <w:rFonts w:hint="default" w:ascii="Times New Roman" w:hAnsi="Times New Roman" w:eastAsia="宋体" w:cs="Times New Roman"/>
                      <w:strike w:val="0"/>
                      <w:dstrike w:val="0"/>
                      <w:color w:val="auto"/>
                      <w:kern w:val="0"/>
                      <w:szCs w:val="21"/>
                      <w:highlight w:val="none"/>
                      <w:lang w:val="en-US" w:eastAsia="zh-CN" w:bidi="ar"/>
                    </w:rPr>
                    <w:t>1）</w:t>
                  </w:r>
                  <w:r>
                    <w:rPr>
                      <w:rFonts w:hint="default" w:ascii="Times New Roman" w:hAnsi="Times New Roman" w:eastAsia="宋体" w:cs="Times New Roman"/>
                      <w:b/>
                      <w:strike w:val="0"/>
                      <w:dstrike w:val="0"/>
                      <w:color w:val="auto"/>
                      <w:szCs w:val="21"/>
                      <w:highlight w:val="none"/>
                    </w:rPr>
                    <w:t>危险物质及危险废物储存要求</w:t>
                  </w:r>
                </w:p>
                <w:p w14:paraId="261B1944">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①废</w:t>
                  </w:r>
                  <w:r>
                    <w:rPr>
                      <w:rFonts w:hint="default" w:ascii="Times New Roman" w:hAnsi="Times New Roman" w:eastAsia="宋体" w:cs="Times New Roman"/>
                      <w:strike w:val="0"/>
                      <w:dstrike w:val="0"/>
                      <w:color w:val="auto"/>
                      <w:kern w:val="0"/>
                      <w:szCs w:val="21"/>
                      <w:highlight w:val="none"/>
                      <w:lang w:eastAsia="zh-CN" w:bidi="ar"/>
                    </w:rPr>
                    <w:t>润滑油</w:t>
                  </w:r>
                  <w:r>
                    <w:rPr>
                      <w:rFonts w:hint="default" w:ascii="Times New Roman" w:hAnsi="Times New Roman" w:eastAsia="宋体" w:cs="Times New Roman"/>
                      <w:strike w:val="0"/>
                      <w:dstrike w:val="0"/>
                      <w:color w:val="auto"/>
                      <w:kern w:val="0"/>
                      <w:szCs w:val="21"/>
                      <w:highlight w:val="none"/>
                      <w:lang w:bidi="ar"/>
                    </w:rPr>
                    <w:t>贮存于进行硬化的密闭房间中，设置专人定期检查。</w:t>
                  </w:r>
                </w:p>
                <w:p w14:paraId="63FFA2FD">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②危险废物存入贮存设施前应对危险废物类别和特性与危险废物标签等危险废物识别标志的一致性进行核验，不一致的或类别、特性不明的不应存入。</w:t>
                  </w:r>
                </w:p>
                <w:p w14:paraId="008B6122">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③应定期检查危险废物的贮存状况，及时清理贮存设施地面，更换破损泄漏的危险废物贮存容器和包装物，保证堆存危险废物的防雨、防风、防扬尘等设施功能完好。</w:t>
                  </w:r>
                </w:p>
                <w:p w14:paraId="1A1D7C5D">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④作业设备及车辆等结束作业离开贮存设施时，应对其残留的危险废物进行清理，清理的废物或清洗废水应收集处理。</w:t>
                  </w:r>
                </w:p>
                <w:p w14:paraId="31CE73A7">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⑤暂存设施运行期间，应按国家有关标准和规定建立危险废物管理台账并保存。</w:t>
                  </w:r>
                </w:p>
                <w:p w14:paraId="7C63A47A">
                  <w:pPr>
                    <w:keepNext w:val="0"/>
                    <w:keepLines w:val="0"/>
                    <w:pageBreakBefore w:val="0"/>
                    <w:widowControl/>
                    <w:kinsoku/>
                    <w:overflowPunct/>
                    <w:topLinePunct/>
                    <w:autoSpaceDE w:val="0"/>
                    <w:bidi w:val="0"/>
                    <w:jc w:val="left"/>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⑥贮存设施所有者或运营者应建立贮存设施环境管理制度、管理人员岗位职责制度、设施运行操作制度、人员岗位培训制度等。</w:t>
                  </w:r>
                </w:p>
                <w:p w14:paraId="792E582F">
                  <w:pPr>
                    <w:keepNext w:val="0"/>
                    <w:keepLines w:val="0"/>
                    <w:pageBreakBefore w:val="0"/>
                    <w:kinsoku/>
                    <w:overflowPunct/>
                    <w:topLinePunct/>
                    <w:autoSpaceDE w:val="0"/>
                    <w:bidi w:val="0"/>
                    <w:rPr>
                      <w:rFonts w:hint="default" w:ascii="Times New Roman" w:hAnsi="Times New Roman" w:eastAsia="宋体" w:cs="Times New Roman"/>
                      <w:strike w:val="0"/>
                      <w:dstrike w:val="0"/>
                      <w:color w:val="auto"/>
                      <w:kern w:val="0"/>
                      <w:szCs w:val="21"/>
                      <w:highlight w:val="none"/>
                      <w:lang w:bidi="ar"/>
                    </w:rPr>
                  </w:pPr>
                  <w:r>
                    <w:rPr>
                      <w:rFonts w:hint="default" w:ascii="Times New Roman" w:hAnsi="Times New Roman" w:eastAsia="宋体" w:cs="Times New Roman"/>
                      <w:strike w:val="0"/>
                      <w:dstrike w:val="0"/>
                      <w:color w:val="auto"/>
                      <w:kern w:val="0"/>
                      <w:szCs w:val="21"/>
                      <w:highlight w:val="none"/>
                      <w:lang w:bidi="ar"/>
                    </w:rPr>
                    <w:t>⑦应建立贮存设施全部档案，包括设计、施工、验收、运行、监测和环境应急等，应按国家有关档案管理的法律法规进行整理和归档。</w:t>
                  </w:r>
                </w:p>
                <w:p w14:paraId="545FDAD9">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⑧按照《危险废物管理计划和管理台账制定技术导则》制定《危险废物管理计划》，建立危废管理全过程的责任制度，并在显著位置张贴危废防治责任信息；建立危险废物管理台账，如实记录危险废物产生、入库、出库、自行利用处置等各环节危险废物在企业内部流转情况，台账形式包括电子管理台账和纸质管理台账，台账保存时间不少于5年；</w:t>
                  </w:r>
                </w:p>
                <w:p w14:paraId="1B24E99E">
                  <w:pPr>
                    <w:keepNext w:val="0"/>
                    <w:keepLines w:val="0"/>
                    <w:pageBreakBefore w:val="0"/>
                    <w:kinsoku/>
                    <w:wordWrap/>
                    <w:overflowPunct/>
                    <w:topLinePunct/>
                    <w:autoSpaceDE w:val="0"/>
                    <w:autoSpaceDN/>
                    <w:bidi w:val="0"/>
                    <w:adjustRightInd w:val="0"/>
                    <w:snapToGrid w:val="0"/>
                    <w:spacing w:beforeAutospacing="0" w:afterAutospacing="0" w:line="240" w:lineRule="auto"/>
                    <w:ind w:lef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⑨危险废物产生单位应当按照《国家危险废物名录（2025年版）》确定危险废物对应危险废物的类别、项别、编号等，并委托具备相应危险货物运输资质的单位承运危险废物，依法签订运输合同；装载危险废物时，危险废物产生单位应当核实运输单位、运输工具及收运人员是否具有相应经营范围的有效危险货物运输许可证件，以及待转移的危险废物识别标志中的相关信息与危险废物转移联单是否相符。</w:t>
                  </w:r>
                </w:p>
                <w:p w14:paraId="317ADACF">
                  <w:pPr>
                    <w:keepNext w:val="0"/>
                    <w:keepLines w:val="0"/>
                    <w:pageBreakBefore w:val="0"/>
                    <w:widowControl w:val="0"/>
                    <w:numPr>
                      <w:ilvl w:val="0"/>
                      <w:numId w:val="0"/>
                    </w:numPr>
                    <w:kinsoku/>
                    <w:wordWrap/>
                    <w:overflowPunct/>
                    <w:topLinePunct/>
                    <w:autoSpaceDE w:val="0"/>
                    <w:autoSpaceDN/>
                    <w:bidi w:val="0"/>
                    <w:adjustRightInd w:val="0"/>
                    <w:snapToGrid/>
                    <w:spacing w:line="240" w:lineRule="auto"/>
                    <w:ind w:firstLine="0" w:firstLineChars="0"/>
                    <w:jc w:val="both"/>
                    <w:textAlignment w:val="baseline"/>
                    <w:outlineLvl w:val="9"/>
                    <w:rPr>
                      <w:rFonts w:hint="default" w:ascii="Times New Roman" w:hAnsi="Times New Roman" w:eastAsia="宋体" w:cs="Times New Roman"/>
                      <w:b/>
                      <w:bCs w:val="0"/>
                      <w:caps w:val="0"/>
                      <w:smallCaps w:val="0"/>
                      <w:color w:val="auto"/>
                      <w:sz w:val="21"/>
                      <w:szCs w:val="21"/>
                      <w:highlight w:val="none"/>
                      <w:lang w:val="en-US" w:eastAsia="zh-CN"/>
                    </w:rPr>
                  </w:pPr>
                  <w:r>
                    <w:rPr>
                      <w:rFonts w:hint="default" w:ascii="Times New Roman" w:hAnsi="Times New Roman" w:eastAsia="宋体" w:cs="Times New Roman"/>
                      <w:b/>
                      <w:bCs w:val="0"/>
                      <w:caps w:val="0"/>
                      <w:smallCaps w:val="0"/>
                      <w:color w:val="auto"/>
                      <w:kern w:val="2"/>
                      <w:sz w:val="21"/>
                      <w:szCs w:val="21"/>
                      <w:lang w:val="en-US" w:eastAsia="zh-CN" w:bidi="ar-SA"/>
                    </w:rPr>
                    <w:t>2）</w:t>
                  </w:r>
                  <w:r>
                    <w:rPr>
                      <w:rFonts w:hint="default" w:ascii="Times New Roman" w:hAnsi="Times New Roman" w:eastAsia="宋体" w:cs="Times New Roman"/>
                      <w:b/>
                      <w:bCs w:val="0"/>
                      <w:caps w:val="0"/>
                      <w:smallCaps w:val="0"/>
                      <w:color w:val="auto"/>
                      <w:sz w:val="21"/>
                      <w:szCs w:val="21"/>
                      <w:highlight w:val="none"/>
                      <w:lang w:val="en-US" w:eastAsia="zh-CN"/>
                    </w:rPr>
                    <w:t>碱库</w:t>
                  </w:r>
                  <w:r>
                    <w:rPr>
                      <w:rFonts w:hint="default" w:ascii="Times New Roman" w:hAnsi="Times New Roman" w:eastAsia="宋体" w:cs="Times New Roman"/>
                      <w:b/>
                      <w:bCs w:val="0"/>
                      <w:caps w:val="0"/>
                      <w:smallCaps w:val="0"/>
                      <w:color w:val="auto"/>
                      <w:sz w:val="21"/>
                      <w:szCs w:val="21"/>
                      <w:highlight w:val="none"/>
                    </w:rPr>
                    <w:t>储存</w:t>
                  </w:r>
                  <w:r>
                    <w:rPr>
                      <w:rFonts w:hint="default" w:ascii="Times New Roman" w:hAnsi="Times New Roman" w:eastAsia="宋体" w:cs="Times New Roman"/>
                      <w:b/>
                      <w:bCs w:val="0"/>
                      <w:caps w:val="0"/>
                      <w:smallCaps w:val="0"/>
                      <w:color w:val="auto"/>
                      <w:sz w:val="21"/>
                      <w:szCs w:val="21"/>
                      <w:highlight w:val="none"/>
                      <w:lang w:val="en-US" w:eastAsia="zh-CN"/>
                    </w:rPr>
                    <w:t>要求</w:t>
                  </w:r>
                </w:p>
                <w:p w14:paraId="316695CE">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①</w:t>
                  </w:r>
                  <w:r>
                    <w:rPr>
                      <w:rFonts w:hint="default" w:ascii="Times New Roman" w:hAnsi="Times New Roman" w:eastAsia="宋体" w:cs="Times New Roman"/>
                      <w:color w:val="auto"/>
                      <w:sz w:val="21"/>
                      <w:szCs w:val="21"/>
                      <w:highlight w:val="none"/>
                      <w:lang w:val="en-US" w:eastAsia="zh-CN"/>
                    </w:rPr>
                    <w:t>工程投产后，项目危险化学品的生产、储存、运输和处置废弃均应遵守《作业场所安全使用化学品公约》、《危险化学品安全管理条例》、《作业场所安全使用化学品的规定》。另外，常用危险化学品</w:t>
                  </w:r>
                  <w:r>
                    <w:rPr>
                      <w:rFonts w:hint="default" w:ascii="Times New Roman" w:hAnsi="Times New Roman" w:eastAsia="宋体" w:cs="Times New Roman"/>
                      <w:color w:val="auto"/>
                      <w:kern w:val="0"/>
                      <w:sz w:val="21"/>
                      <w:szCs w:val="21"/>
                      <w:lang w:val="en-US" w:eastAsia="zh-CN" w:bidi="ar"/>
                    </w:rPr>
                    <w:t>的储存还应满足《常用化学危险品贮存通则》（GB15603-2022）的要求。</w:t>
                  </w:r>
                </w:p>
                <w:p w14:paraId="763527DE">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②危险化学品应由专人负责管理，并配备可靠的个人安全防护用品；管理人员应熟悉危险化学品的性能及安全操作方法。</w:t>
                  </w:r>
                </w:p>
                <w:p w14:paraId="66CF5B67">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③储存室应符合防火、防爆、通风、防晒、防雷等安全要求，安全防护设施要保持完好。储存室电气设备应符合防火、防爆等安全要求。</w:t>
                  </w:r>
                </w:p>
                <w:p w14:paraId="12E807A9">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④使用的</w:t>
                  </w:r>
                  <w:r>
                    <w:rPr>
                      <w:rFonts w:hint="eastAsia" w:cs="Times New Roman"/>
                      <w:color w:val="auto"/>
                      <w:kern w:val="0"/>
                      <w:sz w:val="21"/>
                      <w:szCs w:val="21"/>
                      <w:lang w:val="en-US" w:eastAsia="zh-CN" w:bidi="ar"/>
                    </w:rPr>
                    <w:t>各种</w:t>
                  </w:r>
                  <w:r>
                    <w:rPr>
                      <w:rFonts w:hint="default" w:ascii="Times New Roman" w:hAnsi="Times New Roman" w:eastAsia="宋体" w:cs="Times New Roman"/>
                      <w:color w:val="auto"/>
                      <w:kern w:val="0"/>
                      <w:sz w:val="21"/>
                      <w:szCs w:val="21"/>
                      <w:lang w:val="en-US" w:eastAsia="zh-CN" w:bidi="ar"/>
                    </w:rPr>
                    <w:t>化学物质必须分离贮存，避免化学品直接接触造成燃烧爆炸等事故。根据危险化学品性能分区、分类、分库贮存，并有标识，各类危险品不得与禁忌物料混合贮存。</w:t>
                  </w:r>
                </w:p>
                <w:p w14:paraId="0DBF50A7">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⑤储存室外应有明显的安全警示标志。储存室周围严禁堆放可燃物品，严禁吸烟和使用明火。</w:t>
                  </w:r>
                </w:p>
                <w:p w14:paraId="396865EA">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⑥各种危险化学品标识清楚，并有安全标签。危险化学品应限量贮存，并保持安全距离。</w:t>
                  </w:r>
                </w:p>
                <w:p w14:paraId="4D9AC0AF">
                  <w:pPr>
                    <w:keepNext w:val="0"/>
                    <w:keepLines w:val="0"/>
                    <w:pageBreakBefore w:val="0"/>
                    <w:widowControl/>
                    <w:suppressLineNumbers w:val="0"/>
                    <w:kinsoku/>
                    <w:wordWrap/>
                    <w:overflowPunct/>
                    <w:topLinePunct/>
                    <w:autoSpaceDE w:val="0"/>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⑦储存室必须保持通风良好。</w:t>
                  </w:r>
                </w:p>
                <w:p w14:paraId="3EE26ED8">
                  <w:pPr>
                    <w:keepNext w:val="0"/>
                    <w:keepLines w:val="0"/>
                    <w:pageBreakBefore w:val="0"/>
                    <w:widowControl w:val="0"/>
                    <w:kinsoku/>
                    <w:wordWrap/>
                    <w:overflowPunct/>
                    <w:topLinePunct/>
                    <w:autoSpaceDE w:val="0"/>
                    <w:autoSpaceDN/>
                    <w:bidi w:val="0"/>
                    <w:adjustRightInd w:val="0"/>
                    <w:snapToGrid/>
                    <w:spacing w:line="240" w:lineRule="auto"/>
                    <w:ind w:firstLine="0" w:firstLineChars="0"/>
                    <w:jc w:val="both"/>
                    <w:textAlignment w:val="baseline"/>
                    <w:outlineLvl w:val="9"/>
                    <w:rPr>
                      <w:rFonts w:hint="default" w:ascii="Times New Roman" w:hAnsi="Times New Roman" w:eastAsia="宋体" w:cs="Times New Roman"/>
                      <w:b/>
                      <w:bCs w:val="0"/>
                      <w:caps w:val="0"/>
                      <w:smallCaps w:val="0"/>
                      <w:color w:val="auto"/>
                      <w:sz w:val="21"/>
                      <w:szCs w:val="21"/>
                      <w:highlight w:val="none"/>
                      <w:lang w:eastAsia="zh-CN"/>
                    </w:rPr>
                  </w:pPr>
                  <w:r>
                    <w:rPr>
                      <w:rFonts w:hint="default" w:ascii="Times New Roman" w:hAnsi="Times New Roman" w:eastAsia="宋体" w:cs="Times New Roman"/>
                      <w:b/>
                      <w:bCs w:val="0"/>
                      <w:caps w:val="0"/>
                      <w:smallCaps w:val="0"/>
                      <w:color w:val="auto"/>
                      <w:sz w:val="21"/>
                      <w:szCs w:val="21"/>
                      <w:highlight w:val="none"/>
                      <w:lang w:val="en-US" w:eastAsia="zh-CN"/>
                    </w:rPr>
                    <w:t>3）</w:t>
                  </w:r>
                  <w:r>
                    <w:rPr>
                      <w:rFonts w:hint="default" w:ascii="Times New Roman" w:hAnsi="Times New Roman" w:eastAsia="宋体" w:cs="Times New Roman"/>
                      <w:b/>
                      <w:bCs w:val="0"/>
                      <w:caps w:val="0"/>
                      <w:smallCaps w:val="0"/>
                      <w:color w:val="auto"/>
                      <w:sz w:val="21"/>
                      <w:szCs w:val="21"/>
                      <w:highlight w:val="none"/>
                    </w:rPr>
                    <w:t>原辅材料储存</w:t>
                  </w:r>
                  <w:r>
                    <w:rPr>
                      <w:rFonts w:hint="default" w:ascii="Times New Roman" w:hAnsi="Times New Roman" w:eastAsia="宋体" w:cs="Times New Roman"/>
                      <w:b/>
                      <w:bCs w:val="0"/>
                      <w:caps w:val="0"/>
                      <w:smallCaps w:val="0"/>
                      <w:color w:val="auto"/>
                      <w:sz w:val="21"/>
                      <w:szCs w:val="21"/>
                      <w:highlight w:val="none"/>
                      <w:lang w:val="en-US" w:eastAsia="zh-CN"/>
                    </w:rPr>
                    <w:t>要求</w:t>
                  </w:r>
                </w:p>
                <w:p w14:paraId="14106874">
                  <w:pPr>
                    <w:keepNext w:val="0"/>
                    <w:keepLines w:val="0"/>
                    <w:pageBreakBefore w:val="0"/>
                    <w:kinsoku/>
                    <w:wordWrap/>
                    <w:overflowPunct/>
                    <w:topLinePunct/>
                    <w:autoSpaceDE w:val="0"/>
                    <w:autoSpaceDN/>
                    <w:bidi w:val="0"/>
                    <w:spacing w:line="240" w:lineRule="auto"/>
                    <w:ind w:firstLine="0" w:firstLineChars="0"/>
                    <w:jc w:val="both"/>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①项目原辅料储存根据各物料理化特性，选择相应材质容器采取不同保护措施，加强进出料贮运管理；悬挂有禁烟禁火警示标志。</w:t>
                  </w:r>
                </w:p>
                <w:p w14:paraId="7D7274F3">
                  <w:pPr>
                    <w:keepNext w:val="0"/>
                    <w:keepLines w:val="0"/>
                    <w:pageBreakBefore w:val="0"/>
                    <w:kinsoku/>
                    <w:wordWrap/>
                    <w:overflowPunct/>
                    <w:topLinePunct/>
                    <w:autoSpaceDE w:val="0"/>
                    <w:autoSpaceDN/>
                    <w:bidi w:val="0"/>
                    <w:spacing w:line="240" w:lineRule="auto"/>
                    <w:ind w:firstLine="0" w:firstLineChars="0"/>
                    <w:jc w:val="both"/>
                    <w:rPr>
                      <w:rFonts w:hint="default" w:ascii="Times New Roman" w:hAnsi="Times New Roman" w:eastAsia="宋体" w:cs="Times New Roman"/>
                      <w:caps w:val="0"/>
                      <w:smallCaps w:val="0"/>
                      <w:color w:val="auto"/>
                      <w:sz w:val="21"/>
                      <w:szCs w:val="21"/>
                      <w:highlight w:val="none"/>
                    </w:rPr>
                  </w:pPr>
                  <w:r>
                    <w:rPr>
                      <w:rFonts w:hint="default" w:ascii="Times New Roman" w:hAnsi="Times New Roman" w:eastAsia="宋体" w:cs="Times New Roman"/>
                      <w:caps w:val="0"/>
                      <w:smallCaps w:val="0"/>
                      <w:color w:val="auto"/>
                      <w:sz w:val="21"/>
                      <w:szCs w:val="21"/>
                      <w:highlight w:val="none"/>
                    </w:rPr>
                    <w:t>②原辅料入库时，严格检验物品质量、数量、包装情况、有无泄漏。化学危险品入库后采取养护措施，在贮存期内，定期检查，发现其品质变化、包装破损、渗漏、稳定剂短缺等，及时处理。</w:t>
                  </w:r>
                </w:p>
                <w:p w14:paraId="4E076690">
                  <w:pPr>
                    <w:keepNext w:val="0"/>
                    <w:keepLines w:val="0"/>
                    <w:pageBreakBefore w:val="0"/>
                    <w:kinsoku/>
                    <w:wordWrap/>
                    <w:overflowPunct/>
                    <w:topLinePunct/>
                    <w:autoSpaceDE w:val="0"/>
                    <w:autoSpaceDN/>
                    <w:bidi w:val="0"/>
                    <w:spacing w:line="240" w:lineRule="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aps w:val="0"/>
                      <w:smallCaps w:val="0"/>
                      <w:color w:val="auto"/>
                      <w:sz w:val="21"/>
                      <w:szCs w:val="21"/>
                      <w:highlight w:val="none"/>
                    </w:rPr>
                    <w:t>③设置专门原辅料仓库和负责人，妥善保管原辅料。原辅料严格领用制度</w:t>
                  </w:r>
                  <w:r>
                    <w:rPr>
                      <w:rFonts w:hint="default" w:ascii="Times New Roman" w:hAnsi="Times New Roman" w:eastAsia="宋体" w:cs="Times New Roman"/>
                      <w:caps w:val="0"/>
                      <w:smallCaps w:val="0"/>
                      <w:color w:val="auto"/>
                      <w:sz w:val="21"/>
                      <w:szCs w:val="21"/>
                      <w:highlight w:val="none"/>
                      <w:lang w:val="en-US" w:eastAsia="zh-CN"/>
                    </w:rPr>
                    <w:t>。</w:t>
                  </w:r>
                </w:p>
              </w:tc>
            </w:tr>
            <w:tr w14:paraId="04CC7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tcBorders>
                    <w:right w:val="single" w:color="auto" w:sz="4" w:space="0"/>
                  </w:tcBorders>
                  <w:shd w:val="clear" w:color="auto" w:fill="auto"/>
                  <w:noWrap w:val="0"/>
                  <w:vAlign w:val="center"/>
                </w:tcPr>
                <w:p w14:paraId="03418358">
                  <w:pPr>
                    <w:keepNext w:val="0"/>
                    <w:keepLines w:val="0"/>
                    <w:pageBreakBefore w:val="0"/>
                    <w:widowControl/>
                    <w:kinsoku/>
                    <w:overflowPunct/>
                    <w:topLinePunct/>
                    <w:autoSpaceDE w:val="0"/>
                    <w:bidi w:val="0"/>
                    <w:jc w:val="center"/>
                    <w:rPr>
                      <w:rFonts w:hint="default" w:ascii="Times New Roman" w:hAnsi="Times New Roman" w:eastAsia="宋体" w:cs="Times New Roman"/>
                      <w:b/>
                      <w:bCs/>
                      <w:strike w:val="0"/>
                      <w:dstrike w:val="0"/>
                      <w:color w:val="auto"/>
                      <w:kern w:val="2"/>
                      <w:sz w:val="21"/>
                      <w:szCs w:val="21"/>
                      <w:highlight w:val="none"/>
                      <w:lang w:val="en-US" w:eastAsia="zh-CN" w:bidi="ar-SA"/>
                    </w:rPr>
                  </w:pPr>
                  <w:r>
                    <w:rPr>
                      <w:rFonts w:hint="default" w:ascii="Times New Roman" w:hAnsi="Times New Roman" w:eastAsia="宋体" w:cs="Times New Roman"/>
                      <w:b/>
                      <w:bCs/>
                      <w:strike w:val="0"/>
                      <w:dstrike w:val="0"/>
                      <w:color w:val="auto"/>
                      <w:szCs w:val="21"/>
                      <w:highlight w:val="none"/>
                    </w:rPr>
                    <w:t>风险防范措施要求</w:t>
                  </w:r>
                </w:p>
              </w:tc>
              <w:tc>
                <w:tcPr>
                  <w:tcW w:w="6635" w:type="dxa"/>
                  <w:gridSpan w:val="4"/>
                  <w:tcBorders>
                    <w:left w:val="single" w:color="auto" w:sz="4" w:space="0"/>
                  </w:tcBorders>
                  <w:shd w:val="clear" w:color="auto" w:fill="auto"/>
                  <w:noWrap w:val="0"/>
                  <w:vAlign w:val="center"/>
                </w:tcPr>
                <w:p w14:paraId="2B44A16F">
                  <w:pPr>
                    <w:keepNext w:val="0"/>
                    <w:keepLines w:val="0"/>
                    <w:pageBreakBefore w:val="0"/>
                    <w:kinsoku/>
                    <w:overflowPunct/>
                    <w:topLinePunct/>
                    <w:autoSpaceDE w:val="0"/>
                    <w:bidi w:val="0"/>
                    <w:adjustRightInd w:val="0"/>
                    <w:snapToGrid w:val="0"/>
                    <w:jc w:val="left"/>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szCs w:val="21"/>
                      <w:highlight w:val="none"/>
                    </w:rPr>
                    <w:t>①针对火灾风险，应按规范设置灭</w:t>
                  </w:r>
                  <w:r>
                    <w:rPr>
                      <w:rFonts w:hint="eastAsia" w:cs="Times New Roman"/>
                      <w:strike w:val="0"/>
                      <w:dstrike w:val="0"/>
                      <w:color w:val="auto"/>
                      <w:szCs w:val="21"/>
                      <w:highlight w:val="none"/>
                      <w:lang w:eastAsia="zh-CN"/>
                    </w:rPr>
                    <w:t>火器</w:t>
                  </w:r>
                  <w:r>
                    <w:rPr>
                      <w:rFonts w:hint="default" w:ascii="Times New Roman" w:hAnsi="Times New Roman" w:eastAsia="宋体" w:cs="Times New Roman"/>
                      <w:strike w:val="0"/>
                      <w:dstrike w:val="0"/>
                      <w:color w:val="auto"/>
                      <w:szCs w:val="21"/>
                      <w:highlight w:val="none"/>
                    </w:rPr>
                    <w:t>和消防装备；在生产区域明显位置张贴禁用明火的告示，加强油类物质存放区域的巡查；工作人员要熟练掌握操作技术和防火安全管理规定；定期检查材料存储的安全状态，以防止泄漏引发火灾、爆炸。</w:t>
                  </w:r>
                </w:p>
                <w:p w14:paraId="5F2C318F">
                  <w:pPr>
                    <w:keepNext w:val="0"/>
                    <w:keepLines w:val="0"/>
                    <w:pageBreakBefore w:val="0"/>
                    <w:kinsoku/>
                    <w:overflowPunct/>
                    <w:topLinePunct/>
                    <w:autoSpaceDE w:val="0"/>
                    <w:bidi w:val="0"/>
                    <w:adjustRightInd w:val="0"/>
                    <w:snapToGrid w:val="0"/>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szCs w:val="21"/>
                      <w:highlight w:val="none"/>
                    </w:rPr>
                    <w:t>②针对泄漏，</w:t>
                  </w:r>
                  <w:r>
                    <w:rPr>
                      <w:rFonts w:hint="eastAsia" w:cs="Times New Roman"/>
                      <w:strike w:val="0"/>
                      <w:dstrike w:val="0"/>
                      <w:color w:val="auto"/>
                      <w:szCs w:val="21"/>
                      <w:highlight w:val="none"/>
                      <w:lang w:eastAsia="zh-CN"/>
                    </w:rPr>
                    <w:t>危险废物贮存库</w:t>
                  </w:r>
                  <w:r>
                    <w:rPr>
                      <w:rFonts w:hint="default" w:ascii="Times New Roman" w:hAnsi="Times New Roman" w:eastAsia="宋体" w:cs="Times New Roman"/>
                      <w:strike w:val="0"/>
                      <w:dstrike w:val="0"/>
                      <w:color w:val="auto"/>
                      <w:szCs w:val="21"/>
                      <w:highlight w:val="none"/>
                    </w:rPr>
                    <w:t>按《危险废物贮存污染控制标准》（GB18597-2023）要求进行建设，严格落实</w:t>
                  </w:r>
                  <w:r>
                    <w:rPr>
                      <w:rFonts w:hint="default" w:ascii="Times New Roman" w:hAnsi="Times New Roman" w:eastAsia="宋体" w:cs="Times New Roman"/>
                      <w:strike w:val="0"/>
                      <w:dstrike w:val="0"/>
                      <w:color w:val="auto"/>
                      <w:szCs w:val="21"/>
                      <w:highlight w:val="none"/>
                      <w:lang w:val="en-US" w:eastAsia="zh-CN"/>
                    </w:rPr>
                    <w:t>防渗</w:t>
                  </w:r>
                  <w:r>
                    <w:rPr>
                      <w:rFonts w:hint="default" w:ascii="Times New Roman" w:hAnsi="Times New Roman" w:eastAsia="宋体" w:cs="Times New Roman"/>
                      <w:strike w:val="0"/>
                      <w:dstrike w:val="0"/>
                      <w:color w:val="auto"/>
                      <w:szCs w:val="21"/>
                      <w:highlight w:val="none"/>
                    </w:rPr>
                    <w:t>措施（</w:t>
                  </w:r>
                  <w:r>
                    <w:rPr>
                      <w:rFonts w:hint="default" w:ascii="Times New Roman" w:hAnsi="Times New Roman" w:eastAsia="宋体" w:cs="Times New Roman"/>
                      <w:strike w:val="0"/>
                      <w:dstrike w:val="0"/>
                      <w:color w:val="auto"/>
                      <w:szCs w:val="21"/>
                      <w:highlight w:val="none"/>
                      <w:lang w:eastAsia="zh-CN"/>
                    </w:rPr>
                    <w:t>防风、防晒、防雨、防渗、防腐</w:t>
                  </w:r>
                  <w:r>
                    <w:rPr>
                      <w:rFonts w:hint="default" w:ascii="Times New Roman" w:hAnsi="Times New Roman" w:eastAsia="宋体" w:cs="Times New Roman"/>
                      <w:strike w:val="0"/>
                      <w:dstrike w:val="0"/>
                      <w:color w:val="auto"/>
                      <w:szCs w:val="21"/>
                      <w:highlight w:val="none"/>
                      <w:lang w:val="en-US" w:eastAsia="zh-CN"/>
                    </w:rPr>
                    <w:t>等</w:t>
                  </w:r>
                  <w:r>
                    <w:rPr>
                      <w:rFonts w:hint="default" w:ascii="Times New Roman" w:hAnsi="Times New Roman" w:eastAsia="宋体" w:cs="Times New Roman"/>
                      <w:strike w:val="0"/>
                      <w:dstrike w:val="0"/>
                      <w:color w:val="auto"/>
                      <w:szCs w:val="21"/>
                      <w:highlight w:val="none"/>
                    </w:rPr>
                    <w:t>），委托有资质的危险废物处置单位清运处置；</w:t>
                  </w:r>
                  <w:r>
                    <w:rPr>
                      <w:rFonts w:hint="default" w:ascii="Times New Roman" w:hAnsi="Times New Roman" w:eastAsia="宋体" w:cs="Times New Roman"/>
                      <w:strike w:val="0"/>
                      <w:dstrike w:val="0"/>
                      <w:color w:val="auto"/>
                      <w:kern w:val="0"/>
                      <w:szCs w:val="21"/>
                      <w:highlight w:val="none"/>
                      <w:lang w:bidi="ar"/>
                    </w:rPr>
                    <w:t>配备化学品库管理人员，对</w:t>
                  </w:r>
                  <w:r>
                    <w:rPr>
                      <w:rFonts w:hint="default" w:ascii="Times New Roman" w:hAnsi="Times New Roman" w:eastAsia="宋体" w:cs="Times New Roman"/>
                      <w:strike w:val="0"/>
                      <w:dstrike w:val="0"/>
                      <w:snapToGrid w:val="0"/>
                      <w:color w:val="auto"/>
                      <w:szCs w:val="21"/>
                      <w:highlight w:val="none"/>
                      <w:lang w:val="en-US" w:eastAsia="zh-CN"/>
                    </w:rPr>
                    <w:t>氢氧化钠</w:t>
                  </w:r>
                  <w:r>
                    <w:rPr>
                      <w:rFonts w:hint="default" w:ascii="Times New Roman" w:hAnsi="Times New Roman" w:eastAsia="宋体" w:cs="Times New Roman"/>
                      <w:strike w:val="0"/>
                      <w:dstrike w:val="0"/>
                      <w:snapToGrid w:val="0"/>
                      <w:color w:val="auto"/>
                      <w:szCs w:val="21"/>
                      <w:highlight w:val="none"/>
                    </w:rPr>
                    <w:t>等化学品</w:t>
                  </w:r>
                  <w:r>
                    <w:rPr>
                      <w:rFonts w:hint="default" w:ascii="Times New Roman" w:hAnsi="Times New Roman" w:eastAsia="宋体" w:cs="Times New Roman"/>
                      <w:strike w:val="0"/>
                      <w:dstrike w:val="0"/>
                      <w:color w:val="auto"/>
                      <w:kern w:val="0"/>
                      <w:szCs w:val="21"/>
                      <w:highlight w:val="none"/>
                      <w:lang w:bidi="ar"/>
                    </w:rPr>
                    <w:t>分类存放，按生产需求定量领取化学品，避免化学品泄漏造成环境污染。化学品按需请购，减少存量</w:t>
                  </w:r>
                  <w:r>
                    <w:rPr>
                      <w:rFonts w:hint="default" w:ascii="Times New Roman" w:hAnsi="Times New Roman" w:eastAsia="宋体" w:cs="Times New Roman"/>
                      <w:strike w:val="0"/>
                      <w:dstrike w:val="0"/>
                      <w:color w:val="auto"/>
                      <w:kern w:val="0"/>
                      <w:szCs w:val="21"/>
                      <w:highlight w:val="none"/>
                      <w:lang w:eastAsia="zh-CN" w:bidi="ar"/>
                    </w:rPr>
                    <w:t>；</w:t>
                  </w:r>
                  <w:r>
                    <w:rPr>
                      <w:rFonts w:hint="default" w:ascii="Times New Roman" w:hAnsi="Times New Roman" w:eastAsia="宋体" w:cs="Times New Roman"/>
                      <w:strike w:val="0"/>
                      <w:dstrike w:val="0"/>
                      <w:color w:val="auto"/>
                      <w:kern w:val="0"/>
                      <w:szCs w:val="21"/>
                      <w:highlight w:val="none"/>
                      <w:lang w:bidi="ar"/>
                    </w:rPr>
                    <w:t>工作人员必须经过专职培训后方能上岗，做到操作规范。禁止闲杂人员进入化学品库，确保</w:t>
                  </w:r>
                  <w:r>
                    <w:rPr>
                      <w:rFonts w:hint="default" w:ascii="Times New Roman" w:hAnsi="Times New Roman" w:eastAsia="宋体" w:cs="Times New Roman"/>
                      <w:strike w:val="0"/>
                      <w:dstrike w:val="0"/>
                      <w:color w:val="auto"/>
                      <w:kern w:val="0"/>
                      <w:szCs w:val="21"/>
                      <w:highlight w:val="none"/>
                      <w:lang w:val="en-US" w:eastAsia="zh-CN" w:bidi="ar"/>
                    </w:rPr>
                    <w:t>碱库</w:t>
                  </w:r>
                  <w:r>
                    <w:rPr>
                      <w:rFonts w:hint="default" w:ascii="Times New Roman" w:hAnsi="Times New Roman" w:eastAsia="宋体" w:cs="Times New Roman"/>
                      <w:strike w:val="0"/>
                      <w:dstrike w:val="0"/>
                      <w:color w:val="auto"/>
                      <w:kern w:val="0"/>
                      <w:szCs w:val="21"/>
                      <w:highlight w:val="none"/>
                      <w:lang w:bidi="ar"/>
                    </w:rPr>
                    <w:t>环境管理的规范性。</w:t>
                  </w:r>
                  <w:r>
                    <w:rPr>
                      <w:rFonts w:hint="default" w:ascii="Times New Roman" w:hAnsi="Times New Roman" w:eastAsia="宋体" w:cs="Times New Roman"/>
                      <w:strike w:val="0"/>
                      <w:dstrike w:val="0"/>
                      <w:color w:val="auto"/>
                      <w:kern w:val="0"/>
                      <w:szCs w:val="21"/>
                      <w:highlight w:val="none"/>
                      <w:lang w:val="en-US" w:eastAsia="zh-CN" w:bidi="ar"/>
                    </w:rPr>
                    <w:t>碱库</w:t>
                  </w:r>
                  <w:r>
                    <w:rPr>
                      <w:rFonts w:hint="default" w:ascii="Times New Roman" w:hAnsi="Times New Roman" w:eastAsia="宋体" w:cs="Times New Roman"/>
                      <w:strike w:val="0"/>
                      <w:dstrike w:val="0"/>
                      <w:color w:val="auto"/>
                      <w:kern w:val="0"/>
                      <w:szCs w:val="21"/>
                      <w:highlight w:val="none"/>
                      <w:lang w:bidi="ar"/>
                    </w:rPr>
                    <w:t>设置双人双锁、标识，建立严格入库、出库手续，派专人管理，以防止危险化学品泄漏外流</w:t>
                  </w:r>
                  <w:r>
                    <w:rPr>
                      <w:rFonts w:hint="default" w:ascii="Times New Roman" w:hAnsi="Times New Roman" w:eastAsia="宋体" w:cs="Times New Roman"/>
                      <w:strike w:val="0"/>
                      <w:dstrike w:val="0"/>
                      <w:color w:val="auto"/>
                      <w:szCs w:val="21"/>
                      <w:highlight w:val="none"/>
                    </w:rPr>
                    <w:t>。</w:t>
                  </w:r>
                </w:p>
                <w:p w14:paraId="7EA42B82">
                  <w:pPr>
                    <w:keepNext w:val="0"/>
                    <w:keepLines w:val="0"/>
                    <w:pageBreakBefore w:val="0"/>
                    <w:kinsoku/>
                    <w:overflowPunct/>
                    <w:topLinePunct/>
                    <w:autoSpaceDE w:val="0"/>
                    <w:bidi w:val="0"/>
                    <w:adjustRightInd w:val="0"/>
                    <w:snapToGrid w:val="0"/>
                    <w:jc w:val="left"/>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szCs w:val="21"/>
                      <w:highlight w:val="none"/>
                    </w:rPr>
                    <w:t>③针对废气事故排放，应加强废气治理设施的日常维护管理，确保废气治理系统处在良好的运转状态；委托有资质的监测机构定期对废气排放口监测，掌握污染物的排放情况，建立废气治理措施运行台账管理制度，杜绝废气事故排放。</w:t>
                  </w:r>
                </w:p>
                <w:p w14:paraId="64B939CA">
                  <w:pPr>
                    <w:keepNext w:val="0"/>
                    <w:keepLines w:val="0"/>
                    <w:pageBreakBefore w:val="0"/>
                    <w:kinsoku/>
                    <w:overflowPunct/>
                    <w:topLinePunct/>
                    <w:autoSpaceDE w:val="0"/>
                    <w:bidi w:val="0"/>
                    <w:rPr>
                      <w:rFonts w:hint="default" w:ascii="Times New Roman" w:hAnsi="Times New Roman" w:eastAsia="宋体" w:cs="Times New Roman"/>
                      <w:bCs/>
                      <w:strike w:val="0"/>
                      <w:dstrike w:val="0"/>
                      <w:color w:val="auto"/>
                      <w:szCs w:val="21"/>
                      <w:highlight w:val="none"/>
                    </w:rPr>
                  </w:pPr>
                  <w:r>
                    <w:rPr>
                      <w:rFonts w:hint="default" w:ascii="Times New Roman" w:hAnsi="Times New Roman" w:eastAsia="宋体" w:cs="Times New Roman"/>
                      <w:bCs/>
                      <w:strike w:val="0"/>
                      <w:dstrike w:val="0"/>
                      <w:color w:val="auto"/>
                      <w:szCs w:val="21"/>
                      <w:highlight w:val="none"/>
                    </w:rPr>
                    <w:t>④</w:t>
                  </w:r>
                  <w:r>
                    <w:rPr>
                      <w:rFonts w:hint="default" w:ascii="Times New Roman" w:hAnsi="Times New Roman" w:eastAsia="宋体" w:cs="Times New Roman"/>
                      <w:strike w:val="0"/>
                      <w:dstrike w:val="0"/>
                      <w:color w:val="auto"/>
                      <w:szCs w:val="21"/>
                      <w:highlight w:val="none"/>
                    </w:rPr>
                    <w:t>针对</w:t>
                  </w:r>
                  <w:r>
                    <w:rPr>
                      <w:rFonts w:hint="default" w:ascii="Times New Roman" w:hAnsi="Times New Roman" w:eastAsia="宋体" w:cs="Times New Roman"/>
                      <w:bCs/>
                      <w:strike w:val="0"/>
                      <w:dstrike w:val="0"/>
                      <w:color w:val="auto"/>
                      <w:szCs w:val="21"/>
                      <w:highlight w:val="none"/>
                    </w:rPr>
                    <w:t>建立健全安全环境管理制度，要坚持“预防为主”的方针，防患于未然，操作人员必须严格按照操作规程办事，认真执行巡检制度，避免因检查不到位或错误操作而发生事故；建立健全的环境管理制度，指定相关责任人；消防器材完好到位，并设置火灾报警装置。加强项目区安全环保管理，对所有职工进行安全环保的教育和培训。</w:t>
                  </w:r>
                </w:p>
                <w:p w14:paraId="603ABA04">
                  <w:pPr>
                    <w:keepNext w:val="0"/>
                    <w:keepLines w:val="0"/>
                    <w:pageBreakBefore w:val="0"/>
                    <w:kinsoku/>
                    <w:overflowPunct/>
                    <w:topLinePunct/>
                    <w:autoSpaceDE w:val="0"/>
                    <w:bidi w:val="0"/>
                    <w:rPr>
                      <w:rFonts w:hint="default" w:ascii="Times New Roman" w:hAnsi="Times New Roman" w:eastAsia="宋体" w:cs="Times New Roman"/>
                      <w:bCs/>
                      <w:strike w:val="0"/>
                      <w:dstrike w:val="0"/>
                      <w:color w:val="auto"/>
                      <w:szCs w:val="21"/>
                      <w:highlight w:val="none"/>
                    </w:rPr>
                  </w:pPr>
                  <w:r>
                    <w:rPr>
                      <w:rFonts w:hint="default" w:ascii="Times New Roman" w:hAnsi="Times New Roman" w:eastAsia="宋体" w:cs="Times New Roman"/>
                      <w:bCs/>
                      <w:strike w:val="0"/>
                      <w:dstrike w:val="0"/>
                      <w:color w:val="auto"/>
                      <w:szCs w:val="21"/>
                      <w:highlight w:val="none"/>
                    </w:rPr>
                    <w:t>⑤</w:t>
                  </w:r>
                  <w:r>
                    <w:rPr>
                      <w:rFonts w:hint="default" w:ascii="Times New Roman" w:hAnsi="Times New Roman" w:eastAsia="宋体" w:cs="Times New Roman"/>
                      <w:strike w:val="0"/>
                      <w:dstrike w:val="0"/>
                      <w:color w:val="auto"/>
                      <w:szCs w:val="21"/>
                      <w:highlight w:val="none"/>
                    </w:rPr>
                    <w:t>针对</w:t>
                  </w:r>
                  <w:r>
                    <w:rPr>
                      <w:rFonts w:hint="default" w:ascii="Times New Roman" w:hAnsi="Times New Roman" w:eastAsia="宋体" w:cs="Times New Roman"/>
                      <w:bCs/>
                      <w:strike w:val="0"/>
                      <w:dstrike w:val="0"/>
                      <w:color w:val="auto"/>
                      <w:szCs w:val="21"/>
                      <w:highlight w:val="none"/>
                    </w:rPr>
                    <w:t>安全防范措施，</w:t>
                  </w:r>
                  <w:r>
                    <w:rPr>
                      <w:rFonts w:hint="eastAsia" w:cs="Times New Roman"/>
                      <w:bCs/>
                      <w:strike w:val="0"/>
                      <w:dstrike w:val="0"/>
                      <w:color w:val="auto"/>
                      <w:szCs w:val="21"/>
                      <w:highlight w:val="none"/>
                      <w:lang w:eastAsia="zh-CN"/>
                    </w:rPr>
                    <w:t>危险废物贮存库</w:t>
                  </w:r>
                  <w:r>
                    <w:rPr>
                      <w:rFonts w:hint="default" w:ascii="Times New Roman" w:hAnsi="Times New Roman" w:eastAsia="宋体" w:cs="Times New Roman"/>
                      <w:bCs/>
                      <w:strike w:val="0"/>
                      <w:dstrike w:val="0"/>
                      <w:color w:val="auto"/>
                      <w:szCs w:val="21"/>
                      <w:highlight w:val="none"/>
                    </w:rPr>
                    <w:t>禁止明火，需动火作业</w:t>
                  </w:r>
                  <w:r>
                    <w:rPr>
                      <w:rFonts w:hint="default" w:ascii="Times New Roman" w:hAnsi="Times New Roman" w:eastAsia="宋体" w:cs="Times New Roman"/>
                      <w:bCs/>
                      <w:strike w:val="0"/>
                      <w:dstrike w:val="0"/>
                      <w:color w:val="auto"/>
                      <w:szCs w:val="21"/>
                      <w:highlight w:val="none"/>
                      <w:lang w:eastAsia="zh-CN"/>
                    </w:rPr>
                    <w:t>时</w:t>
                  </w:r>
                  <w:r>
                    <w:rPr>
                      <w:rFonts w:hint="default" w:ascii="Times New Roman" w:hAnsi="Times New Roman" w:eastAsia="宋体" w:cs="Times New Roman"/>
                      <w:bCs/>
                      <w:strike w:val="0"/>
                      <w:dstrike w:val="0"/>
                      <w:color w:val="auto"/>
                      <w:szCs w:val="21"/>
                      <w:highlight w:val="none"/>
                    </w:rPr>
                    <w:t>必须得到安全负责人的批准，并采取必要的安全防范措施后才能进行；在醒目与安全有关的地方应设立“禁止烟火”、“禁止吸烟”、“当心火灾”、“火警电话”等安全标志。除临时安全标志外，不得将安全标志设在可移动的物体上；必须对安全设施进行经常性维护、保养等，并定期检测，保证正常运转。</w:t>
                  </w:r>
                </w:p>
                <w:p w14:paraId="1335C57E">
                  <w:pPr>
                    <w:keepNext w:val="0"/>
                    <w:keepLines w:val="0"/>
                    <w:pageBreakBefore w:val="0"/>
                    <w:widowControl/>
                    <w:kinsoku/>
                    <w:overflowPunct/>
                    <w:topLinePunct/>
                    <w:autoSpaceDE w:val="0"/>
                    <w:bidi w:val="0"/>
                    <w:rPr>
                      <w:rFonts w:hint="default" w:ascii="Times New Roman" w:hAnsi="Times New Roman" w:eastAsia="宋体" w:cs="Times New Roman"/>
                      <w:strike w:val="0"/>
                      <w:dstrike w:val="0"/>
                      <w:color w:val="auto"/>
                      <w:szCs w:val="21"/>
                      <w:highlight w:val="none"/>
                    </w:rPr>
                  </w:pPr>
                  <w:r>
                    <w:rPr>
                      <w:rFonts w:hint="default" w:ascii="Times New Roman" w:hAnsi="Times New Roman" w:eastAsia="宋体" w:cs="Times New Roman"/>
                      <w:strike w:val="0"/>
                      <w:dstrike w:val="0"/>
                      <w:color w:val="auto"/>
                      <w:szCs w:val="21"/>
                      <w:highlight w:val="none"/>
                    </w:rPr>
                    <w:t>⑥后期及时编制突发环境事件应急预案并完成备案；开展相应应急演练。</w:t>
                  </w:r>
                </w:p>
                <w:p w14:paraId="04A43756">
                  <w:pPr>
                    <w:keepNext w:val="0"/>
                    <w:keepLines w:val="0"/>
                    <w:pageBreakBefore w:val="0"/>
                    <w:widowControl/>
                    <w:kinsoku/>
                    <w:overflowPunct/>
                    <w:topLinePunct/>
                    <w:autoSpaceDE w:val="0"/>
                    <w:bidi w:val="0"/>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bCs/>
                      <w:strike w:val="0"/>
                      <w:dstrike w:val="0"/>
                      <w:color w:val="auto"/>
                      <w:szCs w:val="21"/>
                      <w:highlight w:val="none"/>
                    </w:rPr>
                    <w:t>⑦应急物资：自备防护服、防护口罩、灭火器等消防灭火器材；119火警电话、120急救电话及应急通讯装置</w:t>
                  </w:r>
                  <w:r>
                    <w:rPr>
                      <w:rFonts w:hint="default" w:ascii="Times New Roman" w:hAnsi="Times New Roman" w:eastAsia="宋体" w:cs="Times New Roman"/>
                      <w:strike w:val="0"/>
                      <w:dstrike w:val="0"/>
                      <w:color w:val="auto"/>
                      <w:szCs w:val="21"/>
                      <w:highlight w:val="none"/>
                    </w:rPr>
                    <w:t>。</w:t>
                  </w:r>
                </w:p>
              </w:tc>
            </w:tr>
            <w:tr w14:paraId="68A8C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8" w:type="dxa"/>
                  <w:tcBorders>
                    <w:right w:val="single" w:color="auto" w:sz="4" w:space="0"/>
                  </w:tcBorders>
                  <w:noWrap w:val="0"/>
                  <w:vAlign w:val="center"/>
                </w:tcPr>
                <w:p w14:paraId="33583A9F">
                  <w:pPr>
                    <w:keepNext w:val="0"/>
                    <w:keepLines w:val="0"/>
                    <w:pageBreakBefore w:val="0"/>
                    <w:widowControl/>
                    <w:kinsoku/>
                    <w:wordWrap/>
                    <w:overflowPunct/>
                    <w:topLinePunct/>
                    <w:autoSpaceDE w:val="0"/>
                    <w:autoSpaceDN/>
                    <w:bidi w:val="0"/>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填表说明（列出项目相关信息及评价说明）</w:t>
                  </w:r>
                </w:p>
              </w:tc>
              <w:tc>
                <w:tcPr>
                  <w:tcW w:w="6635" w:type="dxa"/>
                  <w:gridSpan w:val="4"/>
                  <w:tcBorders>
                    <w:left w:val="single" w:color="auto" w:sz="4" w:space="0"/>
                  </w:tcBorders>
                  <w:noWrap w:val="0"/>
                  <w:vAlign w:val="center"/>
                </w:tcPr>
                <w:p w14:paraId="40ECD0C0">
                  <w:pPr>
                    <w:keepNext w:val="0"/>
                    <w:keepLines w:val="0"/>
                    <w:pageBreakBefore w:val="0"/>
                    <w:widowControl/>
                    <w:kinsoku/>
                    <w:wordWrap/>
                    <w:overflowPunct/>
                    <w:topLinePunct/>
                    <w:autoSpaceDE w:val="0"/>
                    <w:autoSpaceDN/>
                    <w:bidi w:val="0"/>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本项目计算出的危险物质总量与其临界量比值Q&lt;1，即环境风险潜势为I，展开简单分析即可，只要严格按照本环评要求进行监管，项目风险完全在可控范围之内。</w:t>
                  </w:r>
                </w:p>
              </w:tc>
            </w:tr>
          </w:tbl>
          <w:p w14:paraId="078879A3">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39F46909">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463F2073">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218C9D51">
            <w:pPr>
              <w:keepNext w:val="0"/>
              <w:keepLines w:val="0"/>
              <w:pageBreakBefore w:val="0"/>
              <w:kinsoku/>
              <w:overflowPunct/>
              <w:topLinePunct/>
              <w:autoSpaceDE w:val="0"/>
              <w:bidi w:val="0"/>
              <w:rPr>
                <w:rFonts w:hint="default" w:ascii="Times New Roman" w:hAnsi="Times New Roman" w:eastAsia="宋体" w:cs="Times New Roman"/>
                <w:color w:val="auto"/>
                <w:highlight w:val="none"/>
                <w:lang w:val="en-US" w:eastAsia="zh-CN"/>
              </w:rPr>
            </w:pPr>
          </w:p>
          <w:p w14:paraId="4249053B">
            <w:pPr>
              <w:pStyle w:val="2"/>
              <w:rPr>
                <w:rFonts w:hint="default" w:ascii="Times New Roman" w:hAnsi="Times New Roman" w:eastAsia="宋体" w:cs="Times New Roman"/>
                <w:color w:val="auto"/>
                <w:highlight w:val="none"/>
                <w:lang w:val="en-US" w:eastAsia="zh-CN"/>
              </w:rPr>
            </w:pPr>
          </w:p>
          <w:p w14:paraId="359883B0">
            <w:pPr>
              <w:pStyle w:val="3"/>
              <w:rPr>
                <w:rFonts w:hint="default" w:ascii="Times New Roman" w:hAnsi="Times New Roman" w:eastAsia="宋体" w:cs="Times New Roman"/>
                <w:color w:val="auto"/>
                <w:highlight w:val="none"/>
                <w:lang w:val="en-US" w:eastAsia="zh-CN"/>
              </w:rPr>
            </w:pPr>
          </w:p>
          <w:p w14:paraId="2D7E8C13">
            <w:pPr>
              <w:pStyle w:val="3"/>
              <w:rPr>
                <w:rFonts w:hint="default" w:ascii="Times New Roman" w:hAnsi="Times New Roman" w:eastAsia="宋体" w:cs="Times New Roman"/>
                <w:color w:val="auto"/>
                <w:highlight w:val="none"/>
                <w:lang w:val="en-US" w:eastAsia="zh-CN"/>
              </w:rPr>
            </w:pPr>
          </w:p>
          <w:p w14:paraId="09F6A46D">
            <w:pPr>
              <w:pStyle w:val="3"/>
              <w:rPr>
                <w:rFonts w:hint="default" w:ascii="Times New Roman" w:hAnsi="Times New Roman" w:eastAsia="宋体" w:cs="Times New Roman"/>
                <w:color w:val="auto"/>
                <w:highlight w:val="none"/>
                <w:lang w:val="en-US" w:eastAsia="zh-CN"/>
              </w:rPr>
            </w:pPr>
          </w:p>
          <w:p w14:paraId="48B11665">
            <w:pPr>
              <w:pStyle w:val="3"/>
              <w:rPr>
                <w:rFonts w:hint="default" w:ascii="Times New Roman" w:hAnsi="Times New Roman" w:eastAsia="宋体" w:cs="Times New Roman"/>
                <w:color w:val="auto"/>
                <w:highlight w:val="none"/>
                <w:lang w:val="en-US" w:eastAsia="zh-CN"/>
              </w:rPr>
            </w:pPr>
          </w:p>
          <w:p w14:paraId="22CD7C94">
            <w:pPr>
              <w:pStyle w:val="3"/>
              <w:rPr>
                <w:rFonts w:hint="default" w:ascii="Times New Roman" w:hAnsi="Times New Roman" w:eastAsia="宋体" w:cs="Times New Roman"/>
                <w:color w:val="auto"/>
                <w:highlight w:val="none"/>
                <w:lang w:val="en-US" w:eastAsia="zh-CN"/>
              </w:rPr>
            </w:pPr>
          </w:p>
          <w:p w14:paraId="064FAB69">
            <w:pPr>
              <w:pStyle w:val="3"/>
              <w:rPr>
                <w:rFonts w:hint="default" w:ascii="Times New Roman" w:hAnsi="Times New Roman" w:eastAsia="宋体" w:cs="Times New Roman"/>
                <w:color w:val="auto"/>
                <w:highlight w:val="none"/>
                <w:lang w:val="en-US" w:eastAsia="zh-CN"/>
              </w:rPr>
            </w:pPr>
          </w:p>
          <w:p w14:paraId="12D16417">
            <w:pPr>
              <w:pStyle w:val="3"/>
              <w:rPr>
                <w:rFonts w:hint="default" w:ascii="Times New Roman" w:hAnsi="Times New Roman" w:eastAsia="宋体" w:cs="Times New Roman"/>
                <w:color w:val="auto"/>
                <w:highlight w:val="none"/>
                <w:lang w:val="en-US" w:eastAsia="zh-CN"/>
              </w:rPr>
            </w:pPr>
          </w:p>
          <w:p w14:paraId="32C57DF8">
            <w:pPr>
              <w:pStyle w:val="3"/>
              <w:rPr>
                <w:rFonts w:hint="default" w:ascii="Times New Roman" w:hAnsi="Times New Roman" w:eastAsia="宋体" w:cs="Times New Roman"/>
                <w:color w:val="auto"/>
                <w:highlight w:val="none"/>
                <w:lang w:val="en-US" w:eastAsia="zh-CN"/>
              </w:rPr>
            </w:pPr>
          </w:p>
          <w:p w14:paraId="638EAFFB">
            <w:pPr>
              <w:pStyle w:val="3"/>
              <w:rPr>
                <w:rFonts w:hint="default" w:ascii="Times New Roman" w:hAnsi="Times New Roman" w:eastAsia="宋体" w:cs="Times New Roman"/>
                <w:color w:val="auto"/>
                <w:highlight w:val="none"/>
                <w:lang w:val="en-US" w:eastAsia="zh-CN"/>
              </w:rPr>
            </w:pPr>
          </w:p>
          <w:p w14:paraId="4E61AEAE">
            <w:pPr>
              <w:pStyle w:val="3"/>
              <w:rPr>
                <w:rFonts w:hint="default" w:ascii="Times New Roman" w:hAnsi="Times New Roman" w:eastAsia="宋体" w:cs="Times New Roman"/>
                <w:color w:val="auto"/>
                <w:highlight w:val="none"/>
                <w:lang w:val="en-US" w:eastAsia="zh-CN"/>
              </w:rPr>
            </w:pPr>
          </w:p>
          <w:p w14:paraId="474031A7">
            <w:pPr>
              <w:pStyle w:val="3"/>
              <w:rPr>
                <w:rFonts w:hint="default" w:ascii="Times New Roman" w:hAnsi="Times New Roman" w:eastAsia="宋体" w:cs="Times New Roman"/>
                <w:color w:val="auto"/>
                <w:highlight w:val="none"/>
                <w:lang w:val="en-US" w:eastAsia="zh-CN"/>
              </w:rPr>
            </w:pPr>
          </w:p>
          <w:p w14:paraId="48B514C0">
            <w:pPr>
              <w:pStyle w:val="3"/>
              <w:rPr>
                <w:rFonts w:hint="default" w:ascii="Times New Roman" w:hAnsi="Times New Roman" w:eastAsia="宋体" w:cs="Times New Roman"/>
                <w:color w:val="auto"/>
                <w:highlight w:val="none"/>
                <w:lang w:val="en-US" w:eastAsia="zh-CN"/>
              </w:rPr>
            </w:pPr>
          </w:p>
          <w:p w14:paraId="760A43EF">
            <w:pPr>
              <w:pStyle w:val="3"/>
              <w:rPr>
                <w:rFonts w:hint="default" w:ascii="Times New Roman" w:hAnsi="Times New Roman" w:eastAsia="宋体" w:cs="Times New Roman"/>
                <w:color w:val="auto"/>
                <w:highlight w:val="none"/>
                <w:lang w:val="en-US" w:eastAsia="zh-CN"/>
              </w:rPr>
            </w:pPr>
          </w:p>
          <w:p w14:paraId="23AD77CC">
            <w:pPr>
              <w:pStyle w:val="3"/>
              <w:rPr>
                <w:rFonts w:hint="default" w:ascii="Times New Roman" w:hAnsi="Times New Roman" w:eastAsia="宋体" w:cs="Times New Roman"/>
                <w:color w:val="auto"/>
                <w:highlight w:val="none"/>
                <w:lang w:val="en-US" w:eastAsia="zh-CN"/>
              </w:rPr>
            </w:pPr>
          </w:p>
          <w:p w14:paraId="7FEA8B62">
            <w:pPr>
              <w:pStyle w:val="3"/>
              <w:rPr>
                <w:rFonts w:hint="default" w:ascii="Times New Roman" w:hAnsi="Times New Roman" w:eastAsia="宋体" w:cs="Times New Roman"/>
                <w:color w:val="auto"/>
                <w:highlight w:val="none"/>
                <w:lang w:val="en-US" w:eastAsia="zh-CN"/>
              </w:rPr>
            </w:pPr>
          </w:p>
          <w:p w14:paraId="71C4A370">
            <w:pPr>
              <w:pStyle w:val="3"/>
              <w:rPr>
                <w:rFonts w:hint="default" w:ascii="Times New Roman" w:hAnsi="Times New Roman" w:eastAsia="宋体" w:cs="Times New Roman"/>
                <w:color w:val="auto"/>
                <w:highlight w:val="none"/>
                <w:lang w:val="en-US" w:eastAsia="zh-CN"/>
              </w:rPr>
            </w:pPr>
          </w:p>
          <w:p w14:paraId="0CF99E9A">
            <w:pPr>
              <w:pStyle w:val="3"/>
              <w:rPr>
                <w:rFonts w:hint="default" w:ascii="Times New Roman" w:hAnsi="Times New Roman" w:eastAsia="宋体" w:cs="Times New Roman"/>
                <w:color w:val="auto"/>
                <w:highlight w:val="none"/>
                <w:lang w:val="en-US" w:eastAsia="zh-CN"/>
              </w:rPr>
            </w:pPr>
          </w:p>
          <w:p w14:paraId="14FA72A0">
            <w:pPr>
              <w:pStyle w:val="3"/>
              <w:rPr>
                <w:rFonts w:hint="default" w:ascii="Times New Roman" w:hAnsi="Times New Roman" w:eastAsia="宋体" w:cs="Times New Roman"/>
                <w:color w:val="auto"/>
                <w:highlight w:val="none"/>
                <w:lang w:val="en-US" w:eastAsia="zh-CN"/>
              </w:rPr>
            </w:pPr>
          </w:p>
          <w:p w14:paraId="4A33E2ED">
            <w:pPr>
              <w:pStyle w:val="3"/>
              <w:rPr>
                <w:rFonts w:hint="default" w:ascii="Times New Roman" w:hAnsi="Times New Roman" w:eastAsia="宋体" w:cs="Times New Roman"/>
                <w:color w:val="auto"/>
                <w:highlight w:val="none"/>
                <w:lang w:val="en-US" w:eastAsia="zh-CN"/>
              </w:rPr>
            </w:pPr>
          </w:p>
          <w:p w14:paraId="548F64FE">
            <w:pPr>
              <w:pStyle w:val="3"/>
              <w:rPr>
                <w:rFonts w:hint="default" w:ascii="Times New Roman" w:hAnsi="Times New Roman" w:eastAsia="宋体" w:cs="Times New Roman"/>
                <w:color w:val="auto"/>
                <w:highlight w:val="none"/>
                <w:lang w:val="en-US" w:eastAsia="zh-CN"/>
              </w:rPr>
            </w:pPr>
          </w:p>
          <w:p w14:paraId="28CEF517">
            <w:pPr>
              <w:pStyle w:val="3"/>
              <w:rPr>
                <w:rFonts w:hint="default" w:ascii="Times New Roman" w:hAnsi="Times New Roman" w:eastAsia="宋体" w:cs="Times New Roman"/>
                <w:color w:val="auto"/>
                <w:highlight w:val="none"/>
                <w:lang w:val="en-US" w:eastAsia="zh-CN"/>
              </w:rPr>
            </w:pPr>
          </w:p>
          <w:p w14:paraId="3B34FC1B">
            <w:pPr>
              <w:pStyle w:val="3"/>
              <w:rPr>
                <w:rFonts w:hint="default" w:ascii="Times New Roman" w:hAnsi="Times New Roman" w:eastAsia="宋体" w:cs="Times New Roman"/>
                <w:color w:val="auto"/>
                <w:highlight w:val="none"/>
                <w:lang w:val="en-US" w:eastAsia="zh-CN"/>
              </w:rPr>
            </w:pPr>
          </w:p>
          <w:p w14:paraId="0040752E">
            <w:pPr>
              <w:pStyle w:val="3"/>
              <w:rPr>
                <w:rFonts w:hint="default" w:ascii="Times New Roman" w:hAnsi="Times New Roman" w:eastAsia="宋体" w:cs="Times New Roman"/>
                <w:color w:val="auto"/>
                <w:highlight w:val="none"/>
                <w:lang w:val="en-US" w:eastAsia="zh-CN"/>
              </w:rPr>
            </w:pPr>
          </w:p>
          <w:p w14:paraId="26863E1A">
            <w:pPr>
              <w:pStyle w:val="3"/>
              <w:rPr>
                <w:rFonts w:hint="default" w:ascii="Times New Roman" w:hAnsi="Times New Roman" w:eastAsia="宋体" w:cs="Times New Roman"/>
                <w:color w:val="auto"/>
                <w:highlight w:val="none"/>
                <w:lang w:val="en-US" w:eastAsia="zh-CN"/>
              </w:rPr>
            </w:pPr>
          </w:p>
          <w:p w14:paraId="33B5B144">
            <w:pPr>
              <w:pStyle w:val="3"/>
              <w:rPr>
                <w:rFonts w:hint="default" w:ascii="Times New Roman" w:hAnsi="Times New Roman" w:eastAsia="宋体" w:cs="Times New Roman"/>
                <w:color w:val="auto"/>
                <w:highlight w:val="none"/>
                <w:lang w:val="en-US" w:eastAsia="zh-CN"/>
              </w:rPr>
            </w:pPr>
          </w:p>
          <w:p w14:paraId="11691AA7">
            <w:pPr>
              <w:pStyle w:val="3"/>
              <w:rPr>
                <w:rFonts w:hint="default" w:ascii="Times New Roman" w:hAnsi="Times New Roman" w:eastAsia="宋体" w:cs="Times New Roman"/>
                <w:color w:val="auto"/>
                <w:highlight w:val="none"/>
                <w:lang w:val="en-US" w:eastAsia="zh-CN"/>
              </w:rPr>
            </w:pPr>
          </w:p>
          <w:p w14:paraId="47DECD34">
            <w:pPr>
              <w:pStyle w:val="3"/>
              <w:rPr>
                <w:rFonts w:hint="default" w:ascii="Times New Roman" w:hAnsi="Times New Roman" w:eastAsia="宋体" w:cs="Times New Roman"/>
                <w:color w:val="auto"/>
                <w:highlight w:val="none"/>
                <w:lang w:val="en-US" w:eastAsia="zh-CN"/>
              </w:rPr>
            </w:pPr>
          </w:p>
          <w:p w14:paraId="6E150367">
            <w:pPr>
              <w:pStyle w:val="3"/>
              <w:rPr>
                <w:rFonts w:hint="default" w:ascii="Times New Roman" w:hAnsi="Times New Roman" w:eastAsia="宋体" w:cs="Times New Roman"/>
                <w:color w:val="auto"/>
                <w:highlight w:val="none"/>
                <w:lang w:val="en-US" w:eastAsia="zh-CN"/>
              </w:rPr>
            </w:pPr>
          </w:p>
          <w:p w14:paraId="682C486D">
            <w:pPr>
              <w:pStyle w:val="3"/>
              <w:rPr>
                <w:rFonts w:hint="default" w:ascii="Times New Roman" w:hAnsi="Times New Roman" w:eastAsia="宋体" w:cs="Times New Roman"/>
                <w:color w:val="auto"/>
                <w:highlight w:val="none"/>
                <w:lang w:val="en-US" w:eastAsia="zh-CN"/>
              </w:rPr>
            </w:pPr>
          </w:p>
          <w:p w14:paraId="0B57889F">
            <w:pPr>
              <w:pStyle w:val="3"/>
              <w:rPr>
                <w:rFonts w:hint="default" w:ascii="Times New Roman" w:hAnsi="Times New Roman" w:eastAsia="宋体" w:cs="Times New Roman"/>
                <w:color w:val="auto"/>
                <w:highlight w:val="none"/>
                <w:lang w:val="en-US" w:eastAsia="zh-CN"/>
              </w:rPr>
            </w:pPr>
          </w:p>
          <w:p w14:paraId="56098A61">
            <w:pPr>
              <w:pStyle w:val="3"/>
              <w:rPr>
                <w:rFonts w:hint="default" w:ascii="Times New Roman" w:hAnsi="Times New Roman" w:eastAsia="宋体" w:cs="Times New Roman"/>
                <w:color w:val="auto"/>
                <w:highlight w:val="none"/>
                <w:lang w:val="en-US" w:eastAsia="zh-CN"/>
              </w:rPr>
            </w:pPr>
          </w:p>
          <w:p w14:paraId="1FF723A2">
            <w:pPr>
              <w:pStyle w:val="3"/>
              <w:rPr>
                <w:rFonts w:hint="default" w:ascii="Times New Roman" w:hAnsi="Times New Roman" w:eastAsia="宋体" w:cs="Times New Roman"/>
                <w:color w:val="auto"/>
                <w:highlight w:val="none"/>
                <w:lang w:val="en-US" w:eastAsia="zh-CN"/>
              </w:rPr>
            </w:pPr>
          </w:p>
          <w:p w14:paraId="5092847C">
            <w:pPr>
              <w:pStyle w:val="3"/>
              <w:rPr>
                <w:rFonts w:hint="default" w:ascii="Times New Roman" w:hAnsi="Times New Roman" w:eastAsia="宋体" w:cs="Times New Roman"/>
                <w:color w:val="auto"/>
                <w:highlight w:val="none"/>
                <w:lang w:val="en-US" w:eastAsia="zh-CN"/>
              </w:rPr>
            </w:pPr>
          </w:p>
          <w:p w14:paraId="6FB55E5D">
            <w:pPr>
              <w:pStyle w:val="3"/>
              <w:rPr>
                <w:rFonts w:hint="default" w:ascii="Times New Roman" w:hAnsi="Times New Roman" w:eastAsia="宋体" w:cs="Times New Roman"/>
                <w:color w:val="auto"/>
                <w:highlight w:val="none"/>
                <w:lang w:val="en-US" w:eastAsia="zh-CN"/>
              </w:rPr>
            </w:pPr>
          </w:p>
          <w:p w14:paraId="032A9AEF">
            <w:pPr>
              <w:pStyle w:val="3"/>
              <w:rPr>
                <w:rFonts w:hint="default" w:ascii="Times New Roman" w:hAnsi="Times New Roman" w:eastAsia="宋体" w:cs="Times New Roman"/>
                <w:color w:val="auto"/>
                <w:highlight w:val="none"/>
                <w:lang w:val="en-US" w:eastAsia="zh-CN"/>
              </w:rPr>
            </w:pPr>
          </w:p>
          <w:p w14:paraId="2EC7C400">
            <w:pPr>
              <w:pStyle w:val="3"/>
              <w:rPr>
                <w:rFonts w:hint="default" w:ascii="Times New Roman" w:hAnsi="Times New Roman" w:eastAsia="宋体" w:cs="Times New Roman"/>
                <w:color w:val="auto"/>
                <w:highlight w:val="none"/>
                <w:lang w:val="en-US" w:eastAsia="zh-CN"/>
              </w:rPr>
            </w:pPr>
          </w:p>
          <w:p w14:paraId="55518DC6">
            <w:pPr>
              <w:pStyle w:val="3"/>
              <w:rPr>
                <w:rFonts w:hint="default" w:ascii="Times New Roman" w:hAnsi="Times New Roman" w:eastAsia="宋体" w:cs="Times New Roman"/>
                <w:color w:val="auto"/>
                <w:highlight w:val="none"/>
                <w:lang w:val="en-US" w:eastAsia="zh-CN"/>
              </w:rPr>
            </w:pPr>
          </w:p>
          <w:p w14:paraId="5BDEF301">
            <w:pPr>
              <w:pStyle w:val="3"/>
              <w:rPr>
                <w:rFonts w:hint="default" w:ascii="Times New Roman" w:hAnsi="Times New Roman" w:eastAsia="宋体" w:cs="Times New Roman"/>
                <w:color w:val="auto"/>
                <w:highlight w:val="none"/>
                <w:lang w:val="en-US" w:eastAsia="zh-CN"/>
              </w:rPr>
            </w:pPr>
          </w:p>
          <w:p w14:paraId="5F9940E8">
            <w:pPr>
              <w:pStyle w:val="3"/>
              <w:rPr>
                <w:rFonts w:hint="default" w:ascii="Times New Roman" w:hAnsi="Times New Roman" w:eastAsia="宋体" w:cs="Times New Roman"/>
                <w:color w:val="auto"/>
                <w:highlight w:val="none"/>
                <w:lang w:val="en-US" w:eastAsia="zh-CN"/>
              </w:rPr>
            </w:pPr>
          </w:p>
          <w:p w14:paraId="026A4007">
            <w:pPr>
              <w:pStyle w:val="3"/>
              <w:rPr>
                <w:rFonts w:hint="default" w:ascii="Times New Roman" w:hAnsi="Times New Roman" w:eastAsia="宋体" w:cs="Times New Roman"/>
                <w:color w:val="auto"/>
                <w:highlight w:val="none"/>
                <w:lang w:val="en-US" w:eastAsia="zh-CN"/>
              </w:rPr>
            </w:pPr>
          </w:p>
          <w:p w14:paraId="5883E408">
            <w:pPr>
              <w:pStyle w:val="3"/>
              <w:rPr>
                <w:rFonts w:hint="default" w:ascii="Times New Roman" w:hAnsi="Times New Roman" w:eastAsia="宋体" w:cs="Times New Roman"/>
                <w:color w:val="auto"/>
                <w:highlight w:val="none"/>
                <w:lang w:val="en-US" w:eastAsia="zh-CN"/>
              </w:rPr>
            </w:pPr>
          </w:p>
          <w:p w14:paraId="4D3156B2">
            <w:pPr>
              <w:pStyle w:val="3"/>
              <w:rPr>
                <w:rFonts w:hint="default" w:ascii="Times New Roman" w:hAnsi="Times New Roman" w:eastAsia="宋体" w:cs="Times New Roman"/>
                <w:color w:val="auto"/>
                <w:highlight w:val="none"/>
                <w:lang w:val="en-US" w:eastAsia="zh-CN"/>
              </w:rPr>
            </w:pPr>
          </w:p>
        </w:tc>
      </w:tr>
    </w:tbl>
    <w:p w14:paraId="700BD6E6">
      <w:pPr>
        <w:keepNext w:val="0"/>
        <w:keepLines w:val="0"/>
        <w:pageBreakBefore w:val="0"/>
        <w:kinsoku/>
        <w:overflowPunct/>
        <w:topLinePunct/>
        <w:autoSpaceDE w:val="0"/>
        <w:bidi w:val="0"/>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440" w:right="1080" w:bottom="1440" w:left="1080" w:header="851" w:footer="1077" w:gutter="0"/>
          <w:pgBorders>
            <w:top w:val="none" w:sz="0" w:space="0"/>
            <w:left w:val="none" w:sz="0" w:space="0"/>
            <w:bottom w:val="none" w:sz="0" w:space="0"/>
            <w:right w:val="none" w:sz="0" w:space="0"/>
          </w:pgBorders>
          <w:pgNumType w:fmt="decimal"/>
          <w:cols w:space="720" w:num="1"/>
          <w:docGrid w:linePitch="312" w:charSpace="0"/>
        </w:sectPr>
      </w:pPr>
    </w:p>
    <w:p w14:paraId="3726BAB0">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b/>
          <w:bCs/>
          <w:snapToGrid w:val="0"/>
          <w:color w:val="auto"/>
          <w:sz w:val="30"/>
          <w:szCs w:val="30"/>
          <w:highlight w:val="none"/>
        </w:rPr>
      </w:pPr>
      <w:bookmarkStart w:id="11" w:name="_Toc26806"/>
      <w:r>
        <w:rPr>
          <w:rFonts w:hint="default" w:ascii="Times New Roman" w:hAnsi="Times New Roman" w:eastAsia="宋体" w:cs="Times New Roman"/>
          <w:b/>
          <w:bCs/>
          <w:snapToGrid w:val="0"/>
          <w:color w:val="auto"/>
          <w:sz w:val="30"/>
          <w:szCs w:val="30"/>
          <w:highlight w:val="none"/>
        </w:rPr>
        <w:t>五、</w:t>
      </w:r>
      <w:bookmarkStart w:id="12" w:name="_Hlk54167917"/>
      <w:r>
        <w:rPr>
          <w:rFonts w:hint="default" w:ascii="Times New Roman" w:hAnsi="Times New Roman" w:eastAsia="宋体" w:cs="Times New Roman"/>
          <w:b/>
          <w:bCs/>
          <w:snapToGrid w:val="0"/>
          <w:color w:val="auto"/>
          <w:sz w:val="30"/>
          <w:szCs w:val="30"/>
          <w:highlight w:val="none"/>
        </w:rPr>
        <w:t>环境保护措施监督检查清单</w:t>
      </w:r>
      <w:bookmarkEnd w:id="11"/>
      <w:bookmarkEnd w:id="12"/>
    </w:p>
    <w:tbl>
      <w:tblPr>
        <w:tblStyle w:val="29"/>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884"/>
        <w:gridCol w:w="1146"/>
        <w:gridCol w:w="2150"/>
        <w:gridCol w:w="2684"/>
      </w:tblGrid>
      <w:tr w14:paraId="0744F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single" w:color="auto" w:sz="4" w:space="0"/>
            </w:tcBorders>
            <w:vAlign w:val="center"/>
          </w:tcPr>
          <w:p w14:paraId="793C94B0">
            <w:pPr>
              <w:keepNext w:val="0"/>
              <w:keepLines w:val="0"/>
              <w:pageBreakBefore w:val="0"/>
              <w:kinsoku/>
              <w:overflowPunct/>
              <w:topLinePunct/>
              <w:autoSpaceDE w:val="0"/>
              <w:bidi w:val="0"/>
              <w:adjustRightInd w:val="0"/>
              <w:snapToGrid w:val="0"/>
              <w:jc w:val="righ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5C6A30F1">
            <w:pPr>
              <w:keepNext w:val="0"/>
              <w:keepLines w:val="0"/>
              <w:pageBreakBefore w:val="0"/>
              <w:kinsoku/>
              <w:overflowPunct/>
              <w:topLinePunct/>
              <w:autoSpaceDE w:val="0"/>
              <w:bidi w:val="0"/>
              <w:adjustRightInd w:val="0"/>
              <w:snapToGrid w:val="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884" w:type="dxa"/>
            <w:vAlign w:val="center"/>
          </w:tcPr>
          <w:p w14:paraId="520E281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146" w:type="dxa"/>
            <w:vAlign w:val="center"/>
          </w:tcPr>
          <w:p w14:paraId="01183D2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150" w:type="dxa"/>
            <w:vAlign w:val="center"/>
          </w:tcPr>
          <w:p w14:paraId="7EC36B6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684" w:type="dxa"/>
            <w:vAlign w:val="center"/>
          </w:tcPr>
          <w:p w14:paraId="5E654D9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5A394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vAlign w:val="center"/>
          </w:tcPr>
          <w:p w14:paraId="7425D3F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大气环境</w:t>
            </w:r>
          </w:p>
        </w:tc>
        <w:tc>
          <w:tcPr>
            <w:tcW w:w="1884" w:type="dxa"/>
            <w:vAlign w:val="center"/>
          </w:tcPr>
          <w:p w14:paraId="50C239F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r>
              <w:rPr>
                <w:rFonts w:hint="eastAsia" w:cs="Times New Roman"/>
                <w:strike w:val="0"/>
                <w:dstrike w:val="0"/>
                <w:color w:val="auto"/>
                <w:sz w:val="21"/>
                <w:szCs w:val="21"/>
                <w:highlight w:val="none"/>
                <w:lang w:val="en-US" w:eastAsia="zh-CN"/>
              </w:rPr>
              <w:t>珠胚生产</w:t>
            </w:r>
            <w:r>
              <w:rPr>
                <w:rFonts w:hint="default" w:ascii="Times New Roman" w:hAnsi="Times New Roman" w:eastAsia="宋体" w:cs="Times New Roman"/>
                <w:strike w:val="0"/>
                <w:dstrike w:val="0"/>
                <w:color w:val="auto"/>
                <w:sz w:val="21"/>
                <w:szCs w:val="21"/>
                <w:highlight w:val="none"/>
              </w:rPr>
              <w:t>配料</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熔炉熔化</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滚抛粉尘</w:t>
            </w:r>
          </w:p>
        </w:tc>
        <w:tc>
          <w:tcPr>
            <w:tcW w:w="1146" w:type="dxa"/>
            <w:vAlign w:val="center"/>
          </w:tcPr>
          <w:p w14:paraId="4F37B4C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2150" w:type="dxa"/>
            <w:vAlign w:val="center"/>
          </w:tcPr>
          <w:p w14:paraId="1F8FCBE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trike w:val="0"/>
                <w:dstrike w:val="0"/>
                <w:color w:val="auto"/>
                <w:kern w:val="1"/>
                <w:sz w:val="21"/>
                <w:szCs w:val="21"/>
                <w:highlight w:val="none"/>
                <w:lang w:val="en-US" w:eastAsia="zh-CN" w:bidi="ar-SA"/>
              </w:rPr>
              <w:t>集气罩</w:t>
            </w:r>
            <w:r>
              <w:rPr>
                <w:rFonts w:hint="eastAsia" w:cs="Times New Roman"/>
                <w:strike w:val="0"/>
                <w:dstrike w:val="0"/>
                <w:color w:val="auto"/>
                <w:kern w:val="1"/>
                <w:sz w:val="21"/>
                <w:szCs w:val="21"/>
                <w:highlight w:val="none"/>
                <w:lang w:val="en-US" w:eastAsia="zh-CN" w:bidi="ar-SA"/>
              </w:rPr>
              <w:t>/密闭管道</w:t>
            </w:r>
            <w:r>
              <w:rPr>
                <w:rFonts w:hint="default" w:ascii="Times New Roman" w:hAnsi="Times New Roman" w:eastAsia="宋体" w:cs="Times New Roman"/>
                <w:strike w:val="0"/>
                <w:dstrike w:val="0"/>
                <w:color w:val="auto"/>
                <w:kern w:val="1"/>
                <w:sz w:val="21"/>
                <w:szCs w:val="21"/>
                <w:highlight w:val="none"/>
                <w:lang w:val="en-US" w:eastAsia="zh-CN" w:bidi="ar-SA"/>
              </w:rPr>
              <w:t>+经布袋除尘器（1#）处理后由15m排气筒（DA001）排放</w:t>
            </w:r>
          </w:p>
        </w:tc>
        <w:tc>
          <w:tcPr>
            <w:tcW w:w="2684" w:type="dxa"/>
            <w:vAlign w:val="center"/>
          </w:tcPr>
          <w:p w14:paraId="16B729B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color w:val="auto"/>
                <w:sz w:val="21"/>
                <w:szCs w:val="21"/>
                <w:highlight w:val="none"/>
                <w:lang w:val="en-US" w:eastAsia="zh-CN"/>
              </w:rPr>
              <w:t>《玻璃工业大气污染物排放标准》（GB26453-2022）表1中的排放标准限值要求</w:t>
            </w:r>
          </w:p>
        </w:tc>
      </w:tr>
      <w:tr w14:paraId="0DEE3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7DF1485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vAlign w:val="center"/>
          </w:tcPr>
          <w:p w14:paraId="5543329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strike w:val="0"/>
                <w:dstrike w:val="0"/>
                <w:color w:val="auto"/>
                <w:sz w:val="21"/>
                <w:szCs w:val="21"/>
                <w:highlight w:val="none"/>
                <w:lang w:val="en-US" w:eastAsia="zh-CN"/>
              </w:rPr>
              <w:t>吸塑片生产</w:t>
            </w:r>
            <w:r>
              <w:rPr>
                <w:rFonts w:hint="default" w:ascii="Times New Roman" w:hAnsi="Times New Roman" w:eastAsia="宋体" w:cs="Times New Roman"/>
                <w:strike w:val="0"/>
                <w:dstrike w:val="0"/>
                <w:color w:val="auto"/>
                <w:sz w:val="21"/>
                <w:szCs w:val="21"/>
                <w:highlight w:val="none"/>
              </w:rPr>
              <w:t>配料</w:t>
            </w:r>
            <w:r>
              <w:rPr>
                <w:rFonts w:hint="default" w:ascii="Times New Roman" w:hAnsi="Times New Roman" w:eastAsia="宋体" w:cs="Times New Roman"/>
                <w:strike w:val="0"/>
                <w:dstrike w:val="0"/>
                <w:color w:val="auto"/>
                <w:sz w:val="21"/>
                <w:szCs w:val="21"/>
                <w:highlight w:val="none"/>
                <w:lang w:val="en-US" w:eastAsia="zh-CN"/>
              </w:rPr>
              <w:t>粉尘</w:t>
            </w:r>
          </w:p>
        </w:tc>
        <w:tc>
          <w:tcPr>
            <w:tcW w:w="1146" w:type="dxa"/>
            <w:vAlign w:val="center"/>
          </w:tcPr>
          <w:p w14:paraId="5054CA9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2150" w:type="dxa"/>
            <w:shd w:val="clear" w:color="auto" w:fill="auto"/>
            <w:vAlign w:val="center"/>
          </w:tcPr>
          <w:p w14:paraId="3446FBCF">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集气罩+布袋除尘器（2#）处理后由15m排气筒（DA002）排放</w:t>
            </w:r>
          </w:p>
        </w:tc>
        <w:tc>
          <w:tcPr>
            <w:tcW w:w="2684" w:type="dxa"/>
            <w:vAlign w:val="center"/>
          </w:tcPr>
          <w:p w14:paraId="167B34C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color w:val="auto"/>
                <w:sz w:val="21"/>
                <w:szCs w:val="21"/>
                <w:highlight w:val="none"/>
              </w:rPr>
              <w:t>《大气污染物综合排放标准》（GB16297-1996）表</w:t>
            </w:r>
            <w:r>
              <w:rPr>
                <w:rFonts w:hint="default" w:ascii="Times New Roman" w:hAnsi="Times New Roman" w:eastAsia="宋体" w:cs="Times New Roman"/>
                <w:color w:val="auto"/>
                <w:sz w:val="21"/>
                <w:szCs w:val="21"/>
                <w:highlight w:val="none"/>
                <w:lang w:val="en-US" w:eastAsia="zh-CN"/>
              </w:rPr>
              <w:t>2二级</w:t>
            </w:r>
            <w:r>
              <w:rPr>
                <w:rFonts w:hint="default" w:ascii="Times New Roman" w:hAnsi="Times New Roman" w:eastAsia="宋体" w:cs="Times New Roman"/>
                <w:color w:val="auto"/>
                <w:sz w:val="21"/>
                <w:szCs w:val="21"/>
                <w:highlight w:val="none"/>
              </w:rPr>
              <w:t>标准</w:t>
            </w:r>
          </w:p>
        </w:tc>
      </w:tr>
      <w:tr w14:paraId="5065C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4F9FE57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vAlign w:val="center"/>
          </w:tcPr>
          <w:p w14:paraId="2E1DA3D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strike w:val="0"/>
                <w:dstrike w:val="0"/>
                <w:color w:val="auto"/>
                <w:sz w:val="21"/>
                <w:szCs w:val="21"/>
                <w:highlight w:val="none"/>
                <w:lang w:val="en-US" w:eastAsia="zh-CN"/>
              </w:rPr>
              <w:t>吸塑片生产</w:t>
            </w:r>
            <w:r>
              <w:rPr>
                <w:rFonts w:hint="default" w:ascii="Times New Roman" w:hAnsi="Times New Roman" w:eastAsia="宋体" w:cs="Times New Roman"/>
                <w:strike w:val="0"/>
                <w:dstrike w:val="0"/>
                <w:color w:val="auto"/>
                <w:sz w:val="21"/>
                <w:szCs w:val="21"/>
                <w:highlight w:val="none"/>
              </w:rPr>
              <w:t>搅拌、加热挤出塑化</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压延</w:t>
            </w:r>
            <w:r>
              <w:rPr>
                <w:rFonts w:hint="default" w:ascii="Times New Roman" w:hAnsi="Times New Roman" w:eastAsia="宋体" w:cs="Times New Roman"/>
                <w:strike w:val="0"/>
                <w:dstrike w:val="0"/>
                <w:color w:val="auto"/>
                <w:sz w:val="21"/>
                <w:szCs w:val="21"/>
                <w:highlight w:val="none"/>
                <w:lang w:val="en-US" w:eastAsia="zh-CN"/>
              </w:rPr>
              <w:t>废气</w:t>
            </w:r>
          </w:p>
        </w:tc>
        <w:tc>
          <w:tcPr>
            <w:tcW w:w="1146" w:type="dxa"/>
            <w:vAlign w:val="center"/>
          </w:tcPr>
          <w:p w14:paraId="10CA298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非甲烷总烃、</w:t>
            </w:r>
            <w:r>
              <w:rPr>
                <w:rFonts w:hint="default" w:ascii="Times New Roman" w:hAnsi="Times New Roman" w:eastAsia="宋体" w:cs="Times New Roman"/>
                <w:strike w:val="0"/>
                <w:dstrike w:val="0"/>
                <w:color w:val="auto"/>
                <w:sz w:val="21"/>
                <w:szCs w:val="21"/>
                <w:highlight w:val="none"/>
                <w:lang w:eastAsia="zh-CN"/>
              </w:rPr>
              <w:t>HCl、</w:t>
            </w:r>
            <w:r>
              <w:rPr>
                <w:rFonts w:hint="default" w:ascii="Times New Roman" w:hAnsi="Times New Roman" w:eastAsia="宋体" w:cs="Times New Roman"/>
                <w:strike w:val="0"/>
                <w:dstrike w:val="0"/>
                <w:color w:val="auto"/>
                <w:sz w:val="21"/>
                <w:szCs w:val="21"/>
                <w:highlight w:val="none"/>
                <w:lang w:val="en-US" w:eastAsia="zh-CN"/>
              </w:rPr>
              <w:t>臭气浓度</w:t>
            </w:r>
          </w:p>
        </w:tc>
        <w:tc>
          <w:tcPr>
            <w:tcW w:w="2150" w:type="dxa"/>
            <w:shd w:val="clear" w:color="auto" w:fill="auto"/>
            <w:vAlign w:val="center"/>
          </w:tcPr>
          <w:p w14:paraId="42AF0ABC">
            <w:pPr>
              <w:pStyle w:val="57"/>
              <w:keepNext w:val="0"/>
              <w:keepLines w:val="0"/>
              <w:pageBreakBefore w:val="0"/>
              <w:widowControl w:val="0"/>
              <w:kinsoku/>
              <w:wordWrap/>
              <w:overflowPunct/>
              <w:topLinePunct/>
              <w:autoSpaceDE w:val="0"/>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strike w:val="0"/>
                <w:dstrike w:val="0"/>
                <w:color w:val="auto"/>
                <w:kern w:val="1"/>
                <w:sz w:val="21"/>
                <w:szCs w:val="21"/>
                <w:highlight w:val="none"/>
                <w:lang w:val="en-US" w:eastAsia="zh-CN" w:bidi="ar-SA"/>
              </w:rPr>
              <w:t>集气罩+三级活性炭吸附装置处理后由15m排气筒（DA003）排放</w:t>
            </w:r>
          </w:p>
        </w:tc>
        <w:tc>
          <w:tcPr>
            <w:tcW w:w="2684" w:type="dxa"/>
            <w:vAlign w:val="center"/>
          </w:tcPr>
          <w:p w14:paraId="6A067DD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strike w:val="0"/>
                <w:dstrike w:val="0"/>
                <w:color w:val="auto"/>
                <w:spacing w:val="8"/>
                <w:sz w:val="21"/>
                <w:szCs w:val="21"/>
                <w:highlight w:val="none"/>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color w:val="auto"/>
                <w:sz w:val="21"/>
                <w:szCs w:val="21"/>
                <w:highlight w:val="none"/>
              </w:rPr>
              <w:t>《大气污染物综合排放标准》（GB16297-1996）表</w:t>
            </w:r>
            <w:r>
              <w:rPr>
                <w:rFonts w:hint="default" w:ascii="Times New Roman" w:hAnsi="Times New Roman" w:eastAsia="宋体" w:cs="Times New Roman"/>
                <w:color w:val="auto"/>
                <w:sz w:val="21"/>
                <w:szCs w:val="21"/>
                <w:highlight w:val="none"/>
                <w:lang w:val="en-US" w:eastAsia="zh-CN"/>
              </w:rPr>
              <w:t>2二级</w:t>
            </w:r>
            <w:r>
              <w:rPr>
                <w:rFonts w:hint="default" w:ascii="Times New Roman" w:hAnsi="Times New Roman" w:eastAsia="宋体" w:cs="Times New Roman"/>
                <w:color w:val="auto"/>
                <w:sz w:val="21"/>
                <w:szCs w:val="21"/>
                <w:highlight w:val="none"/>
              </w:rPr>
              <w:t>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trike w:val="0"/>
                <w:dstrike w:val="0"/>
                <w:color w:val="auto"/>
                <w:spacing w:val="8"/>
                <w:sz w:val="21"/>
                <w:szCs w:val="21"/>
                <w:highlight w:val="none"/>
              </w:rPr>
              <w:t>《恶臭污染物排放标准》</w:t>
            </w:r>
            <w:r>
              <w:rPr>
                <w:rFonts w:hint="default" w:ascii="Times New Roman" w:hAnsi="Times New Roman" w:eastAsia="宋体" w:cs="Times New Roman"/>
                <w:strike w:val="0"/>
                <w:dstrike w:val="0"/>
                <w:color w:val="auto"/>
                <w:spacing w:val="8"/>
                <w:sz w:val="21"/>
                <w:szCs w:val="21"/>
                <w:highlight w:val="none"/>
                <w:lang w:eastAsia="zh-CN"/>
              </w:rPr>
              <w:t>（</w:t>
            </w:r>
            <w:r>
              <w:rPr>
                <w:rFonts w:hint="default" w:ascii="Times New Roman" w:hAnsi="Times New Roman" w:eastAsia="宋体" w:cs="Times New Roman"/>
                <w:strike w:val="0"/>
                <w:dstrike w:val="0"/>
                <w:color w:val="auto"/>
                <w:spacing w:val="8"/>
                <w:sz w:val="21"/>
                <w:szCs w:val="21"/>
                <w:highlight w:val="none"/>
              </w:rPr>
              <w:t>GB14554-93</w:t>
            </w:r>
            <w:r>
              <w:rPr>
                <w:rFonts w:hint="default" w:ascii="Times New Roman" w:hAnsi="Times New Roman" w:eastAsia="宋体" w:cs="Times New Roman"/>
                <w:strike w:val="0"/>
                <w:dstrike w:val="0"/>
                <w:color w:val="auto"/>
                <w:spacing w:val="8"/>
                <w:sz w:val="21"/>
                <w:szCs w:val="21"/>
                <w:highlight w:val="none"/>
                <w:lang w:eastAsia="zh-CN"/>
              </w:rPr>
              <w:t>）</w:t>
            </w:r>
            <w:r>
              <w:rPr>
                <w:rFonts w:hint="default" w:ascii="Times New Roman" w:hAnsi="Times New Roman" w:eastAsia="宋体" w:cs="Times New Roman"/>
                <w:strike w:val="0"/>
                <w:dstrike w:val="0"/>
                <w:color w:val="auto"/>
                <w:spacing w:val="8"/>
                <w:sz w:val="21"/>
                <w:szCs w:val="21"/>
                <w:highlight w:val="none"/>
                <w:lang w:val="en-US" w:eastAsia="zh-CN"/>
              </w:rPr>
              <w:t>表2标准要求</w:t>
            </w:r>
          </w:p>
        </w:tc>
      </w:tr>
      <w:tr w14:paraId="494E2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143CC59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vAlign w:val="center"/>
          </w:tcPr>
          <w:p w14:paraId="17BC919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strike w:val="0"/>
                <w:dstrike w:val="0"/>
                <w:color w:val="auto"/>
                <w:kern w:val="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DA004</w:t>
            </w:r>
            <w:r>
              <w:rPr>
                <w:rFonts w:hint="default" w:ascii="Times New Roman" w:hAnsi="Times New Roman" w:eastAsia="宋体" w:cs="Times New Roman"/>
                <w:color w:val="auto"/>
                <w:spacing w:val="4"/>
                <w:sz w:val="21"/>
                <w:szCs w:val="21"/>
                <w:highlight w:val="none"/>
                <w:lang w:val="en-US" w:eastAsia="zh-CN"/>
              </w:rPr>
              <w:t>抛轮投</w:t>
            </w:r>
            <w:r>
              <w:rPr>
                <w:rFonts w:hint="default" w:ascii="Times New Roman" w:hAnsi="Times New Roman" w:eastAsia="宋体" w:cs="Times New Roman"/>
                <w:color w:val="auto"/>
                <w:spacing w:val="4"/>
                <w:sz w:val="21"/>
                <w:szCs w:val="21"/>
                <w:highlight w:val="none"/>
              </w:rPr>
              <w:t>料</w:t>
            </w:r>
            <w:r>
              <w:rPr>
                <w:rFonts w:hint="default" w:ascii="Times New Roman" w:hAnsi="Times New Roman" w:eastAsia="宋体" w:cs="Times New Roman"/>
                <w:color w:val="auto"/>
                <w:spacing w:val="4"/>
                <w:sz w:val="21"/>
                <w:szCs w:val="21"/>
                <w:highlight w:val="none"/>
                <w:lang w:eastAsia="zh-CN"/>
              </w:rPr>
              <w:t>、</w:t>
            </w:r>
            <w:r>
              <w:rPr>
                <w:rFonts w:hint="default" w:ascii="Times New Roman" w:hAnsi="Times New Roman" w:eastAsia="宋体" w:cs="Times New Roman"/>
                <w:color w:val="auto"/>
                <w:spacing w:val="15"/>
                <w:sz w:val="21"/>
                <w:szCs w:val="21"/>
                <w:highlight w:val="none"/>
              </w:rPr>
              <w:t>车外圆</w:t>
            </w:r>
            <w:r>
              <w:rPr>
                <w:rFonts w:hint="default" w:ascii="Times New Roman" w:hAnsi="Times New Roman" w:eastAsia="宋体" w:cs="Times New Roman"/>
                <w:color w:val="auto"/>
                <w:spacing w:val="15"/>
                <w:sz w:val="21"/>
                <w:szCs w:val="21"/>
                <w:highlight w:val="none"/>
                <w:lang w:val="en-US" w:eastAsia="zh-CN"/>
              </w:rPr>
              <w:t>粉尘</w:t>
            </w:r>
          </w:p>
        </w:tc>
        <w:tc>
          <w:tcPr>
            <w:tcW w:w="1146" w:type="dxa"/>
            <w:shd w:val="clear" w:color="auto" w:fill="auto"/>
            <w:vAlign w:val="center"/>
          </w:tcPr>
          <w:p w14:paraId="1A6D7DB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2150" w:type="dxa"/>
            <w:shd w:val="clear" w:color="auto" w:fill="auto"/>
            <w:vAlign w:val="center"/>
          </w:tcPr>
          <w:p w14:paraId="6DBC2CA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集气罩+布袋除尘器（</w:t>
            </w:r>
            <w:r>
              <w:rPr>
                <w:rFonts w:hint="default" w:ascii="Times New Roman" w:hAnsi="Times New Roman" w:eastAsia="宋体" w:cs="Times New Roman"/>
                <w:color w:val="auto"/>
                <w:spacing w:val="1"/>
                <w:sz w:val="21"/>
                <w:szCs w:val="21"/>
                <w:highlight w:val="none"/>
                <w:lang w:val="en-US" w:eastAsia="zh-CN"/>
              </w:rPr>
              <w:t>3</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strike w:val="0"/>
                <w:dstrike w:val="0"/>
                <w:color w:val="auto"/>
                <w:kern w:val="1"/>
                <w:sz w:val="21"/>
                <w:szCs w:val="21"/>
                <w:highlight w:val="none"/>
                <w:lang w:val="en-US" w:eastAsia="zh-CN" w:bidi="ar-SA"/>
              </w:rPr>
              <w:t>处理后由</w:t>
            </w:r>
            <w:r>
              <w:rPr>
                <w:rFonts w:hint="default" w:ascii="Times New Roman" w:hAnsi="Times New Roman" w:eastAsia="宋体" w:cs="Times New Roman"/>
                <w:color w:val="auto"/>
                <w:spacing w:val="1"/>
                <w:sz w:val="21"/>
                <w:szCs w:val="21"/>
                <w:highlight w:val="none"/>
              </w:rPr>
              <w:t>15m排气筒（</w:t>
            </w:r>
            <w:r>
              <w:rPr>
                <w:rFonts w:hint="default" w:ascii="Times New Roman" w:hAnsi="Times New Roman" w:eastAsia="宋体" w:cs="Times New Roman"/>
                <w:color w:val="auto"/>
                <w:sz w:val="21"/>
                <w:szCs w:val="21"/>
                <w:highlight w:val="none"/>
              </w:rPr>
              <w:t>DA</w:t>
            </w:r>
            <w:r>
              <w:rPr>
                <w:rFonts w:hint="default" w:ascii="Times New Roman" w:hAnsi="Times New Roman" w:eastAsia="宋体" w:cs="Times New Roman"/>
                <w:color w:val="auto"/>
                <w:spacing w:val="1"/>
                <w:sz w:val="21"/>
                <w:szCs w:val="21"/>
                <w:highlight w:val="none"/>
              </w:rPr>
              <w:t>0</w:t>
            </w:r>
            <w:r>
              <w:rPr>
                <w:rFonts w:hint="default" w:ascii="Times New Roman" w:hAnsi="Times New Roman" w:eastAsia="宋体" w:cs="Times New Roman"/>
                <w:color w:val="auto"/>
                <w:spacing w:val="1"/>
                <w:sz w:val="21"/>
                <w:szCs w:val="21"/>
                <w:highlight w:val="none"/>
                <w:lang w:val="en-US" w:eastAsia="zh-CN"/>
              </w:rPr>
              <w:t>04</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strike w:val="0"/>
                <w:dstrike w:val="0"/>
                <w:color w:val="auto"/>
                <w:kern w:val="1"/>
                <w:sz w:val="21"/>
                <w:szCs w:val="21"/>
                <w:highlight w:val="none"/>
                <w:lang w:val="en-US" w:eastAsia="zh-CN" w:bidi="ar-SA"/>
              </w:rPr>
              <w:t>排放</w:t>
            </w:r>
          </w:p>
        </w:tc>
        <w:tc>
          <w:tcPr>
            <w:tcW w:w="2684" w:type="dxa"/>
            <w:vAlign w:val="center"/>
          </w:tcPr>
          <w:p w14:paraId="3C43DDD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strike w:val="0"/>
                <w:dstrike w:val="0"/>
                <w:color w:val="auto"/>
                <w:spacing w:val="8"/>
                <w:sz w:val="21"/>
                <w:szCs w:val="21"/>
                <w:highlight w:val="none"/>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color w:val="auto"/>
                <w:sz w:val="21"/>
                <w:szCs w:val="21"/>
                <w:highlight w:val="none"/>
              </w:rPr>
              <w:t>《大气污染物综合排放标准》（GB16297-1996）表</w:t>
            </w:r>
            <w:r>
              <w:rPr>
                <w:rFonts w:hint="default" w:ascii="Times New Roman" w:hAnsi="Times New Roman" w:eastAsia="宋体" w:cs="Times New Roman"/>
                <w:color w:val="auto"/>
                <w:sz w:val="21"/>
                <w:szCs w:val="21"/>
                <w:highlight w:val="none"/>
                <w:lang w:val="en-US" w:eastAsia="zh-CN"/>
              </w:rPr>
              <w:t>2二级</w:t>
            </w:r>
            <w:r>
              <w:rPr>
                <w:rFonts w:hint="default" w:ascii="Times New Roman" w:hAnsi="Times New Roman" w:eastAsia="宋体" w:cs="Times New Roman"/>
                <w:color w:val="auto"/>
                <w:sz w:val="21"/>
                <w:szCs w:val="21"/>
                <w:highlight w:val="none"/>
              </w:rPr>
              <w:t>标准</w:t>
            </w:r>
          </w:p>
        </w:tc>
      </w:tr>
      <w:tr w14:paraId="5981C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6690CF77">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vAlign w:val="center"/>
          </w:tcPr>
          <w:p w14:paraId="5645A28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1146" w:type="dxa"/>
            <w:shd w:val="clear" w:color="auto" w:fill="auto"/>
            <w:vAlign w:val="center"/>
          </w:tcPr>
          <w:p w14:paraId="46DC810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食堂油烟</w:t>
            </w:r>
          </w:p>
        </w:tc>
        <w:tc>
          <w:tcPr>
            <w:tcW w:w="2150" w:type="dxa"/>
            <w:shd w:val="clear" w:color="auto" w:fill="auto"/>
            <w:vAlign w:val="center"/>
          </w:tcPr>
          <w:p w14:paraId="398FED80">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集气罩+</w:t>
            </w:r>
            <w:r>
              <w:rPr>
                <w:rFonts w:hint="default" w:ascii="Times New Roman" w:hAnsi="Times New Roman" w:eastAsia="宋体" w:cs="Times New Roman"/>
                <w:color w:val="auto"/>
                <w:spacing w:val="1"/>
                <w:sz w:val="21"/>
                <w:szCs w:val="21"/>
                <w:highlight w:val="none"/>
                <w:lang w:val="en-US" w:eastAsia="zh-CN"/>
              </w:rPr>
              <w:t>油烟净化器+楼顶排放</w:t>
            </w:r>
          </w:p>
        </w:tc>
        <w:tc>
          <w:tcPr>
            <w:tcW w:w="2684" w:type="dxa"/>
            <w:vAlign w:val="center"/>
          </w:tcPr>
          <w:p w14:paraId="3BD310B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aps w:val="0"/>
                <w:smallCaps w:val="0"/>
                <w:color w:val="auto"/>
                <w:sz w:val="21"/>
                <w:szCs w:val="21"/>
                <w:highlight w:val="none"/>
              </w:rPr>
              <w:t>执行《饮食业油烟排放标准（试行）》（GB18483-2001）</w:t>
            </w:r>
          </w:p>
        </w:tc>
      </w:tr>
      <w:tr w14:paraId="41E80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5BCE3D2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shd w:val="clear" w:color="auto" w:fill="auto"/>
            <w:vAlign w:val="center"/>
          </w:tcPr>
          <w:p w14:paraId="58A4D571">
            <w:pPr>
              <w:keepNext w:val="0"/>
              <w:keepLines w:val="0"/>
              <w:pageBreakBefore w:val="0"/>
              <w:kinsoku/>
              <w:wordWrap/>
              <w:overflowPunct/>
              <w:topLinePunct/>
              <w:autoSpaceDE w:val="0"/>
              <w:autoSpaceDN/>
              <w:bidi w:val="0"/>
              <w:adjustRightInd w:val="0"/>
              <w:snapToGrid w:val="0"/>
              <w:spacing w:line="240" w:lineRule="auto"/>
              <w:ind w:left="0" w:right="0" w:firstLine="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厂界</w:t>
            </w:r>
          </w:p>
        </w:tc>
        <w:tc>
          <w:tcPr>
            <w:tcW w:w="1146" w:type="dxa"/>
            <w:shd w:val="clear" w:color="auto" w:fill="auto"/>
            <w:vAlign w:val="center"/>
          </w:tcPr>
          <w:p w14:paraId="54896947">
            <w:pPr>
              <w:keepNext w:val="0"/>
              <w:keepLines w:val="0"/>
              <w:pageBreakBefore w:val="0"/>
              <w:kinsoku/>
              <w:wordWrap/>
              <w:overflowPunct/>
              <w:topLinePunct/>
              <w:autoSpaceDE w:val="0"/>
              <w:autoSpaceDN/>
              <w:bidi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颗粒物、非甲烷总烃、</w:t>
            </w:r>
            <w:r>
              <w:rPr>
                <w:rFonts w:hint="default" w:ascii="Times New Roman" w:hAnsi="Times New Roman" w:eastAsia="宋体" w:cs="Times New Roman"/>
                <w:strike w:val="0"/>
                <w:dstrike w:val="0"/>
                <w:color w:val="auto"/>
                <w:sz w:val="21"/>
                <w:szCs w:val="21"/>
                <w:highlight w:val="none"/>
                <w:lang w:eastAsia="zh-CN"/>
              </w:rPr>
              <w:t>HCl</w:t>
            </w:r>
          </w:p>
        </w:tc>
        <w:tc>
          <w:tcPr>
            <w:tcW w:w="2150" w:type="dxa"/>
            <w:shd w:val="clear" w:color="auto" w:fill="auto"/>
            <w:vAlign w:val="center"/>
          </w:tcPr>
          <w:p w14:paraId="0FF5699C">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加强生产车间通风，无组织排放</w:t>
            </w:r>
          </w:p>
        </w:tc>
        <w:tc>
          <w:tcPr>
            <w:tcW w:w="2684" w:type="dxa"/>
            <w:shd w:val="clear" w:color="auto" w:fill="auto"/>
            <w:vAlign w:val="center"/>
          </w:tcPr>
          <w:p w14:paraId="0957FD96">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strike w:val="0"/>
                <w:dstrike w:val="0"/>
                <w:color w:val="auto"/>
                <w:sz w:val="21"/>
                <w:szCs w:val="21"/>
                <w:highlight w:val="none"/>
                <w:lang w:val="en-US" w:eastAsia="zh-CN"/>
              </w:rPr>
              <w:t>《大气污染物综合排放标准》（GB16297-1996）表2中的无组织排放监控浓度限值</w:t>
            </w:r>
          </w:p>
        </w:tc>
      </w:tr>
      <w:tr w14:paraId="7CEF4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72666F7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shd w:val="clear" w:color="auto" w:fill="auto"/>
            <w:vAlign w:val="center"/>
          </w:tcPr>
          <w:p w14:paraId="21270F5B">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厂区内</w:t>
            </w:r>
          </w:p>
        </w:tc>
        <w:tc>
          <w:tcPr>
            <w:tcW w:w="1146" w:type="dxa"/>
            <w:shd w:val="clear" w:color="auto" w:fill="auto"/>
            <w:vAlign w:val="center"/>
          </w:tcPr>
          <w:p w14:paraId="28BD217E">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kern w:val="0"/>
                <w:sz w:val="21"/>
                <w:szCs w:val="21"/>
                <w:highlight w:val="none"/>
                <w:lang w:val="en-US" w:eastAsia="zh-CN" w:bidi="ar"/>
              </w:rPr>
              <w:t>NMHC</w:t>
            </w:r>
          </w:p>
        </w:tc>
        <w:tc>
          <w:tcPr>
            <w:tcW w:w="2150" w:type="dxa"/>
            <w:shd w:val="clear" w:color="auto" w:fill="auto"/>
            <w:vAlign w:val="center"/>
          </w:tcPr>
          <w:p w14:paraId="05E1022E">
            <w:pPr>
              <w:keepNext w:val="0"/>
              <w:keepLines w:val="0"/>
              <w:pageBreakBefore w:val="0"/>
              <w:kinsoku/>
              <w:wordWrap/>
              <w:overflowPunct/>
              <w:topLinePunct/>
              <w:autoSpaceDE w:val="0"/>
              <w:autoSpaceDN/>
              <w:bidi w:val="0"/>
              <w:adjustRightInd w:val="0"/>
              <w:snapToGrid w:val="0"/>
              <w:spacing w:line="240" w:lineRule="auto"/>
              <w:ind w:left="0" w:right="0" w:firstLine="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加强生产车间通风</w:t>
            </w:r>
          </w:p>
        </w:tc>
        <w:tc>
          <w:tcPr>
            <w:tcW w:w="2684" w:type="dxa"/>
            <w:shd w:val="clear" w:color="auto" w:fill="auto"/>
            <w:vAlign w:val="center"/>
          </w:tcPr>
          <w:p w14:paraId="4C4DD573">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strike w:val="0"/>
                <w:dstrike w:val="0"/>
                <w:color w:val="auto"/>
                <w:sz w:val="21"/>
                <w:szCs w:val="21"/>
                <w:highlight w:val="none"/>
                <w:lang w:val="en-US" w:eastAsia="zh-CN"/>
              </w:rPr>
              <w:t>《挥发性有机物无组织排放控制标准》（GB37822-2019）表A.1厂区内无组织排放限值</w:t>
            </w:r>
          </w:p>
        </w:tc>
      </w:tr>
      <w:tr w14:paraId="58DCD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7DBE061A">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shd w:val="clear" w:color="auto" w:fill="auto"/>
            <w:vAlign w:val="center"/>
          </w:tcPr>
          <w:p w14:paraId="6006D627">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生产过程、污水处理设施及垃圾</w:t>
            </w:r>
          </w:p>
        </w:tc>
        <w:tc>
          <w:tcPr>
            <w:tcW w:w="1146" w:type="dxa"/>
            <w:shd w:val="clear" w:color="auto" w:fill="auto"/>
            <w:vAlign w:val="center"/>
          </w:tcPr>
          <w:p w14:paraId="36E28613">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氨、硫化氢、臭气浓度</w:t>
            </w:r>
          </w:p>
        </w:tc>
        <w:tc>
          <w:tcPr>
            <w:tcW w:w="2150" w:type="dxa"/>
            <w:shd w:val="clear" w:color="auto" w:fill="auto"/>
            <w:vAlign w:val="center"/>
          </w:tcPr>
          <w:p w14:paraId="09CD509F">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车间通风换气，自然稀释扩散，化粪池设置为地埋式，池体加盖；</w:t>
            </w:r>
            <w:r>
              <w:rPr>
                <w:rFonts w:hint="eastAsia" w:cs="Times New Roman"/>
                <w:strike w:val="0"/>
                <w:dstrike w:val="0"/>
                <w:color w:val="auto"/>
                <w:sz w:val="21"/>
                <w:szCs w:val="21"/>
                <w:highlight w:val="none"/>
                <w:lang w:val="en-US" w:eastAsia="zh-CN"/>
              </w:rPr>
              <w:t>污水</w:t>
            </w:r>
            <w:r>
              <w:rPr>
                <w:rFonts w:hint="default" w:ascii="Times New Roman" w:hAnsi="Times New Roman" w:eastAsia="宋体" w:cs="Times New Roman"/>
                <w:strike w:val="0"/>
                <w:dstrike w:val="0"/>
                <w:color w:val="auto"/>
                <w:sz w:val="21"/>
                <w:szCs w:val="21"/>
                <w:highlight w:val="none"/>
                <w:lang w:val="en-US" w:eastAsia="zh-CN"/>
              </w:rPr>
              <w:t>处理站池体封闭，定期喷洒除臭剂；生活垃圾经垃圾桶收集后委托环卫部门及时清运处置，日产日清</w:t>
            </w:r>
          </w:p>
        </w:tc>
        <w:tc>
          <w:tcPr>
            <w:tcW w:w="2684" w:type="dxa"/>
            <w:shd w:val="clear" w:color="auto" w:fill="auto"/>
            <w:vAlign w:val="center"/>
          </w:tcPr>
          <w:p w14:paraId="6899E165">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8"/>
                <w:sz w:val="21"/>
                <w:szCs w:val="21"/>
                <w:highlight w:val="none"/>
              </w:rPr>
              <w:t>执行</w:t>
            </w:r>
            <w:r>
              <w:rPr>
                <w:rFonts w:hint="default" w:ascii="Times New Roman" w:hAnsi="Times New Roman" w:eastAsia="宋体" w:cs="Times New Roman"/>
                <w:strike w:val="0"/>
                <w:dstrike w:val="0"/>
                <w:color w:val="auto"/>
                <w:sz w:val="21"/>
                <w:szCs w:val="21"/>
                <w:highlight w:val="none"/>
                <w:lang w:val="en-US" w:eastAsia="zh-CN"/>
              </w:rPr>
              <w:t>《恶臭污染物排放标准》（GB14554-93）表1恶臭污染物厂界标准限值二级排放标准</w:t>
            </w:r>
          </w:p>
        </w:tc>
      </w:tr>
      <w:tr w14:paraId="20728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vAlign w:val="center"/>
          </w:tcPr>
          <w:p w14:paraId="4BF7CB0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地表水环境</w:t>
            </w:r>
          </w:p>
        </w:tc>
        <w:tc>
          <w:tcPr>
            <w:tcW w:w="1884" w:type="dxa"/>
            <w:shd w:val="clear" w:color="auto" w:fill="auto"/>
            <w:vAlign w:val="center"/>
          </w:tcPr>
          <w:p w14:paraId="161D7C7E">
            <w:pPr>
              <w:keepNext w:val="0"/>
              <w:keepLines w:val="0"/>
              <w:pageBreakBefore w:val="0"/>
              <w:kinsoku/>
              <w:wordWrap/>
              <w:overflowPunct/>
              <w:topLinePunct/>
              <w:autoSpaceDE w:val="0"/>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生活污水（含食堂废水）、去离子水制备浓水</w:t>
            </w:r>
            <w:r>
              <w:rPr>
                <w:rFonts w:hint="default" w:ascii="Times New Roman" w:hAnsi="Times New Roman" w:eastAsia="宋体" w:cs="Times New Roman"/>
                <w:color w:val="auto"/>
                <w:spacing w:val="-1"/>
                <w:sz w:val="21"/>
                <w:szCs w:val="21"/>
                <w:highlight w:val="none"/>
                <w:lang w:val="en-US" w:eastAsia="zh-CN"/>
              </w:rPr>
              <w:t>及反冲洗水</w:t>
            </w:r>
          </w:p>
        </w:tc>
        <w:tc>
          <w:tcPr>
            <w:tcW w:w="1146" w:type="dxa"/>
            <w:vAlign w:val="center"/>
          </w:tcPr>
          <w:p w14:paraId="77D14DA4">
            <w:pPr>
              <w:keepNext w:val="0"/>
              <w:keepLines w:val="0"/>
              <w:pageBreakBefore w:val="0"/>
              <w:kinsoku/>
              <w:wordWrap/>
              <w:overflowPunct/>
              <w:topLinePunct/>
              <w:autoSpaceDE w:val="0"/>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CODcr、SS、BOD</w:t>
            </w:r>
            <w:r>
              <w:rPr>
                <w:rFonts w:hint="default" w:ascii="Times New Roman" w:hAnsi="Times New Roman" w:eastAsia="宋体" w:cs="Times New Roman"/>
                <w:strike w:val="0"/>
                <w:dstrike w:val="0"/>
                <w:color w:val="auto"/>
                <w:sz w:val="21"/>
                <w:szCs w:val="21"/>
                <w:highlight w:val="none"/>
                <w:vertAlign w:val="subscript"/>
                <w:lang w:val="en-US" w:eastAsia="zh-CN"/>
              </w:rPr>
              <w:t>5</w:t>
            </w:r>
            <w:r>
              <w:rPr>
                <w:rFonts w:hint="default" w:ascii="Times New Roman" w:hAnsi="Times New Roman" w:eastAsia="宋体" w:cs="Times New Roman"/>
                <w:strike w:val="0"/>
                <w:dstrike w:val="0"/>
                <w:color w:val="auto"/>
                <w:sz w:val="21"/>
                <w:szCs w:val="21"/>
                <w:highlight w:val="none"/>
                <w:lang w:val="en-US" w:eastAsia="zh-CN"/>
              </w:rPr>
              <w:t>、NH</w:t>
            </w:r>
            <w:r>
              <w:rPr>
                <w:rFonts w:hint="default" w:ascii="Times New Roman" w:hAnsi="Times New Roman" w:eastAsia="宋体" w:cs="Times New Roman"/>
                <w:strike w:val="0"/>
                <w:dstrike w:val="0"/>
                <w:color w:val="auto"/>
                <w:sz w:val="21"/>
                <w:szCs w:val="21"/>
                <w:highlight w:val="none"/>
                <w:vertAlign w:val="subscript"/>
                <w:lang w:val="en-US" w:eastAsia="zh-CN"/>
              </w:rPr>
              <w:t>3</w:t>
            </w:r>
            <w:r>
              <w:rPr>
                <w:rFonts w:hint="default" w:ascii="Times New Roman" w:hAnsi="Times New Roman" w:eastAsia="宋体" w:cs="Times New Roman"/>
                <w:strike w:val="0"/>
                <w:dstrike w:val="0"/>
                <w:color w:val="auto"/>
                <w:sz w:val="21"/>
                <w:szCs w:val="21"/>
                <w:highlight w:val="none"/>
                <w:lang w:val="en-US" w:eastAsia="zh-CN"/>
              </w:rPr>
              <w:t>-N、总磷、TDS等</w:t>
            </w:r>
          </w:p>
        </w:tc>
        <w:tc>
          <w:tcPr>
            <w:tcW w:w="2150" w:type="dxa"/>
            <w:vAlign w:val="center"/>
          </w:tcPr>
          <w:p w14:paraId="677289A2">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trike w:val="0"/>
                <w:dstrike w:val="0"/>
                <w:color w:val="auto"/>
                <w:sz w:val="21"/>
                <w:szCs w:val="21"/>
                <w:highlight w:val="none"/>
                <w:lang w:val="en-US" w:eastAsia="zh-CN"/>
              </w:rPr>
              <w:t>经隔油池、化粪池处理达标后，与经去离子水制备浓水</w:t>
            </w:r>
            <w:r>
              <w:rPr>
                <w:rFonts w:hint="default" w:ascii="Times New Roman" w:hAnsi="Times New Roman" w:eastAsia="宋体" w:cs="Times New Roman"/>
                <w:color w:val="auto"/>
                <w:spacing w:val="-1"/>
                <w:sz w:val="21"/>
                <w:szCs w:val="21"/>
                <w:highlight w:val="none"/>
                <w:lang w:val="en-US" w:eastAsia="zh-CN"/>
              </w:rPr>
              <w:t>及反冲洗水</w:t>
            </w:r>
            <w:r>
              <w:rPr>
                <w:rFonts w:hint="default" w:ascii="Times New Roman" w:hAnsi="Times New Roman" w:eastAsia="宋体" w:cs="Times New Roman"/>
                <w:strike w:val="0"/>
                <w:dstrike w:val="0"/>
                <w:color w:val="auto"/>
                <w:sz w:val="21"/>
                <w:szCs w:val="21"/>
                <w:highlight w:val="none"/>
                <w:lang w:val="en-US" w:eastAsia="zh-CN"/>
              </w:rPr>
              <w:t>总排口进入市政污水管网</w:t>
            </w:r>
          </w:p>
        </w:tc>
        <w:tc>
          <w:tcPr>
            <w:tcW w:w="2684" w:type="dxa"/>
            <w:vMerge w:val="restart"/>
            <w:vAlign w:val="center"/>
          </w:tcPr>
          <w:p w14:paraId="765B787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废水经处理后最终</w:t>
            </w:r>
            <w:r>
              <w:rPr>
                <w:rFonts w:hint="default" w:ascii="Times New Roman" w:hAnsi="Times New Roman" w:eastAsia="宋体" w:cs="Times New Roman"/>
                <w:color w:val="auto"/>
                <w:spacing w:val="-3"/>
                <w:sz w:val="21"/>
                <w:szCs w:val="21"/>
                <w:highlight w:val="none"/>
              </w:rPr>
              <w:t>排入云南易门产业园区六街和麦子田片区集中式生活污水处理厂处理</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color w:val="auto"/>
                <w:spacing w:val="-3"/>
                <w:sz w:val="21"/>
                <w:szCs w:val="21"/>
                <w:highlight w:val="none"/>
                <w:lang w:val="en-US" w:eastAsia="zh-CN"/>
              </w:rPr>
              <w:t>执行</w:t>
            </w:r>
            <w:r>
              <w:rPr>
                <w:rFonts w:hint="default" w:ascii="Times New Roman" w:hAnsi="Times New Roman" w:eastAsia="宋体" w:cs="Times New Roman"/>
                <w:color w:val="auto"/>
                <w:spacing w:val="4"/>
                <w:sz w:val="21"/>
                <w:szCs w:val="21"/>
                <w:highlight w:val="none"/>
                <w:lang w:eastAsia="zh-CN"/>
              </w:rPr>
              <w:t>《污</w:t>
            </w:r>
            <w:r>
              <w:rPr>
                <w:rFonts w:hint="default" w:ascii="Times New Roman" w:hAnsi="Times New Roman" w:eastAsia="宋体" w:cs="Times New Roman"/>
                <w:color w:val="auto"/>
                <w:spacing w:val="3"/>
                <w:sz w:val="21"/>
                <w:szCs w:val="21"/>
                <w:highlight w:val="none"/>
                <w:lang w:eastAsia="zh-CN"/>
              </w:rPr>
              <w:t>水综合排放标准》（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3"/>
                <w:sz w:val="21"/>
                <w:szCs w:val="21"/>
                <w:highlight w:val="none"/>
                <w:lang w:eastAsia="zh-CN"/>
              </w:rPr>
              <w:t>8978-1996）</w:t>
            </w:r>
            <w:r>
              <w:rPr>
                <w:rFonts w:hint="default" w:ascii="Times New Roman" w:hAnsi="Times New Roman" w:eastAsia="宋体" w:cs="Times New Roman"/>
                <w:color w:val="auto"/>
                <w:spacing w:val="8"/>
                <w:sz w:val="21"/>
                <w:szCs w:val="21"/>
                <w:highlight w:val="none"/>
                <w:lang w:eastAsia="zh-CN"/>
              </w:rPr>
              <w:t>表4中三级标准限值、</w:t>
            </w:r>
            <w:r>
              <w:rPr>
                <w:rFonts w:hint="default" w:ascii="Times New Roman" w:hAnsi="Times New Roman" w:eastAsia="宋体" w:cs="Times New Roman"/>
                <w:color w:val="auto"/>
                <w:spacing w:val="6"/>
                <w:sz w:val="21"/>
                <w:szCs w:val="21"/>
                <w:highlight w:val="none"/>
                <w:lang w:eastAsia="zh-CN"/>
              </w:rPr>
              <w:t>《污水排入城</w:t>
            </w:r>
            <w:r>
              <w:rPr>
                <w:rFonts w:hint="default" w:ascii="Times New Roman" w:hAnsi="Times New Roman" w:eastAsia="宋体" w:cs="Times New Roman"/>
                <w:color w:val="auto"/>
                <w:spacing w:val="9"/>
                <w:sz w:val="21"/>
                <w:szCs w:val="21"/>
                <w:highlight w:val="none"/>
                <w:lang w:eastAsia="zh-CN"/>
              </w:rPr>
              <w:t>镇下水道水质标准》（</w:t>
            </w:r>
            <w:r>
              <w:rPr>
                <w:rFonts w:hint="default" w:ascii="Times New Roman" w:hAnsi="Times New Roman" w:eastAsia="宋体" w:cs="Times New Roman"/>
                <w:color w:val="auto"/>
                <w:sz w:val="21"/>
                <w:szCs w:val="21"/>
                <w:highlight w:val="none"/>
                <w:lang w:eastAsia="zh-CN"/>
              </w:rPr>
              <w:t>GB</w:t>
            </w:r>
            <w:r>
              <w:rPr>
                <w:rFonts w:hint="default" w:ascii="Times New Roman" w:hAnsi="Times New Roman" w:eastAsia="宋体" w:cs="Times New Roman"/>
                <w:color w:val="auto"/>
                <w:spacing w:val="9"/>
                <w:sz w:val="21"/>
                <w:szCs w:val="21"/>
                <w:highlight w:val="none"/>
                <w:lang w:eastAsia="zh-CN"/>
              </w:rPr>
              <w:t>/T31962-2015）中A级标准</w:t>
            </w:r>
            <w:r>
              <w:rPr>
                <w:rFonts w:hint="default" w:ascii="Times New Roman" w:hAnsi="Times New Roman" w:eastAsia="宋体" w:cs="Times New Roman"/>
                <w:color w:val="auto"/>
                <w:spacing w:val="-3"/>
                <w:sz w:val="21"/>
                <w:szCs w:val="21"/>
                <w:highlight w:val="none"/>
              </w:rPr>
              <w:t>及</w:t>
            </w:r>
            <w:r>
              <w:rPr>
                <w:rFonts w:hint="default" w:ascii="Times New Roman" w:hAnsi="Times New Roman" w:eastAsia="宋体" w:cs="Times New Roman"/>
                <w:color w:val="auto"/>
                <w:spacing w:val="-3"/>
                <w:sz w:val="21"/>
                <w:szCs w:val="21"/>
                <w:highlight w:val="none"/>
                <w:lang w:val="en-US" w:eastAsia="zh-CN"/>
              </w:rPr>
              <w:t>污水处理厂进水水质要求后</w:t>
            </w:r>
            <w:r>
              <w:rPr>
                <w:rFonts w:hint="default"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strike w:val="0"/>
                <w:dstrike w:val="0"/>
                <w:color w:val="auto"/>
                <w:kern w:val="0"/>
                <w:sz w:val="21"/>
                <w:szCs w:val="21"/>
                <w:highlight w:val="none"/>
                <w:lang w:eastAsia="zh-CN"/>
              </w:rPr>
              <w:t>最后进入</w:t>
            </w:r>
            <w:r>
              <w:rPr>
                <w:rFonts w:hint="default" w:ascii="Times New Roman" w:hAnsi="Times New Roman" w:eastAsia="宋体" w:cs="Times New Roman"/>
                <w:strike w:val="0"/>
                <w:dstrike w:val="0"/>
                <w:color w:val="auto"/>
                <w:kern w:val="0"/>
                <w:sz w:val="21"/>
                <w:szCs w:val="21"/>
                <w:highlight w:val="none"/>
                <w:lang w:val="en-US" w:eastAsia="zh-CN"/>
              </w:rPr>
              <w:t>云南易门产业园区六街和麦子田片区集中式生活污水处理厂</w:t>
            </w:r>
            <w:r>
              <w:rPr>
                <w:rFonts w:hint="default" w:ascii="Times New Roman" w:hAnsi="Times New Roman" w:eastAsia="宋体" w:cs="Times New Roman"/>
                <w:strike w:val="0"/>
                <w:dstrike w:val="0"/>
                <w:color w:val="auto"/>
                <w:kern w:val="0"/>
                <w:sz w:val="21"/>
                <w:szCs w:val="21"/>
                <w:highlight w:val="none"/>
                <w:lang w:eastAsia="zh-CN"/>
              </w:rPr>
              <w:t>处理</w:t>
            </w:r>
            <w:r>
              <w:rPr>
                <w:rFonts w:hint="eastAsia" w:cs="Times New Roman"/>
                <w:strike w:val="0"/>
                <w:dstrike w:val="0"/>
                <w:color w:val="auto"/>
                <w:kern w:val="0"/>
                <w:sz w:val="21"/>
                <w:szCs w:val="21"/>
                <w:highlight w:val="none"/>
                <w:lang w:eastAsia="zh-CN"/>
              </w:rPr>
              <w:t>。</w:t>
            </w:r>
          </w:p>
        </w:tc>
      </w:tr>
      <w:tr w14:paraId="3CFD6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continue"/>
            <w:vAlign w:val="center"/>
          </w:tcPr>
          <w:p w14:paraId="0C668BA4">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p>
        </w:tc>
        <w:tc>
          <w:tcPr>
            <w:tcW w:w="1884" w:type="dxa"/>
            <w:shd w:val="clear" w:color="auto" w:fill="auto"/>
            <w:vAlign w:val="center"/>
          </w:tcPr>
          <w:p w14:paraId="5D467A96">
            <w:pPr>
              <w:keepNext w:val="0"/>
              <w:keepLines w:val="0"/>
              <w:pageBreakBefore w:val="0"/>
              <w:kinsoku/>
              <w:wordWrap/>
              <w:overflowPunct/>
              <w:topLinePunct/>
              <w:autoSpaceDE w:val="0"/>
              <w:autoSpaceDN/>
              <w:bidi w:val="0"/>
              <w:spacing w:line="240" w:lineRule="auto"/>
              <w:ind w:left="0" w:leftChars="0" w:right="0" w:rightChars="0" w:firstLine="0" w:firstLineChars="0"/>
              <w:jc w:val="center"/>
              <w:textAlignment w:val="auto"/>
              <w:rPr>
                <w:rFonts w:hint="eastAsia"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strike w:val="0"/>
                <w:dstrike w:val="0"/>
                <w:color w:val="auto"/>
                <w:spacing w:val="8"/>
                <w:sz w:val="21"/>
                <w:szCs w:val="21"/>
                <w:highlight w:val="none"/>
              </w:rPr>
              <w:t>生产废水</w:t>
            </w:r>
            <w:r>
              <w:rPr>
                <w:rFonts w:hint="eastAsia" w:cs="Times New Roman"/>
                <w:strike w:val="0"/>
                <w:dstrike w:val="0"/>
                <w:color w:val="auto"/>
                <w:spacing w:val="8"/>
                <w:sz w:val="21"/>
                <w:szCs w:val="21"/>
                <w:highlight w:val="none"/>
                <w:lang w:eastAsia="zh-CN"/>
              </w:rPr>
              <w:t>（</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w:t>
            </w:r>
            <w:r>
              <w:rPr>
                <w:rFonts w:hint="eastAsia" w:ascii="Times New Roman" w:hAnsi="Times New Roman" w:eastAsia="宋体" w:cs="Times New Roman"/>
                <w:color w:val="auto"/>
                <w:spacing w:val="-3"/>
                <w:sz w:val="21"/>
                <w:szCs w:val="21"/>
                <w:highlight w:val="none"/>
                <w:lang w:eastAsia="zh-CN"/>
              </w:rPr>
              <w:t>、</w:t>
            </w:r>
            <w:r>
              <w:rPr>
                <w:rFonts w:hint="default" w:ascii="Times New Roman" w:hAnsi="Times New Roman" w:eastAsia="宋体" w:cs="Times New Roman"/>
                <w:i w:val="0"/>
                <w:iCs w:val="0"/>
                <w:color w:val="auto"/>
                <w:kern w:val="0"/>
                <w:sz w:val="21"/>
                <w:szCs w:val="21"/>
                <w:u w:val="none"/>
                <w:lang w:val="en-US" w:eastAsia="zh-CN" w:bidi="ar"/>
              </w:rPr>
              <w:t>碱洗废水</w:t>
            </w: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碱后清洗废水、地面清洗水</w:t>
            </w:r>
            <w:r>
              <w:rPr>
                <w:rFonts w:hint="eastAsia" w:cs="Times New Roman"/>
                <w:strike w:val="0"/>
                <w:dstrike w:val="0"/>
                <w:color w:val="auto"/>
                <w:spacing w:val="8"/>
                <w:sz w:val="21"/>
                <w:szCs w:val="21"/>
                <w:highlight w:val="none"/>
                <w:lang w:eastAsia="zh-CN"/>
              </w:rPr>
              <w:t>）</w:t>
            </w:r>
          </w:p>
        </w:tc>
        <w:tc>
          <w:tcPr>
            <w:tcW w:w="1146" w:type="dxa"/>
            <w:vAlign w:val="center"/>
          </w:tcPr>
          <w:p w14:paraId="5C289A1E">
            <w:pPr>
              <w:keepNext w:val="0"/>
              <w:keepLines w:val="0"/>
              <w:pageBreakBefore w:val="0"/>
              <w:kinsoku/>
              <w:wordWrap/>
              <w:overflowPunct/>
              <w:topLinePunct/>
              <w:autoSpaceDE w:val="0"/>
              <w:autoSpaceDN/>
              <w:bidi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trike w:val="0"/>
                <w:dstrike w:val="0"/>
                <w:color w:val="auto"/>
                <w:spacing w:val="-6"/>
                <w:sz w:val="21"/>
                <w:szCs w:val="21"/>
                <w:highlight w:val="none"/>
              </w:rPr>
              <w:t>COD、BOD</w:t>
            </w:r>
            <w:r>
              <w:rPr>
                <w:rFonts w:hint="default" w:ascii="Times New Roman" w:hAnsi="Times New Roman" w:eastAsia="宋体" w:cs="Times New Roman"/>
                <w:strike w:val="0"/>
                <w:dstrike w:val="0"/>
                <w:color w:val="auto"/>
                <w:spacing w:val="-6"/>
                <w:position w:val="-1"/>
                <w:sz w:val="21"/>
                <w:szCs w:val="21"/>
                <w:highlight w:val="none"/>
                <w:vertAlign w:val="subscript"/>
              </w:rPr>
              <w:t>5</w:t>
            </w:r>
            <w:r>
              <w:rPr>
                <w:rFonts w:hint="default" w:ascii="Times New Roman" w:hAnsi="Times New Roman" w:eastAsia="宋体" w:cs="Times New Roman"/>
                <w:strike w:val="0"/>
                <w:dstrike w:val="0"/>
                <w:color w:val="auto"/>
                <w:spacing w:val="-19"/>
                <w:sz w:val="21"/>
                <w:szCs w:val="21"/>
                <w:highlight w:val="none"/>
              </w:rPr>
              <w:t>、SS、</w:t>
            </w:r>
            <w:r>
              <w:rPr>
                <w:rFonts w:hint="default" w:ascii="Times New Roman" w:hAnsi="Times New Roman" w:eastAsia="宋体" w:cs="Times New Roman"/>
                <w:strike w:val="0"/>
                <w:dstrike w:val="0"/>
                <w:color w:val="auto"/>
                <w:spacing w:val="-4"/>
                <w:sz w:val="21"/>
                <w:szCs w:val="21"/>
                <w:highlight w:val="none"/>
              </w:rPr>
              <w:t>石油类</w:t>
            </w:r>
            <w:r>
              <w:rPr>
                <w:rFonts w:hint="default" w:ascii="Times New Roman" w:hAnsi="Times New Roman" w:eastAsia="宋体" w:cs="Times New Roman"/>
                <w:strike w:val="0"/>
                <w:dstrike w:val="0"/>
                <w:color w:val="auto"/>
                <w:spacing w:val="-4"/>
                <w:sz w:val="21"/>
                <w:szCs w:val="21"/>
                <w:highlight w:val="none"/>
                <w:lang w:val="en-US" w:eastAsia="zh-CN"/>
              </w:rPr>
              <w:t>等</w:t>
            </w:r>
          </w:p>
        </w:tc>
        <w:tc>
          <w:tcPr>
            <w:tcW w:w="2150" w:type="dxa"/>
            <w:vAlign w:val="center"/>
          </w:tcPr>
          <w:p w14:paraId="5206D3D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废水、</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废水、圆磨废水经处理后大部分回用于</w:t>
            </w:r>
            <w:r>
              <w:rPr>
                <w:rFonts w:hint="eastAsia" w:cs="Times New Roman"/>
                <w:color w:val="auto"/>
                <w:spacing w:val="-3"/>
                <w:sz w:val="21"/>
                <w:szCs w:val="21"/>
                <w:highlight w:val="none"/>
                <w:lang w:eastAsia="zh-CN"/>
              </w:rPr>
              <w:t>珠胚清洗</w:t>
            </w:r>
            <w:r>
              <w:rPr>
                <w:rFonts w:hint="default" w:ascii="Times New Roman" w:hAnsi="Times New Roman" w:eastAsia="宋体" w:cs="Times New Roman"/>
                <w:color w:val="auto"/>
                <w:spacing w:val="-3"/>
                <w:sz w:val="21"/>
                <w:szCs w:val="21"/>
                <w:highlight w:val="none"/>
              </w:rPr>
              <w:t>、圆磨工序及</w:t>
            </w:r>
            <w:r>
              <w:rPr>
                <w:rFonts w:hint="default" w:ascii="Times New Roman" w:hAnsi="Times New Roman" w:eastAsia="宋体" w:cs="Times New Roman"/>
                <w:color w:val="auto"/>
                <w:spacing w:val="-3"/>
                <w:sz w:val="21"/>
                <w:szCs w:val="21"/>
                <w:highlight w:val="none"/>
                <w:lang w:eastAsia="zh-CN"/>
              </w:rPr>
              <w:t>磨抛</w:t>
            </w:r>
            <w:r>
              <w:rPr>
                <w:rFonts w:hint="default" w:ascii="Times New Roman" w:hAnsi="Times New Roman" w:eastAsia="宋体" w:cs="Times New Roman"/>
                <w:color w:val="auto"/>
                <w:spacing w:val="-3"/>
                <w:sz w:val="21"/>
                <w:szCs w:val="21"/>
                <w:highlight w:val="none"/>
              </w:rPr>
              <w:t>工序，小部分与其余</w:t>
            </w:r>
            <w:r>
              <w:rPr>
                <w:rFonts w:hint="eastAsia" w:cs="Times New Roman"/>
                <w:color w:val="auto"/>
                <w:spacing w:val="-3"/>
                <w:sz w:val="21"/>
                <w:szCs w:val="21"/>
                <w:highlight w:val="none"/>
                <w:lang w:val="en-US" w:eastAsia="zh-CN"/>
              </w:rPr>
              <w:t>生产</w:t>
            </w:r>
            <w:r>
              <w:rPr>
                <w:rFonts w:hint="default" w:ascii="Times New Roman" w:hAnsi="Times New Roman" w:eastAsia="宋体" w:cs="Times New Roman"/>
                <w:color w:val="auto"/>
                <w:spacing w:val="-3"/>
                <w:sz w:val="21"/>
                <w:szCs w:val="21"/>
                <w:highlight w:val="none"/>
              </w:rPr>
              <w:t>废水一起经厂区生化污水处理站</w:t>
            </w:r>
            <w:r>
              <w:rPr>
                <w:rFonts w:hint="default" w:ascii="Times New Roman" w:hAnsi="Times New Roman" w:eastAsia="宋体" w:cs="Times New Roman"/>
                <w:strike w:val="0"/>
                <w:dstrike w:val="0"/>
                <w:color w:val="auto"/>
                <w:spacing w:val="7"/>
                <w:sz w:val="21"/>
                <w:szCs w:val="21"/>
                <w:highlight w:val="none"/>
                <w:lang w:val="en-US" w:eastAsia="zh-CN"/>
              </w:rPr>
              <w:t>处理达标</w:t>
            </w:r>
            <w:r>
              <w:rPr>
                <w:rFonts w:hint="eastAsia" w:cs="Times New Roman"/>
                <w:strike w:val="0"/>
                <w:dstrike w:val="0"/>
                <w:color w:val="auto"/>
                <w:spacing w:val="7"/>
                <w:sz w:val="21"/>
                <w:szCs w:val="21"/>
                <w:highlight w:val="none"/>
                <w:lang w:val="en-US" w:eastAsia="zh-CN"/>
              </w:rPr>
              <w:t>后</w:t>
            </w:r>
            <w:r>
              <w:rPr>
                <w:rFonts w:hint="default" w:ascii="Times New Roman" w:hAnsi="Times New Roman" w:eastAsia="宋体" w:cs="Times New Roman"/>
                <w:strike w:val="0"/>
                <w:dstrike w:val="0"/>
                <w:color w:val="auto"/>
                <w:sz w:val="21"/>
                <w:szCs w:val="21"/>
                <w:highlight w:val="none"/>
                <w:lang w:val="en-US" w:eastAsia="zh-CN"/>
              </w:rPr>
              <w:t>经总排口进入市政污水管网</w:t>
            </w:r>
          </w:p>
        </w:tc>
        <w:tc>
          <w:tcPr>
            <w:tcW w:w="2684" w:type="dxa"/>
            <w:vMerge w:val="continue"/>
            <w:vAlign w:val="center"/>
          </w:tcPr>
          <w:p w14:paraId="5C7925E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p>
        </w:tc>
      </w:tr>
      <w:tr w14:paraId="0225E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481BE86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声环境</w:t>
            </w:r>
          </w:p>
        </w:tc>
        <w:tc>
          <w:tcPr>
            <w:tcW w:w="1884" w:type="dxa"/>
            <w:vAlign w:val="center"/>
          </w:tcPr>
          <w:p w14:paraId="43FDD7C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w:t>
            </w:r>
          </w:p>
        </w:tc>
        <w:tc>
          <w:tcPr>
            <w:tcW w:w="1146" w:type="dxa"/>
            <w:vAlign w:val="center"/>
          </w:tcPr>
          <w:p w14:paraId="17944B3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Leq</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2150" w:type="dxa"/>
            <w:vAlign w:val="center"/>
          </w:tcPr>
          <w:p w14:paraId="7DBC7CF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选用低噪声设备、建筑隔声、基础减震</w:t>
            </w:r>
          </w:p>
        </w:tc>
        <w:tc>
          <w:tcPr>
            <w:tcW w:w="2684" w:type="dxa"/>
            <w:vAlign w:val="center"/>
          </w:tcPr>
          <w:p w14:paraId="4FD562B1">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3类</w:t>
            </w:r>
            <w:r>
              <w:rPr>
                <w:rFonts w:hint="default" w:ascii="Times New Roman" w:hAnsi="Times New Roman" w:eastAsia="宋体" w:cs="Times New Roman"/>
                <w:color w:val="auto"/>
                <w:sz w:val="21"/>
                <w:szCs w:val="21"/>
                <w:highlight w:val="none"/>
              </w:rPr>
              <w:t>标准</w:t>
            </w:r>
          </w:p>
        </w:tc>
      </w:tr>
      <w:tr w14:paraId="5F925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2F815353">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电磁辐射</w:t>
            </w:r>
          </w:p>
        </w:tc>
        <w:tc>
          <w:tcPr>
            <w:tcW w:w="1884" w:type="dxa"/>
            <w:vAlign w:val="center"/>
          </w:tcPr>
          <w:p w14:paraId="59B278F9">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46" w:type="dxa"/>
            <w:vAlign w:val="center"/>
          </w:tcPr>
          <w:p w14:paraId="1263E02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50" w:type="dxa"/>
            <w:vAlign w:val="center"/>
          </w:tcPr>
          <w:p w14:paraId="0DAB545F">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684" w:type="dxa"/>
            <w:vAlign w:val="center"/>
          </w:tcPr>
          <w:p w14:paraId="700CFCAD">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0F66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78D8621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固体废物</w:t>
            </w:r>
          </w:p>
        </w:tc>
        <w:tc>
          <w:tcPr>
            <w:tcW w:w="7864" w:type="dxa"/>
            <w:gridSpan w:val="4"/>
            <w:vAlign w:val="center"/>
          </w:tcPr>
          <w:p w14:paraId="0A1B34E8">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rPr>
              <w:t>原料废包装袋统一收集后外售回收商资源化利用处置</w:t>
            </w:r>
            <w:r>
              <w:rPr>
                <w:rFonts w:hint="default" w:ascii="Times New Roman" w:hAnsi="Times New Roman" w:eastAsia="宋体" w:cs="Times New Roman"/>
                <w:color w:val="auto"/>
                <w:sz w:val="21"/>
                <w:szCs w:val="21"/>
                <w:highlight w:val="none"/>
                <w:lang w:val="en-US" w:eastAsia="zh-CN"/>
              </w:rPr>
              <w:t>；</w:t>
            </w:r>
          </w:p>
          <w:p w14:paraId="010905A4">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②</w:t>
            </w:r>
            <w:r>
              <w:rPr>
                <w:rFonts w:hint="eastAsia" w:cs="Times New Roman"/>
                <w:strike w:val="0"/>
                <w:dstrike w:val="0"/>
                <w:color w:val="auto"/>
                <w:sz w:val="21"/>
                <w:szCs w:val="21"/>
                <w:highlight w:val="none"/>
                <w:vertAlign w:val="baseline"/>
                <w:lang w:val="en-US" w:eastAsia="zh-CN"/>
              </w:rPr>
              <w:t>珠胚生产</w:t>
            </w:r>
            <w:r>
              <w:rPr>
                <w:rFonts w:hint="default" w:ascii="Times New Roman" w:hAnsi="Times New Roman" w:eastAsia="宋体" w:cs="Times New Roman"/>
                <w:strike w:val="0"/>
                <w:dstrike w:val="0"/>
                <w:color w:val="auto"/>
                <w:sz w:val="21"/>
                <w:szCs w:val="21"/>
                <w:highlight w:val="none"/>
                <w:vertAlign w:val="baseline"/>
                <w:lang w:val="en-US" w:eastAsia="zh-CN"/>
              </w:rPr>
              <w:t>布袋</w:t>
            </w:r>
            <w:r>
              <w:rPr>
                <w:rFonts w:hint="eastAsia" w:cs="Times New Roman"/>
                <w:strike w:val="0"/>
                <w:dstrike w:val="0"/>
                <w:color w:val="auto"/>
                <w:sz w:val="21"/>
                <w:szCs w:val="21"/>
                <w:highlight w:val="none"/>
                <w:vertAlign w:val="baseline"/>
                <w:lang w:val="en-US" w:eastAsia="zh-CN"/>
              </w:rPr>
              <w:t>除尘灰</w:t>
            </w:r>
            <w:r>
              <w:rPr>
                <w:rFonts w:hint="default" w:ascii="Times New Roman" w:hAnsi="Times New Roman" w:eastAsia="宋体" w:cs="Times New Roman"/>
                <w:color w:val="auto"/>
                <w:sz w:val="21"/>
                <w:szCs w:val="21"/>
                <w:highlight w:val="none"/>
              </w:rPr>
              <w:t>收集后回用于</w:t>
            </w:r>
            <w:r>
              <w:rPr>
                <w:rFonts w:hint="eastAsia" w:cs="Times New Roman"/>
                <w:color w:val="auto"/>
                <w:spacing w:val="-2"/>
                <w:sz w:val="21"/>
                <w:szCs w:val="21"/>
                <w:highlight w:val="none"/>
                <w:lang w:eastAsia="zh-CN"/>
              </w:rPr>
              <w:t>珠胚生产</w:t>
            </w:r>
            <w:r>
              <w:rPr>
                <w:rFonts w:hint="default" w:ascii="Times New Roman" w:hAnsi="Times New Roman" w:eastAsia="宋体" w:cs="Times New Roman"/>
                <w:color w:val="auto"/>
                <w:spacing w:val="-1"/>
                <w:sz w:val="21"/>
                <w:szCs w:val="21"/>
                <w:highlight w:val="none"/>
              </w:rPr>
              <w:t>电熔炉再利用</w:t>
            </w:r>
            <w:r>
              <w:rPr>
                <w:rFonts w:hint="eastAsia" w:cs="Times New Roman"/>
                <w:strike w:val="0"/>
                <w:dstrike w:val="0"/>
                <w:color w:val="auto"/>
                <w:sz w:val="21"/>
                <w:szCs w:val="21"/>
                <w:highlight w:val="none"/>
                <w:vertAlign w:val="baseline"/>
                <w:lang w:val="en-US" w:eastAsia="zh-CN"/>
              </w:rPr>
              <w:t>，</w:t>
            </w:r>
            <w:r>
              <w:rPr>
                <w:rFonts w:hint="default" w:ascii="Times New Roman" w:hAnsi="Times New Roman" w:eastAsia="宋体" w:cs="Times New Roman"/>
                <w:strike w:val="0"/>
                <w:dstrike w:val="0"/>
                <w:color w:val="auto"/>
                <w:sz w:val="21"/>
                <w:szCs w:val="21"/>
                <w:highlight w:val="none"/>
                <w:vertAlign w:val="baseline"/>
                <w:lang w:val="en-US" w:eastAsia="zh-CN"/>
              </w:rPr>
              <w:t>边角废料、残次品</w:t>
            </w:r>
            <w:r>
              <w:rPr>
                <w:rFonts w:hint="default" w:ascii="Times New Roman" w:hAnsi="Times New Roman" w:eastAsia="宋体" w:cs="Times New Roman"/>
                <w:color w:val="auto"/>
                <w:sz w:val="21"/>
                <w:szCs w:val="21"/>
                <w:highlight w:val="none"/>
              </w:rPr>
              <w:t>收集后回用于</w:t>
            </w:r>
            <w:r>
              <w:rPr>
                <w:rFonts w:hint="eastAsia" w:cs="Times New Roman"/>
                <w:color w:val="auto"/>
                <w:spacing w:val="-2"/>
                <w:sz w:val="21"/>
                <w:szCs w:val="21"/>
                <w:highlight w:val="none"/>
                <w:lang w:eastAsia="zh-CN"/>
              </w:rPr>
              <w:t>珠胚生产，</w:t>
            </w:r>
            <w:r>
              <w:rPr>
                <w:rFonts w:hint="eastAsia" w:cs="Times New Roman"/>
                <w:color w:val="auto"/>
                <w:spacing w:val="-1"/>
                <w:sz w:val="21"/>
                <w:szCs w:val="21"/>
                <w:highlight w:val="none"/>
                <w:lang w:val="en-US" w:eastAsia="zh-CN"/>
              </w:rPr>
              <w:t>重新熔制</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1BE8C5CE">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③</w:t>
            </w: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、烫钻生产各</w:t>
            </w:r>
            <w:r>
              <w:rPr>
                <w:rFonts w:hint="eastAsia" w:cs="Times New Roman"/>
                <w:strike w:val="0"/>
                <w:dstrike w:val="0"/>
                <w:color w:val="auto"/>
                <w:sz w:val="21"/>
                <w:szCs w:val="21"/>
                <w:highlight w:val="none"/>
                <w:vertAlign w:val="baseline"/>
                <w:lang w:val="en-US" w:eastAsia="zh-CN"/>
              </w:rPr>
              <w:t>循环水池</w:t>
            </w:r>
            <w:r>
              <w:rPr>
                <w:rFonts w:hint="default" w:ascii="Times New Roman" w:hAnsi="Times New Roman" w:eastAsia="宋体" w:cs="Times New Roman"/>
                <w:strike w:val="0"/>
                <w:dstrike w:val="0"/>
                <w:color w:val="auto"/>
                <w:sz w:val="21"/>
                <w:szCs w:val="21"/>
                <w:highlight w:val="none"/>
                <w:vertAlign w:val="baseline"/>
                <w:lang w:val="en-US" w:eastAsia="zh-CN"/>
              </w:rPr>
              <w:t>沉渣</w:t>
            </w:r>
            <w:r>
              <w:rPr>
                <w:rFonts w:hint="default" w:ascii="Times New Roman" w:hAnsi="Times New Roman" w:eastAsia="宋体" w:cs="Times New Roman"/>
                <w:color w:val="auto"/>
                <w:spacing w:val="-1"/>
                <w:sz w:val="21"/>
                <w:szCs w:val="21"/>
                <w:highlight w:val="none"/>
              </w:rPr>
              <w:t>经脱水干化集后</w:t>
            </w:r>
            <w:r>
              <w:rPr>
                <w:rFonts w:hint="default" w:ascii="Times New Roman" w:hAnsi="Times New Roman" w:eastAsia="宋体" w:cs="Times New Roman"/>
                <w:color w:val="auto"/>
                <w:spacing w:val="-1"/>
                <w:sz w:val="21"/>
                <w:szCs w:val="21"/>
                <w:highlight w:val="none"/>
                <w:lang w:val="en-US" w:eastAsia="zh-CN"/>
              </w:rPr>
              <w:t>收</w:t>
            </w:r>
            <w:r>
              <w:rPr>
                <w:rFonts w:hint="eastAsia" w:cs="Times New Roman"/>
                <w:color w:val="auto"/>
                <w:spacing w:val="-1"/>
                <w:sz w:val="21"/>
                <w:szCs w:val="21"/>
                <w:highlight w:val="none"/>
                <w:lang w:val="en-US" w:eastAsia="zh-CN"/>
              </w:rPr>
              <w:t>交由玉溪诺客环保科技有限公司利用处置系统将沉渣送至水泥回转窑进行无害化处置</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277C9F87">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④生化污水处理站污泥</w:t>
            </w:r>
            <w:r>
              <w:rPr>
                <w:rFonts w:hint="default" w:ascii="Times New Roman" w:hAnsi="Times New Roman" w:eastAsia="宋体" w:cs="Times New Roman"/>
                <w:color w:val="auto"/>
                <w:sz w:val="21"/>
                <w:szCs w:val="21"/>
                <w:highlight w:val="none"/>
                <w:lang w:val="en-US" w:eastAsia="zh-CN"/>
              </w:rPr>
              <w:t>脱水</w:t>
            </w:r>
            <w:r>
              <w:rPr>
                <w:rFonts w:hint="default" w:ascii="Times New Roman" w:hAnsi="Times New Roman" w:eastAsia="宋体" w:cs="Times New Roman"/>
                <w:color w:val="auto"/>
                <w:sz w:val="21"/>
                <w:szCs w:val="21"/>
                <w:highlight w:val="none"/>
              </w:rPr>
              <w:t>干化后委托环</w:t>
            </w:r>
            <w:r>
              <w:rPr>
                <w:rFonts w:hint="default" w:ascii="Times New Roman" w:hAnsi="Times New Roman" w:eastAsia="宋体" w:cs="Times New Roman"/>
                <w:color w:val="auto"/>
                <w:spacing w:val="-2"/>
                <w:sz w:val="21"/>
                <w:szCs w:val="21"/>
                <w:highlight w:val="none"/>
              </w:rPr>
              <w:t>卫部门清运处置</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03435C2A">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⑤烫钻生产旧磨轮芯</w:t>
            </w:r>
            <w:r>
              <w:rPr>
                <w:rFonts w:hint="default" w:ascii="Times New Roman" w:hAnsi="Times New Roman" w:eastAsia="宋体" w:cs="Times New Roman"/>
                <w:color w:val="auto"/>
                <w:spacing w:val="-1"/>
                <w:sz w:val="21"/>
                <w:szCs w:val="21"/>
                <w:highlight w:val="none"/>
              </w:rPr>
              <w:t>经收集后</w:t>
            </w:r>
            <w:r>
              <w:rPr>
                <w:rFonts w:hint="default" w:ascii="Times New Roman" w:hAnsi="Times New Roman" w:eastAsia="宋体" w:cs="Times New Roman"/>
                <w:color w:val="auto"/>
                <w:spacing w:val="-1"/>
                <w:sz w:val="21"/>
                <w:szCs w:val="21"/>
                <w:highlight w:val="none"/>
                <w:lang w:val="en-US" w:eastAsia="zh-CN"/>
              </w:rPr>
              <w:t>由厂家回收</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64361B82">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⑥旧抛轮</w:t>
            </w:r>
            <w:r>
              <w:rPr>
                <w:rFonts w:hint="default" w:ascii="Times New Roman" w:hAnsi="Times New Roman" w:eastAsia="宋体" w:cs="Times New Roman"/>
                <w:color w:val="auto"/>
                <w:spacing w:val="-3"/>
                <w:sz w:val="21"/>
                <w:szCs w:val="21"/>
                <w:highlight w:val="none"/>
              </w:rPr>
              <w:t>回收后返</w:t>
            </w:r>
            <w:r>
              <w:rPr>
                <w:rFonts w:hint="default" w:ascii="Times New Roman" w:hAnsi="Times New Roman" w:eastAsia="宋体" w:cs="Times New Roman"/>
                <w:color w:val="auto"/>
                <w:spacing w:val="-1"/>
                <w:sz w:val="21"/>
                <w:szCs w:val="21"/>
                <w:highlight w:val="none"/>
              </w:rPr>
              <w:t>回至抛轮修复生产线，加工修复后重新投入使用</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21F2B032">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⑦烫钻残次品</w:t>
            </w:r>
            <w:r>
              <w:rPr>
                <w:rFonts w:hint="default" w:ascii="Times New Roman" w:hAnsi="Times New Roman" w:eastAsia="宋体" w:cs="Times New Roman"/>
                <w:color w:val="auto"/>
                <w:spacing w:val="-1"/>
                <w:sz w:val="21"/>
                <w:szCs w:val="21"/>
                <w:highlight w:val="none"/>
              </w:rPr>
              <w:t>经收集后返</w:t>
            </w:r>
            <w:r>
              <w:rPr>
                <w:rFonts w:hint="default" w:ascii="Times New Roman" w:hAnsi="Times New Roman" w:eastAsia="宋体" w:cs="Times New Roman"/>
                <w:color w:val="auto"/>
                <w:spacing w:val="-2"/>
                <w:sz w:val="21"/>
                <w:szCs w:val="21"/>
                <w:highlight w:val="none"/>
              </w:rPr>
              <w:t>回</w:t>
            </w:r>
            <w:r>
              <w:rPr>
                <w:rFonts w:hint="eastAsia" w:cs="Times New Roman"/>
                <w:color w:val="auto"/>
                <w:spacing w:val="-2"/>
                <w:sz w:val="21"/>
                <w:szCs w:val="21"/>
                <w:highlight w:val="none"/>
                <w:lang w:eastAsia="zh-CN"/>
              </w:rPr>
              <w:t>珠胚生产</w:t>
            </w:r>
            <w:r>
              <w:rPr>
                <w:rFonts w:hint="default" w:ascii="Times New Roman" w:hAnsi="Times New Roman" w:eastAsia="宋体" w:cs="Times New Roman"/>
                <w:color w:val="auto"/>
                <w:spacing w:val="-2"/>
                <w:sz w:val="21"/>
                <w:szCs w:val="21"/>
                <w:highlight w:val="none"/>
              </w:rPr>
              <w:t>线</w:t>
            </w:r>
            <w:r>
              <w:rPr>
                <w:rFonts w:hint="default" w:ascii="Times New Roman" w:hAnsi="Times New Roman" w:eastAsia="宋体" w:cs="Times New Roman"/>
                <w:color w:val="auto"/>
                <w:spacing w:val="-1"/>
                <w:sz w:val="21"/>
                <w:szCs w:val="21"/>
                <w:highlight w:val="none"/>
              </w:rPr>
              <w:t>电熔炉再利用</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6F5251B7">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⑧废吸塑片及切片边角料</w:t>
            </w:r>
            <w:r>
              <w:rPr>
                <w:rFonts w:hint="default" w:ascii="Times New Roman" w:hAnsi="Times New Roman" w:eastAsia="宋体" w:cs="Times New Roman"/>
                <w:color w:val="auto"/>
                <w:spacing w:val="-3"/>
                <w:sz w:val="21"/>
                <w:szCs w:val="21"/>
                <w:highlight w:val="none"/>
              </w:rPr>
              <w:t>收集后直接返回吸塑</w:t>
            </w:r>
            <w:r>
              <w:rPr>
                <w:rFonts w:hint="default" w:ascii="Times New Roman" w:hAnsi="Times New Roman" w:eastAsia="宋体" w:cs="Times New Roman"/>
                <w:color w:val="auto"/>
                <w:spacing w:val="-2"/>
                <w:sz w:val="21"/>
                <w:szCs w:val="21"/>
                <w:highlight w:val="none"/>
              </w:rPr>
              <w:t>片生产线</w:t>
            </w:r>
            <w:r>
              <w:rPr>
                <w:rFonts w:hint="default" w:ascii="Times New Roman" w:hAnsi="Times New Roman" w:eastAsia="宋体" w:cs="Times New Roman"/>
                <w:color w:val="auto"/>
                <w:spacing w:val="-2"/>
                <w:sz w:val="21"/>
                <w:szCs w:val="21"/>
                <w:highlight w:val="none"/>
                <w:lang w:val="en-US" w:eastAsia="zh-CN"/>
              </w:rPr>
              <w:t>再利用</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4389BAE9">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⑨碱洗</w:t>
            </w:r>
            <w:r>
              <w:rPr>
                <w:rFonts w:hint="eastAsia" w:cs="Times New Roman"/>
                <w:strike w:val="0"/>
                <w:dstrike w:val="0"/>
                <w:color w:val="auto"/>
                <w:sz w:val="21"/>
                <w:szCs w:val="21"/>
                <w:highlight w:val="none"/>
                <w:vertAlign w:val="baseline"/>
                <w:lang w:val="en-US" w:eastAsia="zh-CN"/>
              </w:rPr>
              <w:t>沉渣</w:t>
            </w:r>
            <w:r>
              <w:rPr>
                <w:rFonts w:hint="default" w:ascii="Times New Roman" w:hAnsi="Times New Roman" w:eastAsia="宋体" w:cs="Times New Roman"/>
                <w:color w:val="auto"/>
                <w:spacing w:val="-1"/>
                <w:sz w:val="21"/>
                <w:szCs w:val="21"/>
                <w:highlight w:val="none"/>
                <w:lang w:val="en-US" w:eastAsia="zh-CN"/>
              </w:rPr>
              <w:t>收集后外售给胶粉厂作为原料使用</w:t>
            </w:r>
            <w:r>
              <w:rPr>
                <w:rFonts w:hint="eastAsia" w:cs="Times New Roman"/>
                <w:color w:val="auto"/>
                <w:spacing w:val="-1"/>
                <w:sz w:val="21"/>
                <w:szCs w:val="21"/>
                <w:highlight w:val="none"/>
                <w:lang w:val="en-US" w:eastAsia="zh-CN"/>
              </w:rPr>
              <w:t>（总公司已签订处置合同）</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34C40683">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⑩PVC生产不合格品、废边角料经破碎机破碎后进入PVC生产工序；</w:t>
            </w:r>
          </w:p>
          <w:p w14:paraId="62B63CDD">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⑪配料布袋收尘</w:t>
            </w:r>
            <w:r>
              <w:rPr>
                <w:rFonts w:hint="default" w:ascii="Times New Roman" w:hAnsi="Times New Roman" w:eastAsia="宋体" w:cs="Times New Roman"/>
                <w:color w:val="auto"/>
                <w:sz w:val="21"/>
                <w:szCs w:val="21"/>
                <w:highlight w:val="none"/>
              </w:rPr>
              <w:t>统一收集后</w:t>
            </w:r>
            <w:r>
              <w:rPr>
                <w:rFonts w:hint="default" w:ascii="Times New Roman" w:hAnsi="Times New Roman" w:eastAsia="宋体" w:cs="Times New Roman"/>
                <w:color w:val="auto"/>
                <w:sz w:val="21"/>
                <w:szCs w:val="21"/>
                <w:highlight w:val="none"/>
                <w:lang w:eastAsia="zh-CN"/>
              </w:rPr>
              <w:t>回用于生产；</w:t>
            </w:r>
          </w:p>
          <w:p w14:paraId="35ECE30C">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⑫抛轮修复收尘</w:t>
            </w:r>
            <w:r>
              <w:rPr>
                <w:rFonts w:hint="default" w:ascii="Times New Roman" w:hAnsi="Times New Roman" w:eastAsia="宋体" w:cs="Times New Roman"/>
                <w:color w:val="auto"/>
                <w:spacing w:val="-1"/>
                <w:sz w:val="21"/>
                <w:szCs w:val="21"/>
                <w:highlight w:val="none"/>
              </w:rPr>
              <w:t>收集后回用生</w:t>
            </w:r>
            <w:r>
              <w:rPr>
                <w:rFonts w:hint="default" w:ascii="Times New Roman" w:hAnsi="Times New Roman" w:eastAsia="宋体" w:cs="Times New Roman"/>
                <w:color w:val="auto"/>
                <w:spacing w:val="-2"/>
                <w:sz w:val="21"/>
                <w:szCs w:val="21"/>
                <w:highlight w:val="none"/>
              </w:rPr>
              <w:t>产线</w:t>
            </w:r>
            <w:r>
              <w:rPr>
                <w:rFonts w:hint="default" w:ascii="Times New Roman" w:hAnsi="Times New Roman" w:eastAsia="宋体" w:cs="Times New Roman"/>
                <w:color w:val="auto"/>
                <w:spacing w:val="-2"/>
                <w:sz w:val="21"/>
                <w:szCs w:val="21"/>
                <w:highlight w:val="none"/>
                <w:lang w:val="en-US" w:eastAsia="zh-CN"/>
              </w:rPr>
              <w:t>再利用</w:t>
            </w:r>
            <w:r>
              <w:rPr>
                <w:rFonts w:hint="default" w:ascii="Times New Roman" w:hAnsi="Times New Roman" w:eastAsia="宋体" w:cs="Times New Roman"/>
                <w:strike w:val="0"/>
                <w:dstrike w:val="0"/>
                <w:color w:val="auto"/>
                <w:sz w:val="21"/>
                <w:szCs w:val="21"/>
                <w:highlight w:val="none"/>
                <w:vertAlign w:val="baseline"/>
                <w:lang w:val="en-US" w:eastAsia="zh-CN"/>
              </w:rPr>
              <w:t>；</w:t>
            </w:r>
          </w:p>
          <w:p w14:paraId="4FDBB739">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strike w:val="0"/>
                <w:dstrike w:val="0"/>
                <w:color w:val="auto"/>
                <w:spacing w:val="-10"/>
                <w:sz w:val="21"/>
                <w:szCs w:val="21"/>
                <w:highlight w:val="none"/>
                <w:lang w:val="en-US" w:eastAsia="zh-CN"/>
              </w:rPr>
              <w:t>⑬去离子水制备废石英砂、废活性炭、废反渗透膜</w:t>
            </w:r>
            <w:r>
              <w:rPr>
                <w:rFonts w:hint="eastAsia" w:cs="Times New Roman"/>
                <w:bCs/>
                <w:strike w:val="0"/>
                <w:dstrike w:val="0"/>
                <w:color w:val="auto"/>
                <w:spacing w:val="-10"/>
                <w:sz w:val="21"/>
                <w:szCs w:val="21"/>
                <w:highlight w:val="none"/>
                <w:lang w:val="en-US" w:eastAsia="zh-CN"/>
              </w:rPr>
              <w:t>、</w:t>
            </w:r>
            <w:r>
              <w:rPr>
                <w:rFonts w:hint="default" w:ascii="Times New Roman" w:hAnsi="Times New Roman" w:eastAsia="宋体" w:cs="Times New Roman"/>
                <w:bCs/>
                <w:strike w:val="0"/>
                <w:dstrike w:val="0"/>
                <w:color w:val="auto"/>
                <w:spacing w:val="-10"/>
                <w:sz w:val="21"/>
                <w:szCs w:val="21"/>
                <w:highlight w:val="none"/>
                <w:lang w:val="en-US" w:eastAsia="zh-CN"/>
              </w:rPr>
              <w:t>废</w:t>
            </w:r>
            <w:r>
              <w:rPr>
                <w:rFonts w:hint="eastAsia" w:cs="Times New Roman"/>
                <w:bCs/>
                <w:strike w:val="0"/>
                <w:dstrike w:val="0"/>
                <w:color w:val="auto"/>
                <w:spacing w:val="-10"/>
                <w:sz w:val="21"/>
                <w:szCs w:val="21"/>
                <w:highlight w:val="none"/>
                <w:lang w:val="en-US" w:eastAsia="zh-CN"/>
              </w:rPr>
              <w:t>离子交换树脂</w:t>
            </w:r>
            <w:r>
              <w:rPr>
                <w:rFonts w:hint="default" w:ascii="Times New Roman" w:hAnsi="Times New Roman" w:eastAsia="宋体" w:cs="Times New Roman"/>
                <w:b w:val="0"/>
                <w:bCs w:val="0"/>
                <w:strike w:val="0"/>
                <w:dstrike w:val="0"/>
                <w:color w:val="auto"/>
                <w:sz w:val="21"/>
                <w:szCs w:val="21"/>
                <w:highlight w:val="none"/>
                <w:lang w:val="en-US" w:eastAsia="zh-CN"/>
              </w:rPr>
              <w:t>由厂家定期更换统一收集后回收</w:t>
            </w:r>
            <w:r>
              <w:rPr>
                <w:rFonts w:hint="eastAsia" w:cs="Times New Roman"/>
                <w:b w:val="0"/>
                <w:bCs w:val="0"/>
                <w:strike w:val="0"/>
                <w:dstrike w:val="0"/>
                <w:color w:val="auto"/>
                <w:sz w:val="21"/>
                <w:szCs w:val="21"/>
                <w:highlight w:val="none"/>
                <w:lang w:val="en-US" w:eastAsia="zh-CN"/>
              </w:rPr>
              <w:t>处理</w:t>
            </w:r>
            <w:r>
              <w:rPr>
                <w:rFonts w:hint="default" w:ascii="Times New Roman" w:hAnsi="Times New Roman" w:eastAsia="宋体" w:cs="Times New Roman"/>
                <w:b w:val="0"/>
                <w:bCs w:val="0"/>
                <w:strike w:val="0"/>
                <w:dstrike w:val="0"/>
                <w:color w:val="auto"/>
                <w:sz w:val="21"/>
                <w:szCs w:val="21"/>
                <w:highlight w:val="none"/>
                <w:lang w:val="en-US" w:eastAsia="zh-CN"/>
              </w:rPr>
              <w:t>；</w:t>
            </w:r>
          </w:p>
          <w:p w14:paraId="286504CF">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Cs/>
                <w:strike w:val="0"/>
                <w:dstrike w:val="0"/>
                <w:color w:val="auto"/>
                <w:spacing w:val="-10"/>
                <w:sz w:val="21"/>
                <w:szCs w:val="21"/>
                <w:highlight w:val="none"/>
                <w:lang w:val="en-US" w:eastAsia="zh-CN"/>
              </w:rPr>
              <w:t>⑭项目办公生活产生的</w:t>
            </w:r>
            <w:r>
              <w:rPr>
                <w:rFonts w:hint="default" w:ascii="Times New Roman" w:hAnsi="Times New Roman" w:eastAsia="宋体" w:cs="Times New Roman"/>
                <w:i w:val="0"/>
                <w:iCs w:val="0"/>
                <w:color w:val="auto"/>
                <w:kern w:val="0"/>
                <w:sz w:val="21"/>
                <w:szCs w:val="21"/>
                <w:highlight w:val="none"/>
                <w:u w:val="none"/>
                <w:lang w:val="en-US" w:eastAsia="zh-CN" w:bidi="ar"/>
              </w:rPr>
              <w:t>生活垃圾经收集后由环卫部门集中清运；</w:t>
            </w:r>
          </w:p>
          <w:p w14:paraId="40D5FAD7">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⑮隔油池油污定期清掏后收集于废油脂收集桶内委托有资质的单位处置；</w:t>
            </w:r>
          </w:p>
          <w:p w14:paraId="76784B6A">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⑯食堂泔水由建设单位自行收集后交由相关资质单位进行处置；</w:t>
            </w:r>
          </w:p>
          <w:p w14:paraId="5A85300A">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⑰化粪池污泥定期委托环卫部门定期清掏、清运处置；</w:t>
            </w:r>
          </w:p>
          <w:p w14:paraId="26E75476">
            <w:pPr>
              <w:keepNext w:val="0"/>
              <w:keepLines w:val="0"/>
              <w:pageBreakBefore w:val="0"/>
              <w:kinsoku/>
              <w:overflowPunct/>
              <w:topLinePunct/>
              <w:autoSpaceDE w:val="0"/>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⑱废润滑油、</w:t>
            </w:r>
            <w:r>
              <w:rPr>
                <w:rFonts w:hint="eastAsia" w:cs="Times New Roman"/>
                <w:color w:val="auto"/>
                <w:sz w:val="21"/>
                <w:szCs w:val="21"/>
                <w:highlight w:val="none"/>
                <w:lang w:val="en-US" w:eastAsia="zh-CN"/>
              </w:rPr>
              <w:t>废油桶、</w:t>
            </w:r>
            <w:r>
              <w:rPr>
                <w:rFonts w:hint="default" w:ascii="Times New Roman" w:hAnsi="Times New Roman" w:eastAsia="宋体" w:cs="Times New Roman"/>
                <w:color w:val="auto"/>
                <w:sz w:val="21"/>
                <w:szCs w:val="21"/>
                <w:highlight w:val="none"/>
                <w:lang w:val="en-US" w:eastAsia="zh-CN"/>
              </w:rPr>
              <w:t>废活性炭</w:t>
            </w:r>
            <w:r>
              <w:rPr>
                <w:rFonts w:hint="eastAsia" w:cs="Times New Roman"/>
                <w:color w:val="auto"/>
                <w:sz w:val="21"/>
                <w:szCs w:val="21"/>
                <w:highlight w:val="none"/>
                <w:lang w:val="en-US" w:eastAsia="zh-CN"/>
              </w:rPr>
              <w:t>及废化学品包装物</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eastAsia="zh-CN"/>
              </w:rPr>
              <w:t>经收集后</w:t>
            </w:r>
            <w:r>
              <w:rPr>
                <w:rFonts w:hint="default" w:ascii="Times New Roman" w:hAnsi="Times New Roman" w:eastAsia="宋体" w:cs="Times New Roman"/>
                <w:bCs/>
                <w:color w:val="auto"/>
                <w:sz w:val="21"/>
                <w:szCs w:val="21"/>
                <w:highlight w:val="none"/>
              </w:rPr>
              <w:t>暂存于</w:t>
            </w:r>
            <w:r>
              <w:rPr>
                <w:rFonts w:hint="eastAsia" w:cs="Times New Roman"/>
                <w:bCs/>
                <w:color w:val="auto"/>
                <w:sz w:val="21"/>
                <w:szCs w:val="21"/>
                <w:highlight w:val="none"/>
                <w:lang w:eastAsia="zh-CN"/>
              </w:rPr>
              <w:t>危险废物贮存库</w:t>
            </w:r>
            <w:r>
              <w:rPr>
                <w:rFonts w:hint="default" w:ascii="Times New Roman" w:hAnsi="Times New Roman" w:eastAsia="宋体" w:cs="Times New Roman"/>
                <w:bCs/>
                <w:color w:val="auto"/>
                <w:sz w:val="21"/>
                <w:szCs w:val="21"/>
                <w:highlight w:val="none"/>
              </w:rPr>
              <w:t>内，</w:t>
            </w:r>
            <w:r>
              <w:rPr>
                <w:rFonts w:hint="default" w:ascii="Times New Roman" w:hAnsi="Times New Roman" w:eastAsia="宋体" w:cs="Times New Roman"/>
                <w:color w:val="auto"/>
                <w:sz w:val="21"/>
                <w:szCs w:val="21"/>
                <w:highlight w:val="none"/>
              </w:rPr>
              <w:t>定期委托有资质的单位</w:t>
            </w:r>
            <w:r>
              <w:rPr>
                <w:rFonts w:hint="default" w:ascii="Times New Roman" w:hAnsi="Times New Roman" w:eastAsia="宋体" w:cs="Times New Roman"/>
                <w:bCs/>
                <w:color w:val="auto"/>
                <w:sz w:val="21"/>
                <w:szCs w:val="21"/>
                <w:highlight w:val="none"/>
              </w:rPr>
              <w:t>清运处置</w:t>
            </w:r>
            <w:r>
              <w:rPr>
                <w:rFonts w:hint="eastAsia" w:cs="Times New Roman"/>
                <w:bCs/>
                <w:color w:val="auto"/>
                <w:sz w:val="21"/>
                <w:szCs w:val="21"/>
                <w:highlight w:val="none"/>
                <w:lang w:eastAsia="zh-CN"/>
              </w:rPr>
              <w:t>，</w:t>
            </w:r>
            <w:r>
              <w:rPr>
                <w:rFonts w:hint="eastAsia" w:ascii="Times New Roman" w:hAnsi="Times New Roman" w:eastAsia="宋体" w:cs="Times New Roman"/>
                <w:color w:val="auto"/>
                <w:spacing w:val="-1"/>
                <w:sz w:val="21"/>
                <w:szCs w:val="21"/>
                <w:highlight w:val="none"/>
                <w:lang w:val="en-US" w:eastAsia="zh-CN"/>
              </w:rPr>
              <w:t>与曲靖同磊再生资源回收有限公司签订危险废物处置合同</w:t>
            </w:r>
            <w:r>
              <w:rPr>
                <w:rFonts w:hint="default" w:ascii="Times New Roman" w:hAnsi="Times New Roman" w:eastAsia="宋体" w:cs="Times New Roman"/>
                <w:bCs/>
                <w:color w:val="auto"/>
                <w:sz w:val="21"/>
                <w:szCs w:val="21"/>
                <w:highlight w:val="none"/>
                <w:lang w:eastAsia="zh-CN"/>
              </w:rPr>
              <w:t>。</w:t>
            </w:r>
          </w:p>
        </w:tc>
      </w:tr>
      <w:tr w14:paraId="46322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472C61BE">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土壤及地下水污染防治措施</w:t>
            </w:r>
          </w:p>
        </w:tc>
        <w:tc>
          <w:tcPr>
            <w:tcW w:w="7864" w:type="dxa"/>
            <w:gridSpan w:val="4"/>
            <w:vAlign w:val="center"/>
          </w:tcPr>
          <w:p w14:paraId="607DF620">
            <w:pPr>
              <w:keepNext w:val="0"/>
              <w:keepLines w:val="0"/>
              <w:pageBreakBefore w:val="0"/>
              <w:widowControl w:val="0"/>
              <w:kinsoku/>
              <w:wordWrap/>
              <w:overflowPunct/>
              <w:topLinePunct/>
              <w:autoSpaceDE w:val="0"/>
              <w:autoSpaceDN/>
              <w:bidi w:val="0"/>
              <w:adjustRightInd/>
              <w:snapToGrid/>
              <w:spacing w:line="240" w:lineRule="auto"/>
              <w:ind w:left="0"/>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（1）</w:t>
            </w:r>
            <w:r>
              <w:rPr>
                <w:rFonts w:hint="eastAsia" w:cs="Times New Roman"/>
                <w:strike w:val="0"/>
                <w:dstrike w:val="0"/>
                <w:color w:val="auto"/>
                <w:sz w:val="21"/>
                <w:szCs w:val="21"/>
                <w:highlight w:val="none"/>
                <w:lang w:val="en-US" w:eastAsia="zh-CN"/>
              </w:rPr>
              <w:t>危险废物贮存库</w:t>
            </w:r>
            <w:r>
              <w:rPr>
                <w:rFonts w:hint="default" w:ascii="Times New Roman" w:hAnsi="Times New Roman" w:eastAsia="宋体" w:cs="Times New Roman"/>
                <w:strike w:val="0"/>
                <w:dstrike w:val="0"/>
                <w:color w:val="auto"/>
                <w:sz w:val="21"/>
                <w:szCs w:val="21"/>
                <w:highlight w:val="none"/>
                <w:lang w:val="en-US" w:eastAsia="zh-CN"/>
              </w:rPr>
              <w:t>、碱库进行重点防渗，</w:t>
            </w:r>
            <w:r>
              <w:rPr>
                <w:rFonts w:hint="eastAsia" w:cs="Times New Roman"/>
                <w:strike w:val="0"/>
                <w:dstrike w:val="0"/>
                <w:color w:val="auto"/>
                <w:sz w:val="21"/>
                <w:szCs w:val="21"/>
                <w:highlight w:val="none"/>
                <w:lang w:val="en-US" w:eastAsia="zh-CN"/>
              </w:rPr>
              <w:t>危险废物贮存库</w:t>
            </w:r>
            <w:r>
              <w:rPr>
                <w:rFonts w:hint="default" w:ascii="Times New Roman" w:hAnsi="Times New Roman" w:eastAsia="宋体" w:cs="Times New Roman"/>
                <w:strike w:val="0"/>
                <w:dstrike w:val="0"/>
                <w:color w:val="auto"/>
                <w:sz w:val="21"/>
                <w:szCs w:val="21"/>
                <w:highlight w:val="none"/>
                <w:lang w:val="en-US" w:eastAsia="zh-CN"/>
              </w:rPr>
              <w:t>按照《危险废物贮存污染控制标准》（GB18597-2023）的要求进行防渗设计，基础必须防渗，</w:t>
            </w:r>
            <w:r>
              <w:rPr>
                <w:rFonts w:hint="default" w:ascii="Times New Roman" w:hAnsi="Times New Roman" w:eastAsia="宋体" w:cs="Times New Roman"/>
                <w:strike w:val="0"/>
                <w:dstrike w:val="0"/>
                <w:color w:val="auto"/>
                <w:sz w:val="21"/>
                <w:szCs w:val="21"/>
                <w:highlight w:val="none"/>
              </w:rPr>
              <w:t>防渗层为至少1m厚黏土层（渗透系数≤10</w:t>
            </w:r>
            <w:r>
              <w:rPr>
                <w:rFonts w:hint="default" w:ascii="Times New Roman" w:hAnsi="Times New Roman" w:eastAsia="宋体" w:cs="Times New Roman"/>
                <w:strike w:val="0"/>
                <w:dstrike w:val="0"/>
                <w:color w:val="auto"/>
                <w:sz w:val="21"/>
                <w:szCs w:val="21"/>
                <w:highlight w:val="none"/>
                <w:vertAlign w:val="superscript"/>
                <w:lang w:val="en-US" w:eastAsia="zh-CN"/>
              </w:rPr>
              <w:t>-</w:t>
            </w:r>
            <w:r>
              <w:rPr>
                <w:rFonts w:hint="default" w:ascii="Times New Roman" w:hAnsi="Times New Roman" w:eastAsia="宋体" w:cs="Times New Roman"/>
                <w:strike w:val="0"/>
                <w:dstrike w:val="0"/>
                <w:color w:val="auto"/>
                <w:sz w:val="21"/>
                <w:szCs w:val="21"/>
                <w:highlight w:val="none"/>
                <w:vertAlign w:val="superscript"/>
              </w:rPr>
              <w:t>7</w:t>
            </w:r>
            <w:r>
              <w:rPr>
                <w:rFonts w:hint="default" w:ascii="Times New Roman" w:hAnsi="Times New Roman" w:eastAsia="宋体" w:cs="Times New Roman"/>
                <w:strike w:val="0"/>
                <w:dstrike w:val="0"/>
                <w:color w:val="auto"/>
                <w:sz w:val="21"/>
                <w:szCs w:val="21"/>
                <w:highlight w:val="none"/>
              </w:rPr>
              <w:t>cm/s），或至少2mm厚高密度聚乙烯</w:t>
            </w:r>
            <w:r>
              <w:rPr>
                <w:rFonts w:hint="default" w:ascii="Times New Roman" w:hAnsi="Times New Roman" w:eastAsia="宋体" w:cs="Times New Roman"/>
                <w:strike w:val="0"/>
                <w:dstrike w:val="0"/>
                <w:color w:val="auto"/>
                <w:sz w:val="21"/>
                <w:szCs w:val="21"/>
                <w:highlight w:val="none"/>
                <w:lang w:val="en-US" w:eastAsia="zh-CN"/>
              </w:rPr>
              <w:t>膜等</w:t>
            </w:r>
            <w:r>
              <w:rPr>
                <w:rFonts w:hint="default" w:ascii="Times New Roman" w:hAnsi="Times New Roman" w:eastAsia="宋体" w:cs="Times New Roman"/>
                <w:strike w:val="0"/>
                <w:dstrike w:val="0"/>
                <w:color w:val="auto"/>
                <w:sz w:val="21"/>
                <w:szCs w:val="21"/>
                <w:highlight w:val="none"/>
              </w:rPr>
              <w:t>人工</w:t>
            </w:r>
            <w:r>
              <w:rPr>
                <w:rFonts w:hint="default" w:ascii="Times New Roman" w:hAnsi="Times New Roman" w:eastAsia="宋体" w:cs="Times New Roman"/>
                <w:strike w:val="0"/>
                <w:dstrike w:val="0"/>
                <w:color w:val="auto"/>
                <w:sz w:val="21"/>
                <w:szCs w:val="21"/>
                <w:highlight w:val="none"/>
                <w:lang w:val="en-US" w:eastAsia="zh-CN"/>
              </w:rPr>
              <w:t>防渗</w:t>
            </w:r>
            <w:r>
              <w:rPr>
                <w:rFonts w:hint="default" w:ascii="Times New Roman" w:hAnsi="Times New Roman" w:eastAsia="宋体" w:cs="Times New Roman"/>
                <w:strike w:val="0"/>
                <w:dstrike w:val="0"/>
                <w:color w:val="auto"/>
                <w:sz w:val="21"/>
                <w:szCs w:val="21"/>
                <w:highlight w:val="none"/>
              </w:rPr>
              <w:t>材料</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渗透系数≤10</w:t>
            </w:r>
            <w:r>
              <w:rPr>
                <w:rFonts w:hint="default" w:ascii="Times New Roman" w:hAnsi="Times New Roman" w:eastAsia="宋体" w:cs="Times New Roman"/>
                <w:strike w:val="0"/>
                <w:dstrike w:val="0"/>
                <w:color w:val="auto"/>
                <w:sz w:val="21"/>
                <w:szCs w:val="21"/>
                <w:highlight w:val="none"/>
                <w:vertAlign w:val="superscript"/>
                <w:lang w:val="en-US" w:eastAsia="zh-CN"/>
              </w:rPr>
              <w:t>-</w:t>
            </w:r>
            <w:r>
              <w:rPr>
                <w:rFonts w:hint="default" w:ascii="Times New Roman" w:hAnsi="Times New Roman" w:eastAsia="宋体" w:cs="Times New Roman"/>
                <w:strike w:val="0"/>
                <w:dstrike w:val="0"/>
                <w:color w:val="auto"/>
                <w:sz w:val="21"/>
                <w:szCs w:val="21"/>
                <w:highlight w:val="none"/>
                <w:vertAlign w:val="superscript"/>
              </w:rPr>
              <w:t>10</w:t>
            </w:r>
            <w:r>
              <w:rPr>
                <w:rFonts w:hint="default" w:ascii="Times New Roman" w:hAnsi="Times New Roman" w:eastAsia="宋体" w:cs="Times New Roman"/>
                <w:strike w:val="0"/>
                <w:dstrike w:val="0"/>
                <w:color w:val="auto"/>
                <w:sz w:val="21"/>
                <w:szCs w:val="21"/>
                <w:highlight w:val="none"/>
              </w:rPr>
              <w:t>cm/s</w:t>
            </w:r>
            <w:r>
              <w:rPr>
                <w:rFonts w:hint="default" w:ascii="Times New Roman" w:hAnsi="Times New Roman" w:eastAsia="宋体" w:cs="Times New Roman"/>
                <w:strike w:val="0"/>
                <w:dstrike w:val="0"/>
                <w:color w:val="auto"/>
                <w:sz w:val="21"/>
                <w:szCs w:val="21"/>
                <w:highlight w:val="none"/>
                <w:lang w:eastAsia="zh-CN"/>
              </w:rPr>
              <w:t>）</w:t>
            </w:r>
            <w:r>
              <w:rPr>
                <w:rFonts w:hint="default" w:ascii="Times New Roman" w:hAnsi="Times New Roman" w:eastAsia="宋体" w:cs="Times New Roman"/>
                <w:strike w:val="0"/>
                <w:dstrike w:val="0"/>
                <w:color w:val="auto"/>
                <w:sz w:val="21"/>
                <w:szCs w:val="21"/>
                <w:highlight w:val="none"/>
              </w:rPr>
              <w:t>，或</w:t>
            </w:r>
            <w:r>
              <w:rPr>
                <w:rFonts w:hint="default" w:ascii="Times New Roman" w:hAnsi="Times New Roman" w:eastAsia="宋体" w:cs="Times New Roman"/>
                <w:strike w:val="0"/>
                <w:dstrike w:val="0"/>
                <w:color w:val="auto"/>
                <w:sz w:val="21"/>
                <w:szCs w:val="21"/>
                <w:highlight w:val="none"/>
                <w:lang w:val="en-US" w:eastAsia="zh-CN"/>
              </w:rPr>
              <w:t>其他防渗性能等效的</w:t>
            </w:r>
            <w:r>
              <w:rPr>
                <w:rFonts w:hint="default" w:ascii="Times New Roman" w:hAnsi="Times New Roman" w:eastAsia="宋体" w:cs="Times New Roman"/>
                <w:strike w:val="0"/>
                <w:dstrike w:val="0"/>
                <w:color w:val="auto"/>
                <w:sz w:val="21"/>
                <w:szCs w:val="21"/>
                <w:highlight w:val="none"/>
              </w:rPr>
              <w:t>材料；</w:t>
            </w:r>
            <w:r>
              <w:rPr>
                <w:rFonts w:hint="default" w:ascii="Times New Roman" w:hAnsi="Times New Roman" w:eastAsia="宋体" w:cs="Times New Roman"/>
                <w:strike w:val="0"/>
                <w:dstrike w:val="0"/>
                <w:color w:val="auto"/>
                <w:sz w:val="21"/>
                <w:szCs w:val="21"/>
                <w:highlight w:val="none"/>
                <w:lang w:val="en-US" w:eastAsia="zh-CN"/>
              </w:rPr>
              <w:t>碱库按《环境影响评价技术导则-地下水环境》（HJ610-2016）中重点防渗区的防渗要求进行防渗设计，防渗层至少为6.0m厚黏土层，渗透系数≤10×10</w:t>
            </w:r>
            <w:r>
              <w:rPr>
                <w:rFonts w:hint="default" w:ascii="Times New Roman" w:hAnsi="Times New Roman" w:eastAsia="宋体" w:cs="Times New Roman"/>
                <w:strike w:val="0"/>
                <w:dstrike w:val="0"/>
                <w:color w:val="auto"/>
                <w:sz w:val="21"/>
                <w:szCs w:val="21"/>
                <w:highlight w:val="none"/>
                <w:vertAlign w:val="superscript"/>
                <w:lang w:val="en-US" w:eastAsia="zh-CN"/>
              </w:rPr>
              <w:t>-7</w:t>
            </w:r>
            <w:r>
              <w:rPr>
                <w:rFonts w:hint="default" w:ascii="Times New Roman" w:hAnsi="Times New Roman" w:eastAsia="宋体" w:cs="Times New Roman"/>
                <w:strike w:val="0"/>
                <w:dstrike w:val="0"/>
                <w:color w:val="auto"/>
                <w:sz w:val="21"/>
                <w:szCs w:val="21"/>
                <w:highlight w:val="none"/>
                <w:lang w:val="en-US" w:eastAsia="zh-CN"/>
              </w:rPr>
              <w:t>cm/s进行设计。</w:t>
            </w:r>
          </w:p>
          <w:p w14:paraId="70D09B6C">
            <w:pPr>
              <w:keepNext w:val="0"/>
              <w:keepLines w:val="0"/>
              <w:pageBreakBefore w:val="0"/>
              <w:widowControl w:val="0"/>
              <w:kinsoku/>
              <w:wordWrap/>
              <w:overflowPunct/>
              <w:topLinePunct/>
              <w:autoSpaceDE w:val="0"/>
              <w:autoSpaceDN/>
              <w:bidi w:val="0"/>
              <w:adjustRightInd/>
              <w:snapToGrid/>
              <w:spacing w:line="240" w:lineRule="auto"/>
              <w:ind w:left="0"/>
              <w:textAlignment w:val="auto"/>
              <w:rPr>
                <w:rFonts w:hint="default" w:ascii="Times New Roman" w:hAnsi="Times New Roman" w:eastAsia="宋体" w:cs="Times New Roman"/>
                <w:strike w:val="0"/>
                <w:dstrike w:val="0"/>
                <w:color w:val="auto"/>
                <w:sz w:val="21"/>
                <w:szCs w:val="21"/>
                <w:highlight w:val="none"/>
                <w:lang w:val="en-US" w:eastAsia="zh-CN"/>
              </w:rPr>
            </w:pPr>
            <w:r>
              <w:rPr>
                <w:rFonts w:hint="default" w:ascii="Times New Roman" w:hAnsi="Times New Roman" w:eastAsia="宋体" w:cs="Times New Roman"/>
                <w:strike w:val="0"/>
                <w:dstrike w:val="0"/>
                <w:color w:val="auto"/>
                <w:spacing w:val="7"/>
                <w:position w:val="1"/>
                <w:sz w:val="21"/>
                <w:szCs w:val="21"/>
                <w:highlight w:val="none"/>
                <w:lang w:eastAsia="zh-CN"/>
              </w:rPr>
              <w:t>（</w:t>
            </w:r>
            <w:r>
              <w:rPr>
                <w:rFonts w:hint="default" w:ascii="Times New Roman" w:hAnsi="Times New Roman" w:eastAsia="宋体" w:cs="Times New Roman"/>
                <w:strike w:val="0"/>
                <w:dstrike w:val="0"/>
                <w:color w:val="auto"/>
                <w:spacing w:val="7"/>
                <w:position w:val="1"/>
                <w:sz w:val="21"/>
                <w:szCs w:val="21"/>
                <w:highlight w:val="none"/>
                <w:lang w:val="en-US" w:eastAsia="zh-CN"/>
              </w:rPr>
              <w:t>2</w:t>
            </w:r>
            <w:r>
              <w:rPr>
                <w:rFonts w:hint="default" w:ascii="Times New Roman" w:hAnsi="Times New Roman" w:eastAsia="宋体" w:cs="Times New Roman"/>
                <w:strike w:val="0"/>
                <w:dstrike w:val="0"/>
                <w:color w:val="auto"/>
                <w:spacing w:val="7"/>
                <w:position w:val="1"/>
                <w:sz w:val="21"/>
                <w:szCs w:val="21"/>
                <w:highlight w:val="none"/>
                <w:lang w:eastAsia="zh-CN"/>
              </w:rPr>
              <w:t>）</w:t>
            </w:r>
            <w:r>
              <w:rPr>
                <w:rFonts w:hint="default" w:ascii="Times New Roman" w:hAnsi="Times New Roman" w:eastAsia="宋体" w:cs="Times New Roman"/>
                <w:strike w:val="0"/>
                <w:dstrike w:val="0"/>
                <w:color w:val="auto"/>
                <w:spacing w:val="-4"/>
                <w:sz w:val="21"/>
                <w:szCs w:val="21"/>
                <w:highlight w:val="none"/>
              </w:rPr>
              <w:t>生产废水处理设施</w:t>
            </w:r>
            <w:r>
              <w:rPr>
                <w:rFonts w:hint="default" w:ascii="Times New Roman" w:hAnsi="Times New Roman" w:eastAsia="宋体" w:cs="Times New Roman"/>
                <w:strike w:val="0"/>
                <w:dstrike w:val="0"/>
                <w:color w:val="auto"/>
                <w:sz w:val="21"/>
                <w:szCs w:val="21"/>
                <w:highlight w:val="none"/>
                <w:lang w:val="en-US" w:eastAsia="zh-CN"/>
              </w:rPr>
              <w:t>、</w:t>
            </w:r>
            <w:r>
              <w:rPr>
                <w:rFonts w:hint="default" w:ascii="Times New Roman" w:hAnsi="Times New Roman" w:eastAsia="宋体" w:cs="Times New Roman"/>
                <w:strike w:val="0"/>
                <w:dstrike w:val="0"/>
                <w:color w:val="auto"/>
                <w:spacing w:val="9"/>
                <w:position w:val="1"/>
                <w:sz w:val="21"/>
                <w:szCs w:val="21"/>
                <w:highlight w:val="none"/>
                <w:lang w:val="en-US" w:eastAsia="zh-CN"/>
              </w:rPr>
              <w:t>原料库</w:t>
            </w:r>
            <w:r>
              <w:rPr>
                <w:rFonts w:hint="default" w:ascii="Times New Roman" w:hAnsi="Times New Roman" w:eastAsia="宋体" w:cs="Times New Roman"/>
                <w:strike w:val="0"/>
                <w:dstrike w:val="0"/>
                <w:color w:val="auto"/>
                <w:spacing w:val="9"/>
                <w:position w:val="1"/>
                <w:sz w:val="21"/>
                <w:szCs w:val="21"/>
                <w:highlight w:val="none"/>
              </w:rPr>
              <w:t>、</w:t>
            </w:r>
            <w:r>
              <w:rPr>
                <w:rFonts w:hint="default" w:ascii="Times New Roman" w:hAnsi="Times New Roman" w:eastAsia="宋体" w:cs="Times New Roman"/>
                <w:strike w:val="0"/>
                <w:dstrike w:val="0"/>
                <w:color w:val="auto"/>
                <w:spacing w:val="9"/>
                <w:position w:val="1"/>
                <w:sz w:val="21"/>
                <w:szCs w:val="21"/>
                <w:highlight w:val="none"/>
                <w:lang w:val="en-US" w:eastAsia="zh-CN"/>
              </w:rPr>
              <w:t>辅料库</w:t>
            </w:r>
            <w:r>
              <w:rPr>
                <w:rFonts w:hint="default" w:ascii="Times New Roman" w:hAnsi="Times New Roman" w:eastAsia="宋体" w:cs="Times New Roman"/>
                <w:strike w:val="0"/>
                <w:dstrike w:val="0"/>
                <w:color w:val="auto"/>
                <w:sz w:val="21"/>
                <w:szCs w:val="21"/>
                <w:highlight w:val="none"/>
                <w:lang w:val="en-US" w:eastAsia="zh-CN"/>
              </w:rPr>
              <w:t>、</w:t>
            </w:r>
            <w:r>
              <w:rPr>
                <w:rFonts w:hint="default" w:ascii="Times New Roman" w:hAnsi="Times New Roman" w:eastAsia="宋体" w:cs="Times New Roman"/>
                <w:strike w:val="0"/>
                <w:dstrike w:val="0"/>
                <w:color w:val="auto"/>
                <w:spacing w:val="7"/>
                <w:position w:val="1"/>
                <w:sz w:val="21"/>
                <w:szCs w:val="21"/>
                <w:highlight w:val="none"/>
              </w:rPr>
              <w:t>生活污水处理设施区域</w:t>
            </w:r>
            <w:r>
              <w:rPr>
                <w:rFonts w:hint="default" w:ascii="Times New Roman" w:hAnsi="Times New Roman" w:eastAsia="宋体" w:cs="Times New Roman"/>
                <w:strike w:val="0"/>
                <w:dstrike w:val="0"/>
                <w:color w:val="auto"/>
                <w:spacing w:val="7"/>
                <w:position w:val="1"/>
                <w:sz w:val="21"/>
                <w:szCs w:val="21"/>
                <w:highlight w:val="none"/>
                <w:lang w:eastAsia="zh-CN"/>
              </w:rPr>
              <w:t>（</w:t>
            </w:r>
            <w:r>
              <w:rPr>
                <w:rFonts w:hint="default" w:ascii="Times New Roman" w:hAnsi="Times New Roman" w:eastAsia="宋体" w:cs="Times New Roman"/>
                <w:strike w:val="0"/>
                <w:dstrike w:val="0"/>
                <w:color w:val="auto"/>
                <w:spacing w:val="7"/>
                <w:position w:val="1"/>
                <w:sz w:val="21"/>
                <w:szCs w:val="21"/>
                <w:highlight w:val="none"/>
                <w:lang w:val="en-US" w:eastAsia="zh-CN"/>
              </w:rPr>
              <w:t>隔油池、化粪池</w:t>
            </w:r>
            <w:r>
              <w:rPr>
                <w:rFonts w:hint="default" w:ascii="Times New Roman" w:hAnsi="Times New Roman" w:eastAsia="宋体" w:cs="Times New Roman"/>
                <w:strike w:val="0"/>
                <w:dstrike w:val="0"/>
                <w:color w:val="auto"/>
                <w:spacing w:val="7"/>
                <w:position w:val="1"/>
                <w:sz w:val="21"/>
                <w:szCs w:val="21"/>
                <w:highlight w:val="none"/>
                <w:lang w:eastAsia="zh-CN"/>
              </w:rPr>
              <w:t>）</w:t>
            </w:r>
            <w:r>
              <w:rPr>
                <w:rFonts w:hint="default" w:ascii="Times New Roman" w:hAnsi="Times New Roman" w:eastAsia="宋体" w:cs="Times New Roman"/>
                <w:strike w:val="0"/>
                <w:dstrike w:val="0"/>
                <w:color w:val="auto"/>
                <w:spacing w:val="9"/>
                <w:position w:val="1"/>
                <w:sz w:val="21"/>
                <w:szCs w:val="21"/>
                <w:highlight w:val="none"/>
              </w:rPr>
              <w:t>等</w:t>
            </w:r>
            <w:r>
              <w:rPr>
                <w:rFonts w:hint="default" w:ascii="Times New Roman" w:hAnsi="Times New Roman" w:eastAsia="宋体" w:cs="Times New Roman"/>
                <w:strike w:val="0"/>
                <w:dstrike w:val="0"/>
                <w:color w:val="auto"/>
                <w:sz w:val="21"/>
                <w:szCs w:val="21"/>
                <w:highlight w:val="none"/>
                <w:lang w:val="en-US" w:eastAsia="zh-CN"/>
              </w:rPr>
              <w:t>进行一般防渗，按《环境影响评价技术导则-地下水环境》（HJ610-2016）中一般防渗区的防渗要求进行防渗设计，防渗层至少为1.5m厚黏土层，渗透系数≤10×10</w:t>
            </w:r>
            <w:r>
              <w:rPr>
                <w:rFonts w:hint="default" w:ascii="Times New Roman" w:hAnsi="Times New Roman" w:eastAsia="宋体" w:cs="Times New Roman"/>
                <w:strike w:val="0"/>
                <w:dstrike w:val="0"/>
                <w:color w:val="auto"/>
                <w:sz w:val="21"/>
                <w:szCs w:val="21"/>
                <w:highlight w:val="none"/>
                <w:vertAlign w:val="superscript"/>
                <w:lang w:val="en-US" w:eastAsia="zh-CN"/>
              </w:rPr>
              <w:t>-7</w:t>
            </w:r>
            <w:r>
              <w:rPr>
                <w:rFonts w:hint="default" w:ascii="Times New Roman" w:hAnsi="Times New Roman" w:eastAsia="宋体" w:cs="Times New Roman"/>
                <w:strike w:val="0"/>
                <w:dstrike w:val="0"/>
                <w:color w:val="auto"/>
                <w:sz w:val="21"/>
                <w:szCs w:val="21"/>
                <w:highlight w:val="none"/>
                <w:lang w:val="en-US" w:eastAsia="zh-CN"/>
              </w:rPr>
              <w:t>cm/s进行设计。</w:t>
            </w:r>
          </w:p>
          <w:p w14:paraId="0918910B">
            <w:pPr>
              <w:keepNext w:val="0"/>
              <w:keepLines w:val="0"/>
              <w:pageBreakBefore w:val="0"/>
              <w:kinsoku/>
              <w:overflowPunct/>
              <w:topLinePunct/>
              <w:autoSpaceDE w:val="0"/>
              <w:bidi w:val="0"/>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lang w:val="en-US" w:eastAsia="zh-CN"/>
              </w:rPr>
              <w:t>（3）简单防渗措施：综合楼、宿舍</w:t>
            </w:r>
            <w:r>
              <w:rPr>
                <w:rFonts w:hint="eastAsia" w:cs="Times New Roman"/>
                <w:strike w:val="0"/>
                <w:dstrike w:val="0"/>
                <w:color w:val="auto"/>
                <w:sz w:val="21"/>
                <w:szCs w:val="21"/>
                <w:highlight w:val="none"/>
                <w:lang w:val="en-US" w:eastAsia="zh-CN"/>
              </w:rPr>
              <w:t>楼</w:t>
            </w:r>
            <w:r>
              <w:rPr>
                <w:rFonts w:hint="default" w:ascii="Times New Roman" w:hAnsi="Times New Roman" w:eastAsia="宋体" w:cs="Times New Roman"/>
                <w:strike w:val="0"/>
                <w:dstrike w:val="0"/>
                <w:color w:val="auto"/>
                <w:spacing w:val="7"/>
                <w:position w:val="1"/>
                <w:sz w:val="21"/>
                <w:szCs w:val="21"/>
                <w:highlight w:val="none"/>
              </w:rPr>
              <w:t>、生</w:t>
            </w:r>
            <w:r>
              <w:rPr>
                <w:rFonts w:hint="default" w:ascii="Times New Roman" w:hAnsi="Times New Roman" w:eastAsia="宋体" w:cs="Times New Roman"/>
                <w:strike w:val="0"/>
                <w:dstrike w:val="0"/>
                <w:color w:val="auto"/>
                <w:spacing w:val="9"/>
                <w:position w:val="1"/>
                <w:sz w:val="21"/>
                <w:szCs w:val="21"/>
                <w:highlight w:val="none"/>
              </w:rPr>
              <w:t>产</w:t>
            </w:r>
            <w:r>
              <w:rPr>
                <w:rFonts w:hint="default" w:ascii="Times New Roman" w:hAnsi="Times New Roman" w:eastAsia="宋体" w:cs="Times New Roman"/>
                <w:strike w:val="0"/>
                <w:dstrike w:val="0"/>
                <w:color w:val="auto"/>
                <w:spacing w:val="9"/>
                <w:position w:val="1"/>
                <w:sz w:val="21"/>
                <w:szCs w:val="21"/>
                <w:highlight w:val="none"/>
                <w:lang w:val="en-US" w:eastAsia="zh-CN"/>
              </w:rPr>
              <w:t>厂房</w:t>
            </w:r>
            <w:r>
              <w:rPr>
                <w:rFonts w:hint="default" w:ascii="Times New Roman" w:hAnsi="Times New Roman" w:eastAsia="宋体" w:cs="Times New Roman"/>
                <w:strike w:val="0"/>
                <w:dstrike w:val="0"/>
                <w:color w:val="auto"/>
                <w:spacing w:val="9"/>
                <w:position w:val="1"/>
                <w:sz w:val="21"/>
                <w:szCs w:val="21"/>
                <w:highlight w:val="none"/>
              </w:rPr>
              <w:t>、</w:t>
            </w:r>
            <w:r>
              <w:rPr>
                <w:rFonts w:hint="default" w:ascii="Times New Roman" w:hAnsi="Times New Roman" w:eastAsia="宋体" w:cs="Times New Roman"/>
                <w:strike w:val="0"/>
                <w:dstrike w:val="0"/>
                <w:color w:val="auto"/>
                <w:spacing w:val="9"/>
                <w:position w:val="1"/>
                <w:sz w:val="21"/>
                <w:szCs w:val="21"/>
                <w:highlight w:val="none"/>
                <w:lang w:val="en-US" w:eastAsia="zh-CN"/>
              </w:rPr>
              <w:t>半成品仓库、成品仓库</w:t>
            </w:r>
            <w:r>
              <w:rPr>
                <w:rFonts w:hint="default" w:ascii="Times New Roman" w:hAnsi="Times New Roman" w:eastAsia="宋体" w:cs="Times New Roman"/>
                <w:strike w:val="0"/>
                <w:dstrike w:val="0"/>
                <w:color w:val="auto"/>
                <w:sz w:val="21"/>
                <w:szCs w:val="21"/>
                <w:highlight w:val="none"/>
                <w:lang w:val="en-US" w:eastAsia="zh-CN"/>
              </w:rPr>
              <w:t>等其他区域采取一般地面硬化措施。</w:t>
            </w:r>
          </w:p>
        </w:tc>
      </w:tr>
      <w:tr w14:paraId="450F7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13D27CE8">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生态保护措施</w:t>
            </w:r>
          </w:p>
        </w:tc>
        <w:tc>
          <w:tcPr>
            <w:tcW w:w="7864" w:type="dxa"/>
            <w:gridSpan w:val="4"/>
            <w:vAlign w:val="center"/>
          </w:tcPr>
          <w:p w14:paraId="50B4982B">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DA65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613DFED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环境风险</w:t>
            </w:r>
          </w:p>
          <w:p w14:paraId="4C416F96">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防范措施</w:t>
            </w:r>
          </w:p>
        </w:tc>
        <w:tc>
          <w:tcPr>
            <w:tcW w:w="7864" w:type="dxa"/>
            <w:gridSpan w:val="4"/>
            <w:vAlign w:val="center"/>
          </w:tcPr>
          <w:p w14:paraId="24D8C5B3">
            <w:pPr>
              <w:keepNext w:val="0"/>
              <w:keepLines w:val="0"/>
              <w:pageBreakBefore w:val="0"/>
              <w:kinsoku/>
              <w:wordWrap/>
              <w:overflowPunct/>
              <w:topLinePunct/>
              <w:autoSpaceDE w:val="0"/>
              <w:autoSpaceDN/>
              <w:bidi w:val="0"/>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rPr>
              <w:t>即上文“环境风险防范措施及应急要求”所述内容</w:t>
            </w:r>
          </w:p>
        </w:tc>
      </w:tr>
      <w:tr w14:paraId="59E87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Align w:val="center"/>
          </w:tcPr>
          <w:p w14:paraId="68ECB4D5">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其他环境</w:t>
            </w:r>
          </w:p>
          <w:p w14:paraId="5B44986C">
            <w:pPr>
              <w:keepNext w:val="0"/>
              <w:keepLines w:val="0"/>
              <w:pageBreakBefore w:val="0"/>
              <w:kinsoku/>
              <w:overflowPunct/>
              <w:topLinePunct/>
              <w:autoSpaceDE w:val="0"/>
              <w:bidi w:val="0"/>
              <w:adjustRightInd w:val="0"/>
              <w:snapToGrid w:val="0"/>
              <w:jc w:val="center"/>
              <w:rPr>
                <w:rFonts w:hint="default" w:ascii="Times New Roman" w:hAnsi="Times New Roman" w:eastAsia="宋体" w:cs="Times New Roman"/>
                <w:b/>
                <w:bCs/>
                <w:color w:val="auto"/>
                <w:spacing w:val="-8"/>
                <w:sz w:val="21"/>
                <w:szCs w:val="21"/>
                <w:highlight w:val="none"/>
              </w:rPr>
            </w:pPr>
            <w:r>
              <w:rPr>
                <w:rFonts w:hint="default" w:ascii="Times New Roman" w:hAnsi="Times New Roman" w:eastAsia="宋体" w:cs="Times New Roman"/>
                <w:b/>
                <w:bCs/>
                <w:color w:val="auto"/>
                <w:spacing w:val="-8"/>
                <w:sz w:val="21"/>
                <w:szCs w:val="21"/>
                <w:highlight w:val="none"/>
              </w:rPr>
              <w:t>管理要求</w:t>
            </w:r>
          </w:p>
        </w:tc>
        <w:tc>
          <w:tcPr>
            <w:tcW w:w="7864" w:type="dxa"/>
            <w:gridSpan w:val="4"/>
            <w:vAlign w:val="center"/>
          </w:tcPr>
          <w:p w14:paraId="34E326D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 xml:space="preserve">环境管理 </w:t>
            </w:r>
          </w:p>
          <w:p w14:paraId="5588586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根据项目情况，项目实施后应设置环境管理机构，并由专人负责。负责项目环境保护的日常工作，环境管理机构职责如下：</w:t>
            </w:r>
          </w:p>
          <w:p w14:paraId="149C13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①贯彻执行国家、省、市的有关环保法律、法规，政策和要求；</w:t>
            </w:r>
          </w:p>
          <w:p w14:paraId="0934A32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②制定项目环境管理制度和各专项环境管理办法，并对其实施情况进行监督、检查；</w:t>
            </w:r>
          </w:p>
          <w:p w14:paraId="29E05D4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③负责处理各种事故排放对环境影响的处理等工作；</w:t>
            </w:r>
          </w:p>
          <w:p w14:paraId="670F489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④搞好环境保护宣传教育，组织环保技术培训、竞赛、评比等工作，提高全体员工环保意识和技能；</w:t>
            </w:r>
          </w:p>
          <w:p w14:paraId="75977B3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⑤负责项目的“三同时”措施的落实、实施工作；</w:t>
            </w:r>
          </w:p>
          <w:p w14:paraId="0C0B206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⑥负责环保资料的收集、汇总、保管、归档工作；</w:t>
            </w:r>
          </w:p>
          <w:p w14:paraId="50EBF00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⑦对主要的环保措施和环保设施的落实和运行情况进行详细记录，同时制定专项规章制度以保证环保设施的正常运行，当环保设施运行不正常时应及时上报主管人员。</w:t>
            </w:r>
          </w:p>
          <w:p w14:paraId="04E384C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排污许可</w:t>
            </w:r>
          </w:p>
          <w:p w14:paraId="09ABB3E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根据《固定污染源排污许可分类管理名录（2019年版）》执行相关排污管理。</w:t>
            </w:r>
          </w:p>
          <w:p w14:paraId="3A95C7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（3）规范化排污口 </w:t>
            </w:r>
          </w:p>
          <w:p w14:paraId="26699CE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据国家标准《环境保护图形标志一排放口（源）》和国家环保局（排污口规范化整治要求（试行））的要求，企业所有排污口（包括水、气、声、渣）必须按照“便于采样、便于计量监测、便于日常现场监督检查”的原则和规范化要求，设置与之相适应的环境保护图形标志牌，绘制企业排污口分布图，排污口要符合规范化的有关要求。</w:t>
            </w:r>
          </w:p>
          <w:p w14:paraId="474562D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竣工验收</w:t>
            </w:r>
          </w:p>
          <w:p w14:paraId="14BE735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根据《建设项目竣工环境保护验收暂行办法》的规定，建设项目竣工后，建设单位应当如实查验、监测、记载建设项目环境保护设施的建设和调试情况，编制验收监测报告</w:t>
            </w:r>
            <w:r>
              <w:rPr>
                <w:rFonts w:hint="default" w:ascii="Times New Roman" w:hAnsi="Times New Roman" w:eastAsia="宋体" w:cs="Times New Roman"/>
                <w:color w:val="auto"/>
                <w:sz w:val="21"/>
                <w:szCs w:val="21"/>
                <w:lang w:eastAsia="zh-CN"/>
              </w:rPr>
              <w:t>。</w:t>
            </w:r>
          </w:p>
          <w:p w14:paraId="1B01B8E4">
            <w:pPr>
              <w:pStyle w:val="28"/>
              <w:rPr>
                <w:rFonts w:hint="default" w:ascii="Times New Roman" w:hAnsi="Times New Roman" w:eastAsia="宋体" w:cs="Times New Roman"/>
                <w:strike w:val="0"/>
                <w:dstrike w:val="0"/>
                <w:color w:val="auto"/>
                <w:sz w:val="21"/>
                <w:szCs w:val="21"/>
                <w:highlight w:val="none"/>
                <w:lang w:eastAsia="zh-CN"/>
              </w:rPr>
            </w:pPr>
          </w:p>
          <w:p w14:paraId="05CB7421">
            <w:pPr>
              <w:pStyle w:val="27"/>
              <w:rPr>
                <w:rFonts w:hint="default" w:ascii="Times New Roman" w:hAnsi="Times New Roman" w:eastAsia="宋体" w:cs="Times New Roman"/>
                <w:strike w:val="0"/>
                <w:dstrike w:val="0"/>
                <w:color w:val="auto"/>
                <w:sz w:val="21"/>
                <w:szCs w:val="21"/>
                <w:highlight w:val="none"/>
                <w:lang w:eastAsia="zh-CN"/>
              </w:rPr>
            </w:pPr>
          </w:p>
          <w:p w14:paraId="51B3E069">
            <w:pPr>
              <w:rPr>
                <w:rFonts w:hint="default" w:ascii="Times New Roman" w:hAnsi="Times New Roman" w:eastAsia="宋体" w:cs="Times New Roman"/>
                <w:strike w:val="0"/>
                <w:dstrike w:val="0"/>
                <w:color w:val="auto"/>
                <w:sz w:val="21"/>
                <w:szCs w:val="21"/>
                <w:highlight w:val="none"/>
                <w:lang w:eastAsia="zh-CN"/>
              </w:rPr>
            </w:pPr>
          </w:p>
          <w:p w14:paraId="07F9BCC8">
            <w:pPr>
              <w:pStyle w:val="2"/>
              <w:rPr>
                <w:rFonts w:hint="default" w:ascii="Times New Roman" w:hAnsi="Times New Roman" w:eastAsia="宋体" w:cs="Times New Roman"/>
                <w:strike w:val="0"/>
                <w:dstrike w:val="0"/>
                <w:color w:val="auto"/>
                <w:sz w:val="21"/>
                <w:szCs w:val="21"/>
                <w:highlight w:val="none"/>
                <w:lang w:eastAsia="zh-CN"/>
              </w:rPr>
            </w:pPr>
          </w:p>
          <w:p w14:paraId="3242C275">
            <w:pPr>
              <w:pStyle w:val="3"/>
              <w:rPr>
                <w:rFonts w:hint="default" w:ascii="Times New Roman" w:hAnsi="Times New Roman" w:eastAsia="宋体" w:cs="Times New Roman"/>
                <w:strike w:val="0"/>
                <w:dstrike w:val="0"/>
                <w:color w:val="auto"/>
                <w:sz w:val="21"/>
                <w:szCs w:val="21"/>
                <w:highlight w:val="none"/>
                <w:lang w:eastAsia="zh-CN"/>
              </w:rPr>
            </w:pPr>
          </w:p>
          <w:p w14:paraId="3F901E01">
            <w:pPr>
              <w:pStyle w:val="3"/>
              <w:rPr>
                <w:rFonts w:hint="default" w:ascii="Times New Roman" w:hAnsi="Times New Roman" w:eastAsia="宋体" w:cs="Times New Roman"/>
                <w:strike w:val="0"/>
                <w:dstrike w:val="0"/>
                <w:color w:val="auto"/>
                <w:sz w:val="21"/>
                <w:szCs w:val="21"/>
                <w:highlight w:val="none"/>
                <w:lang w:eastAsia="zh-CN"/>
              </w:rPr>
            </w:pPr>
          </w:p>
          <w:p w14:paraId="0DA95EB6">
            <w:pPr>
              <w:pStyle w:val="3"/>
              <w:rPr>
                <w:rFonts w:hint="default" w:ascii="Times New Roman" w:hAnsi="Times New Roman" w:eastAsia="宋体" w:cs="Times New Roman"/>
                <w:strike w:val="0"/>
                <w:dstrike w:val="0"/>
                <w:color w:val="auto"/>
                <w:sz w:val="21"/>
                <w:szCs w:val="21"/>
                <w:highlight w:val="none"/>
                <w:lang w:eastAsia="zh-CN"/>
              </w:rPr>
            </w:pPr>
          </w:p>
          <w:p w14:paraId="210BF78B">
            <w:pPr>
              <w:pStyle w:val="3"/>
              <w:rPr>
                <w:rFonts w:hint="default" w:ascii="Times New Roman" w:hAnsi="Times New Roman" w:eastAsia="宋体" w:cs="Times New Roman"/>
                <w:strike w:val="0"/>
                <w:dstrike w:val="0"/>
                <w:color w:val="auto"/>
                <w:sz w:val="21"/>
                <w:szCs w:val="21"/>
                <w:highlight w:val="none"/>
                <w:lang w:eastAsia="zh-CN"/>
              </w:rPr>
            </w:pPr>
          </w:p>
          <w:p w14:paraId="6C53CCFD">
            <w:pPr>
              <w:pStyle w:val="3"/>
              <w:rPr>
                <w:rFonts w:hint="default" w:ascii="Times New Roman" w:hAnsi="Times New Roman" w:eastAsia="宋体" w:cs="Times New Roman"/>
                <w:strike w:val="0"/>
                <w:dstrike w:val="0"/>
                <w:color w:val="auto"/>
                <w:sz w:val="21"/>
                <w:szCs w:val="21"/>
                <w:highlight w:val="none"/>
                <w:lang w:eastAsia="zh-CN"/>
              </w:rPr>
            </w:pPr>
          </w:p>
          <w:p w14:paraId="27CCA6C9">
            <w:pPr>
              <w:pStyle w:val="3"/>
              <w:rPr>
                <w:rFonts w:hint="default" w:ascii="Times New Roman" w:hAnsi="Times New Roman" w:eastAsia="宋体" w:cs="Times New Roman"/>
                <w:strike w:val="0"/>
                <w:dstrike w:val="0"/>
                <w:color w:val="auto"/>
                <w:sz w:val="21"/>
                <w:szCs w:val="21"/>
                <w:highlight w:val="none"/>
                <w:lang w:eastAsia="zh-CN"/>
              </w:rPr>
            </w:pPr>
          </w:p>
          <w:p w14:paraId="3F4B9241">
            <w:pPr>
              <w:pStyle w:val="3"/>
              <w:rPr>
                <w:rFonts w:hint="default" w:ascii="Times New Roman" w:hAnsi="Times New Roman" w:eastAsia="宋体" w:cs="Times New Roman"/>
                <w:strike w:val="0"/>
                <w:dstrike w:val="0"/>
                <w:color w:val="auto"/>
                <w:sz w:val="21"/>
                <w:szCs w:val="21"/>
                <w:highlight w:val="none"/>
                <w:lang w:eastAsia="zh-CN"/>
              </w:rPr>
            </w:pPr>
          </w:p>
          <w:p w14:paraId="68A8EC16">
            <w:pPr>
              <w:pStyle w:val="3"/>
              <w:rPr>
                <w:rFonts w:hint="default" w:ascii="Times New Roman" w:hAnsi="Times New Roman" w:eastAsia="宋体" w:cs="Times New Roman"/>
                <w:strike w:val="0"/>
                <w:dstrike w:val="0"/>
                <w:color w:val="auto"/>
                <w:sz w:val="21"/>
                <w:szCs w:val="21"/>
                <w:highlight w:val="none"/>
                <w:lang w:eastAsia="zh-CN"/>
              </w:rPr>
            </w:pPr>
          </w:p>
          <w:p w14:paraId="100706D8">
            <w:pPr>
              <w:pStyle w:val="3"/>
              <w:rPr>
                <w:rFonts w:hint="default" w:ascii="Times New Roman" w:hAnsi="Times New Roman" w:eastAsia="宋体" w:cs="Times New Roman"/>
                <w:strike w:val="0"/>
                <w:dstrike w:val="0"/>
                <w:color w:val="auto"/>
                <w:sz w:val="21"/>
                <w:szCs w:val="21"/>
                <w:highlight w:val="none"/>
                <w:lang w:eastAsia="zh-CN"/>
              </w:rPr>
            </w:pPr>
          </w:p>
          <w:p w14:paraId="459456A3">
            <w:pPr>
              <w:pStyle w:val="3"/>
              <w:rPr>
                <w:rFonts w:hint="default" w:ascii="Times New Roman" w:hAnsi="Times New Roman" w:eastAsia="宋体" w:cs="Times New Roman"/>
                <w:strike w:val="0"/>
                <w:dstrike w:val="0"/>
                <w:color w:val="auto"/>
                <w:sz w:val="21"/>
                <w:szCs w:val="21"/>
                <w:highlight w:val="none"/>
                <w:lang w:eastAsia="zh-CN"/>
              </w:rPr>
            </w:pPr>
          </w:p>
          <w:p w14:paraId="65E2FD86">
            <w:pPr>
              <w:pStyle w:val="3"/>
              <w:rPr>
                <w:rFonts w:hint="default" w:ascii="Times New Roman" w:hAnsi="Times New Roman" w:eastAsia="宋体" w:cs="Times New Roman"/>
                <w:strike w:val="0"/>
                <w:dstrike w:val="0"/>
                <w:color w:val="auto"/>
                <w:sz w:val="21"/>
                <w:szCs w:val="21"/>
                <w:highlight w:val="none"/>
                <w:lang w:eastAsia="zh-CN"/>
              </w:rPr>
            </w:pPr>
          </w:p>
          <w:p w14:paraId="36847BEE">
            <w:pPr>
              <w:pStyle w:val="3"/>
              <w:rPr>
                <w:rFonts w:hint="default" w:ascii="Times New Roman" w:hAnsi="Times New Roman" w:eastAsia="宋体" w:cs="Times New Roman"/>
                <w:strike w:val="0"/>
                <w:dstrike w:val="0"/>
                <w:color w:val="auto"/>
                <w:sz w:val="21"/>
                <w:szCs w:val="21"/>
                <w:highlight w:val="none"/>
                <w:lang w:eastAsia="zh-CN"/>
              </w:rPr>
            </w:pPr>
          </w:p>
          <w:p w14:paraId="3442936A">
            <w:pPr>
              <w:pStyle w:val="3"/>
              <w:rPr>
                <w:rFonts w:hint="default" w:ascii="Times New Roman" w:hAnsi="Times New Roman" w:eastAsia="宋体" w:cs="Times New Roman"/>
                <w:strike w:val="0"/>
                <w:dstrike w:val="0"/>
                <w:color w:val="auto"/>
                <w:sz w:val="21"/>
                <w:szCs w:val="21"/>
                <w:highlight w:val="none"/>
                <w:lang w:eastAsia="zh-CN"/>
              </w:rPr>
            </w:pPr>
          </w:p>
          <w:p w14:paraId="4EE4C686">
            <w:pPr>
              <w:pStyle w:val="3"/>
              <w:rPr>
                <w:rFonts w:hint="default" w:ascii="Times New Roman" w:hAnsi="Times New Roman" w:eastAsia="宋体" w:cs="Times New Roman"/>
                <w:strike w:val="0"/>
                <w:dstrike w:val="0"/>
                <w:color w:val="auto"/>
                <w:sz w:val="21"/>
                <w:szCs w:val="21"/>
                <w:highlight w:val="none"/>
                <w:lang w:eastAsia="zh-CN"/>
              </w:rPr>
            </w:pPr>
          </w:p>
          <w:p w14:paraId="328CD8EA">
            <w:pPr>
              <w:pStyle w:val="3"/>
              <w:rPr>
                <w:rFonts w:hint="default" w:ascii="Times New Roman" w:hAnsi="Times New Roman" w:eastAsia="宋体" w:cs="Times New Roman"/>
                <w:strike w:val="0"/>
                <w:dstrike w:val="0"/>
                <w:color w:val="auto"/>
                <w:sz w:val="21"/>
                <w:szCs w:val="21"/>
                <w:highlight w:val="none"/>
                <w:lang w:eastAsia="zh-CN"/>
              </w:rPr>
            </w:pPr>
          </w:p>
          <w:p w14:paraId="24EF68EA">
            <w:pPr>
              <w:pStyle w:val="3"/>
              <w:rPr>
                <w:rFonts w:hint="default" w:ascii="Times New Roman" w:hAnsi="Times New Roman" w:eastAsia="宋体" w:cs="Times New Roman"/>
                <w:strike w:val="0"/>
                <w:dstrike w:val="0"/>
                <w:color w:val="auto"/>
                <w:sz w:val="21"/>
                <w:szCs w:val="21"/>
                <w:highlight w:val="none"/>
                <w:lang w:eastAsia="zh-CN"/>
              </w:rPr>
            </w:pPr>
          </w:p>
          <w:p w14:paraId="30FB0F08">
            <w:pPr>
              <w:pStyle w:val="3"/>
              <w:rPr>
                <w:rFonts w:hint="default" w:ascii="Times New Roman" w:hAnsi="Times New Roman" w:eastAsia="宋体" w:cs="Times New Roman"/>
                <w:strike w:val="0"/>
                <w:dstrike w:val="0"/>
                <w:color w:val="auto"/>
                <w:sz w:val="21"/>
                <w:szCs w:val="21"/>
                <w:highlight w:val="none"/>
                <w:lang w:eastAsia="zh-CN"/>
              </w:rPr>
            </w:pPr>
          </w:p>
          <w:p w14:paraId="5E16DF43">
            <w:pPr>
              <w:pStyle w:val="3"/>
              <w:rPr>
                <w:rFonts w:hint="default" w:ascii="Times New Roman" w:hAnsi="Times New Roman" w:eastAsia="宋体" w:cs="Times New Roman"/>
                <w:strike w:val="0"/>
                <w:dstrike w:val="0"/>
                <w:color w:val="auto"/>
                <w:sz w:val="21"/>
                <w:szCs w:val="21"/>
                <w:highlight w:val="none"/>
                <w:lang w:eastAsia="zh-CN"/>
              </w:rPr>
            </w:pPr>
          </w:p>
          <w:p w14:paraId="7175C872">
            <w:pPr>
              <w:pStyle w:val="27"/>
              <w:rPr>
                <w:rFonts w:hint="default" w:ascii="Times New Roman" w:hAnsi="Times New Roman" w:eastAsia="宋体" w:cs="Times New Roman"/>
                <w:color w:val="auto"/>
                <w:sz w:val="21"/>
                <w:szCs w:val="21"/>
                <w:highlight w:val="none"/>
              </w:rPr>
            </w:pPr>
          </w:p>
        </w:tc>
      </w:tr>
    </w:tbl>
    <w:p w14:paraId="75A0C0AC">
      <w:pPr>
        <w:pStyle w:val="26"/>
        <w:keepNext w:val="0"/>
        <w:keepLines w:val="0"/>
        <w:pageBreakBefore w:val="0"/>
        <w:kinsoku/>
        <w:overflowPunct/>
        <w:topLinePunct/>
        <w:autoSpaceDE w:val="0"/>
        <w:bidi w:val="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13" w:name="_Toc17315"/>
      <w:r>
        <w:rPr>
          <w:rFonts w:hint="default" w:ascii="Times New Roman" w:hAnsi="Times New Roman" w:eastAsia="宋体" w:cs="Times New Roman"/>
          <w:b/>
          <w:bCs/>
          <w:snapToGrid w:val="0"/>
          <w:color w:val="auto"/>
          <w:sz w:val="30"/>
          <w:szCs w:val="30"/>
          <w:highlight w:val="none"/>
        </w:rPr>
        <w:t>六、结论</w:t>
      </w:r>
      <w:bookmarkEnd w:id="13"/>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D0C2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6C5424CA">
            <w:pPr>
              <w:keepNext w:val="0"/>
              <w:keepLines w:val="0"/>
              <w:pageBreakBefore w:val="0"/>
              <w:kinsoku/>
              <w:overflowPunct/>
              <w:topLinePunct/>
              <w:autoSpaceDE w:val="0"/>
              <w:bidi w:val="0"/>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本项目的建设符合国家、地方产业政策，以及产业园区等相关规划，不涉及自然保护区、风景名胜区、水源保护区等环境敏感区，本项目符合国家产业政策及相关规划，选址、布局合理可行，项目建设符合玉溪市</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三线一单</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相关规定。在采取环评提出的措施后，项目产生的废气、废水、噪声均可达标排放，固废处置率100%，对当地环境影响较小，符合达标排放、总量控制和不降低当地环境功能的原则要求，符合国家法律法规要求。</w:t>
            </w:r>
          </w:p>
          <w:p w14:paraId="536430F0">
            <w:pPr>
              <w:keepNext w:val="0"/>
              <w:keepLines w:val="0"/>
              <w:pageBreakBefore w:val="0"/>
              <w:kinsoku/>
              <w:overflowPunct/>
              <w:topLinePunct/>
              <w:autoSpaceDE w:val="0"/>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本项目在严格执行环境保护“三同时”制度，严格进行环境管理，保证项目内的废气处理设施及其他环保设施的正常运行，在污染物达标排放的条件下，从环境保护角度论证，本项目的建设是可行的。</w:t>
            </w:r>
          </w:p>
          <w:p w14:paraId="6E2480EA">
            <w:pPr>
              <w:keepNext w:val="0"/>
              <w:keepLines w:val="0"/>
              <w:pageBreakBefore w:val="0"/>
              <w:kinsoku/>
              <w:overflowPunct/>
              <w:topLinePunct/>
              <w:autoSpaceDE w:val="0"/>
              <w:bidi w:val="0"/>
              <w:spacing w:line="360" w:lineRule="auto"/>
              <w:jc w:val="both"/>
              <w:rPr>
                <w:rFonts w:hint="default" w:ascii="Times New Roman" w:hAnsi="Times New Roman" w:eastAsia="宋体" w:cs="Times New Roman"/>
                <w:color w:val="auto"/>
                <w:sz w:val="24"/>
                <w:highlight w:val="none"/>
              </w:rPr>
            </w:pPr>
          </w:p>
          <w:p w14:paraId="7ED49607">
            <w:pPr>
              <w:pStyle w:val="28"/>
              <w:rPr>
                <w:rFonts w:hint="default" w:ascii="Times New Roman" w:hAnsi="Times New Roman" w:eastAsia="宋体" w:cs="Times New Roman"/>
                <w:color w:val="auto"/>
                <w:sz w:val="24"/>
                <w:highlight w:val="none"/>
              </w:rPr>
            </w:pPr>
          </w:p>
          <w:p w14:paraId="560A59B2">
            <w:pPr>
              <w:pStyle w:val="27"/>
              <w:rPr>
                <w:rFonts w:hint="default" w:ascii="Times New Roman" w:hAnsi="Times New Roman" w:eastAsia="宋体" w:cs="Times New Roman"/>
                <w:color w:val="auto"/>
                <w:sz w:val="24"/>
                <w:highlight w:val="none"/>
              </w:rPr>
            </w:pPr>
          </w:p>
          <w:p w14:paraId="5E1B002D">
            <w:pPr>
              <w:rPr>
                <w:rFonts w:hint="default" w:ascii="Times New Roman" w:hAnsi="Times New Roman" w:eastAsia="宋体" w:cs="Times New Roman"/>
                <w:color w:val="auto"/>
              </w:rPr>
            </w:pPr>
          </w:p>
        </w:tc>
      </w:tr>
    </w:tbl>
    <w:p w14:paraId="57937CD1">
      <w:pPr>
        <w:keepNext w:val="0"/>
        <w:keepLines w:val="0"/>
        <w:pageBreakBefore w:val="0"/>
        <w:kinsoku/>
        <w:overflowPunct/>
        <w:topLinePunct/>
        <w:autoSpaceDE w:val="0"/>
        <w:bidi w:val="0"/>
        <w:rPr>
          <w:rFonts w:hint="default" w:ascii="Times New Roman" w:hAnsi="Times New Roman" w:eastAsia="宋体" w:cs="Times New Roman"/>
          <w:color w:val="auto"/>
          <w:highlight w:val="none"/>
        </w:rPr>
        <w:sectPr>
          <w:pgSz w:w="11906" w:h="16838"/>
          <w:pgMar w:top="1440" w:right="1080" w:bottom="1440" w:left="1080" w:header="850" w:footer="1134" w:gutter="0"/>
          <w:pgBorders>
            <w:top w:val="none" w:sz="0" w:space="0"/>
            <w:left w:val="none" w:sz="0" w:space="0"/>
            <w:bottom w:val="none" w:sz="0" w:space="0"/>
            <w:right w:val="none" w:sz="0" w:space="0"/>
          </w:pgBorders>
          <w:pgNumType w:fmt="decimal"/>
          <w:cols w:space="720" w:num="1"/>
          <w:docGrid w:linePitch="312" w:charSpace="0"/>
        </w:sectPr>
      </w:pPr>
    </w:p>
    <w:p w14:paraId="606C8EE3">
      <w:pPr>
        <w:pStyle w:val="26"/>
        <w:keepNext w:val="0"/>
        <w:keepLines w:val="0"/>
        <w:pageBreakBefore w:val="0"/>
        <w:widowControl/>
        <w:kinsoku/>
        <w:wordWrap/>
        <w:overflowPunct/>
        <w:topLinePunct/>
        <w:autoSpaceDE w:val="0"/>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b/>
          <w:bCs/>
          <w:snapToGrid w:val="0"/>
          <w:color w:val="auto"/>
          <w:sz w:val="32"/>
          <w:szCs w:val="32"/>
          <w:highlight w:val="none"/>
        </w:rPr>
      </w:pPr>
      <w:bookmarkStart w:id="14" w:name="_Toc31965"/>
      <w:r>
        <w:rPr>
          <w:rFonts w:hint="default" w:ascii="Times New Roman" w:hAnsi="Times New Roman" w:eastAsia="宋体" w:cs="Times New Roman"/>
          <w:b/>
          <w:bCs/>
          <w:snapToGrid w:val="0"/>
          <w:color w:val="auto"/>
          <w:sz w:val="32"/>
          <w:szCs w:val="32"/>
          <w:highlight w:val="none"/>
        </w:rPr>
        <w:t>附表</w:t>
      </w:r>
      <w:bookmarkEnd w:id="14"/>
    </w:p>
    <w:p w14:paraId="75AC33F8">
      <w:pPr>
        <w:pStyle w:val="26"/>
        <w:keepNext w:val="0"/>
        <w:keepLines w:val="0"/>
        <w:pageBreakBefore w:val="0"/>
        <w:widowControl/>
        <w:kinsoku/>
        <w:wordWrap/>
        <w:overflowPunct/>
        <w:topLinePunct/>
        <w:autoSpaceDE w:val="0"/>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28"/>
          <w:szCs w:val="28"/>
          <w:highlight w:val="none"/>
        </w:rPr>
      </w:pPr>
      <w:bookmarkStart w:id="15" w:name="_Toc5408"/>
      <w:r>
        <w:rPr>
          <w:rFonts w:hint="default" w:ascii="Times New Roman" w:hAnsi="Times New Roman" w:eastAsia="宋体" w:cs="Times New Roman"/>
          <w:b/>
          <w:bCs/>
          <w:snapToGrid w:val="0"/>
          <w:color w:val="auto"/>
          <w:sz w:val="28"/>
          <w:szCs w:val="28"/>
          <w:highlight w:val="none"/>
        </w:rPr>
        <w:t>建设项目污染物排放量汇总表</w:t>
      </w:r>
      <w:bookmarkEnd w:id="15"/>
    </w:p>
    <w:tbl>
      <w:tblPr>
        <w:tblStyle w:val="29"/>
        <w:tblW w:w="49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897"/>
        <w:gridCol w:w="1736"/>
        <w:gridCol w:w="1652"/>
        <w:gridCol w:w="1516"/>
        <w:gridCol w:w="1496"/>
        <w:gridCol w:w="1725"/>
        <w:gridCol w:w="1854"/>
        <w:gridCol w:w="1569"/>
      </w:tblGrid>
      <w:tr w14:paraId="6FD80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tcBorders>
              <w:tl2br w:val="single" w:color="auto" w:sz="4" w:space="0"/>
            </w:tcBorders>
            <w:tcMar>
              <w:left w:w="28" w:type="dxa"/>
              <w:right w:w="28" w:type="dxa"/>
            </w:tcMar>
            <w:vAlign w:val="center"/>
          </w:tcPr>
          <w:p w14:paraId="77D4CD55">
            <w:pPr>
              <w:pStyle w:val="46"/>
              <w:keepNext w:val="0"/>
              <w:keepLines w:val="0"/>
              <w:pageBreakBefore w:val="0"/>
              <w:kinsoku/>
              <w:wordWrap/>
              <w:overflowPunct/>
              <w:topLinePunct/>
              <w:autoSpaceDE w:val="0"/>
              <w:autoSpaceDN/>
              <w:bidi w:val="0"/>
              <w:spacing w:beforeLines="0" w:afterLines="0" w:line="240" w:lineRule="auto"/>
              <w:ind w:firstLine="0"/>
              <w:jc w:val="right"/>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项目</w:t>
            </w:r>
          </w:p>
          <w:p w14:paraId="1448D8B7">
            <w:pPr>
              <w:pStyle w:val="46"/>
              <w:keepNext w:val="0"/>
              <w:keepLines w:val="0"/>
              <w:pageBreakBefore w:val="0"/>
              <w:kinsoku/>
              <w:wordWrap/>
              <w:overflowPunct/>
              <w:topLinePunct/>
              <w:autoSpaceDE w:val="0"/>
              <w:autoSpaceDN/>
              <w:bidi w:val="0"/>
              <w:spacing w:beforeLines="0" w:afterLines="0" w:line="240" w:lineRule="auto"/>
              <w:ind w:firstLine="0"/>
              <w:jc w:val="left"/>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分类</w:t>
            </w:r>
          </w:p>
        </w:tc>
        <w:tc>
          <w:tcPr>
            <w:tcW w:w="1907" w:type="dxa"/>
            <w:tcMar>
              <w:left w:w="28" w:type="dxa"/>
              <w:right w:w="28" w:type="dxa"/>
            </w:tcMar>
            <w:vAlign w:val="center"/>
          </w:tcPr>
          <w:p w14:paraId="46DABE4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污染物名称</w:t>
            </w:r>
          </w:p>
        </w:tc>
        <w:tc>
          <w:tcPr>
            <w:tcW w:w="1745" w:type="dxa"/>
            <w:tcMar>
              <w:left w:w="28" w:type="dxa"/>
              <w:right w:w="28" w:type="dxa"/>
            </w:tcMar>
            <w:vAlign w:val="center"/>
          </w:tcPr>
          <w:p w14:paraId="442894F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14:paraId="29949DAF">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①</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661" w:type="dxa"/>
            <w:tcMar>
              <w:left w:w="28" w:type="dxa"/>
              <w:right w:w="28" w:type="dxa"/>
            </w:tcMar>
            <w:vAlign w:val="center"/>
          </w:tcPr>
          <w:p w14:paraId="12DC548B">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14:paraId="7304E20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许可排放量</w:t>
            </w:r>
          </w:p>
          <w:p w14:paraId="0D8300EB">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②</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524" w:type="dxa"/>
            <w:tcMar>
              <w:left w:w="28" w:type="dxa"/>
              <w:right w:w="28" w:type="dxa"/>
            </w:tcMar>
            <w:vAlign w:val="center"/>
          </w:tcPr>
          <w:p w14:paraId="052BF78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在建工程</w:t>
            </w:r>
          </w:p>
          <w:p w14:paraId="257EB1F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③</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504" w:type="dxa"/>
            <w:tcMar>
              <w:left w:w="28" w:type="dxa"/>
              <w:right w:w="28" w:type="dxa"/>
            </w:tcMar>
            <w:vAlign w:val="center"/>
          </w:tcPr>
          <w:p w14:paraId="1813B9E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本项目</w:t>
            </w:r>
          </w:p>
          <w:p w14:paraId="250E10E9">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④</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734" w:type="dxa"/>
            <w:tcMar>
              <w:left w:w="28" w:type="dxa"/>
              <w:right w:w="28" w:type="dxa"/>
            </w:tcMar>
            <w:vAlign w:val="center"/>
          </w:tcPr>
          <w:p w14:paraId="0B61DCF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以新带老削减量</w:t>
            </w:r>
          </w:p>
          <w:p w14:paraId="4DD6D9AC">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（新建项目不填）</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⑤</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864" w:type="dxa"/>
            <w:tcMar>
              <w:left w:w="28" w:type="dxa"/>
              <w:right w:w="28" w:type="dxa"/>
            </w:tcMar>
            <w:vAlign w:val="center"/>
          </w:tcPr>
          <w:p w14:paraId="169E8D6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本项目建成后</w:t>
            </w:r>
          </w:p>
          <w:p w14:paraId="3E5DBFA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16"/>
                <w:kern w:val="21"/>
                <w:sz w:val="21"/>
                <w:szCs w:val="21"/>
                <w:highlight w:val="none"/>
              </w:rPr>
            </w:pPr>
            <w:r>
              <w:rPr>
                <w:rFonts w:hint="default" w:ascii="Times New Roman" w:hAnsi="Times New Roman" w:eastAsia="宋体" w:cs="Times New Roman"/>
                <w:b/>
                <w:bCs/>
                <w:snapToGrid w:val="0"/>
                <w:color w:val="auto"/>
                <w:spacing w:val="-16"/>
                <w:kern w:val="21"/>
                <w:sz w:val="21"/>
                <w:szCs w:val="21"/>
                <w:highlight w:val="none"/>
              </w:rPr>
              <w:t>全厂排放量（固体废物产生量）</w:t>
            </w:r>
            <w:r>
              <w:rPr>
                <w:rFonts w:hint="default" w:ascii="Times New Roman" w:hAnsi="Times New Roman" w:eastAsia="宋体" w:cs="Times New Roman"/>
                <w:b/>
                <w:bCs/>
                <w:snapToGrid w:val="0"/>
                <w:color w:val="auto"/>
                <w:spacing w:val="-16"/>
                <w:kern w:val="21"/>
                <w:sz w:val="21"/>
                <w:szCs w:val="21"/>
                <w:highlight w:val="none"/>
              </w:rPr>
              <w:fldChar w:fldCharType="begin"/>
            </w:r>
            <w:r>
              <w:rPr>
                <w:rFonts w:hint="default" w:ascii="Times New Roman" w:hAnsi="Times New Roman" w:eastAsia="宋体" w:cs="Times New Roman"/>
                <w:b/>
                <w:bCs/>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b/>
                <w:bCs/>
                <w:snapToGrid w:val="0"/>
                <w:color w:val="auto"/>
                <w:spacing w:val="-1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⑥</w:t>
            </w:r>
            <w:r>
              <w:rPr>
                <w:rFonts w:hint="default" w:ascii="Times New Roman" w:hAnsi="Times New Roman" w:eastAsia="宋体" w:cs="Times New Roman"/>
                <w:b/>
                <w:bCs/>
                <w:snapToGrid w:val="0"/>
                <w:color w:val="auto"/>
                <w:spacing w:val="-16"/>
                <w:kern w:val="21"/>
                <w:sz w:val="21"/>
                <w:szCs w:val="21"/>
                <w:highlight w:val="none"/>
              </w:rPr>
              <w:fldChar w:fldCharType="end"/>
            </w:r>
          </w:p>
        </w:tc>
        <w:tc>
          <w:tcPr>
            <w:tcW w:w="1577" w:type="dxa"/>
            <w:tcMar>
              <w:left w:w="28" w:type="dxa"/>
              <w:right w:w="28" w:type="dxa"/>
            </w:tcMar>
            <w:vAlign w:val="center"/>
          </w:tcPr>
          <w:p w14:paraId="40190BFC">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变化量</w:t>
            </w:r>
          </w:p>
          <w:p w14:paraId="539E7EE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sz w:val="21"/>
                <w:szCs w:val="21"/>
                <w:highlight w:val="none"/>
              </w:rPr>
              <w:t>⑦</w:t>
            </w:r>
            <w:r>
              <w:rPr>
                <w:rFonts w:hint="default" w:ascii="Times New Roman" w:hAnsi="Times New Roman" w:eastAsia="宋体" w:cs="Times New Roman"/>
                <w:b/>
                <w:bCs/>
                <w:snapToGrid w:val="0"/>
                <w:color w:val="auto"/>
                <w:spacing w:val="-6"/>
                <w:kern w:val="21"/>
                <w:sz w:val="21"/>
                <w:szCs w:val="21"/>
                <w:highlight w:val="none"/>
              </w:rPr>
              <w:fldChar w:fldCharType="end"/>
            </w:r>
          </w:p>
        </w:tc>
      </w:tr>
      <w:tr w14:paraId="1D5F1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14:paraId="1F868FE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废气</w:t>
            </w:r>
          </w:p>
        </w:tc>
        <w:tc>
          <w:tcPr>
            <w:tcW w:w="1907" w:type="dxa"/>
            <w:vAlign w:val="center"/>
          </w:tcPr>
          <w:p w14:paraId="124D626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b w:val="0"/>
                <w:bCs w:val="0"/>
                <w:snapToGrid w:val="0"/>
                <w:color w:val="auto"/>
                <w:kern w:val="21"/>
                <w:sz w:val="21"/>
                <w:szCs w:val="21"/>
                <w:highlight w:val="none"/>
                <w:lang w:eastAsia="zh-CN"/>
              </w:rPr>
              <w:t>废气量</w:t>
            </w:r>
          </w:p>
        </w:tc>
        <w:tc>
          <w:tcPr>
            <w:tcW w:w="1745" w:type="dxa"/>
            <w:vAlign w:val="center"/>
          </w:tcPr>
          <w:p w14:paraId="72ADE69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4E2E8CA6">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79039293">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37DD2213">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cs="Times New Roman"/>
                <w:strike w:val="0"/>
                <w:dstrike w:val="0"/>
                <w:color w:val="auto"/>
                <w:spacing w:val="1"/>
                <w:sz w:val="21"/>
                <w:szCs w:val="21"/>
                <w:highlight w:val="none"/>
                <w:lang w:val="en-US" w:eastAsia="zh-CN"/>
              </w:rPr>
              <w:t>16380</w:t>
            </w:r>
            <w:r>
              <w:rPr>
                <w:rFonts w:hint="default" w:ascii="Times New Roman" w:hAnsi="Times New Roman" w:eastAsia="宋体" w:cs="Times New Roman"/>
                <w:b w:val="0"/>
                <w:bCs w:val="0"/>
                <w:color w:val="auto"/>
                <w:sz w:val="21"/>
                <w:szCs w:val="21"/>
                <w:highlight w:val="none"/>
              </w:rPr>
              <w:t>万m³/a</w:t>
            </w:r>
          </w:p>
        </w:tc>
        <w:tc>
          <w:tcPr>
            <w:tcW w:w="1734" w:type="dxa"/>
            <w:vAlign w:val="center"/>
          </w:tcPr>
          <w:p w14:paraId="265B5FF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0BB14D6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cs="Times New Roman"/>
                <w:strike w:val="0"/>
                <w:dstrike w:val="0"/>
                <w:color w:val="auto"/>
                <w:spacing w:val="1"/>
                <w:sz w:val="21"/>
                <w:szCs w:val="21"/>
                <w:highlight w:val="none"/>
                <w:lang w:val="en-US" w:eastAsia="zh-CN"/>
              </w:rPr>
              <w:t>16380</w:t>
            </w:r>
            <w:r>
              <w:rPr>
                <w:rFonts w:hint="default" w:ascii="Times New Roman" w:hAnsi="Times New Roman" w:eastAsia="宋体" w:cs="Times New Roman"/>
                <w:b w:val="0"/>
                <w:bCs w:val="0"/>
                <w:color w:val="auto"/>
                <w:sz w:val="21"/>
                <w:szCs w:val="21"/>
                <w:highlight w:val="none"/>
              </w:rPr>
              <w:t>万m³/a</w:t>
            </w:r>
          </w:p>
        </w:tc>
        <w:tc>
          <w:tcPr>
            <w:tcW w:w="1577" w:type="dxa"/>
            <w:shd w:val="clear" w:color="auto" w:fill="auto"/>
            <w:vAlign w:val="center"/>
          </w:tcPr>
          <w:p w14:paraId="7C6AC0A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strike w:val="0"/>
                <w:dstrike w:val="0"/>
                <w:color w:val="auto"/>
                <w:spacing w:val="1"/>
                <w:sz w:val="21"/>
                <w:szCs w:val="21"/>
                <w:highlight w:val="none"/>
                <w:lang w:val="en-US" w:eastAsia="zh-CN"/>
              </w:rPr>
              <w:t>+</w:t>
            </w:r>
            <w:r>
              <w:rPr>
                <w:rFonts w:hint="default" w:ascii="Times New Roman" w:hAnsi="Times New Roman" w:cs="Times New Roman"/>
                <w:strike w:val="0"/>
                <w:dstrike w:val="0"/>
                <w:color w:val="auto"/>
                <w:spacing w:val="1"/>
                <w:sz w:val="21"/>
                <w:szCs w:val="21"/>
                <w:highlight w:val="none"/>
                <w:lang w:val="en-US" w:eastAsia="zh-CN"/>
              </w:rPr>
              <w:t>16380</w:t>
            </w:r>
            <w:r>
              <w:rPr>
                <w:rFonts w:hint="default" w:ascii="Times New Roman" w:hAnsi="Times New Roman" w:eastAsia="宋体" w:cs="Times New Roman"/>
                <w:b w:val="0"/>
                <w:bCs w:val="0"/>
                <w:color w:val="auto"/>
                <w:sz w:val="21"/>
                <w:szCs w:val="21"/>
                <w:highlight w:val="none"/>
              </w:rPr>
              <w:t>万</w:t>
            </w:r>
          </w:p>
        </w:tc>
      </w:tr>
      <w:tr w14:paraId="75650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61E787A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0445182A">
            <w:pPr>
              <w:keepNext w:val="0"/>
              <w:keepLines w:val="0"/>
              <w:pageBreakBefore w:val="0"/>
              <w:widowControl/>
              <w:suppressLineNumbers w:val="0"/>
              <w:kinsoku/>
              <w:wordWrap/>
              <w:overflowPunct/>
              <w:autoSpaceDN/>
              <w:bidi w:val="0"/>
              <w:spacing w:line="240" w:lineRule="auto"/>
              <w:ind w:firstLine="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745" w:type="dxa"/>
            <w:vAlign w:val="center"/>
          </w:tcPr>
          <w:p w14:paraId="2F70B40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581BA5A4">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vAlign w:val="center"/>
          </w:tcPr>
          <w:p w14:paraId="572AF57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2F082A64">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6.6158</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287353FB">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C1641EF">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6.6158</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23274CEA">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6.6158</w:t>
            </w:r>
          </w:p>
        </w:tc>
      </w:tr>
      <w:tr w14:paraId="31D7C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2B85C8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772E11A9">
            <w:pPr>
              <w:keepNext w:val="0"/>
              <w:keepLines w:val="0"/>
              <w:pageBreakBefore w:val="0"/>
              <w:widowControl/>
              <w:suppressLineNumbers w:val="0"/>
              <w:kinsoku/>
              <w:wordWrap/>
              <w:overflowPunct/>
              <w:autoSpaceDN/>
              <w:bidi w:val="0"/>
              <w:spacing w:line="240" w:lineRule="auto"/>
              <w:ind w:firstLine="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745" w:type="dxa"/>
            <w:vAlign w:val="center"/>
          </w:tcPr>
          <w:p w14:paraId="6D680EE6">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1330705F">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vAlign w:val="center"/>
          </w:tcPr>
          <w:p w14:paraId="3A53D2E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33313487">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3.4500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A14CB4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3F48DE3">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3.4500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4620DAAC">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3.4500</w:t>
            </w:r>
          </w:p>
        </w:tc>
      </w:tr>
      <w:tr w14:paraId="70E0E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F78EF0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7F76FAA9">
            <w:pPr>
              <w:keepNext w:val="0"/>
              <w:keepLines w:val="0"/>
              <w:pageBreakBefore w:val="0"/>
              <w:widowControl/>
              <w:suppressLineNumbers w:val="0"/>
              <w:kinsoku/>
              <w:wordWrap/>
              <w:overflowPunct/>
              <w:autoSpaceDN/>
              <w:bidi w:val="0"/>
              <w:spacing w:line="240" w:lineRule="auto"/>
              <w:ind w:firstLine="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1745" w:type="dxa"/>
            <w:vAlign w:val="center"/>
          </w:tcPr>
          <w:p w14:paraId="4E0F851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627B313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vAlign w:val="center"/>
          </w:tcPr>
          <w:p w14:paraId="22593A92">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1E032EBE">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38</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16412E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6D8086F4">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38</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0A3EA3BA">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38</w:t>
            </w:r>
          </w:p>
        </w:tc>
      </w:tr>
      <w:tr w14:paraId="76B2D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7129494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47579968">
            <w:pPr>
              <w:keepNext w:val="0"/>
              <w:keepLines w:val="0"/>
              <w:pageBreakBefore w:val="0"/>
              <w:widowControl/>
              <w:suppressLineNumbers w:val="0"/>
              <w:kinsoku/>
              <w:wordWrap/>
              <w:overflowPunct/>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1745" w:type="dxa"/>
            <w:vAlign w:val="center"/>
          </w:tcPr>
          <w:p w14:paraId="3C7759F7">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p>
        </w:tc>
        <w:tc>
          <w:tcPr>
            <w:tcW w:w="1661" w:type="dxa"/>
            <w:vAlign w:val="center"/>
          </w:tcPr>
          <w:p w14:paraId="392E6ED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p>
        </w:tc>
        <w:tc>
          <w:tcPr>
            <w:tcW w:w="1524" w:type="dxa"/>
            <w:shd w:val="clear"/>
            <w:vAlign w:val="center"/>
          </w:tcPr>
          <w:p w14:paraId="4711105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584AE7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0.0876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789842D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EE523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0.0876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1FA6B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0.0876</w:t>
            </w:r>
          </w:p>
        </w:tc>
      </w:tr>
      <w:tr w14:paraId="20531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6A48293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06609ABC">
            <w:pPr>
              <w:keepNext w:val="0"/>
              <w:keepLines w:val="0"/>
              <w:pageBreakBefore w:val="0"/>
              <w:widowControl/>
              <w:suppressLineNumbers w:val="0"/>
              <w:kinsoku/>
              <w:wordWrap/>
              <w:overflowPunct/>
              <w:autoSpaceDN/>
              <w:bidi w:val="0"/>
              <w:spacing w:line="240" w:lineRule="auto"/>
              <w:ind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w:t>
            </w:r>
          </w:p>
        </w:tc>
        <w:tc>
          <w:tcPr>
            <w:tcW w:w="1745" w:type="dxa"/>
            <w:vAlign w:val="center"/>
          </w:tcPr>
          <w:p w14:paraId="3F3693E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56FB7A4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vAlign w:val="center"/>
          </w:tcPr>
          <w:p w14:paraId="50F70C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04" w:type="dxa"/>
            <w:vAlign w:val="center"/>
          </w:tcPr>
          <w:p w14:paraId="422DCA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22C11B0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D9183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94069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0.0034</w:t>
            </w:r>
          </w:p>
        </w:tc>
      </w:tr>
      <w:tr w14:paraId="52401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14:paraId="34762E6C">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废水</w:t>
            </w:r>
          </w:p>
        </w:tc>
        <w:tc>
          <w:tcPr>
            <w:tcW w:w="1907" w:type="dxa"/>
            <w:vAlign w:val="center"/>
          </w:tcPr>
          <w:p w14:paraId="248B058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废水量</w:t>
            </w:r>
          </w:p>
        </w:tc>
        <w:tc>
          <w:tcPr>
            <w:tcW w:w="1745" w:type="dxa"/>
            <w:vAlign w:val="center"/>
          </w:tcPr>
          <w:p w14:paraId="3636C65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7245A1A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737D008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779B58F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eastAsia" w:ascii="Times New Roman" w:hAnsi="Times New Roman" w:eastAsia="宋体" w:cs="Times New Roman"/>
                <w:color w:val="auto"/>
                <w:spacing w:val="3"/>
                <w:sz w:val="21"/>
                <w:szCs w:val="21"/>
                <w:highlight w:val="none"/>
                <w:lang w:val="en-US" w:eastAsia="zh-CN"/>
              </w:rPr>
              <w:t>11.2068</w:t>
            </w:r>
            <w:r>
              <w:rPr>
                <w:rFonts w:hint="default" w:ascii="Times New Roman" w:hAnsi="Times New Roman" w:eastAsia="宋体" w:cs="Times New Roman"/>
                <w:color w:val="auto"/>
                <w:spacing w:val="3"/>
                <w:sz w:val="21"/>
                <w:szCs w:val="21"/>
                <w:highlight w:val="none"/>
                <w:lang w:val="en-US" w:eastAsia="zh-CN"/>
              </w:rPr>
              <w:t>万</w:t>
            </w:r>
            <w:r>
              <w:rPr>
                <w:rFonts w:hint="eastAsia" w:ascii="Times New Roman" w:hAnsi="Times New Roman" w:eastAsia="宋体" w:cs="Times New Roman"/>
                <w:color w:val="auto"/>
                <w:spacing w:val="3"/>
                <w:sz w:val="21"/>
                <w:szCs w:val="21"/>
                <w:highlight w:val="none"/>
                <w:lang w:val="en-US" w:eastAsia="zh-CN"/>
              </w:rPr>
              <w:t>t</w:t>
            </w:r>
            <w:r>
              <w:rPr>
                <w:rFonts w:hint="default" w:ascii="Times New Roman" w:hAnsi="Times New Roman" w:eastAsia="宋体" w:cs="Times New Roman"/>
                <w:color w:val="auto"/>
                <w:spacing w:val="3"/>
                <w:sz w:val="21"/>
                <w:szCs w:val="21"/>
                <w:highlight w:val="none"/>
              </w:rPr>
              <w:t>/a</w:t>
            </w:r>
          </w:p>
        </w:tc>
        <w:tc>
          <w:tcPr>
            <w:tcW w:w="1734" w:type="dxa"/>
            <w:vAlign w:val="center"/>
          </w:tcPr>
          <w:p w14:paraId="10B31A5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49907E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color w:val="auto"/>
                <w:spacing w:val="3"/>
                <w:sz w:val="21"/>
                <w:szCs w:val="21"/>
                <w:highlight w:val="none"/>
                <w:lang w:val="en-US" w:eastAsia="zh-CN"/>
              </w:rPr>
              <w:t>11.2068</w:t>
            </w:r>
            <w:r>
              <w:rPr>
                <w:rFonts w:hint="default" w:ascii="Times New Roman" w:hAnsi="Times New Roman" w:eastAsia="宋体" w:cs="Times New Roman"/>
                <w:color w:val="auto"/>
                <w:spacing w:val="3"/>
                <w:sz w:val="21"/>
                <w:szCs w:val="21"/>
                <w:highlight w:val="none"/>
                <w:lang w:val="en-US" w:eastAsia="zh-CN"/>
              </w:rPr>
              <w:t>万</w:t>
            </w:r>
            <w:r>
              <w:rPr>
                <w:rFonts w:hint="eastAsia" w:ascii="Times New Roman" w:hAnsi="Times New Roman" w:eastAsia="宋体" w:cs="Times New Roman"/>
                <w:color w:val="auto"/>
                <w:spacing w:val="3"/>
                <w:sz w:val="21"/>
                <w:szCs w:val="21"/>
                <w:highlight w:val="none"/>
                <w:lang w:val="en-US" w:eastAsia="zh-CN"/>
              </w:rPr>
              <w:t>t</w:t>
            </w:r>
            <w:r>
              <w:rPr>
                <w:rFonts w:hint="default" w:ascii="Times New Roman" w:hAnsi="Times New Roman" w:eastAsia="宋体" w:cs="Times New Roman"/>
                <w:color w:val="auto"/>
                <w:spacing w:val="3"/>
                <w:sz w:val="21"/>
                <w:szCs w:val="21"/>
                <w:highlight w:val="none"/>
              </w:rPr>
              <w:t>/a</w:t>
            </w:r>
          </w:p>
        </w:tc>
        <w:tc>
          <w:tcPr>
            <w:tcW w:w="1577" w:type="dxa"/>
            <w:shd w:val="clear" w:color="auto" w:fill="auto"/>
            <w:vAlign w:val="center"/>
          </w:tcPr>
          <w:p w14:paraId="61CA72C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color w:val="auto"/>
                <w:spacing w:val="3"/>
                <w:sz w:val="21"/>
                <w:szCs w:val="21"/>
                <w:highlight w:val="none"/>
                <w:lang w:val="en-US" w:eastAsia="zh-CN"/>
              </w:rPr>
              <w:t>+</w:t>
            </w:r>
            <w:r>
              <w:rPr>
                <w:rFonts w:hint="eastAsia" w:ascii="Times New Roman" w:hAnsi="Times New Roman" w:eastAsia="宋体" w:cs="Times New Roman"/>
                <w:color w:val="auto"/>
                <w:spacing w:val="3"/>
                <w:sz w:val="21"/>
                <w:szCs w:val="21"/>
                <w:highlight w:val="none"/>
                <w:lang w:val="en-US" w:eastAsia="zh-CN"/>
              </w:rPr>
              <w:t>11.2068</w:t>
            </w:r>
            <w:r>
              <w:rPr>
                <w:rFonts w:hint="default" w:ascii="Times New Roman" w:hAnsi="Times New Roman" w:eastAsia="宋体" w:cs="Times New Roman"/>
                <w:color w:val="auto"/>
                <w:spacing w:val="3"/>
                <w:sz w:val="21"/>
                <w:szCs w:val="21"/>
                <w:highlight w:val="none"/>
                <w:lang w:val="en-US" w:eastAsia="zh-CN"/>
              </w:rPr>
              <w:t>万</w:t>
            </w:r>
            <w:r>
              <w:rPr>
                <w:rFonts w:hint="eastAsia" w:ascii="Times New Roman" w:hAnsi="Times New Roman" w:eastAsia="宋体" w:cs="Times New Roman"/>
                <w:color w:val="auto"/>
                <w:spacing w:val="3"/>
                <w:sz w:val="21"/>
                <w:szCs w:val="21"/>
                <w:highlight w:val="none"/>
                <w:lang w:val="en-US" w:eastAsia="zh-CN"/>
              </w:rPr>
              <w:t>t</w:t>
            </w:r>
          </w:p>
        </w:tc>
      </w:tr>
      <w:tr w14:paraId="02D95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7583BC68">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14C41C3A">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trike w:val="0"/>
                <w:dstrike w:val="0"/>
                <w:snapToGrid w:val="0"/>
                <w:color w:val="auto"/>
                <w:kern w:val="2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CODcr</w:t>
            </w:r>
          </w:p>
        </w:tc>
        <w:tc>
          <w:tcPr>
            <w:tcW w:w="1745" w:type="dxa"/>
            <w:vAlign w:val="center"/>
          </w:tcPr>
          <w:p w14:paraId="5E7409B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438F0D3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6878ADB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7F248809">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21.56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558555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5A231FB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21.56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7B5F1E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21.56</w:t>
            </w:r>
          </w:p>
        </w:tc>
      </w:tr>
      <w:tr w14:paraId="21B44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7683026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52D76F1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trike w:val="0"/>
                <w:dstrike w:val="0"/>
                <w:snapToGrid w:val="0"/>
                <w:color w:val="auto"/>
                <w:kern w:val="2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NH</w:t>
            </w:r>
            <w:r>
              <w:rPr>
                <w:rFonts w:hint="default" w:ascii="Times New Roman" w:hAnsi="Times New Roman" w:eastAsia="宋体" w:cs="Times New Roman"/>
                <w:strike w:val="0"/>
                <w:dstrike w:val="0"/>
                <w:color w:val="auto"/>
                <w:sz w:val="21"/>
                <w:szCs w:val="21"/>
                <w:highlight w:val="none"/>
                <w:vertAlign w:val="subscript"/>
                <w:lang w:val="en-US" w:eastAsia="zh-CN"/>
              </w:rPr>
              <w:t>3</w:t>
            </w:r>
            <w:r>
              <w:rPr>
                <w:rFonts w:hint="default" w:ascii="Times New Roman" w:hAnsi="Times New Roman" w:eastAsia="宋体" w:cs="Times New Roman"/>
                <w:strike w:val="0"/>
                <w:dstrike w:val="0"/>
                <w:color w:val="auto"/>
                <w:sz w:val="21"/>
                <w:szCs w:val="21"/>
                <w:highlight w:val="none"/>
                <w:lang w:val="en-US" w:eastAsia="zh-CN"/>
              </w:rPr>
              <w:t>-N</w:t>
            </w:r>
          </w:p>
        </w:tc>
        <w:tc>
          <w:tcPr>
            <w:tcW w:w="1745" w:type="dxa"/>
            <w:vAlign w:val="center"/>
          </w:tcPr>
          <w:p w14:paraId="03BFDEC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6FD489B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78A216F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7119457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0.29</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38501AF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53E7FAF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0.29</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7A03FDB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0.29</w:t>
            </w:r>
          </w:p>
        </w:tc>
      </w:tr>
      <w:tr w14:paraId="4573E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FC773CC">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75A69E78">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trike w:val="0"/>
                <w:dstrike w:val="0"/>
                <w:snapToGrid w:val="0"/>
                <w:color w:val="auto"/>
                <w:kern w:val="21"/>
                <w:sz w:val="21"/>
                <w:szCs w:val="21"/>
                <w:highlight w:val="none"/>
                <w:lang w:val="en-US" w:eastAsia="zh-CN" w:bidi="ar-SA"/>
              </w:rPr>
            </w:pPr>
            <w:r>
              <w:rPr>
                <w:rFonts w:hint="default" w:ascii="Times New Roman" w:hAnsi="Times New Roman" w:eastAsia="宋体" w:cs="Times New Roman"/>
                <w:strike w:val="0"/>
                <w:dstrike w:val="0"/>
                <w:color w:val="auto"/>
                <w:sz w:val="21"/>
                <w:szCs w:val="21"/>
                <w:highlight w:val="none"/>
                <w:lang w:val="en-US" w:eastAsia="zh-CN"/>
              </w:rPr>
              <w:t>TP</w:t>
            </w:r>
          </w:p>
        </w:tc>
        <w:tc>
          <w:tcPr>
            <w:tcW w:w="1745" w:type="dxa"/>
            <w:vAlign w:val="center"/>
          </w:tcPr>
          <w:p w14:paraId="30B5737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396374A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302F293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vAlign w:val="center"/>
          </w:tcPr>
          <w:p w14:paraId="59F3AC26">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78F8DCC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56CE633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0FCE30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7</w:t>
            </w:r>
          </w:p>
        </w:tc>
      </w:tr>
      <w:tr w14:paraId="5991C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14:paraId="704FE22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一般工业</w:t>
            </w:r>
          </w:p>
          <w:p w14:paraId="1EDCF91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固体废物</w:t>
            </w:r>
          </w:p>
        </w:tc>
        <w:tc>
          <w:tcPr>
            <w:tcW w:w="1907" w:type="dxa"/>
            <w:vAlign w:val="center"/>
          </w:tcPr>
          <w:p w14:paraId="6815A689">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原料废包装袋</w:t>
            </w:r>
          </w:p>
        </w:tc>
        <w:tc>
          <w:tcPr>
            <w:tcW w:w="1745" w:type="dxa"/>
            <w:vAlign w:val="center"/>
          </w:tcPr>
          <w:p w14:paraId="67C9E22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7A3F1A7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168C54D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2DDAD6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4BF3B4BD">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592D26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55D02FBF">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09692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3D9773AA">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9BCE6D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strike w:val="0"/>
                <w:dstrike w:val="0"/>
                <w:color w:val="auto"/>
                <w:sz w:val="21"/>
                <w:szCs w:val="21"/>
                <w:highlight w:val="none"/>
                <w:vertAlign w:val="baseline"/>
                <w:lang w:val="en-US" w:eastAsia="zh-CN"/>
              </w:rPr>
              <w:t>珠胚生产</w:t>
            </w:r>
            <w:r>
              <w:rPr>
                <w:rFonts w:hint="default" w:ascii="Times New Roman" w:hAnsi="Times New Roman" w:eastAsia="宋体" w:cs="Times New Roman"/>
                <w:strike w:val="0"/>
                <w:dstrike w:val="0"/>
                <w:color w:val="auto"/>
                <w:sz w:val="21"/>
                <w:szCs w:val="21"/>
                <w:highlight w:val="none"/>
                <w:vertAlign w:val="baseline"/>
                <w:lang w:val="en-US" w:eastAsia="zh-CN"/>
              </w:rPr>
              <w:t>布袋</w:t>
            </w:r>
            <w:r>
              <w:rPr>
                <w:rFonts w:hint="eastAsia" w:cs="Times New Roman"/>
                <w:strike w:val="0"/>
                <w:dstrike w:val="0"/>
                <w:color w:val="auto"/>
                <w:sz w:val="21"/>
                <w:szCs w:val="21"/>
                <w:highlight w:val="none"/>
                <w:vertAlign w:val="baseline"/>
                <w:lang w:val="en-US" w:eastAsia="zh-CN"/>
              </w:rPr>
              <w:t>除尘灰</w:t>
            </w:r>
          </w:p>
        </w:tc>
        <w:tc>
          <w:tcPr>
            <w:tcW w:w="1745" w:type="dxa"/>
            <w:vAlign w:val="center"/>
          </w:tcPr>
          <w:p w14:paraId="5D5EE2E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53CC3A2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3EEB552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115B8BC">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40.64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387F109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449174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40.64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912C27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40.64</w:t>
            </w:r>
          </w:p>
        </w:tc>
      </w:tr>
      <w:tr w14:paraId="377D5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12DE2BAA">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23055E2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边角废料</w:t>
            </w:r>
          </w:p>
        </w:tc>
        <w:tc>
          <w:tcPr>
            <w:tcW w:w="1745" w:type="dxa"/>
            <w:vAlign w:val="center"/>
          </w:tcPr>
          <w:p w14:paraId="7A346F5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01D1424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3E089BF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497957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6BFDDA2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56557C6C">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6ADFB37">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r>
      <w:tr w14:paraId="7FD2B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3BC18BB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4F44DD26">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strike w:val="0"/>
                <w:dstrike w:val="0"/>
                <w:color w:val="auto"/>
                <w:sz w:val="21"/>
                <w:szCs w:val="21"/>
                <w:highlight w:val="none"/>
                <w:vertAlign w:val="baseline"/>
                <w:lang w:val="en-US" w:eastAsia="zh-CN"/>
              </w:rPr>
              <w:t>珠胚</w:t>
            </w:r>
            <w:r>
              <w:rPr>
                <w:rFonts w:hint="default" w:ascii="Times New Roman" w:hAnsi="Times New Roman" w:eastAsia="宋体" w:cs="Times New Roman"/>
                <w:strike w:val="0"/>
                <w:dstrike w:val="0"/>
                <w:color w:val="auto"/>
                <w:sz w:val="21"/>
                <w:szCs w:val="21"/>
                <w:highlight w:val="none"/>
                <w:vertAlign w:val="baseline"/>
                <w:lang w:val="en-US" w:eastAsia="zh-CN"/>
              </w:rPr>
              <w:t>残次品</w:t>
            </w:r>
          </w:p>
        </w:tc>
        <w:tc>
          <w:tcPr>
            <w:tcW w:w="1745" w:type="dxa"/>
            <w:vAlign w:val="center"/>
          </w:tcPr>
          <w:p w14:paraId="70108D7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5E322BD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358F192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4A76FA33">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E311EA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40D48258">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39E2799A">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+1300</w:t>
            </w:r>
          </w:p>
        </w:tc>
      </w:tr>
      <w:tr w14:paraId="3620B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546E7BF">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5B7AC1F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strike w:val="0"/>
                <w:dstrike w:val="0"/>
                <w:color w:val="auto"/>
                <w:sz w:val="21"/>
                <w:szCs w:val="21"/>
                <w:highlight w:val="none"/>
                <w:vertAlign w:val="baseline"/>
                <w:lang w:val="en-US" w:eastAsia="zh-CN"/>
              </w:rPr>
              <w:t>循环水</w:t>
            </w:r>
            <w:r>
              <w:rPr>
                <w:rFonts w:hint="default" w:ascii="Times New Roman" w:hAnsi="Times New Roman" w:eastAsia="宋体" w:cs="Times New Roman"/>
                <w:strike w:val="0"/>
                <w:dstrike w:val="0"/>
                <w:color w:val="auto"/>
                <w:sz w:val="21"/>
                <w:szCs w:val="21"/>
                <w:highlight w:val="none"/>
                <w:vertAlign w:val="baseline"/>
                <w:lang w:val="en-US" w:eastAsia="zh-CN"/>
              </w:rPr>
              <w:t>池沉渣</w:t>
            </w:r>
          </w:p>
        </w:tc>
        <w:tc>
          <w:tcPr>
            <w:tcW w:w="1745" w:type="dxa"/>
            <w:vAlign w:val="center"/>
          </w:tcPr>
          <w:p w14:paraId="15FAE3D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66998C5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516738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5B023784">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8876.93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4DD4F77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1C7EA68E">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8876.93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1A3B634">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8876.93</w:t>
            </w:r>
          </w:p>
        </w:tc>
      </w:tr>
      <w:tr w14:paraId="749AF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F547469">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1118C2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生化污水处理站污泥</w:t>
            </w:r>
          </w:p>
        </w:tc>
        <w:tc>
          <w:tcPr>
            <w:tcW w:w="1745" w:type="dxa"/>
            <w:vAlign w:val="center"/>
          </w:tcPr>
          <w:p w14:paraId="485CBEB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7673DB8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F1FB26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7B2229C0">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53.52</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19B2670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7A26D6C">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53.52</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3979B3AB">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53.52</w:t>
            </w:r>
          </w:p>
        </w:tc>
      </w:tr>
      <w:tr w14:paraId="45AFC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A39022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1CDE99A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旧磨轮芯</w:t>
            </w:r>
          </w:p>
        </w:tc>
        <w:tc>
          <w:tcPr>
            <w:tcW w:w="1745" w:type="dxa"/>
            <w:vAlign w:val="center"/>
          </w:tcPr>
          <w:p w14:paraId="2E25507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3B5CD81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03D0F2E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252A349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64BF8CA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DD41727">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44C04DF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r>
      <w:tr w14:paraId="1D85B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B36214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41CDF17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旧抛轮</w:t>
            </w:r>
          </w:p>
        </w:tc>
        <w:tc>
          <w:tcPr>
            <w:tcW w:w="1745" w:type="dxa"/>
            <w:vAlign w:val="center"/>
          </w:tcPr>
          <w:p w14:paraId="2623350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71B8C63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7DC8DAE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776913F">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61022393">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8EC4199">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273821D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r>
      <w:tr w14:paraId="1E10F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3AE39E2F">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217133E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烫钻残次品</w:t>
            </w:r>
          </w:p>
        </w:tc>
        <w:tc>
          <w:tcPr>
            <w:tcW w:w="1745" w:type="dxa"/>
            <w:vAlign w:val="center"/>
          </w:tcPr>
          <w:p w14:paraId="03A317F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0C69B7B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2D8F9F2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2EE0D0A">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6229AC1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ADF138E">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30D6637">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08E94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35507B4">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DBDC84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废吸塑片</w:t>
            </w:r>
          </w:p>
        </w:tc>
        <w:tc>
          <w:tcPr>
            <w:tcW w:w="1745" w:type="dxa"/>
            <w:vAlign w:val="center"/>
          </w:tcPr>
          <w:p w14:paraId="07BA9F0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74576D0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674B4C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427530A">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3760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742D6E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4EDF471F">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3760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41904BDE">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+3760</w:t>
            </w:r>
          </w:p>
        </w:tc>
      </w:tr>
      <w:tr w14:paraId="72295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64614EE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0ABF18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吸塑片切片边角料</w:t>
            </w:r>
          </w:p>
        </w:tc>
        <w:tc>
          <w:tcPr>
            <w:tcW w:w="1745" w:type="dxa"/>
            <w:vAlign w:val="center"/>
          </w:tcPr>
          <w:p w14:paraId="7D6BDCE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6581970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AFFE3B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4952C3CE">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738E10B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B8928C6">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C26A3C2">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r>
      <w:tr w14:paraId="170A7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1B315EE3">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p w14:paraId="03681ED4">
            <w:pPr>
              <w:rPr>
                <w:rFonts w:hint="default" w:ascii="Times New Roman" w:hAnsi="Times New Roman" w:eastAsia="宋体" w:cs="Times New Roman"/>
                <w:color w:val="auto"/>
                <w:sz w:val="21"/>
                <w:szCs w:val="21"/>
                <w:highlight w:val="none"/>
              </w:rPr>
            </w:pPr>
          </w:p>
        </w:tc>
        <w:tc>
          <w:tcPr>
            <w:tcW w:w="1907" w:type="dxa"/>
            <w:vAlign w:val="center"/>
          </w:tcPr>
          <w:p w14:paraId="45E552F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strike w:val="0"/>
                <w:dstrike w:val="0"/>
                <w:color w:val="auto"/>
                <w:sz w:val="21"/>
                <w:szCs w:val="21"/>
                <w:highlight w:val="none"/>
                <w:vertAlign w:val="baseline"/>
                <w:lang w:val="en-US" w:eastAsia="zh-CN"/>
              </w:rPr>
              <w:t>碱洗沉渣</w:t>
            </w:r>
          </w:p>
        </w:tc>
        <w:tc>
          <w:tcPr>
            <w:tcW w:w="1745" w:type="dxa"/>
            <w:vAlign w:val="center"/>
          </w:tcPr>
          <w:p w14:paraId="54AE990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10CF2EF2">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1EBE610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57CC4BE9">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20.73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0F06B16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6F3C525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20.73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2B5CB25">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20.73</w:t>
            </w:r>
          </w:p>
        </w:tc>
      </w:tr>
      <w:tr w14:paraId="17810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698F81DD">
            <w:pPr>
              <w:rPr>
                <w:rFonts w:hint="default" w:ascii="Times New Roman" w:hAnsi="Times New Roman" w:eastAsia="宋体" w:cs="Times New Roman"/>
                <w:color w:val="auto"/>
                <w:sz w:val="21"/>
                <w:szCs w:val="21"/>
                <w:highlight w:val="none"/>
              </w:rPr>
            </w:pPr>
          </w:p>
        </w:tc>
        <w:tc>
          <w:tcPr>
            <w:tcW w:w="1907" w:type="dxa"/>
            <w:vAlign w:val="center"/>
          </w:tcPr>
          <w:p w14:paraId="7744F8B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吸塑片除尘器粉尘</w:t>
            </w:r>
          </w:p>
        </w:tc>
        <w:tc>
          <w:tcPr>
            <w:tcW w:w="1745" w:type="dxa"/>
            <w:vAlign w:val="center"/>
          </w:tcPr>
          <w:p w14:paraId="444408B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45BF2F2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B6A4B6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AF2D75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20.26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1055363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4C39EB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20.26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2F134F0F">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+20.26</w:t>
            </w:r>
          </w:p>
        </w:tc>
      </w:tr>
      <w:tr w14:paraId="7271F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BC0851B">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7DCCC6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吸塑片废边角料</w:t>
            </w:r>
          </w:p>
        </w:tc>
        <w:tc>
          <w:tcPr>
            <w:tcW w:w="1745" w:type="dxa"/>
            <w:vAlign w:val="center"/>
          </w:tcPr>
          <w:p w14:paraId="1737476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09F7CD9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1BBFBBA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620885C">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464C3EC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C6178DF">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43B7CD30">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r>
      <w:tr w14:paraId="71C78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38CD0B9A">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633F0A9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strike w:val="0"/>
                <w:dstrike w:val="0"/>
                <w:color w:val="auto"/>
                <w:sz w:val="21"/>
                <w:szCs w:val="21"/>
                <w:highlight w:val="none"/>
                <w:vertAlign w:val="baseline"/>
                <w:lang w:val="en-US" w:eastAsia="zh-CN"/>
              </w:rPr>
              <w:t>抛轮修复收尘</w:t>
            </w:r>
          </w:p>
        </w:tc>
        <w:tc>
          <w:tcPr>
            <w:tcW w:w="1745" w:type="dxa"/>
            <w:vAlign w:val="center"/>
          </w:tcPr>
          <w:p w14:paraId="7E659D7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2B424C7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21FC7FC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13BBE08">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0.166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3D95581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FBE89A1">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0.166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5445E68D">
            <w:pPr>
              <w:keepNext w:val="0"/>
              <w:keepLines w:val="0"/>
              <w:widowControl/>
              <w:suppressLineNumbers w:val="0"/>
              <w:jc w:val="center"/>
              <w:textAlignment w:val="center"/>
              <w:rPr>
                <w:rFonts w:hint="default" w:ascii="Times New Roman" w:hAnsi="Times New Roman" w:eastAsia="宋体" w:cs="Times New Roman"/>
                <w:bCs/>
                <w:strike w:val="0"/>
                <w:dstrike w:val="0"/>
                <w:color w:val="auto"/>
                <w:spacing w:val="-1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0.166</w:t>
            </w:r>
          </w:p>
        </w:tc>
      </w:tr>
      <w:tr w14:paraId="596DB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7342C2D4">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vAlign w:val="center"/>
          </w:tcPr>
          <w:p w14:paraId="76A81EF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sz w:val="21"/>
                <w:szCs w:val="21"/>
                <w:highlight w:val="none"/>
                <w:vertAlign w:val="baseline"/>
                <w:lang w:val="en-US" w:eastAsia="zh-CN"/>
              </w:rPr>
            </w:pPr>
            <w:r>
              <w:rPr>
                <w:rFonts w:hint="default" w:ascii="Times New Roman" w:hAnsi="Times New Roman" w:eastAsia="宋体" w:cs="Times New Roman"/>
                <w:bCs/>
                <w:strike w:val="0"/>
                <w:dstrike w:val="0"/>
                <w:color w:val="auto"/>
                <w:spacing w:val="-10"/>
                <w:sz w:val="21"/>
                <w:szCs w:val="21"/>
                <w:highlight w:val="none"/>
                <w:lang w:val="en-US" w:eastAsia="zh-CN"/>
              </w:rPr>
              <w:t>废石英砂</w:t>
            </w:r>
          </w:p>
        </w:tc>
        <w:tc>
          <w:tcPr>
            <w:tcW w:w="1745" w:type="dxa"/>
            <w:vAlign w:val="center"/>
          </w:tcPr>
          <w:p w14:paraId="201497C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1A394D5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0644990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113EECD">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78EC72E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BEF57F7">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3BE9B775">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+0.05</w:t>
            </w:r>
          </w:p>
        </w:tc>
      </w:tr>
      <w:tr w14:paraId="03716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711B56F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5394931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废活性炭</w:t>
            </w:r>
          </w:p>
        </w:tc>
        <w:tc>
          <w:tcPr>
            <w:tcW w:w="1745" w:type="dxa"/>
            <w:shd w:val="clear" w:color="auto" w:fill="auto"/>
            <w:vAlign w:val="center"/>
          </w:tcPr>
          <w:p w14:paraId="2DE582F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1899B54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5DF7733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0DA2CBF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0.24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575C4DF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603CDA9">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0.24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55DB5CD0">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+0.24</w:t>
            </w:r>
          </w:p>
        </w:tc>
      </w:tr>
      <w:tr w14:paraId="108D8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0A3EFF6">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7F89721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废反渗透膜</w:t>
            </w:r>
          </w:p>
        </w:tc>
        <w:tc>
          <w:tcPr>
            <w:tcW w:w="1745" w:type="dxa"/>
            <w:shd w:val="clear" w:color="auto" w:fill="auto"/>
            <w:vAlign w:val="center"/>
          </w:tcPr>
          <w:p w14:paraId="7352909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7F785E4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545BC8F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12A4AD6F">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3A7D77B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4B7C973">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78AFA81D">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+0.03</w:t>
            </w:r>
          </w:p>
        </w:tc>
      </w:tr>
      <w:tr w14:paraId="4FB3E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1" w:type="dxa"/>
            <w:vMerge w:val="continue"/>
            <w:vAlign w:val="center"/>
          </w:tcPr>
          <w:p w14:paraId="47AF1A4F">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635BAEEA">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w:t>
            </w:r>
            <w:r>
              <w:rPr>
                <w:rFonts w:hint="eastAsia" w:cs="Times New Roman"/>
                <w:bCs/>
                <w:strike w:val="0"/>
                <w:dstrike w:val="0"/>
                <w:color w:val="auto"/>
                <w:spacing w:val="-10"/>
                <w:sz w:val="21"/>
                <w:szCs w:val="21"/>
                <w:highlight w:val="none"/>
                <w:lang w:val="en-US" w:eastAsia="zh-CN"/>
              </w:rPr>
              <w:t>离子交换树脂</w:t>
            </w:r>
          </w:p>
        </w:tc>
        <w:tc>
          <w:tcPr>
            <w:tcW w:w="1745" w:type="dxa"/>
            <w:shd w:val="clear" w:color="auto" w:fill="auto"/>
            <w:vAlign w:val="center"/>
          </w:tcPr>
          <w:p w14:paraId="6B37D4B2">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1D453743">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37FAB2F1">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7A73AEE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w:t>
            </w:r>
            <w:r>
              <w:rPr>
                <w:rFonts w:hint="eastAsia" w:cs="Times New Roman"/>
                <w:strike w:val="0"/>
                <w:dstrike w:val="0"/>
                <w:color w:val="auto"/>
                <w:sz w:val="21"/>
                <w:szCs w:val="21"/>
                <w:highlight w:val="none"/>
                <w:vertAlign w:val="baseline"/>
                <w:lang w:val="en-US" w:eastAsia="zh-CN"/>
              </w:rPr>
              <w:t>15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72ABC92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A2F5FB8">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w:t>
            </w:r>
            <w:r>
              <w:rPr>
                <w:rFonts w:hint="eastAsia" w:cs="Times New Roman"/>
                <w:strike w:val="0"/>
                <w:dstrike w:val="0"/>
                <w:color w:val="auto"/>
                <w:sz w:val="21"/>
                <w:szCs w:val="21"/>
                <w:highlight w:val="none"/>
                <w:vertAlign w:val="baseline"/>
                <w:lang w:val="en-US" w:eastAsia="zh-CN"/>
              </w:rPr>
              <w:t>15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02B54E2E">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strike w:val="0"/>
                <w:dstrike w:val="0"/>
                <w:color w:val="auto"/>
                <w:sz w:val="21"/>
                <w:szCs w:val="21"/>
                <w:highlight w:val="none"/>
                <w:vertAlign w:val="baseline"/>
                <w:lang w:val="en-US" w:eastAsia="zh-CN"/>
              </w:rPr>
              <w:t>+0.</w:t>
            </w:r>
            <w:r>
              <w:rPr>
                <w:rFonts w:hint="eastAsia" w:cs="Times New Roman"/>
                <w:strike w:val="0"/>
                <w:dstrike w:val="0"/>
                <w:color w:val="auto"/>
                <w:sz w:val="21"/>
                <w:szCs w:val="21"/>
                <w:highlight w:val="none"/>
                <w:vertAlign w:val="baseline"/>
                <w:lang w:val="en-US" w:eastAsia="zh-CN"/>
              </w:rPr>
              <w:t>15</w:t>
            </w:r>
          </w:p>
        </w:tc>
      </w:tr>
      <w:tr w14:paraId="0E87F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4445AEB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61F0EAC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生活垃圾</w:t>
            </w:r>
          </w:p>
        </w:tc>
        <w:tc>
          <w:tcPr>
            <w:tcW w:w="1745" w:type="dxa"/>
            <w:shd w:val="clear" w:color="auto" w:fill="auto"/>
            <w:vAlign w:val="center"/>
          </w:tcPr>
          <w:p w14:paraId="2F724E8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6DAF591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7C982D3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1503F962">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50.49</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7342971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5185589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50.49</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E5F621E">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+50.49</w:t>
            </w:r>
          </w:p>
        </w:tc>
      </w:tr>
      <w:tr w14:paraId="0DD0B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03D03019">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2C381DC7">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隔油池油污</w:t>
            </w:r>
          </w:p>
        </w:tc>
        <w:tc>
          <w:tcPr>
            <w:tcW w:w="1745" w:type="dxa"/>
            <w:shd w:val="clear" w:color="auto" w:fill="auto"/>
            <w:vAlign w:val="center"/>
          </w:tcPr>
          <w:p w14:paraId="6BDA5103">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632E34BB">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47E967C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1A164ABB">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71CEE56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2CEE41D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5F15328F">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r>
      <w:tr w14:paraId="44EBE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3BB7478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7D303283">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食堂泔水</w:t>
            </w:r>
          </w:p>
        </w:tc>
        <w:tc>
          <w:tcPr>
            <w:tcW w:w="1745" w:type="dxa"/>
            <w:shd w:val="clear" w:color="auto" w:fill="auto"/>
            <w:vAlign w:val="center"/>
          </w:tcPr>
          <w:p w14:paraId="2AD1BC2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201EE600">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246B0BC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6A1474A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317BE2C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6BFF6F9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6.6</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89820D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r>
      <w:tr w14:paraId="2FDE7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15449D7E">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652BBB6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化粪池污泥</w:t>
            </w:r>
          </w:p>
        </w:tc>
        <w:tc>
          <w:tcPr>
            <w:tcW w:w="1745" w:type="dxa"/>
            <w:vAlign w:val="center"/>
          </w:tcPr>
          <w:p w14:paraId="6432C8B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642E3BB6">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4B349C05">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62C4673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507AA7D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4B0208D8">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157555F3">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+12.74</w:t>
            </w:r>
          </w:p>
        </w:tc>
      </w:tr>
      <w:tr w14:paraId="0817F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14:paraId="20D402B0">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危险废物</w:t>
            </w:r>
          </w:p>
        </w:tc>
        <w:tc>
          <w:tcPr>
            <w:tcW w:w="1907" w:type="dxa"/>
            <w:shd w:val="clear" w:color="auto" w:fill="auto"/>
            <w:vAlign w:val="center"/>
          </w:tcPr>
          <w:p w14:paraId="46659064">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1"/>
                <w:sz w:val="21"/>
                <w:szCs w:val="21"/>
                <w:highlight w:val="none"/>
                <w:vertAlign w:val="baseli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废润滑油</w:t>
            </w:r>
          </w:p>
        </w:tc>
        <w:tc>
          <w:tcPr>
            <w:tcW w:w="1745" w:type="dxa"/>
            <w:vAlign w:val="center"/>
          </w:tcPr>
          <w:p w14:paraId="7C8E2BB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40340927">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1677747D">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37DDE906">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2031D34A">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1298DE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69369FC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r>
      <w:tr w14:paraId="70CBD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2B7E3FFB">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28EAC34D">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bCs/>
                <w:strike w:val="0"/>
                <w:dstrike w:val="0"/>
                <w:color w:val="auto"/>
                <w:spacing w:val="-10"/>
                <w:kern w:val="1"/>
                <w:sz w:val="21"/>
                <w:szCs w:val="21"/>
                <w:highlight w:val="no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废油桶</w:t>
            </w:r>
          </w:p>
        </w:tc>
        <w:tc>
          <w:tcPr>
            <w:tcW w:w="1745" w:type="dxa"/>
            <w:vAlign w:val="center"/>
          </w:tcPr>
          <w:p w14:paraId="47806CD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vAlign w:val="center"/>
          </w:tcPr>
          <w:p w14:paraId="1384B73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vAlign w:val="center"/>
          </w:tcPr>
          <w:p w14:paraId="5AEF5C7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14A33451">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vAlign w:val="center"/>
          </w:tcPr>
          <w:p w14:paraId="2EFDF071">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33D59B38">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782EF044">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r>
      <w:tr w14:paraId="7EBB6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5B571CA2">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2E1FB90B">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bCs/>
                <w:strike w:val="0"/>
                <w:dstrike w:val="0"/>
                <w:color w:val="auto"/>
                <w:spacing w:val="-10"/>
                <w:sz w:val="21"/>
                <w:szCs w:val="21"/>
                <w:highlight w:val="none"/>
                <w:lang w:val="en-US" w:eastAsia="zh-CN"/>
              </w:rPr>
              <w:t>废活性炭</w:t>
            </w:r>
          </w:p>
        </w:tc>
        <w:tc>
          <w:tcPr>
            <w:tcW w:w="1745" w:type="dxa"/>
            <w:shd w:val="clear" w:color="auto" w:fill="auto"/>
            <w:vAlign w:val="center"/>
          </w:tcPr>
          <w:p w14:paraId="1BA4656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7BE49294">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73F1D04E">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6EFCE7D2">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15.81</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03390539">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79272F43">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15.81</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0BC1A808">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+15.81</w:t>
            </w:r>
          </w:p>
        </w:tc>
      </w:tr>
      <w:tr w14:paraId="022CB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14:paraId="1F350575">
            <w:pPr>
              <w:pStyle w:val="46"/>
              <w:keepNext w:val="0"/>
              <w:keepLines w:val="0"/>
              <w:pageBreakBefore w:val="0"/>
              <w:kinsoku/>
              <w:wordWrap/>
              <w:overflowPunct/>
              <w:topLinePunct/>
              <w:autoSpaceDE w:val="0"/>
              <w:autoSpaceDN/>
              <w:bidi w:val="0"/>
              <w:spacing w:beforeLines="0" w:afterLines="0" w:line="240" w:lineRule="auto"/>
              <w:ind w:firstLine="0"/>
              <w:jc w:val="center"/>
              <w:rPr>
                <w:rFonts w:hint="default" w:ascii="Times New Roman" w:hAnsi="Times New Roman" w:eastAsia="宋体" w:cs="Times New Roman"/>
                <w:b w:val="0"/>
                <w:bCs w:val="0"/>
                <w:snapToGrid w:val="0"/>
                <w:color w:val="auto"/>
                <w:kern w:val="21"/>
                <w:sz w:val="21"/>
                <w:szCs w:val="21"/>
                <w:highlight w:val="none"/>
              </w:rPr>
            </w:pPr>
          </w:p>
        </w:tc>
        <w:tc>
          <w:tcPr>
            <w:tcW w:w="1907" w:type="dxa"/>
            <w:shd w:val="clear" w:color="auto" w:fill="auto"/>
            <w:vAlign w:val="center"/>
          </w:tcPr>
          <w:p w14:paraId="74503E6C">
            <w:pPr>
              <w:pStyle w:val="2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color w:val="auto"/>
                <w:sz w:val="21"/>
                <w:szCs w:val="21"/>
                <w:highlight w:val="none"/>
                <w:lang w:val="en-US" w:eastAsia="zh-CN"/>
              </w:rPr>
              <w:t>废化学品包装物</w:t>
            </w:r>
          </w:p>
        </w:tc>
        <w:tc>
          <w:tcPr>
            <w:tcW w:w="1745" w:type="dxa"/>
            <w:shd w:val="clear" w:color="auto" w:fill="auto"/>
            <w:vAlign w:val="center"/>
          </w:tcPr>
          <w:p w14:paraId="47A092C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661" w:type="dxa"/>
            <w:shd w:val="clear" w:color="auto" w:fill="auto"/>
            <w:vAlign w:val="center"/>
          </w:tcPr>
          <w:p w14:paraId="6CBFF67F">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24" w:type="dxa"/>
            <w:shd w:val="clear" w:color="auto" w:fill="auto"/>
            <w:vAlign w:val="center"/>
          </w:tcPr>
          <w:p w14:paraId="460C151C">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504" w:type="dxa"/>
            <w:shd w:val="clear" w:color="auto" w:fill="auto"/>
            <w:vAlign w:val="center"/>
          </w:tcPr>
          <w:p w14:paraId="7CCD70A2">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0.15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734" w:type="dxa"/>
            <w:shd w:val="clear" w:color="auto" w:fill="auto"/>
            <w:vAlign w:val="center"/>
          </w:tcPr>
          <w:p w14:paraId="363A2A88">
            <w:pPr>
              <w:pStyle w:val="46"/>
              <w:keepNext w:val="0"/>
              <w:keepLines w:val="0"/>
              <w:pageBreakBefore w:val="0"/>
              <w:kinsoku/>
              <w:wordWrap/>
              <w:overflowPunct/>
              <w:topLinePunct/>
              <w:autoSpaceDE w:val="0"/>
              <w:autoSpaceDN/>
              <w:bidi w:val="0"/>
              <w:spacing w:beforeLines="0" w:afterLines="0" w:line="240" w:lineRule="auto"/>
              <w:ind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w:t>
            </w:r>
          </w:p>
        </w:tc>
        <w:tc>
          <w:tcPr>
            <w:tcW w:w="1864" w:type="dxa"/>
            <w:shd w:val="clear" w:color="auto" w:fill="auto"/>
            <w:vAlign w:val="center"/>
          </w:tcPr>
          <w:p w14:paraId="6DA08595">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eastAsia" w:cs="Times New Roman"/>
                <w:i w:val="0"/>
                <w:iCs w:val="0"/>
                <w:color w:val="auto"/>
                <w:kern w:val="0"/>
                <w:sz w:val="21"/>
                <w:szCs w:val="21"/>
                <w:highlight w:val="none"/>
                <w:u w:val="none"/>
                <w:lang w:val="en-US" w:eastAsia="zh-CN" w:bidi="ar"/>
              </w:rPr>
              <w:t>0.15</w:t>
            </w:r>
            <w:r>
              <w:rPr>
                <w:rFonts w:hint="default" w:ascii="Times New Roman" w:hAnsi="Times New Roman" w:eastAsia="宋体" w:cs="Times New Roman"/>
                <w:i w:val="0"/>
                <w:iCs w:val="0"/>
                <w:strike w:val="0"/>
                <w:dstrike w:val="0"/>
                <w:color w:val="auto"/>
                <w:kern w:val="0"/>
                <w:sz w:val="21"/>
                <w:szCs w:val="21"/>
                <w:highlight w:val="none"/>
                <w:u w:val="none"/>
                <w:lang w:val="en-US" w:eastAsia="zh-CN" w:bidi="ar"/>
              </w:rPr>
              <w:t>t/a</w:t>
            </w:r>
          </w:p>
        </w:tc>
        <w:tc>
          <w:tcPr>
            <w:tcW w:w="1577" w:type="dxa"/>
            <w:shd w:val="clear" w:color="auto" w:fill="auto"/>
            <w:vAlign w:val="center"/>
          </w:tcPr>
          <w:p w14:paraId="5486228A">
            <w:pPr>
              <w:keepNext w:val="0"/>
              <w:keepLines w:val="0"/>
              <w:widowControl/>
              <w:suppressLineNumbers w:val="0"/>
              <w:jc w:val="center"/>
              <w:textAlignment w:val="center"/>
              <w:rPr>
                <w:rFonts w:hint="default" w:ascii="Times New Roman" w:hAnsi="Times New Roman" w:eastAsia="宋体" w:cs="Times New Roman"/>
                <w:strike w:val="0"/>
                <w:dstrike w:val="0"/>
                <w:color w:val="auto"/>
                <w:kern w:val="0"/>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0.15</w:t>
            </w:r>
          </w:p>
        </w:tc>
      </w:tr>
    </w:tbl>
    <w:p w14:paraId="2A875E88">
      <w:pPr>
        <w:pStyle w:val="46"/>
        <w:keepNext w:val="0"/>
        <w:keepLines w:val="0"/>
        <w:pageBreakBefore w:val="0"/>
        <w:kinsoku/>
        <w:overflowPunct/>
        <w:topLinePunct/>
        <w:autoSpaceDE w:val="0"/>
        <w:bidi w:val="0"/>
        <w:spacing w:before="192" w:beforeLines="80" w:after="24"/>
        <w:jc w:val="left"/>
        <w:rPr>
          <w:rFonts w:hint="default" w:ascii="Times New Roman" w:hAnsi="Times New Roman" w:eastAsia="宋体" w:cs="Times New Roman"/>
          <w:snapToGrid w:val="0"/>
          <w:color w:val="auto"/>
          <w:spacing w:val="-6"/>
          <w:kern w:val="21"/>
          <w:szCs w:val="21"/>
          <w:highlight w:val="none"/>
          <w:lang w:eastAsia="zh-CN"/>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lang w:eastAsia="zh-CN"/>
        </w:rPr>
        <w:t>。</w:t>
      </w:r>
    </w:p>
    <w:p w14:paraId="49E9C0A8">
      <w:pPr>
        <w:keepNext w:val="0"/>
        <w:keepLines w:val="0"/>
        <w:pageBreakBefore w:val="0"/>
        <w:kinsoku/>
        <w:overflowPunct/>
        <w:topLinePunct/>
        <w:autoSpaceDE w:val="0"/>
        <w:bidi w:val="0"/>
        <w:rPr>
          <w:rFonts w:hint="default" w:ascii="Times New Roman" w:hAnsi="Times New Roman" w:eastAsia="宋体" w:cs="Times New Roman"/>
          <w:color w:val="auto"/>
          <w:highlight w:val="none"/>
        </w:rPr>
      </w:pPr>
    </w:p>
    <w:sectPr>
      <w:footerReference r:id="rId10" w:type="default"/>
      <w:pgSz w:w="16838" w:h="11906" w:orient="landscape"/>
      <w:pgMar w:top="1440" w:right="1080" w:bottom="1440" w:left="1080" w:header="851" w:footer="964"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24A19BC-9DA8-4651-9BC4-04477D4887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Arial Unicode MS">
    <w:panose1 w:val="020B0604020202020204"/>
    <w:charset w:val="86"/>
    <w:family w:val="swiss"/>
    <w:pitch w:val="default"/>
    <w:sig w:usb0="F7FFAEFF" w:usb1="F9DFFFFF" w:usb2="0000007F" w:usb3="00000000" w:csb0="203F01FF" w:csb1="DFFF0000"/>
  </w:font>
  <w:font w:name="Good Times">
    <w:panose1 w:val="00000500000000000000"/>
    <w:charset w:val="00"/>
    <w:family w:val="auto"/>
    <w:pitch w:val="default"/>
    <w:sig w:usb0="A00000FF" w:usb1="10000042" w:usb2="00000000" w:usb3="00000000" w:csb0="00000003"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embedRegular r:id="rId2" w:fontKey="{57181009-CF9A-4DB4-A185-C2378044D2AF}"/>
  </w:font>
  <w:font w:name="Segoe UI">
    <w:panose1 w:val="020B0502040204020203"/>
    <w:charset w:val="00"/>
    <w:family w:val="auto"/>
    <w:pitch w:val="default"/>
    <w:sig w:usb0="E4002EFF" w:usb1="C000E47F" w:usb2="00000009" w:usb3="00000000" w:csb0="200001FF" w:csb1="00000000"/>
    <w:embedRegular r:id="rId3" w:fontKey="{C00B1034-99D1-4D71-A990-84D2C2A67CB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B002B">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19295">
    <w:pPr>
      <w:pStyle w:val="23"/>
      <w:framePr w:wrap="around" w:vAnchor="text" w:hAnchor="margin" w:xAlign="center" w:y="1"/>
      <w:rPr>
        <w:rStyle w:val="33"/>
      </w:rPr>
    </w:pPr>
    <w:r>
      <w:fldChar w:fldCharType="begin"/>
    </w:r>
    <w:r>
      <w:rPr>
        <w:rStyle w:val="33"/>
      </w:rPr>
      <w:instrText xml:space="preserve">PAGE  </w:instrText>
    </w:r>
    <w:r>
      <w:fldChar w:fldCharType="end"/>
    </w:r>
  </w:p>
  <w:p w14:paraId="73087EB1">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8DC8C">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996B">
    <w:pPr>
      <w:pStyle w:val="2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E60C">
    <w:pPr>
      <w:pStyle w:val="23"/>
      <w:tabs>
        <w:tab w:val="left" w:pos="5606"/>
        <w:tab w:val="clear" w:pos="4153"/>
      </w:tabs>
      <w:ind w:right="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2840355</wp:posOffset>
              </wp:positionH>
              <wp:positionV relativeFrom="paragraph">
                <wp:posOffset>0</wp:posOffset>
              </wp:positionV>
              <wp:extent cx="447675" cy="13779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67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F65A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3.65pt;margin-top:0pt;height:10.85pt;width:35.25pt;mso-position-horizontal-relative:margin;z-index:251659264;mso-width-relative:page;mso-height-relative:page;" filled="f" stroked="f" coordsize="21600,21600" o:gfxdata="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YUF2dYAAAAHAQAADwAAAAAAAAABACAAAAAiAAAAZHJzL2Rvd25y&#10;ZXYueG1sUEsBAhQAFAAAAAgAh07iQL1nEyY5AgAAYQQAAA4AAAAAAAAAAQAgAAAAJQEAAGRycy9l&#10;Mm9Eb2MueG1sUEsFBgAAAAAGAAYAWQEAANAFAAAAAA==&#10;">
              <v:fill on="f" focussize="0,0"/>
              <v:stroke on="f" weight="0.5pt"/>
              <v:imagedata o:title=""/>
              <o:lock v:ext="edit" aspectratio="f"/>
              <v:textbox inset="0mm,0mm,0mm,0mm">
                <w:txbxContent>
                  <w:p w14:paraId="279F65AD">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7547E">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16CEB">
                          <w:pPr>
                            <w:pStyle w:val="23"/>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F16CEB">
                    <w:pPr>
                      <w:pStyle w:val="23"/>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D703">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8C7D9">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14E1ED"/>
    <w:multiLevelType w:val="singleLevel"/>
    <w:tmpl w:val="AD14E1ED"/>
    <w:lvl w:ilvl="0" w:tentative="0">
      <w:start w:val="5"/>
      <w:numFmt w:val="decimal"/>
      <w:suff w:val="nothing"/>
      <w:lvlText w:val="%1、"/>
      <w:lvlJc w:val="left"/>
    </w:lvl>
  </w:abstractNum>
  <w:abstractNum w:abstractNumId="1">
    <w:nsid w:val="B71394FF"/>
    <w:multiLevelType w:val="singleLevel"/>
    <w:tmpl w:val="B71394FF"/>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ED246A1D"/>
    <w:multiLevelType w:val="singleLevel"/>
    <w:tmpl w:val="ED246A1D"/>
    <w:lvl w:ilvl="0" w:tentative="0">
      <w:start w:val="1"/>
      <w:numFmt w:val="decimal"/>
      <w:suff w:val="nothing"/>
      <w:lvlText w:val="%1、"/>
      <w:lvlJc w:val="left"/>
    </w:lvl>
  </w:abstractNum>
  <w:abstractNum w:abstractNumId="3">
    <w:nsid w:val="29FE42FD"/>
    <w:multiLevelType w:val="multilevel"/>
    <w:tmpl w:val="29FE42FD"/>
    <w:lvl w:ilvl="0" w:tentative="0">
      <w:start w:val="1"/>
      <w:numFmt w:val="decimal"/>
      <w:suff w:val="space"/>
      <w:lvlText w:val="%1"/>
      <w:lvlJc w:val="left"/>
      <w:pPr>
        <w:ind w:left="0" w:firstLine="0"/>
      </w:pPr>
      <w:rPr>
        <w:rFonts w:hint="eastAsia"/>
        <w:sz w:val="30"/>
        <w:szCs w:val="30"/>
      </w:rPr>
    </w:lvl>
    <w:lvl w:ilvl="1" w:tentative="0">
      <w:start w:val="1"/>
      <w:numFmt w:val="decimal"/>
      <w:pStyle w:val="39"/>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31B98E24"/>
    <w:multiLevelType w:val="singleLevel"/>
    <w:tmpl w:val="31B98E24"/>
    <w:lvl w:ilvl="0" w:tentative="0">
      <w:start w:val="1"/>
      <w:numFmt w:val="decimal"/>
      <w:suff w:val="nothing"/>
      <w:lvlText w:val="%1、"/>
      <w:lvlJc w:val="left"/>
    </w:lvl>
  </w:abstractNum>
  <w:abstractNum w:abstractNumId="5">
    <w:nsid w:val="396B0B15"/>
    <w:multiLevelType w:val="singleLevel"/>
    <w:tmpl w:val="396B0B15"/>
    <w:lvl w:ilvl="0" w:tentative="0">
      <w:start w:val="2"/>
      <w:numFmt w:val="decimal"/>
      <w:suff w:val="nothing"/>
      <w:lvlText w:val="%1、"/>
      <w:lvlJc w:val="left"/>
    </w:lvl>
  </w:abstractNum>
  <w:abstractNum w:abstractNumId="6">
    <w:nsid w:val="52D6D3F3"/>
    <w:multiLevelType w:val="singleLevel"/>
    <w:tmpl w:val="52D6D3F3"/>
    <w:lvl w:ilvl="0" w:tentative="0">
      <w:start w:val="2"/>
      <w:numFmt w:val="decimal"/>
      <w:suff w:val="nothing"/>
      <w:lvlText w:val="（%1）"/>
      <w:lvlJc w:val="left"/>
    </w:lvl>
  </w:abstractNum>
  <w:abstractNum w:abstractNumId="7">
    <w:nsid w:val="58591924"/>
    <w:multiLevelType w:val="singleLevel"/>
    <w:tmpl w:val="58591924"/>
    <w:lvl w:ilvl="0" w:tentative="0">
      <w:start w:val="1"/>
      <w:numFmt w:val="decimal"/>
      <w:suff w:val="nothing"/>
      <w:lvlText w:val="%1、"/>
      <w:lvlJc w:val="left"/>
    </w:lvl>
  </w:abstractNum>
  <w:num w:numId="1">
    <w:abstractNumId w:val="1"/>
  </w:num>
  <w:num w:numId="2">
    <w:abstractNumId w:val="3"/>
  </w:num>
  <w:num w:numId="3">
    <w:abstractNumId w:val="5"/>
  </w:num>
  <w:num w:numId="4">
    <w:abstractNumId w:val="0"/>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2B247F"/>
    <w:rsid w:val="00785895"/>
    <w:rsid w:val="007F4142"/>
    <w:rsid w:val="00A851CA"/>
    <w:rsid w:val="00AA76A7"/>
    <w:rsid w:val="00D43826"/>
    <w:rsid w:val="00FA1CA3"/>
    <w:rsid w:val="010A4A07"/>
    <w:rsid w:val="011C7B0E"/>
    <w:rsid w:val="01655E65"/>
    <w:rsid w:val="033154D6"/>
    <w:rsid w:val="035C2393"/>
    <w:rsid w:val="048B7787"/>
    <w:rsid w:val="04AC0F3D"/>
    <w:rsid w:val="04AD0C4D"/>
    <w:rsid w:val="04DD3F64"/>
    <w:rsid w:val="050207F4"/>
    <w:rsid w:val="0519283C"/>
    <w:rsid w:val="05ED01D7"/>
    <w:rsid w:val="067F1777"/>
    <w:rsid w:val="06A25465"/>
    <w:rsid w:val="070677A2"/>
    <w:rsid w:val="07C02047"/>
    <w:rsid w:val="081E07C0"/>
    <w:rsid w:val="08A4168F"/>
    <w:rsid w:val="08F74842"/>
    <w:rsid w:val="08FD757C"/>
    <w:rsid w:val="095027A5"/>
    <w:rsid w:val="0A646529"/>
    <w:rsid w:val="0A9450C5"/>
    <w:rsid w:val="0AD57BB7"/>
    <w:rsid w:val="0AEA02FB"/>
    <w:rsid w:val="0BC45B51"/>
    <w:rsid w:val="0C400E9D"/>
    <w:rsid w:val="0D6D638B"/>
    <w:rsid w:val="0D7312E6"/>
    <w:rsid w:val="0EA36836"/>
    <w:rsid w:val="0ECC63BA"/>
    <w:rsid w:val="0F5C2EED"/>
    <w:rsid w:val="0F773AEC"/>
    <w:rsid w:val="0FA908F0"/>
    <w:rsid w:val="10404B28"/>
    <w:rsid w:val="10D75FF3"/>
    <w:rsid w:val="11B146A8"/>
    <w:rsid w:val="11BA0BF8"/>
    <w:rsid w:val="123C01CE"/>
    <w:rsid w:val="124047F7"/>
    <w:rsid w:val="126448F1"/>
    <w:rsid w:val="128C30FA"/>
    <w:rsid w:val="133E63F1"/>
    <w:rsid w:val="13871D70"/>
    <w:rsid w:val="14214417"/>
    <w:rsid w:val="14DE4D14"/>
    <w:rsid w:val="15AC70A7"/>
    <w:rsid w:val="16322899"/>
    <w:rsid w:val="16347F24"/>
    <w:rsid w:val="16445BF1"/>
    <w:rsid w:val="171750B3"/>
    <w:rsid w:val="17205F01"/>
    <w:rsid w:val="177B3894"/>
    <w:rsid w:val="18620BEF"/>
    <w:rsid w:val="18EE4652"/>
    <w:rsid w:val="19C845EB"/>
    <w:rsid w:val="1A002B6C"/>
    <w:rsid w:val="1AD67034"/>
    <w:rsid w:val="1B2129A5"/>
    <w:rsid w:val="1BF470C1"/>
    <w:rsid w:val="1BFB4FA4"/>
    <w:rsid w:val="1C2A771D"/>
    <w:rsid w:val="1CB82E95"/>
    <w:rsid w:val="1D090ED0"/>
    <w:rsid w:val="1D5337E1"/>
    <w:rsid w:val="1E4D4545"/>
    <w:rsid w:val="1E566F26"/>
    <w:rsid w:val="1E803E86"/>
    <w:rsid w:val="1EDE3CE6"/>
    <w:rsid w:val="1F09291A"/>
    <w:rsid w:val="1FD9384E"/>
    <w:rsid w:val="203E5B1B"/>
    <w:rsid w:val="206D6ADF"/>
    <w:rsid w:val="20953E0B"/>
    <w:rsid w:val="2181419D"/>
    <w:rsid w:val="224060A0"/>
    <w:rsid w:val="22CA3922"/>
    <w:rsid w:val="22E52BF5"/>
    <w:rsid w:val="22EC1267"/>
    <w:rsid w:val="23A04402"/>
    <w:rsid w:val="24E2723D"/>
    <w:rsid w:val="253274B3"/>
    <w:rsid w:val="26025181"/>
    <w:rsid w:val="26D74862"/>
    <w:rsid w:val="27C13545"/>
    <w:rsid w:val="27C92F10"/>
    <w:rsid w:val="28321DB4"/>
    <w:rsid w:val="2887358B"/>
    <w:rsid w:val="28BE7A85"/>
    <w:rsid w:val="28D55153"/>
    <w:rsid w:val="29161CCD"/>
    <w:rsid w:val="2B3E1650"/>
    <w:rsid w:val="2BFB520F"/>
    <w:rsid w:val="2C904399"/>
    <w:rsid w:val="2CD535EF"/>
    <w:rsid w:val="2CDB6EB9"/>
    <w:rsid w:val="2E1620D0"/>
    <w:rsid w:val="2E34006E"/>
    <w:rsid w:val="2E3A7BAD"/>
    <w:rsid w:val="2EB72FAC"/>
    <w:rsid w:val="2EC27BA3"/>
    <w:rsid w:val="2EDD63F4"/>
    <w:rsid w:val="2F4832EA"/>
    <w:rsid w:val="2F754C15"/>
    <w:rsid w:val="2FAA2B11"/>
    <w:rsid w:val="30A95240"/>
    <w:rsid w:val="31012AD3"/>
    <w:rsid w:val="329A0AD5"/>
    <w:rsid w:val="32D52F2A"/>
    <w:rsid w:val="33392A42"/>
    <w:rsid w:val="33393511"/>
    <w:rsid w:val="3360255A"/>
    <w:rsid w:val="34270BD4"/>
    <w:rsid w:val="34AA59F1"/>
    <w:rsid w:val="35057D89"/>
    <w:rsid w:val="36C03DF1"/>
    <w:rsid w:val="36CC1255"/>
    <w:rsid w:val="36DE7CB4"/>
    <w:rsid w:val="36FD7411"/>
    <w:rsid w:val="373B7D30"/>
    <w:rsid w:val="37D66D5D"/>
    <w:rsid w:val="384C4E89"/>
    <w:rsid w:val="38C05153"/>
    <w:rsid w:val="39D97002"/>
    <w:rsid w:val="3AA51419"/>
    <w:rsid w:val="3AA51EA5"/>
    <w:rsid w:val="3B154660"/>
    <w:rsid w:val="3B771260"/>
    <w:rsid w:val="3C926E07"/>
    <w:rsid w:val="3D226E30"/>
    <w:rsid w:val="3DC84147"/>
    <w:rsid w:val="3DE7347B"/>
    <w:rsid w:val="3DEA67CE"/>
    <w:rsid w:val="3DF67D94"/>
    <w:rsid w:val="3E8E5894"/>
    <w:rsid w:val="3F4E2026"/>
    <w:rsid w:val="406B0DD8"/>
    <w:rsid w:val="41164BAF"/>
    <w:rsid w:val="411C6683"/>
    <w:rsid w:val="413C5593"/>
    <w:rsid w:val="415070A3"/>
    <w:rsid w:val="415901C6"/>
    <w:rsid w:val="420A7AE5"/>
    <w:rsid w:val="42380F46"/>
    <w:rsid w:val="424055E3"/>
    <w:rsid w:val="42A524A9"/>
    <w:rsid w:val="431D5EB2"/>
    <w:rsid w:val="43CF0940"/>
    <w:rsid w:val="442944F4"/>
    <w:rsid w:val="44313487"/>
    <w:rsid w:val="455B41B7"/>
    <w:rsid w:val="45713393"/>
    <w:rsid w:val="45EC7209"/>
    <w:rsid w:val="45F15D9C"/>
    <w:rsid w:val="4693525F"/>
    <w:rsid w:val="46CD5B35"/>
    <w:rsid w:val="472F186D"/>
    <w:rsid w:val="476D64A6"/>
    <w:rsid w:val="48405A05"/>
    <w:rsid w:val="48DC7D87"/>
    <w:rsid w:val="48F4450E"/>
    <w:rsid w:val="49D2194C"/>
    <w:rsid w:val="4A031344"/>
    <w:rsid w:val="4ACF79D8"/>
    <w:rsid w:val="4B386DCB"/>
    <w:rsid w:val="4B6D6E0C"/>
    <w:rsid w:val="4DF464B0"/>
    <w:rsid w:val="4DFD1F89"/>
    <w:rsid w:val="4E105DDD"/>
    <w:rsid w:val="4EC12742"/>
    <w:rsid w:val="4EE37F7F"/>
    <w:rsid w:val="4FCF3FE4"/>
    <w:rsid w:val="5060304C"/>
    <w:rsid w:val="50BD1283"/>
    <w:rsid w:val="50F45AF5"/>
    <w:rsid w:val="512940ED"/>
    <w:rsid w:val="53045735"/>
    <w:rsid w:val="54FC70BB"/>
    <w:rsid w:val="55AA5538"/>
    <w:rsid w:val="55D33BEB"/>
    <w:rsid w:val="567535C9"/>
    <w:rsid w:val="5697572C"/>
    <w:rsid w:val="572E7B96"/>
    <w:rsid w:val="573C6C18"/>
    <w:rsid w:val="57415259"/>
    <w:rsid w:val="574C6FA9"/>
    <w:rsid w:val="57E63349"/>
    <w:rsid w:val="57EF1159"/>
    <w:rsid w:val="587B479B"/>
    <w:rsid w:val="594E1B4F"/>
    <w:rsid w:val="59EB239A"/>
    <w:rsid w:val="5A285848"/>
    <w:rsid w:val="5AC35F42"/>
    <w:rsid w:val="5BF6556A"/>
    <w:rsid w:val="5CA70254"/>
    <w:rsid w:val="5D487342"/>
    <w:rsid w:val="5D8436E4"/>
    <w:rsid w:val="5DC22821"/>
    <w:rsid w:val="5DD60DF1"/>
    <w:rsid w:val="5DE117D0"/>
    <w:rsid w:val="5E1E7D22"/>
    <w:rsid w:val="5E246195"/>
    <w:rsid w:val="5E6F1245"/>
    <w:rsid w:val="5E777F9C"/>
    <w:rsid w:val="5F2B50A5"/>
    <w:rsid w:val="5F7F1015"/>
    <w:rsid w:val="5FC50B63"/>
    <w:rsid w:val="60484E4F"/>
    <w:rsid w:val="61DA03D6"/>
    <w:rsid w:val="63027431"/>
    <w:rsid w:val="631D55A2"/>
    <w:rsid w:val="640022E2"/>
    <w:rsid w:val="64B21057"/>
    <w:rsid w:val="65D77FB4"/>
    <w:rsid w:val="66292606"/>
    <w:rsid w:val="662B27A9"/>
    <w:rsid w:val="66976FB9"/>
    <w:rsid w:val="66C32B7B"/>
    <w:rsid w:val="67AC4971"/>
    <w:rsid w:val="67EB2484"/>
    <w:rsid w:val="683F3A37"/>
    <w:rsid w:val="68637725"/>
    <w:rsid w:val="691C5356"/>
    <w:rsid w:val="6A024AF5"/>
    <w:rsid w:val="6A134F38"/>
    <w:rsid w:val="6CE35978"/>
    <w:rsid w:val="6D48613E"/>
    <w:rsid w:val="6D4B79AF"/>
    <w:rsid w:val="6DCD09F3"/>
    <w:rsid w:val="6E663ACB"/>
    <w:rsid w:val="6F6D0E8A"/>
    <w:rsid w:val="6FA27C4D"/>
    <w:rsid w:val="6FF45107"/>
    <w:rsid w:val="70453BB5"/>
    <w:rsid w:val="70B37874"/>
    <w:rsid w:val="70DA29A4"/>
    <w:rsid w:val="71012FDC"/>
    <w:rsid w:val="726940E6"/>
    <w:rsid w:val="73DA3C94"/>
    <w:rsid w:val="7464015A"/>
    <w:rsid w:val="74C67CB8"/>
    <w:rsid w:val="750B533F"/>
    <w:rsid w:val="75B94E29"/>
    <w:rsid w:val="764548B8"/>
    <w:rsid w:val="764A782F"/>
    <w:rsid w:val="76AE21CF"/>
    <w:rsid w:val="76C656EC"/>
    <w:rsid w:val="776C1A27"/>
    <w:rsid w:val="777F0DF4"/>
    <w:rsid w:val="77D1032C"/>
    <w:rsid w:val="780F6F82"/>
    <w:rsid w:val="79526D89"/>
    <w:rsid w:val="79786CFC"/>
    <w:rsid w:val="79863274"/>
    <w:rsid w:val="79CE0224"/>
    <w:rsid w:val="7A025896"/>
    <w:rsid w:val="7A635B2B"/>
    <w:rsid w:val="7B0D7202"/>
    <w:rsid w:val="7BF1735A"/>
    <w:rsid w:val="7C8F243F"/>
    <w:rsid w:val="7CE26D28"/>
    <w:rsid w:val="7D6560CD"/>
    <w:rsid w:val="7E3C3FAA"/>
    <w:rsid w:val="7E3F527B"/>
    <w:rsid w:val="7F0C7FE1"/>
    <w:rsid w:val="7F8A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0"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6">
    <w:name w:val="heading 2"/>
    <w:basedOn w:val="7"/>
    <w:next w:val="1"/>
    <w:qFormat/>
    <w:uiPriority w:val="9"/>
    <w:pPr>
      <w:spacing w:before="100" w:beforeAutospacing="1" w:after="100" w:afterAutospacing="1"/>
      <w:jc w:val="left"/>
      <w:outlineLvl w:val="1"/>
    </w:pPr>
    <w:rPr>
      <w:rFonts w:hint="eastAsia" w:ascii="宋体" w:hAnsi="宋体"/>
      <w:b/>
      <w:bCs/>
      <w:kern w:val="0"/>
      <w:sz w:val="36"/>
      <w:szCs w:val="36"/>
    </w:rPr>
  </w:style>
  <w:style w:type="paragraph" w:styleId="15">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cs="Courier New"/>
    </w:rPr>
  </w:style>
  <w:style w:type="paragraph" w:customStyle="1" w:styleId="3">
    <w:name w:val="Default"/>
    <w:basedOn w:val="4"/>
    <w:unhideWhenUsed/>
    <w:qFormat/>
    <w:uiPriority w:val="99"/>
    <w:pPr>
      <w:widowControl w:val="0"/>
      <w:autoSpaceDE w:val="0"/>
      <w:autoSpaceDN w:val="0"/>
      <w:adjustRightInd w:val="0"/>
    </w:pPr>
    <w:rPr>
      <w:rFonts w:ascii="方正仿宋_GB2312" w:hAnsi="方正仿宋_GB2312" w:eastAsia="方正仿宋_GB2312" w:cs="Times New Roman"/>
      <w:color w:val="000000"/>
      <w:sz w:val="24"/>
      <w:szCs w:val="24"/>
      <w:lang w:val="en-US" w:eastAsia="zh-CN" w:bidi="ar-SA"/>
    </w:rPr>
  </w:style>
  <w:style w:type="paragraph" w:customStyle="1" w:styleId="4">
    <w:name w:val="纯文本1"/>
    <w:basedOn w:val="1"/>
    <w:next w:val="1"/>
    <w:qFormat/>
    <w:uiPriority w:val="0"/>
    <w:pPr>
      <w:adjustRightInd w:val="0"/>
    </w:pPr>
    <w:rPr>
      <w:rFonts w:ascii="宋体" w:hAnsi="Courier New"/>
      <w:szCs w:val="20"/>
    </w:rPr>
  </w:style>
  <w:style w:type="paragraph" w:styleId="7">
    <w:name w:val="toc 2"/>
    <w:basedOn w:val="1"/>
    <w:next w:val="8"/>
    <w:qFormat/>
    <w:uiPriority w:val="0"/>
    <w:pPr>
      <w:ind w:left="420" w:leftChars="200"/>
    </w:pPr>
  </w:style>
  <w:style w:type="paragraph" w:styleId="8">
    <w:name w:val="E-mail Signature"/>
    <w:basedOn w:val="1"/>
    <w:next w:val="9"/>
    <w:qFormat/>
    <w:uiPriority w:val="99"/>
    <w:pPr>
      <w:spacing w:line="460" w:lineRule="exact"/>
      <w:ind w:firstLine="200"/>
    </w:pPr>
    <w:rPr>
      <w:rFonts w:ascii="Times New Roman" w:hAnsi="Times New Roman" w:cs="Times New Roman"/>
    </w:rPr>
  </w:style>
  <w:style w:type="paragraph" w:customStyle="1" w:styleId="9">
    <w:name w:val="文章"/>
    <w:next w:val="10"/>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0">
    <w:name w:val="List"/>
    <w:basedOn w:val="1"/>
    <w:next w:val="11"/>
    <w:qFormat/>
    <w:uiPriority w:val="0"/>
    <w:pPr>
      <w:ind w:left="200" w:hanging="200" w:hangingChars="200"/>
    </w:pPr>
  </w:style>
  <w:style w:type="paragraph" w:styleId="11">
    <w:name w:val="List Bullet 2"/>
    <w:basedOn w:val="1"/>
    <w:next w:val="12"/>
    <w:semiHidden/>
    <w:unhideWhenUsed/>
    <w:qFormat/>
    <w:uiPriority w:val="99"/>
    <w:pPr>
      <w:numPr>
        <w:ilvl w:val="0"/>
        <w:numId w:val="1"/>
      </w:numPr>
    </w:pPr>
  </w:style>
  <w:style w:type="paragraph" w:customStyle="1" w:styleId="12">
    <w:name w:val="xl70"/>
    <w:basedOn w:val="1"/>
    <w:next w:val="13"/>
    <w:qFormat/>
    <w:uiPriority w:val="0"/>
    <w:pPr>
      <w:widowControl/>
      <w:spacing w:before="280" w:after="280" w:line="240" w:lineRule="auto"/>
      <w:ind w:firstLine="0"/>
    </w:pPr>
    <w:rPr>
      <w:rFonts w:ascii="宋体"/>
    </w:rPr>
  </w:style>
  <w:style w:type="paragraph" w:customStyle="1" w:styleId="13">
    <w:name w:val="正文缩进1"/>
    <w:basedOn w:val="1"/>
    <w:next w:val="14"/>
    <w:qFormat/>
    <w:uiPriority w:val="0"/>
    <w:pPr>
      <w:ind w:firstLine="420"/>
    </w:pPr>
    <w:rPr>
      <w:rFonts w:ascii="宋体"/>
      <w:sz w:val="28"/>
    </w:rPr>
  </w:style>
  <w:style w:type="paragraph" w:customStyle="1" w:styleId="14">
    <w:name w:val="td1"/>
    <w:basedOn w:val="1"/>
    <w:next w:val="1"/>
    <w:qFormat/>
    <w:uiPriority w:val="0"/>
    <w:pPr>
      <w:widowControl/>
      <w:spacing w:before="280" w:after="280" w:line="300" w:lineRule="atLeast"/>
      <w:ind w:firstLine="200"/>
    </w:pPr>
    <w:rPr>
      <w:color w:val="000000"/>
      <w:sz w:val="18"/>
    </w:rPr>
  </w:style>
  <w:style w:type="paragraph" w:styleId="16">
    <w:name w:val="Normal Indent"/>
    <w:basedOn w:val="1"/>
    <w:next w:val="1"/>
    <w:qFormat/>
    <w:uiPriority w:val="0"/>
    <w:pPr>
      <w:spacing w:line="360" w:lineRule="auto"/>
      <w:ind w:firstLine="420"/>
    </w:pPr>
    <w:rPr>
      <w:rFonts w:ascii="宋体"/>
      <w:sz w:val="28"/>
      <w:szCs w:val="20"/>
    </w:rPr>
  </w:style>
  <w:style w:type="paragraph" w:styleId="17">
    <w:name w:val="caption"/>
    <w:basedOn w:val="1"/>
    <w:next w:val="1"/>
    <w:qFormat/>
    <w:uiPriority w:val="0"/>
    <w:pPr>
      <w:snapToGrid w:val="0"/>
      <w:spacing w:before="50" w:beforeLines="50" w:line="360" w:lineRule="auto"/>
      <w:ind w:firstLine="0" w:firstLineChars="0"/>
      <w:jc w:val="center"/>
    </w:pPr>
    <w:rPr>
      <w:rFonts w:ascii="Times New Roman" w:hAnsi="Times New Roman" w:eastAsia="宋体"/>
      <w:b/>
      <w:szCs w:val="21"/>
    </w:rPr>
  </w:style>
  <w:style w:type="paragraph" w:styleId="18">
    <w:name w:val="annotation text"/>
    <w:basedOn w:val="1"/>
    <w:qFormat/>
    <w:uiPriority w:val="0"/>
    <w:pPr>
      <w:adjustRightInd w:val="0"/>
      <w:spacing w:line="360" w:lineRule="auto"/>
      <w:ind w:firstLine="567"/>
      <w:textAlignment w:val="baseline"/>
    </w:pPr>
    <w:rPr>
      <w:kern w:val="28"/>
      <w:sz w:val="28"/>
      <w:szCs w:val="20"/>
    </w:rPr>
  </w:style>
  <w:style w:type="paragraph" w:styleId="19">
    <w:name w:val="Body Text"/>
    <w:basedOn w:val="1"/>
    <w:next w:val="1"/>
    <w:link w:val="78"/>
    <w:qFormat/>
    <w:uiPriority w:val="0"/>
    <w:pPr>
      <w:spacing w:before="20" w:after="20"/>
      <w:jc w:val="center"/>
    </w:pPr>
    <w:rPr>
      <w:sz w:val="24"/>
    </w:rPr>
  </w:style>
  <w:style w:type="paragraph" w:styleId="20">
    <w:name w:val="Body Text Indent"/>
    <w:basedOn w:val="1"/>
    <w:next w:val="21"/>
    <w:qFormat/>
    <w:uiPriority w:val="0"/>
    <w:pPr>
      <w:ind w:firstLine="540"/>
    </w:pPr>
    <w:rPr>
      <w:kern w:val="1"/>
      <w:sz w:val="24"/>
      <w:szCs w:val="20"/>
    </w:rPr>
  </w:style>
  <w:style w:type="paragraph" w:customStyle="1" w:styleId="21">
    <w:name w:val="样式 正文文本缩进 + 行距: 1.5 倍行距"/>
    <w:basedOn w:val="1"/>
    <w:qFormat/>
    <w:uiPriority w:val="0"/>
    <w:pPr>
      <w:spacing w:after="120"/>
      <w:ind w:left="90" w:leftChars="32" w:firstLine="560" w:firstLineChars="200"/>
    </w:pPr>
  </w:style>
  <w:style w:type="paragraph" w:styleId="22">
    <w:name w:val="toc 3"/>
    <w:basedOn w:val="1"/>
    <w:next w:val="1"/>
    <w:unhideWhenUsed/>
    <w:qFormat/>
    <w:uiPriority w:val="39"/>
    <w:pPr>
      <w:ind w:left="840" w:leftChars="400"/>
    </w:pPr>
  </w:style>
  <w:style w:type="paragraph" w:styleId="23">
    <w:name w:val="footer"/>
    <w:basedOn w:val="1"/>
    <w:link w:val="4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4">
    <w:name w:val="header"/>
    <w:basedOn w:val="1"/>
    <w:link w:val="4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5">
    <w:name w:val="toc 1"/>
    <w:basedOn w:val="1"/>
    <w:next w:val="1"/>
    <w:semiHidden/>
    <w:unhideWhenUsed/>
    <w:qFormat/>
    <w:uiPriority w:val="39"/>
  </w:style>
  <w:style w:type="paragraph" w:styleId="26">
    <w:name w:val="Normal (Web)"/>
    <w:basedOn w:val="1"/>
    <w:link w:val="44"/>
    <w:qFormat/>
    <w:uiPriority w:val="0"/>
    <w:pPr>
      <w:widowControl/>
      <w:spacing w:before="100" w:beforeAutospacing="1" w:after="100" w:afterAutospacing="1"/>
      <w:jc w:val="left"/>
    </w:pPr>
    <w:rPr>
      <w:rFonts w:ascii="宋体" w:hAnsi="宋体" w:cstheme="minorBidi"/>
      <w:sz w:val="24"/>
      <w:szCs w:val="22"/>
    </w:rPr>
  </w:style>
  <w:style w:type="paragraph" w:styleId="27">
    <w:name w:val="Body Text First Indent"/>
    <w:basedOn w:val="1"/>
    <w:next w:val="1"/>
    <w:qFormat/>
    <w:uiPriority w:val="0"/>
    <w:pPr>
      <w:ind w:firstLine="420"/>
    </w:pPr>
    <w:rPr>
      <w:sz w:val="28"/>
      <w:szCs w:val="20"/>
    </w:rPr>
  </w:style>
  <w:style w:type="paragraph" w:styleId="28">
    <w:name w:val="Body Text First Indent 2"/>
    <w:basedOn w:val="20"/>
    <w:next w:val="27"/>
    <w:qFormat/>
    <w:uiPriority w:val="0"/>
    <w:pPr>
      <w:spacing w:after="120" w:line="240" w:lineRule="auto"/>
      <w:ind w:left="420" w:firstLine="210" w:firstLineChars="0"/>
    </w:pPr>
    <w:rPr>
      <w:rFonts w:ascii="Times New Roman" w:hAnsi="Times New Roman"/>
      <w:sz w:val="24"/>
    </w:rPr>
  </w:style>
  <w:style w:type="table" w:styleId="30">
    <w:name w:val="Table Grid"/>
    <w:basedOn w:val="2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styleId="33">
    <w:name w:val="page number"/>
    <w:basedOn w:val="31"/>
    <w:qFormat/>
    <w:uiPriority w:val="0"/>
  </w:style>
  <w:style w:type="character" w:styleId="34">
    <w:name w:val="Hyperlink"/>
    <w:qFormat/>
    <w:uiPriority w:val="99"/>
    <w:rPr>
      <w:color w:val="0000FF"/>
      <w:u w:val="single"/>
    </w:rPr>
  </w:style>
  <w:style w:type="character" w:styleId="35">
    <w:name w:val="annotation reference"/>
    <w:unhideWhenUsed/>
    <w:qFormat/>
    <w:uiPriority w:val="99"/>
    <w:rPr>
      <w:sz w:val="21"/>
      <w:szCs w:val="21"/>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标题2"/>
    <w:basedOn w:val="6"/>
    <w:next w:val="1"/>
    <w:qFormat/>
    <w:uiPriority w:val="0"/>
    <w:pPr>
      <w:numPr>
        <w:ilvl w:val="1"/>
        <w:numId w:val="2"/>
      </w:numPr>
      <w:spacing w:before="0" w:after="0" w:line="440" w:lineRule="exact"/>
    </w:pPr>
    <w:rPr>
      <w:kern w:val="0"/>
      <w:sz w:val="28"/>
    </w:rPr>
  </w:style>
  <w:style w:type="paragraph" w:customStyle="1" w:styleId="40">
    <w:name w:val="样式35"/>
    <w:basedOn w:val="1"/>
    <w:next w:val="41"/>
    <w:qFormat/>
    <w:uiPriority w:val="0"/>
    <w:pPr>
      <w:adjustRightInd w:val="0"/>
      <w:spacing w:line="312" w:lineRule="auto"/>
      <w:ind w:firstLine="567"/>
    </w:pPr>
    <w:rPr>
      <w:sz w:val="28"/>
    </w:rPr>
  </w:style>
  <w:style w:type="paragraph" w:customStyle="1" w:styleId="41">
    <w:name w:val="font6"/>
    <w:basedOn w:val="1"/>
    <w:next w:val="7"/>
    <w:qFormat/>
    <w:uiPriority w:val="0"/>
    <w:pPr>
      <w:widowControl/>
      <w:spacing w:before="100" w:beforeLines="0" w:beforeAutospacing="1" w:after="100" w:afterLines="0" w:afterAutospacing="1"/>
      <w:jc w:val="left"/>
    </w:pPr>
    <w:rPr>
      <w:rFonts w:eastAsia="Arial Unicode MS"/>
      <w:kern w:val="0"/>
      <w:sz w:val="24"/>
    </w:rPr>
  </w:style>
  <w:style w:type="character" w:customStyle="1" w:styleId="42">
    <w:name w:val="页眉 Char"/>
    <w:basedOn w:val="31"/>
    <w:link w:val="24"/>
    <w:qFormat/>
    <w:uiPriority w:val="99"/>
    <w:rPr>
      <w:sz w:val="18"/>
      <w:szCs w:val="18"/>
    </w:rPr>
  </w:style>
  <w:style w:type="character" w:customStyle="1" w:styleId="43">
    <w:name w:val="页脚 Char"/>
    <w:basedOn w:val="31"/>
    <w:link w:val="23"/>
    <w:qFormat/>
    <w:uiPriority w:val="99"/>
    <w:rPr>
      <w:sz w:val="18"/>
      <w:szCs w:val="18"/>
    </w:rPr>
  </w:style>
  <w:style w:type="character" w:customStyle="1" w:styleId="44">
    <w:name w:val="普通(网站) Char"/>
    <w:link w:val="26"/>
    <w:qFormat/>
    <w:locked/>
    <w:uiPriority w:val="0"/>
    <w:rPr>
      <w:rFonts w:ascii="宋体" w:hAnsi="宋体" w:eastAsia="宋体"/>
      <w:sz w:val="24"/>
    </w:rPr>
  </w:style>
  <w:style w:type="character" w:customStyle="1" w:styleId="45">
    <w:name w:val="表格 Char"/>
    <w:link w:val="46"/>
    <w:qFormat/>
    <w:locked/>
    <w:uiPriority w:val="0"/>
    <w:rPr>
      <w:rFonts w:ascii="宋体"/>
    </w:rPr>
  </w:style>
  <w:style w:type="paragraph" w:customStyle="1" w:styleId="46">
    <w:name w:val="表格"/>
    <w:basedOn w:val="16"/>
    <w:next w:val="1"/>
    <w:link w:val="45"/>
    <w:qFormat/>
    <w:uiPriority w:val="0"/>
    <w:pPr>
      <w:adjustRightInd w:val="0"/>
      <w:snapToGrid w:val="0"/>
      <w:spacing w:beforeLines="24" w:afterLines="24" w:line="259" w:lineRule="auto"/>
      <w:jc w:val="center"/>
    </w:pPr>
    <w:rPr>
      <w:rFonts w:ascii="宋体" w:hAnsiTheme="minorHAnsi" w:eastAsiaTheme="minorEastAsia" w:cstheme="minorBidi"/>
      <w:szCs w:val="22"/>
    </w:rPr>
  </w:style>
  <w:style w:type="paragraph" w:customStyle="1" w:styleId="47">
    <w:name w:val="表头"/>
    <w:basedOn w:val="1"/>
    <w:qFormat/>
    <w:uiPriority w:val="0"/>
    <w:pPr>
      <w:spacing w:line="360" w:lineRule="auto"/>
      <w:ind w:firstLine="284"/>
      <w:jc w:val="center"/>
    </w:pPr>
    <w:rPr>
      <w:b/>
      <w:sz w:val="24"/>
      <w:szCs w:val="20"/>
    </w:rPr>
  </w:style>
  <w:style w:type="paragraph" w:customStyle="1" w:styleId="48">
    <w:name w:val="Table Paragraph"/>
    <w:basedOn w:val="1"/>
    <w:qFormat/>
    <w:uiPriority w:val="0"/>
    <w:pPr>
      <w:spacing w:before="10"/>
      <w:jc w:val="center"/>
    </w:pPr>
    <w:rPr>
      <w:rFonts w:ascii="宋体" w:hAnsi="宋体" w:cs="宋体"/>
      <w:kern w:val="0"/>
      <w:sz w:val="22"/>
      <w:szCs w:val="22"/>
      <w:lang w:eastAsia="en-US"/>
    </w:rPr>
  </w:style>
  <w:style w:type="character" w:customStyle="1" w:styleId="49">
    <w:name w:val="标题 3 Char"/>
    <w:basedOn w:val="31"/>
    <w:qFormat/>
    <w:uiPriority w:val="9"/>
    <w:rPr>
      <w:rFonts w:eastAsia="黑体"/>
      <w:b/>
      <w:kern w:val="2"/>
      <w:sz w:val="24"/>
      <w:szCs w:val="32"/>
    </w:rPr>
  </w:style>
  <w:style w:type="paragraph" w:customStyle="1" w:styleId="50">
    <w:name w:val="2 xt-表格文字-报告书"/>
    <w:qFormat/>
    <w:uiPriority w:val="0"/>
    <w:pPr>
      <w:adjustRightInd w:val="0"/>
      <w:snapToGrid w:val="0"/>
      <w:jc w:val="center"/>
    </w:pPr>
    <w:rPr>
      <w:rFonts w:ascii="Times New Roman" w:hAnsi="Times New Roman" w:eastAsia="宋体" w:cs="Times New Roman"/>
      <w:snapToGrid w:val="0"/>
      <w:sz w:val="21"/>
      <w:szCs w:val="24"/>
      <w:lang w:val="en-US" w:eastAsia="zh-CN" w:bidi="ar-SA"/>
    </w:rPr>
  </w:style>
  <w:style w:type="paragraph" w:customStyle="1" w:styleId="51">
    <w:name w:val="报告"/>
    <w:basedOn w:val="1"/>
    <w:qFormat/>
    <w:uiPriority w:val="0"/>
    <w:pPr>
      <w:spacing w:line="360" w:lineRule="auto"/>
      <w:ind w:firstLine="505"/>
    </w:pPr>
    <w:rPr>
      <w:rFonts w:ascii="Good Times" w:hAnsi="Good Times" w:cs="Good Times"/>
      <w:color w:val="000000"/>
      <w:kern w:val="0"/>
      <w:sz w:val="24"/>
      <w:lang w:val="zh-CN"/>
    </w:rPr>
  </w:style>
  <w:style w:type="paragraph" w:styleId="52">
    <w:name w:val="List Paragraph"/>
    <w:basedOn w:val="1"/>
    <w:qFormat/>
    <w:uiPriority w:val="1"/>
    <w:pPr>
      <w:ind w:left="1308" w:hanging="602"/>
    </w:pPr>
    <w:rPr>
      <w:rFonts w:ascii="宋体" w:hAnsi="宋体" w:cs="宋体"/>
      <w:lang w:val="zh-CN" w:bidi="zh-CN"/>
    </w:rPr>
  </w:style>
  <w:style w:type="paragraph" w:customStyle="1" w:styleId="53">
    <w:name w:val="p0"/>
    <w:basedOn w:val="1"/>
    <w:qFormat/>
    <w:uiPriority w:val="0"/>
    <w:pPr>
      <w:widowControl/>
      <w:jc w:val="both"/>
    </w:pPr>
    <w:rPr>
      <w:kern w:val="0"/>
      <w:sz w:val="28"/>
      <w:szCs w:val="20"/>
    </w:rPr>
  </w:style>
  <w:style w:type="paragraph" w:customStyle="1" w:styleId="5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5">
    <w:name w:val="无间隔1"/>
    <w:qFormat/>
    <w:uiPriority w:val="0"/>
    <w:pPr>
      <w:widowControl w:val="0"/>
      <w:jc w:val="center"/>
    </w:pPr>
    <w:rPr>
      <w:rFonts w:ascii="Times New Roman" w:hAnsi="Times New Roman" w:eastAsia="宋体" w:cs="黑体"/>
      <w:kern w:val="2"/>
      <w:sz w:val="21"/>
      <w:szCs w:val="22"/>
      <w:lang w:val="en-US" w:eastAsia="zh-CN" w:bidi="ar-SA"/>
    </w:rPr>
  </w:style>
  <w:style w:type="paragraph" w:customStyle="1" w:styleId="56">
    <w:name w:val="样式7"/>
    <w:basedOn w:val="1"/>
    <w:qFormat/>
    <w:uiPriority w:val="0"/>
    <w:pPr>
      <w:adjustRightInd w:val="0"/>
      <w:spacing w:line="360" w:lineRule="auto"/>
      <w:ind w:firstLine="480" w:firstLineChars="200"/>
      <w:jc w:val="left"/>
      <w:textAlignment w:val="baseline"/>
    </w:pPr>
    <w:rPr>
      <w:rFonts w:hAnsi="宋体"/>
      <w:kern w:val="0"/>
      <w:sz w:val="24"/>
    </w:rPr>
  </w:style>
  <w:style w:type="paragraph" w:customStyle="1" w:styleId="57">
    <w:name w:val="Table Text"/>
    <w:basedOn w:val="1"/>
    <w:semiHidden/>
    <w:qFormat/>
    <w:uiPriority w:val="0"/>
    <w:rPr>
      <w:rFonts w:ascii="Arial" w:hAnsi="Arial" w:eastAsia="Arial" w:cs="Arial"/>
      <w:sz w:val="21"/>
      <w:szCs w:val="21"/>
      <w:lang w:val="en-US" w:eastAsia="en-US" w:bidi="ar-SA"/>
    </w:rPr>
  </w:style>
  <w:style w:type="paragraph" w:customStyle="1" w:styleId="58">
    <w:name w:val="正文yuan"/>
    <w:basedOn w:val="1"/>
    <w:next w:val="1"/>
    <w:qFormat/>
    <w:uiPriority w:val="0"/>
    <w:pPr>
      <w:tabs>
        <w:tab w:val="left" w:pos="180"/>
      </w:tabs>
      <w:spacing w:line="360" w:lineRule="auto"/>
      <w:ind w:firstLine="723" w:firstLineChars="200"/>
    </w:pPr>
    <w:rPr>
      <w:rFonts w:ascii="Times New Roman" w:hAnsi="Times New Roman" w:eastAsia="宋体" w:cs="Times New Roman"/>
      <w:color w:val="FF0000"/>
      <w:sz w:val="24"/>
    </w:rPr>
  </w:style>
  <w:style w:type="paragraph" w:customStyle="1" w:styleId="59">
    <w:name w:val="环评正文"/>
    <w:basedOn w:val="1"/>
    <w:qFormat/>
    <w:uiPriority w:val="0"/>
    <w:pPr>
      <w:spacing w:line="360" w:lineRule="auto"/>
      <w:ind w:firstLine="480" w:firstLineChars="200"/>
    </w:pPr>
    <w:rPr>
      <w:rFonts w:ascii="Verdana" w:hAnsi="Verdana"/>
      <w:sz w:val="24"/>
      <w:lang w:eastAsia="en-US"/>
    </w:rPr>
  </w:style>
  <w:style w:type="paragraph" w:customStyle="1" w:styleId="60">
    <w:name w:val="制表格"/>
    <w:basedOn w:val="1"/>
    <w:qFormat/>
    <w:uiPriority w:val="0"/>
    <w:pPr>
      <w:jc w:val="center"/>
    </w:pPr>
    <w:rPr>
      <w:rFonts w:ascii="Times New Roman" w:hAnsi="Times New Roman"/>
      <w:snapToGrid w:val="0"/>
      <w:kern w:val="0"/>
      <w:szCs w:val="28"/>
    </w:rPr>
  </w:style>
  <w:style w:type="character" w:customStyle="1" w:styleId="61">
    <w:name w:val="正文（首行缩进两字） Char"/>
    <w:qFormat/>
    <w:uiPriority w:val="0"/>
    <w:rPr>
      <w:rFonts w:eastAsia="宋体"/>
      <w:kern w:val="2"/>
      <w:sz w:val="24"/>
      <w:lang w:val="en-US" w:eastAsia="zh-CN"/>
    </w:rPr>
  </w:style>
  <w:style w:type="table" w:customStyle="1" w:styleId="62">
    <w:name w:val="Table Normal"/>
    <w:semiHidden/>
    <w:unhideWhenUsed/>
    <w:qFormat/>
    <w:uiPriority w:val="0"/>
    <w:rPr>
      <w:rFonts w:ascii="Arial" w:hAnsi="Arial" w:cs="Arial"/>
      <w:kern w:val="0"/>
      <w:sz w:val="20"/>
      <w:szCs w:val="20"/>
    </w:rPr>
    <w:tblPr>
      <w:tblCellMar>
        <w:top w:w="0" w:type="dxa"/>
        <w:left w:w="0" w:type="dxa"/>
        <w:bottom w:w="0" w:type="dxa"/>
        <w:right w:w="0" w:type="dxa"/>
      </w:tblCellMar>
    </w:tblPr>
  </w:style>
  <w:style w:type="character" w:customStyle="1" w:styleId="63">
    <w:name w:val="font61"/>
    <w:basedOn w:val="31"/>
    <w:qFormat/>
    <w:uiPriority w:val="0"/>
    <w:rPr>
      <w:rFonts w:hint="default" w:ascii="Times New Roman" w:hAnsi="Times New Roman" w:cs="Times New Roman"/>
      <w:b/>
      <w:bCs/>
      <w:color w:val="000000"/>
      <w:sz w:val="13"/>
      <w:szCs w:val="13"/>
      <w:u w:val="none"/>
    </w:rPr>
  </w:style>
  <w:style w:type="character" w:customStyle="1" w:styleId="64">
    <w:name w:val="font31"/>
    <w:basedOn w:val="31"/>
    <w:qFormat/>
    <w:uiPriority w:val="0"/>
    <w:rPr>
      <w:rFonts w:hint="default" w:ascii="Times New Roman" w:hAnsi="Times New Roman" w:cs="Times New Roman"/>
      <w:color w:val="000000"/>
      <w:sz w:val="20"/>
      <w:szCs w:val="20"/>
      <w:u w:val="none"/>
    </w:rPr>
  </w:style>
  <w:style w:type="character" w:customStyle="1" w:styleId="65">
    <w:name w:val="font21"/>
    <w:basedOn w:val="31"/>
    <w:qFormat/>
    <w:uiPriority w:val="0"/>
    <w:rPr>
      <w:rFonts w:hint="eastAsia" w:ascii="宋体" w:hAnsi="宋体" w:eastAsia="宋体" w:cs="宋体"/>
      <w:color w:val="000000"/>
      <w:sz w:val="20"/>
      <w:szCs w:val="20"/>
      <w:u w:val="none"/>
    </w:rPr>
  </w:style>
  <w:style w:type="paragraph" w:customStyle="1" w:styleId="66">
    <w:name w:val="1正文-报告表"/>
    <w:basedOn w:val="1"/>
    <w:qFormat/>
    <w:uiPriority w:val="0"/>
    <w:pPr>
      <w:ind w:firstLine="480" w:firstLineChars="200"/>
    </w:pPr>
    <w:rPr>
      <w:kern w:val="0"/>
      <w:sz w:val="24"/>
    </w:rPr>
  </w:style>
  <w:style w:type="character" w:customStyle="1" w:styleId="67">
    <w:name w:val="font41"/>
    <w:basedOn w:val="31"/>
    <w:qFormat/>
    <w:uiPriority w:val="0"/>
    <w:rPr>
      <w:rFonts w:hint="default" w:ascii="Times New Roman" w:hAnsi="Times New Roman" w:cs="Times New Roman"/>
      <w:color w:val="000000"/>
      <w:sz w:val="21"/>
      <w:szCs w:val="21"/>
      <w:u w:val="none"/>
    </w:rPr>
  </w:style>
  <w:style w:type="character" w:customStyle="1" w:styleId="68">
    <w:name w:val="font11"/>
    <w:basedOn w:val="31"/>
    <w:qFormat/>
    <w:uiPriority w:val="0"/>
    <w:rPr>
      <w:rFonts w:hint="default" w:ascii="Times New Roman" w:hAnsi="Times New Roman" w:cs="Times New Roman"/>
      <w:color w:val="0000FF"/>
      <w:sz w:val="21"/>
      <w:szCs w:val="21"/>
      <w:u w:val="none"/>
    </w:rPr>
  </w:style>
  <w:style w:type="paragraph" w:customStyle="1" w:styleId="69">
    <w:name w:val="表格内容"/>
    <w:basedOn w:val="70"/>
    <w:next w:val="1"/>
    <w:qFormat/>
    <w:uiPriority w:val="0"/>
    <w:pPr>
      <w:spacing w:line="260" w:lineRule="exact"/>
      <w:jc w:val="center"/>
    </w:pPr>
    <w:rPr>
      <w:snapToGrid w:val="0"/>
      <w:kern w:val="0"/>
      <w:szCs w:val="21"/>
    </w:rPr>
  </w:style>
  <w:style w:type="paragraph" w:customStyle="1" w:styleId="70">
    <w:name w:val="图表标题"/>
    <w:basedOn w:val="1"/>
    <w:qFormat/>
    <w:uiPriority w:val="0"/>
    <w:pPr>
      <w:spacing w:line="360" w:lineRule="auto"/>
      <w:jc w:val="center"/>
    </w:pPr>
    <w:rPr>
      <w:sz w:val="24"/>
    </w:rPr>
  </w:style>
  <w:style w:type="character" w:customStyle="1" w:styleId="71">
    <w:name w:val="font81"/>
    <w:basedOn w:val="31"/>
    <w:qFormat/>
    <w:uiPriority w:val="0"/>
    <w:rPr>
      <w:rFonts w:hint="default" w:ascii="Times New Roman" w:hAnsi="Times New Roman" w:cs="Times New Roman"/>
      <w:color w:val="000000"/>
      <w:sz w:val="21"/>
      <w:szCs w:val="21"/>
      <w:u w:val="none"/>
    </w:rPr>
  </w:style>
  <w:style w:type="paragraph" w:customStyle="1" w:styleId="72">
    <w:name w:val="正文修改"/>
    <w:basedOn w:val="1"/>
    <w:qFormat/>
    <w:uiPriority w:val="0"/>
    <w:pPr>
      <w:spacing w:line="360" w:lineRule="auto"/>
      <w:ind w:firstLine="1440" w:firstLineChars="200"/>
    </w:pPr>
    <w:rPr>
      <w:rFonts w:ascii="Times New Roman" w:hAnsi="Times New Roman" w:eastAsia="宋体"/>
      <w:color w:val="0000FF"/>
      <w:sz w:val="24"/>
    </w:rPr>
  </w:style>
  <w:style w:type="paragraph" w:customStyle="1" w:styleId="73">
    <w:name w:val="赵"/>
    <w:basedOn w:val="1"/>
    <w:qFormat/>
    <w:uiPriority w:val="0"/>
    <w:pPr>
      <w:ind w:firstLine="200" w:firstLineChars="200"/>
    </w:pPr>
    <w:rPr>
      <w:rFonts w:ascii="Calibri" w:hAnsi="Calibri" w:cs="Times New Roman"/>
      <w:color w:val="000000"/>
      <w:sz w:val="24"/>
    </w:rPr>
  </w:style>
  <w:style w:type="paragraph" w:customStyle="1" w:styleId="74">
    <w:name w:val="Normal Indent1"/>
    <w:basedOn w:val="1"/>
    <w:qFormat/>
    <w:uiPriority w:val="0"/>
    <w:pPr>
      <w:ind w:firstLine="420" w:firstLineChars="200"/>
    </w:pPr>
  </w:style>
  <w:style w:type="paragraph" w:customStyle="1" w:styleId="75">
    <w:name w:val="初稿正文"/>
    <w:basedOn w:val="1"/>
    <w:qFormat/>
    <w:uiPriority w:val="0"/>
    <w:pPr>
      <w:spacing w:line="360" w:lineRule="auto"/>
      <w:ind w:firstLine="720" w:firstLineChars="200"/>
    </w:pPr>
    <w:rPr>
      <w:rFonts w:ascii="Times New Roman" w:hAnsi="Times New Roman" w:eastAsia="宋体" w:cs="Times New Roman"/>
      <w:color w:val="FF0000"/>
      <w:szCs w:val="21"/>
    </w:rPr>
  </w:style>
  <w:style w:type="paragraph" w:customStyle="1" w:styleId="76">
    <w:name w:val="表格标题"/>
    <w:basedOn w:val="75"/>
    <w:next w:val="1"/>
    <w:qFormat/>
    <w:uiPriority w:val="0"/>
    <w:pPr>
      <w:jc w:val="center"/>
    </w:pPr>
    <w:rPr>
      <w:b/>
      <w:sz w:val="21"/>
    </w:rPr>
  </w:style>
  <w:style w:type="paragraph" w:customStyle="1" w:styleId="77">
    <w:name w:val="hp表格小五"/>
    <w:qFormat/>
    <w:uiPriority w:val="0"/>
    <w:pPr>
      <w:adjustRightInd w:val="0"/>
      <w:snapToGrid w:val="0"/>
      <w:spacing w:line="240" w:lineRule="atLeast"/>
      <w:jc w:val="center"/>
    </w:pPr>
    <w:rPr>
      <w:rFonts w:ascii="Times New Roman" w:hAnsi="Times New Roman" w:eastAsia="宋体" w:cs="Times New Roman"/>
      <w:sz w:val="18"/>
      <w:szCs w:val="18"/>
      <w:lang w:val="en-US" w:eastAsia="zh-CN" w:bidi="ar-SA"/>
    </w:rPr>
  </w:style>
  <w:style w:type="character" w:customStyle="1" w:styleId="78">
    <w:name w:val="正文文本 Char"/>
    <w:basedOn w:val="31"/>
    <w:link w:val="19"/>
    <w:qFormat/>
    <w:locked/>
    <w:uiPriority w:val="0"/>
    <w:rPr>
      <w:sz w:val="24"/>
    </w:rPr>
  </w:style>
  <w:style w:type="character" w:customStyle="1" w:styleId="79">
    <w:name w:val="font51"/>
    <w:basedOn w:val="31"/>
    <w:qFormat/>
    <w:uiPriority w:val="0"/>
    <w:rPr>
      <w:rFonts w:hint="eastAsia" w:ascii="宋体" w:hAnsi="宋体" w:eastAsia="宋体" w:cs="宋体"/>
      <w:color w:val="0000FF"/>
      <w:sz w:val="24"/>
      <w:szCs w:val="24"/>
      <w:u w:val="none"/>
    </w:rPr>
  </w:style>
  <w:style w:type="character" w:customStyle="1" w:styleId="80">
    <w:name w:val="font71"/>
    <w:basedOn w:val="3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emf"/><Relationship Id="rId25" Type="http://schemas.openxmlformats.org/officeDocument/2006/relationships/oleObject" Target="embeddings/oleObject7.bin"/><Relationship Id="rId24" Type="http://schemas.openxmlformats.org/officeDocument/2006/relationships/image" Target="media/image7.emf"/><Relationship Id="rId23" Type="http://schemas.openxmlformats.org/officeDocument/2006/relationships/oleObject" Target="embeddings/oleObject6.bin"/><Relationship Id="rId22" Type="http://schemas.openxmlformats.org/officeDocument/2006/relationships/image" Target="media/image6.emf"/><Relationship Id="rId21" Type="http://schemas.openxmlformats.org/officeDocument/2006/relationships/oleObject" Target="embeddings/oleObject5.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d4523711-8ee8-4a03-bd94-aa4ce003ae56</errorID>
      <errorWord>；</errorWord>
      <group>L1_Grammar</group>
      <groupName>语法问题</groupName>
      <ability>L2_Order</ability>
      <abilityName>语序不当</abilityName>
      <candidateList>
        <item>事项；</item>
      </candidateList>
      <explain>句子可能没有遵循时空、逻辑顺序，或者介词、关联词等位置不当。</explain>
      <paraID>29C6369C</paraID>
      <start>42</start>
      <end>43</end>
      <status>ignored</status>
      <modifiedWord/>
      <trackRevisions>false</trackRevisions>
    </reviewItem>
    <reviewItem>
      <errorID>a9768b6a-eecf-4d11-b93c-e42baa3068e5</errorID>
      <errorWord>污水厂</errorWord>
      <group>L1_Word</group>
      <groupName>字词问题</groupName>
      <ability>L2_Typo</ability>
      <abilityName>字词错误</abilityName>
      <candidateList>
        <item>污水处理厂</item>
      </candidateList>
      <explain/>
      <paraID>7CF95D2F</paraID>
      <start>5</start>
      <end>10</end>
      <status>modified</status>
      <modifiedWord>污水处理厂</modifiedWord>
      <trackRevisions>false</trackRevisions>
    </reviewItem>
    <reviewItem>
      <errorID>3e57fe6c-bcb7-432a-bccd-b6048386e2c9</errorID>
      <errorWord>国家发改委</errorWord>
      <group>L1_Knowledge</group>
      <groupName>知识性问题</groupName>
      <ability>L2_Knowledge</ability>
      <abilityName>其他知识</abilityName>
      <candidateList>
        <item>国家发展改革委</item>
      </candidateList>
      <explain/>
      <paraID>451322E0</paraID>
      <start>73</start>
      <end>80</end>
      <status>modified</status>
      <modifiedWord>国家发展改革委</modifiedWord>
      <trackRevisions>false</trackRevisions>
    </reviewItem>
    <reviewItem>
      <errorID>90bcdb61-9fde-47f9-a2a1-98f01301ee7e</errorID>
      <errorWord>项目2025年</errorWord>
      <group>L1_Word</group>
      <groupName>字词问题</groupName>
      <ability>L2_Typo</ability>
      <abilityName>字词错误</abilityName>
      <candidateList>
        <item>项目于2025年</item>
      </candidateList>
      <explain/>
      <paraID>451322E0</paraID>
      <start>135</start>
      <end>143</end>
      <status>modified</status>
      <modifiedWord>项目于2025年</modifiedWord>
      <trackRevisions>false</trackRevisions>
    </reviewItem>
    <reviewItem>
      <errorID>83d39d16-393c-4446-b9f1-1e54ab872be0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6B52D32B</paraID>
      <start>0</start>
      <end>2</end>
      <status>ignored</status>
      <modifiedWord/>
      <trackRevisions>false</trackRevisions>
    </reviewItem>
    <reviewItem>
      <errorID>3408af1c-6b8c-4de3-9153-9f397022e104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2871D72</paraID>
      <start>0</start>
      <end>2</end>
      <status>ignored</status>
      <modifiedWord/>
      <trackRevisions>false</trackRevisions>
    </reviewItem>
    <reviewItem>
      <errorID>cb10372c-6e5f-488d-8b21-05c194aeaed3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4E426B5C</paraID>
      <start>0</start>
      <end>2</end>
      <status>ignored</status>
      <modifiedWord/>
      <trackRevisions>false</trackRevisions>
    </reviewItem>
    <reviewItem>
      <errorID>059e52b3-d565-477d-ae4d-150efcb0ad71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53BBAA64</paraID>
      <start>0</start>
      <end>2</end>
      <status>ignored</status>
      <modifiedWord/>
      <trackRevisions>false</trackRevisions>
    </reviewItem>
    <reviewItem>
      <errorID>957b7209-c9a2-4272-81f2-103697288488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16148867</paraID>
      <start>0</start>
      <end>2</end>
      <status>ignored</status>
      <modifiedWord/>
      <trackRevisions>false</trackRevisions>
    </reviewItem>
    <reviewItem>
      <errorID>f236e03e-6a8c-4cdf-bb34-1b6348033d76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2CD95467</paraID>
      <start>0</start>
      <end>2</end>
      <status>ignored</status>
      <modifiedWord/>
      <trackRevisions>false</trackRevisions>
    </reviewItem>
    <reviewItem>
      <errorID>60ee6b17-1887-44d3-a82a-8b454f20d67d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4049CD0A</paraID>
      <start>0</start>
      <end>2</end>
      <status>ignored</status>
      <modifiedWord/>
      <trackRevisions>false</trackRevisions>
    </reviewItem>
    <reviewItem>
      <errorID>8e3bc468-4de5-45ee-b282-e69947d5c7d7</errorID>
      <errorWord>包含了</errorWord>
      <group>L1_Word</group>
      <groupName>字词问题</groupName>
      <ability>L2_Typo</ability>
      <abilityName>字词错误</abilityName>
      <candidateList>
        <item>包含</item>
      </candidateList>
      <explain>〈动〉里边含有：这句话～好几层意思。</explain>
      <paraID>4049CD0A</paraID>
      <start>8</start>
      <end>10</end>
      <status>modified</status>
      <modifiedWord>包含</modifiedWord>
      <trackRevisions>false</trackRevisions>
    </reviewItem>
    <reviewItem>
      <errorID>f58ca75d-059d-45e4-8f07-299f2794c4ac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136B1521</paraID>
      <start>0</start>
      <end>2</end>
      <status>ignored</status>
      <modifiedWord/>
      <trackRevisions>false</trackRevisions>
    </reviewItem>
    <reviewItem>
      <errorID>9b246853-79f1-4d41-b0ad-de173a12cfde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2D65A633</paraID>
      <start>0</start>
      <end>2</end>
      <status>ignored</status>
      <modifiedWord/>
      <trackRevisions>false</trackRevisions>
    </reviewItem>
    <reviewItem>
      <errorID>fedd3446-0fe3-4c5b-aa87-ff54c404a653</errorID>
      <errorWord>包含有</errorWord>
      <group>L1_Word</group>
      <groupName>字词问题</groupName>
      <ability>L2_Typo</ability>
      <abilityName>字词错误</abilityName>
      <candidateList>
        <item>包含</item>
      </candidateList>
      <explain>〈动〉里边含有：这句话～好几层意思。</explain>
      <paraID>2D65A633</paraID>
      <start>17</start>
      <end>20</end>
      <status>ignored</status>
      <modifiedWord/>
      <trackRevisions>false</trackRevisions>
    </reviewItem>
    <reviewItem>
      <errorID>6078a29f-fb94-4557-a8ec-2b4289a5cdb7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46F1F6BF</paraID>
      <start>0</start>
      <end>3</end>
      <status>ignored</status>
      <modifiedWord/>
      <trackRevisions>false</trackRevisions>
    </reviewItem>
    <reviewItem>
      <errorID>1655ac33-7e49-44c1-a3e6-7f040434d159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67ABECE2</paraID>
      <start>0</start>
      <end>3</end>
      <status>ignored</status>
      <modifiedWord/>
      <trackRevisions>false</trackRevisions>
    </reviewItem>
    <reviewItem>
      <errorID>2262e2cc-c2e3-41bb-896b-32d8eb5a86ba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4CFF742F</paraID>
      <start>0</start>
      <end>3</end>
      <status>ignored</status>
      <modifiedWord/>
      <trackRevisions>false</trackRevisions>
    </reviewItem>
    <reviewItem>
      <errorID>0579e7ab-568c-4231-b74e-76bdcad8496e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2BF56591</paraID>
      <start>0</start>
      <end>3</end>
      <status>ignored</status>
      <modifiedWord/>
      <trackRevisions>false</trackRevisions>
    </reviewItem>
    <reviewItem>
      <errorID>94325482-4de5-45e7-8bc7-7c126890a139</errorID>
      <errorWord>包括了</errorWord>
      <group>L1_Word</group>
      <groupName>字词问题</groupName>
      <ability>L2_Typo</ability>
      <abilityName>字词错误</abilityName>
      <candidateList>
        <item>包括</item>
      </candidateList>
      <explain/>
      <paraID>2BF56591</paraID>
      <start>7</start>
      <end>10</end>
      <status>ignored</status>
      <modifiedWord/>
      <trackRevisions>false</trackRevisions>
    </reviewItem>
    <reviewItem>
      <errorID>e013000f-9fb8-4b5b-bc4d-d10ce1b4345a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1526CF1A</paraID>
      <start>0</start>
      <end>3</end>
      <status>ignored</status>
      <modifiedWord/>
      <trackRevisions>false</trackRevisions>
    </reviewItem>
    <reviewItem>
      <errorID>44b9f369-9f45-4851-9e89-9fe5a31dd5fc</errorID>
      <errorWord>III类</errorWord>
      <group>L1_Knowledge</group>
      <groupName>知识性问题</groupName>
      <ability>L2_Knowledge</ability>
      <abilityName>其他知识</abilityName>
      <candidateList>
        <item>Ⅲ类</item>
      </candidateList>
      <explain>中文环境下罗马数字格式错误。</explain>
      <paraID>12E10FF2</paraID>
      <start>169</start>
      <end>173</end>
      <status>ignored</status>
      <modifiedWord/>
      <trackRevisions>false</trackRevisions>
    </reviewItem>
    <reviewItem>
      <errorID>b528c538-8914-4827-9bf9-eeb31fd38d81</errorID>
      <errorWord>上线</errorWord>
      <group>L1_Word</group>
      <groupName>字词问题</groupName>
      <ability>L2_Typo</ability>
      <abilityName>字词错误</abilityName>
      <candidateList>
        <item>上限</item>
      </candidateList>
      <explain/>
      <paraID> C2671EB</paraID>
      <start>4</start>
      <end>6</end>
      <status>ignored</status>
      <modifiedWord/>
      <trackRevisions>false</trackRevisions>
    </reviewItem>
    <reviewItem>
      <errorID>3882a743-0b7c-4ef0-8759-ee160fc0323d</errorID>
      <errorWord>上线</errorWord>
      <group>L1_Word</group>
      <groupName>字词问题</groupName>
      <ability>L2_Typo</ability>
      <abilityName>字词错误</abilityName>
      <candidateList>
        <item>上限</item>
      </candidateList>
      <explain/>
      <paraID> 706498E</paraID>
      <start>138</start>
      <end>140</end>
      <status>ignored</status>
      <modifiedWord/>
      <trackRevisions>false</trackRevisions>
    </reviewItem>
    <reviewItem>
      <errorID>7cf85c31-9db9-4cd3-8271-be5ff62a579d</errorID>
      <errorWord>瓷</errorWord>
      <group>L1_Word</group>
      <groupName>字词问题</groupName>
      <ability>L2_Typo</ability>
      <abilityName>字词错误</abilityName>
      <candidateList>
        <item>瓷产</item>
      </candidateList>
      <explain/>
      <paraID>24B30454</paraID>
      <start>12</start>
      <end>13</end>
      <status>ignored</status>
      <modifiedWord/>
      <trackRevisions>false</trackRevisions>
    </reviewItem>
    <reviewItem>
      <errorID>a15d0ec8-bb96-4732-b487-ab8e85ab3c4a</errorID>
      <errorWord>达</errorWord>
      <group>L1_Word</group>
      <groupName>字词问题</groupName>
      <ability>L2_Typo</ability>
      <abilityName>字词错误</abilityName>
      <candidateList>
        <item>达到</item>
      </candidateList>
      <explain>〈动〉到（多指抽象事物或程度）：达得到｜达不到｜目的没有～｜～国际水平。</explain>
      <paraID>585E7237</paraID>
      <start>40</start>
      <end>41</end>
      <status>ignored</status>
      <modifiedWord/>
      <trackRevisions>false</trackRevisions>
    </reviewItem>
    <reviewItem>
      <errorID>8ddda452-7021-433c-86fa-f0aa0e639c5d</errorID>
      <errorWord>胶粘剂</errorWord>
      <group>L1_Word</group>
      <groupName>字词问题</groupName>
      <ability>L2_Typo</ability>
      <abilityName>字词错误</abilityName>
      <candidateList>
        <item>胶黏剂</item>
      </candidateList>
      <explain/>
      <paraID>11B26EA2</paraID>
      <start>14</start>
      <end>17</end>
      <status>ignored</status>
      <modifiedWord/>
      <trackRevisions>false</trackRevisions>
    </reviewItem>
    <reviewItem>
      <errorID>b12fcd82-1bfe-4fea-b6d4-b0c47b830077</errorID>
      <errorWord>胶粘剂</errorWord>
      <group>L1_Word</group>
      <groupName>字词问题</groupName>
      <ability>L2_Typo</ability>
      <abilityName>字词错误</abilityName>
      <candidateList>
        <item>胶黏剂</item>
      </candidateList>
      <explain/>
      <paraID>284FC789</paraID>
      <start>38</start>
      <end>41</end>
      <status>ignored</status>
      <modifiedWord/>
      <trackRevisions>false</trackRevisions>
    </reviewItem>
    <reviewItem>
      <errorID>53d6f15e-2a7a-4d84-97e6-9a91f54cd72a</errorID>
      <errorWord>胶粘剂</errorWord>
      <group>L1_Word</group>
      <groupName>字词问题</groupName>
      <ability>L2_Typo</ability>
      <abilityName>字词错误</abilityName>
      <candidateList>
        <item>胶黏剂</item>
      </candidateList>
      <explain/>
      <paraID>12B77775</paraID>
      <start>98</start>
      <end>101</end>
      <status>ignored</status>
      <modifiedWord/>
      <trackRevisions>false</trackRevisions>
    </reviewItem>
    <reviewItem>
      <errorID>741fe6a8-d546-42bc-af40-4b6cc8a87f8e</errorID>
      <errorWord>胶粘剂</errorWord>
      <group>L1_Word</group>
      <groupName>字词问题</groupName>
      <ability>L2_Typo</ability>
      <abilityName>字词错误</abilityName>
      <candidateList>
        <item>胶黏剂</item>
      </candidateList>
      <explain/>
      <paraID>12B77775</paraID>
      <start>134</start>
      <end>137</end>
      <status>ignored</status>
      <modifiedWord/>
      <trackRevisions>false</trackRevisions>
    </reviewItem>
    <reviewItem>
      <errorID>d3053c51-7869-4016-ac3d-1b71138f73cb</errorID>
      <errorWord>胶粘剂</errorWord>
      <group>L1_Word</group>
      <groupName>字词问题</groupName>
      <ability>L2_Typo</ability>
      <abilityName>字词错误</abilityName>
      <candidateList>
        <item>胶黏剂</item>
      </candidateList>
      <explain/>
      <paraID>4BA281C0</paraID>
      <start>14</start>
      <end>17</end>
      <status>ignored</status>
      <modifiedWord/>
      <trackRevisions>false</trackRevisions>
    </reviewItem>
    <reviewItem>
      <errorID>2bdd1c36-546f-4313-a5ad-afb53679cc4b</errorID>
      <errorWord>胶粘剂</errorWord>
      <group>L1_Word</group>
      <groupName>字词问题</groupName>
      <ability>L2_Typo</ability>
      <abilityName>字词错误</abilityName>
      <candidateList>
        <item>胶黏剂</item>
      </candidateList>
      <explain/>
      <paraID> CEF9744</paraID>
      <start>98</start>
      <end>101</end>
      <status>ignored</status>
      <modifiedWord/>
      <trackRevisions>false</trackRevisions>
    </reviewItem>
    <reviewItem>
      <errorID>73656e1e-2f7e-42f0-8047-112d3d1fe51c</errorID>
      <errorWord>胶粘剂</errorWord>
      <group>L1_Word</group>
      <groupName>字词问题</groupName>
      <ability>L2_Typo</ability>
      <abilityName>字词错误</abilityName>
      <candidateList>
        <item>胶黏剂</item>
      </candidateList>
      <explain/>
      <paraID> CEF9744</paraID>
      <start>134</start>
      <end>137</end>
      <status>ignored</status>
      <modifiedWord/>
      <trackRevisions>false</trackRevisions>
    </reviewItem>
    <reviewItem>
      <errorID>6fa5ea79-5274-4a1a-a2b7-996501a7c52b</errorID>
      <errorWord>胶粘剂</errorWord>
      <group>L1_Word</group>
      <groupName>字词问题</groupName>
      <ability>L2_Typo</ability>
      <abilityName>字词错误</abilityName>
      <candidateList>
        <item>胶黏剂</item>
      </candidateList>
      <explain/>
      <paraID> CEF9744</paraID>
      <start>305</start>
      <end>308</end>
      <status>ignored</status>
      <modifiedWord/>
      <trackRevisions>false</trackRevisions>
    </reviewItem>
    <reviewItem>
      <errorID>1496ad7c-7743-41bd-a152-26eff5c10a5e</errorID>
      <errorWord>胶粘剂</errorWord>
      <group>L1_Word</group>
      <groupName>字词问题</groupName>
      <ability>L2_Typo</ability>
      <abilityName>字词错误</abilityName>
      <candidateList>
        <item>胶黏剂</item>
      </candidateList>
      <explain/>
      <paraID>23D45DF1</paraID>
      <start>20</start>
      <end>23</end>
      <status>ignored</status>
      <modifiedWord/>
      <trackRevisions>false</trackRevisions>
    </reviewItem>
    <reviewItem>
      <errorID>bc31f641-5375-44ed-b4c3-3b3dcaffe217</errorID>
      <errorWord>程</errorWord>
      <group>L1_Word</group>
      <groupName>字词问题</groupName>
      <ability>L2_Typo</ability>
      <abilityName>字词错误</abilityName>
      <candidateList>
        <item>程中</item>
      </candidateList>
      <explain/>
      <paraID>370A1BB9</paraID>
      <start>169</start>
      <end>170</end>
      <status>ignored</status>
      <modifiedWord/>
      <trackRevisions>false</trackRevisions>
    </reviewItem>
    <reviewItem>
      <errorID>946f1db4-6fbb-4f70-815d-e8ed2affe5cb</errorID>
      <errorWord>胶粘剂</errorWord>
      <group>L1_Word</group>
      <groupName>字词问题</groupName>
      <ability>L2_Typo</ability>
      <abilityName>字词错误</abilityName>
      <candidateList>
        <item>胶黏剂</item>
      </candidateList>
      <explain/>
      <paraID>1587325C</paraID>
      <start>178</start>
      <end>181</end>
      <status>ignored</status>
      <modifiedWord/>
      <trackRevisions>false</trackRevisions>
    </reviewItem>
    <reviewItem>
      <errorID>45ff571a-f6df-410b-b124-7852a75bccbd</errorID>
      <errorWord>胶粘剂</errorWord>
      <group>L1_Word</group>
      <groupName>字词问题</groupName>
      <ability>L2_Typo</ability>
      <abilityName>字词错误</abilityName>
      <candidateList>
        <item>胶黏剂</item>
      </candidateList>
      <explain/>
      <paraID>1587325C</paraID>
      <start>386</start>
      <end>389</end>
      <status>ignored</status>
      <modifiedWord/>
      <trackRevisions>false</trackRevisions>
    </reviewItem>
    <reviewItem>
      <errorID>ac79726f-d529-46c6-a916-468b8ee1c070</errorID>
      <errorWord>胶粘剂</errorWord>
      <group>L1_Word</group>
      <groupName>字词问题</groupName>
      <ability>L2_Typo</ability>
      <abilityName>字词错误</abilityName>
      <candidateList>
        <item>胶黏剂</item>
      </candidateList>
      <explain/>
      <paraID>20009B8A</paraID>
      <start>34</start>
      <end>37</end>
      <status>ignored</status>
      <modifiedWord/>
      <trackRevisions>false</trackRevisions>
    </reviewItem>
    <reviewItem>
      <errorID>10a8755d-b54f-48d1-a658-e929a16dd173</errorID>
      <errorWord>补链延链强链</errorWord>
      <group>L1_Word</group>
      <groupName>字词问题</groupName>
      <ability>L2_Typo</ability>
      <abilityName>字词错误</abilityName>
      <candidateList>
        <item>延链补链强链</item>
      </candidateList>
      <explain/>
      <paraID>3B1F4E19</paraID>
      <start>41</start>
      <end>47</end>
      <status>ignored</status>
      <modifiedWord/>
      <trackRevisions>false</trackRevisions>
    </reviewItem>
    <reviewItem>
      <errorID>f88844e9-6721-403e-868e-1df0f59db4f8</errorID>
      <errorWord>资源节约高效利用</errorWord>
      <group>L1_Political</group>
      <groupName>政治性问题</groupName>
      <ability>L2_Keyword</ability>
      <abilityName>固定表述</abilityName>
      <candidateList>
        <item>资源节约集约利用</item>
      </candidateList>
      <explain>词汇“资源节约集约利用”在特定场景下为固定表述形式，请确认此处的“资源节约高效利用”是否存在不当。</explain>
      <paraID>7B641728</paraID>
      <start>12</start>
      <end>20</end>
      <status>ignored</status>
      <modifiedWord/>
      <trackRevisions>false</trackRevisions>
    </reviewItem>
    <reviewItem>
      <errorID>2bb30ea4-6d6a-4ce8-a819-a3a2756b6d93</errorID>
      <errorWord>(</errorWord>
      <group>L1_Format</group>
      <groupName>格式问题</groupName>
      <ability>L2_HalfPunc_CN</ability>
      <abilityName>全半角检查</abilityName>
      <candidateList>
        <item>（</item>
      </candidateList>
      <explain>文本全半角错误。</explain>
      <paraID>7D471A91</paraID>
      <start>80</start>
      <end>81</end>
      <status>modified</status>
      <modifiedWord>（</modifiedWord>
      <trackRevisions>false</trackRevisions>
    </reviewItem>
    <reviewItem>
      <errorID>be21a98d-eac8-4a87-a087-78fd3dd0505f</errorID>
      <errorWord>)</errorWord>
      <group>L1_Format</group>
      <groupName>格式问题</groupName>
      <ability>L2_HalfPunc_CN</ability>
      <abilityName>全半角检查</abilityName>
      <candidateList>
        <item>）</item>
      </candidateList>
      <explain>文本全半角错误。</explain>
      <paraID>7D471A91</paraID>
      <start>86</start>
      <end>87</end>
      <status>modified</status>
      <modifiedWord>）</modifiedWord>
      <trackRevisions>false</trackRevisions>
    </reviewItem>
    <reviewItem>
      <errorID>5039c43b-7375-4dc4-9bb6-d77f43ac9e16</errorID>
      <errorWord>(</errorWord>
      <group>L1_Format</group>
      <groupName>格式问题</groupName>
      <ability>L2_HalfPunc_CN</ability>
      <abilityName>全半角检查</abilityName>
      <candidateList>
        <item>（</item>
      </candidateList>
      <explain>文本全半角错误。</explain>
      <paraID>7D471A91</paraID>
      <start>91</start>
      <end>92</end>
      <status>modified</status>
      <modifiedWord>（</modifiedWord>
      <trackRevisions>false</trackRevisions>
    </reviewItem>
    <reviewItem>
      <errorID>5b036aca-0272-4967-a8a4-007ac6644883</errorID>
      <errorWord>)</errorWord>
      <group>L1_Format</group>
      <groupName>格式问题</groupName>
      <ability>L2_HalfPunc_CN</ability>
      <abilityName>全半角检查</abilityName>
      <candidateList>
        <item>）</item>
      </candidateList>
      <explain>文本全半角错误。</explain>
      <paraID>7D471A91</paraID>
      <start>104</start>
      <end>105</end>
      <status>modified</status>
      <modifiedWord>）</modifiedWord>
      <trackRevisions>false</trackRevisions>
    </reviewItem>
    <reviewItem>
      <errorID>82964819-6cc4-4fe0-a67c-2baee39276c8</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225762A4</paraID>
      <start>15</start>
      <end>22</end>
      <status>ignored</status>
      <modifiedWord/>
      <trackRevisions>false</trackRevisions>
    </reviewItem>
    <reviewItem>
      <errorID>077d542d-13af-42fe-96dd-9f5af0f59529</errorID>
      <errorWord>补链延链强链</errorWord>
      <group>L1_Word</group>
      <groupName>字词问题</groupName>
      <ability>L2_Typo</ability>
      <abilityName>字词错误</abilityName>
      <candidateList>
        <item>延链补链强链</item>
      </candidateList>
      <explain/>
      <paraID>7B9CE9B1</paraID>
      <start>51</start>
      <end>57</end>
      <status>ignored</status>
      <modifiedWord/>
      <trackRevisions>false</trackRevisions>
    </reviewItem>
    <reviewItem>
      <errorID>41b96392-2ee1-45bf-8f10-4d2151a24699</errorID>
      <errorWord>污染治理攻坚战</errorWord>
      <group>L1_Political</group>
      <groupName>政治性问题</groupName>
      <ability>L2_Keyword</ability>
      <abilityName>固定表述</abilityName>
      <candidateList>
        <item>污染防治攻坚战</item>
      </candidateList>
      <explain>词汇“污染防治攻坚战”在特定场景下为固定表述形式，请确认此处的“污染治理攻坚战”是否存在不当。</explain>
      <paraID>297C0979</paraID>
      <start>15</start>
      <end>22</end>
      <status>ignored</status>
      <modifiedWord/>
      <trackRevisions>false</trackRevisions>
    </reviewItem>
    <reviewItem>
      <errorID>2087aee0-628a-4e3a-b743-e0e3b94638a1</errorID>
      <errorWord>胶粘剂</errorWord>
      <group>L1_Word</group>
      <groupName>字词问题</groupName>
      <ability>L2_Typo</ability>
      <abilityName>字词错误</abilityName>
      <candidateList>
        <item>胶黏剂</item>
      </candidateList>
      <explain/>
      <paraID>39D5AF4F</paraID>
      <start>42</start>
      <end>45</end>
      <status>ignored</status>
      <modifiedWord/>
      <trackRevisions>false</trackRevisions>
    </reviewItem>
    <reviewItem>
      <errorID>c6225456-ffd2-4696-bd98-d4f3b2bdff49</errorID>
      <errorWord>胶粘剂</errorWord>
      <group>L1_Word</group>
      <groupName>字词问题</groupName>
      <ability>L2_Typo</ability>
      <abilityName>字词错误</abilityName>
      <candidateList>
        <item>胶黏剂</item>
      </candidateList>
      <explain/>
      <paraID> BE19370</paraID>
      <start>35</start>
      <end>38</end>
      <status>ignored</status>
      <modifiedWord/>
      <trackRevisions>false</trackRevisions>
    </reviewItem>
    <reviewItem>
      <errorID>99f89033-0f79-4b8a-b8a3-237ba05805c2</errorID>
      <errorWord>胶粘剂</errorWord>
      <group>L1_Word</group>
      <groupName>字词问题</groupName>
      <ability>L2_Typo</ability>
      <abilityName>字词错误</abilityName>
      <candidateList>
        <item>胶黏剂</item>
      </candidateList>
      <explain/>
      <paraID>69500875</paraID>
      <start>42</start>
      <end>45</end>
      <status>ignored</status>
      <modifiedWord/>
      <trackRevisions>false</trackRevisions>
    </reviewItem>
    <reviewItem>
      <errorID>6c9e3e2d-0144-4e44-9344-23c37bc4e776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1AD7991D</paraID>
      <start>0</start>
      <end>2</end>
      <status>ignored</status>
      <modifiedWord/>
      <trackRevisions>false</trackRevisions>
    </reviewItem>
    <reviewItem>
      <errorID>56cfbd71-5058-4fc6-be20-8671ff737e9d</errorID>
      <errorWord>胶粘剂</errorWord>
      <group>L1_Word</group>
      <groupName>字词问题</groupName>
      <ability>L2_Typo</ability>
      <abilityName>字词错误</abilityName>
      <candidateList>
        <item>胶黏剂</item>
      </candidateList>
      <explain/>
      <paraID>1AD7991D</paraID>
      <start>36</start>
      <end>39</end>
      <status>ignored</status>
      <modifiedWord/>
      <trackRevisions>false</trackRevisions>
    </reviewItem>
    <reviewItem>
      <errorID>9e2a508c-cd68-456b-81c1-d39b8bfd5e51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3ABDA0F6</paraID>
      <start>0</start>
      <end>2</end>
      <status>ignored</status>
      <modifiedWord/>
      <trackRevisions>false</trackRevisions>
    </reviewItem>
    <reviewItem>
      <errorID>a3b574fa-3776-4e58-9c78-1238c640bd22</errorID>
      <errorWord>等</errorWord>
      <group>L1_Word</group>
      <groupName>字词问题</groupName>
      <ability>L2_Typo</ability>
      <abilityName>字词错误</abilityName>
      <candidateList>
        <item>的</item>
      </candidateList>
      <explain>“的”常用于连接修饰语与名词性中心语，表示属性、所属或描述。</explain>
      <paraID>27F29E11</paraID>
      <start>36</start>
      <end>37</end>
      <status>ignored</status>
      <modifiedWord/>
      <trackRevisions>false</trackRevisions>
    </reviewItem>
    <reviewItem>
      <errorID>2a58a9f4-e889-4ed8-9ba4-b58b2f610015</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43F41F21</paraID>
      <start>57</start>
      <end>77</end>
      <status>ignored</status>
      <modifiedWord/>
      <trackRevisions>false</trackRevisions>
    </reviewItem>
    <reviewItem>
      <errorID>33c41207-b2d7-41a5-8fcf-ad1047e143c0</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17E517CB</paraID>
      <start>56</start>
      <end>76</end>
      <status>ignored</status>
      <modifiedWord/>
      <trackRevisions>false</trackRevisions>
    </reviewItem>
    <reviewItem>
      <errorID>f6194617-22b7-44d4-8890-deac4728403e</errorID>
      <errorWord>，</errorWord>
      <group>L1_Word</group>
      <groupName>字词问题</groupName>
      <ability>L2_Typo</ability>
      <abilityName>字词错误</abilityName>
      <candidateList>
        <item>，在</item>
      </candidateList>
      <explain/>
      <paraID>6EF32067</paraID>
      <start>57</start>
      <end>58</end>
      <status>ignored</status>
      <modifiedWord/>
      <trackRevisions>false</trackRevisions>
    </reviewItem>
    <reviewItem>
      <errorID>ca4143bc-7b6f-4b98-9cca-ae6a075e89b5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2F898158</paraID>
      <start>0</start>
      <end>2</end>
      <status>ignored</status>
      <modifiedWord/>
      <trackRevisions>false</trackRevisions>
    </reviewItem>
    <reviewItem>
      <errorID>413d3fcb-4172-4c16-abf9-64fcc5109dab</errorID>
      <errorWord>项目2025年</errorWord>
      <group>L1_Word</group>
      <groupName>字词问题</groupName>
      <ability>L2_Typo</ability>
      <abilityName>字词错误</abilityName>
      <candidateList>
        <item>项目于2025年</item>
      </candidateList>
      <explain/>
      <paraID>26218A19</paraID>
      <start>127</start>
      <end>135</end>
      <status>modified</status>
      <modifiedWord>项目于2025年</modifiedWord>
      <trackRevisions>false</trackRevisions>
    </reviewItem>
    <reviewItem>
      <errorID>d63be518-1376-4ea2-a99a-0ba330df7c1c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EFB9128</paraID>
      <start>0</start>
      <end>2</end>
      <status>ignored</status>
      <modifiedWord/>
      <trackRevisions>false</trackRevisions>
    </reviewItem>
    <reviewItem>
      <errorID>c429e72f-1e70-46a6-9adc-350bc757e218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A298D65</paraID>
      <start>0</start>
      <end>2</end>
      <status>ignored</status>
      <modifiedWord/>
      <trackRevisions>false</trackRevisions>
    </reviewItem>
    <reviewItem>
      <errorID>87a7d7b7-946a-4434-b095-5576e71f8557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152FD76F</paraID>
      <start>111</start>
      <end>112</end>
      <status>ignored</status>
      <modifiedWord/>
      <trackRevisions>false</trackRevisions>
    </reviewItem>
    <reviewItem>
      <errorID>792c7f30-1039-454e-9aa3-345eee6698e9</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152FD76F</paraID>
      <start>150</start>
      <end>151</end>
      <status>ignored</status>
      <modifiedWord/>
      <trackRevisions>false</trackRevisions>
    </reviewItem>
    <reviewItem>
      <errorID>648e50f4-f337-4a66-b13d-690e73bbfbd6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443E3F6D</paraID>
      <start>74</start>
      <end>75</end>
      <status>ignored</status>
      <modifiedWord/>
      <trackRevisions>false</trackRevisions>
    </reviewItem>
    <reviewItem>
      <errorID>e53a5493-b431-4eac-8043-a839f9795008</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443E3F6D</paraID>
      <start>107</start>
      <end>108</end>
      <status>ignored</status>
      <modifiedWord/>
      <trackRevisions>false</trackRevisions>
    </reviewItem>
    <reviewItem>
      <errorID>148d41e7-6859-493b-80ae-8db08e21b1a1</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443E3F6D</paraID>
      <start>170</start>
      <end>171</end>
      <status>ignored</status>
      <modifiedWord/>
      <trackRevisions>false</trackRevisions>
    </reviewItem>
    <reviewItem>
      <errorID>130bcbde-599c-4f22-a6a0-07724db0b552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780D9806</paraID>
      <start>0</start>
      <end>2</end>
      <status>ignored</status>
      <modifiedWord/>
      <trackRevisions>false</trackRevisions>
    </reviewItem>
    <reviewItem>
      <errorID>c7d8042a-d032-4fa3-a6f3-2a17cecc4faa</errorID>
      <errorWord>、也</errorWord>
      <group>L1_Punc</group>
      <groupName>标点问题</groupName>
      <ability>L2_Punc_CN</ability>
      <abilityName>标点符号检查</abilityName>
      <candidateList>
        <item>，也</item>
      </candidateList>
      <explain>连接词前后不宜使用顿号，建议使用逗号。</explain>
      <paraID>243C5ADB</paraID>
      <start>32</start>
      <end>34</end>
      <status>modified</status>
      <modifiedWord>，也</modifiedWord>
      <trackRevisions>false</trackRevisions>
    </reviewItem>
    <reviewItem>
      <errorID>a39446a5-a4d0-452c-ad87-4e4e9d682289</errorID>
      <errorWord>水钻于</errorWord>
      <group>L1_Word</group>
      <groupName>字词问题</groupName>
      <ability>L2_Typo</ability>
      <abilityName>字词错误</abilityName>
      <candidateList>
        <item>水钻</item>
      </candidateList>
      <explain/>
      <paraID> EA56FBD</paraID>
      <start>7</start>
      <end>9</end>
      <status>modified</status>
      <modifiedWord>水钻</modifiedWord>
      <trackRevisions>false</trackRevisions>
    </reviewItem>
    <reviewItem>
      <errorID>e68b42c2-8c48-43df-aa79-ab96bd489298</errorID>
      <errorWord>粘接</errorWord>
      <group>L1_Word</group>
      <groupName>字词问题</groupName>
      <ability>L2_Typo</ability>
      <abilityName>字词错误</abilityName>
      <candidateList>
        <item>黏接</item>
      </candidateList>
      <explain>存在发音相同字词的误用。</explain>
      <paraID>73D6A274</paraID>
      <start>15</start>
      <end>17</end>
      <status>ignored</status>
      <modifiedWord/>
      <trackRevisions>false</trackRevisions>
    </reviewItem>
    <reviewItem>
      <errorID>0c07f7b2-9ca3-4963-a789-d14fd2d6f7b1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B527592</paraID>
      <start>0</start>
      <end>2</end>
      <status>ignored</status>
      <modifiedWord/>
      <trackRevisions>false</trackRevisions>
    </reviewItem>
    <reviewItem>
      <errorID>646bc7bf-505f-4df4-9371-e593747b468b</errorID>
      <errorWord>，</errorWord>
      <group>L1_Format</group>
      <groupName>格式问题</groupName>
      <ability>L2_HalfPunc_CN</ability>
      <abilityName>全半角检查</abilityName>
      <candidateList>
        <item>, </item>
      </candidateList>
      <explain>文本全半角错误。</explain>
      <paraID>7516423F</paraID>
      <start>8</start>
      <end>9</end>
      <status>ignored</status>
      <modifiedWord/>
      <trackRevisions>false</trackRevisions>
    </reviewItem>
    <reviewItem>
      <errorID>d578c18e-7740-43c1-bb21-550fa5ca2b7e</errorID>
      <errorWord>，</errorWord>
      <group>L1_Format</group>
      <groupName>格式问题</groupName>
      <ability>L2_HalfPunc_CN</ability>
      <abilityName>全半角检查</abilityName>
      <candidateList>
        <item>, </item>
      </candidateList>
      <explain>文本全半角错误。</explain>
      <paraID>7516423F</paraID>
      <start>14</start>
      <end>15</end>
      <status>ignored</status>
      <modifiedWord/>
      <trackRevisions>false</trackRevisions>
    </reviewItem>
    <reviewItem>
      <errorID>f05db0e7-9ea5-49b9-b0f1-72fe103dfacf</errorID>
      <errorWord>，</errorWord>
      <group>L1_Format</group>
      <groupName>格式问题</groupName>
      <ability>L2_HalfPunc_CN</ability>
      <abilityName>全半角检查</abilityName>
      <candidateList>
        <item>, </item>
      </candidateList>
      <explain>文本全半角错误。</explain>
      <paraID>22A24CC8</paraID>
      <start>6</start>
      <end>7</end>
      <status>ignored</status>
      <modifiedWord/>
      <trackRevisions>false</trackRevisions>
    </reviewItem>
    <reviewItem>
      <errorID>35c46487-c362-4ec7-b2ee-d086ab73828d</errorID>
      <errorWord>辊筒</errorWord>
      <group>L1_Word</group>
      <groupName>字词问题</groupName>
      <ability>L2_Typo</ability>
      <abilityName>字词错误</abilityName>
      <candidateList>
        <item>滚筒</item>
      </candidateList>
      <explain/>
      <paraID>6737A350</paraID>
      <start>2</start>
      <end>4</end>
      <status>ignored</status>
      <modifiedWord/>
      <trackRevisions>false</trackRevisions>
    </reviewItem>
    <reviewItem>
      <errorID>6af7a425-1b57-43f9-9926-373e91ffbb4b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6F4F36C4</paraID>
      <start>0</start>
      <end>2</end>
      <status>ignored</status>
      <modifiedWord/>
      <trackRevisions>false</trackRevisions>
    </reviewItem>
    <reviewItem>
      <errorID>c20acf2b-a63b-4d6d-98c2-6893cc7278a0</errorID>
      <errorWord>：</errorWord>
      <group>L1_Format</group>
      <groupName>格式问题</groupName>
      <ability>L2_HalfPunc_CN</ability>
      <abilityName>全半角检查</abilityName>
      <candidateList>
        <item>:</item>
      </candidateList>
      <explain>文本全半角错误。</explain>
      <paraID>30A81222</paraID>
      <start>9</start>
      <end>10</end>
      <status>ignored</status>
      <modifiedWord/>
      <trackRevisions>false</trackRevisions>
    </reviewItem>
    <reviewItem>
      <errorID>7e2bcfd4-bbbd-432b-aafb-a106085330ce</errorID>
      <errorWord>：</errorWord>
      <group>L1_Format</group>
      <groupName>格式问题</groupName>
      <ability>L2_HalfPunc_CN</ability>
      <abilityName>全半角检查</abilityName>
      <candidateList>
        <item>:</item>
      </candidateList>
      <explain>文本全半角错误。</explain>
      <paraID> 1A8E98E</paraID>
      <start>9</start>
      <end>10</end>
      <status>ignored</status>
      <modifiedWord/>
      <trackRevisions>false</trackRevisions>
    </reviewItem>
    <reviewItem>
      <errorID>719758aa-a20f-4760-8f43-79d207de6a7a</errorID>
      <errorWord>：</errorWord>
      <group>L1_Format</group>
      <groupName>格式问题</groupName>
      <ability>L2_HalfPunc_CN</ability>
      <abilityName>全半角检查</abilityName>
      <candidateList>
        <item>:</item>
      </candidateList>
      <explain>文本全半角错误。</explain>
      <paraID> 1A8E98E</paraID>
      <start>30</start>
      <end>31</end>
      <status>ignored</status>
      <modifiedWord/>
      <trackRevisions>false</trackRevisions>
    </reviewItem>
    <reviewItem>
      <errorID>1d421881-ea61-451b-b8b2-a75868afed77</errorID>
      <errorWord>：</errorWord>
      <group>L1_Format</group>
      <groupName>格式问题</groupName>
      <ability>L2_HalfPunc_CN</ability>
      <abilityName>全半角检查</abilityName>
      <candidateList>
        <item>:</item>
      </candidateList>
      <explain>文本全半角错误。</explain>
      <paraID>322FE5E4</paraID>
      <start>9</start>
      <end>10</end>
      <status>ignored</status>
      <modifiedWord/>
      <trackRevisions>false</trackRevisions>
    </reviewItem>
    <reviewItem>
      <errorID>ed7d6e1e-29be-4e6f-bd37-0d05400d2bdb</errorID>
      <errorWord>：</errorWord>
      <group>L1_Format</group>
      <groupName>格式问题</groupName>
      <ability>L2_HalfPunc_CN</ability>
      <abilityName>全半角检查</abilityName>
      <candidateList>
        <item>:</item>
      </candidateList>
      <explain>文本全半角错误。</explain>
      <paraID>6A07F69F</paraID>
      <start>21</start>
      <end>22</end>
      <status>ignored</status>
      <modifiedWord/>
      <trackRevisions>false</trackRevisions>
    </reviewItem>
    <reviewItem>
      <errorID>42a0c16c-48af-4bc7-9e46-6de6c7aa63a2</errorID>
      <errorWord>：</errorWord>
      <group>L1_Format</group>
      <groupName>格式问题</groupName>
      <ability>L2_HalfPunc_CN</ability>
      <abilityName>全半角检查</abilityName>
      <candidateList>
        <item>:</item>
      </candidateList>
      <explain>文本全半角错误。</explain>
      <paraID>6A07F69F</paraID>
      <start>35</start>
      <end>36</end>
      <status>ignored</status>
      <modifiedWord/>
      <trackRevisions>false</trackRevisions>
    </reviewItem>
    <reviewItem>
      <errorID>2aafb019-8fa1-45ec-b173-9d47766dbb5b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6660861C</paraID>
      <start>0</start>
      <end>2</end>
      <status>ignored</status>
      <modifiedWord/>
      <trackRevisions>false</trackRevisions>
    </reviewItem>
    <reviewItem>
      <errorID>28e10c8c-3384-4ef1-af68-4f5a32d2097f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236F1712</paraID>
      <start>0</start>
      <end>2</end>
      <status>ignored</status>
      <modifiedWord/>
      <trackRevisions>false</trackRevisions>
    </reviewItem>
    <reviewItem>
      <errorID>1f12b104-663c-4e5b-9a4f-135575fe419f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4CF2BC2E</paraID>
      <start>0</start>
      <end>2</end>
      <status>ignored</status>
      <modifiedWord/>
      <trackRevisions>false</trackRevisions>
    </reviewItem>
    <reviewItem>
      <errorID>10becb38-d6ad-4608-8039-7e057ec727bb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3BA7EC2F</paraID>
      <start>0</start>
      <end>3</end>
      <status>ignored</status>
      <modifiedWord/>
      <trackRevisions>false</trackRevisions>
    </reviewItem>
    <reviewItem>
      <errorID>d0b54fbe-5028-430c-ba05-7e0408f8795c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60B60FCF</paraID>
      <start>0</start>
      <end>3</end>
      <status>ignored</status>
      <modifiedWord/>
      <trackRevisions>false</trackRevisions>
    </reviewItem>
    <reviewItem>
      <errorID>841a77bc-dfc1-4463-9c83-76ad48fce499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468AB158</paraID>
      <start>0</start>
      <end>3</end>
      <status>ignored</status>
      <modifiedWord/>
      <trackRevisions>false</trackRevisions>
    </reviewItem>
    <reviewItem>
      <errorID>e4055a6f-19fe-4bc1-ab08-4de2f059915e</errorID>
      <errorWord>沉砂池</errorWord>
      <group>L1_Word</group>
      <groupName>字词问题</groupName>
      <ability>L2_Typo</ability>
      <abilityName>字词错误</abilityName>
      <candidateList>
        <item>沉沙池</item>
      </candidateList>
      <explain>存在发音相同字词的误用。</explain>
      <paraID>225FCBC9</paraID>
      <start>8</start>
      <end>11</end>
      <status>ignored</status>
      <modifiedWord/>
      <trackRevisions>false</trackRevisions>
    </reviewItem>
    <reviewItem>
      <errorID>cec05e37-810e-4d69-ba2d-90efffe59665</errorID>
      <errorWord>逸出</errorWord>
      <group>L1_Word</group>
      <groupName>字词问题</groupName>
      <ability>L2_Typo</ability>
      <abilityName>字词错误</abilityName>
      <candidateList>
        <item>溢出</item>
      </candidateList>
      <explain/>
      <paraID>  46D6D9</paraID>
      <start>259</start>
      <end>261</end>
      <status>ignored</status>
      <modifiedWord/>
      <trackRevisions>false</trackRevisions>
    </reviewItem>
    <reviewItem>
      <errorID>bd71c6e5-26cb-414d-bd61-b961aa0785a3</errorID>
      <errorWord>（</errorWord>
      <group>L1_Punc</group>
      <groupName>标点问题</groupName>
      <ability>L2_Punc_CN</ability>
      <abilityName>标点符号检查</abilityName>
      <candidateList/>
      <explain>同一形式括号套用。</explain>
      <paraID>722A5610</paraID>
      <start>87</start>
      <end>88</end>
      <status>ignored</status>
      <modifiedWord/>
      <trackRevisions>false</trackRevisions>
    </reviewItem>
    <reviewItem>
      <errorID>25ec8654-342d-4858-a85e-0920e1cdc99b</errorID>
      <errorWord>）</errorWord>
      <group>L1_Punc</group>
      <groupName>标点问题</groupName>
      <ability>L2_Punc_CN</ability>
      <abilityName>标点符号检查</abilityName>
      <candidateList/>
      <explain>同一形式括号套用。</explain>
      <paraID>722A5610</paraID>
      <start>90</start>
      <end>91</end>
      <status>ignored</status>
      <modifiedWord/>
      <trackRevisions>false</trackRevisions>
    </reviewItem>
    <reviewItem>
      <errorID>78a1322e-3a7a-4b50-8a2b-a03926b526ca</errorID>
      <errorWord>（</errorWord>
      <group>L1_Punc</group>
      <groupName>标点问题</groupName>
      <ability>L2_Punc_CN</ability>
      <abilityName>标点符号检查</abilityName>
      <candidateList/>
      <explain>同一形式括号套用。</explain>
      <paraID>722A5610</paraID>
      <start>101</start>
      <end>102</end>
      <status>ignored</status>
      <modifiedWord/>
      <trackRevisions>false</trackRevisions>
    </reviewItem>
    <reviewItem>
      <errorID>21eae544-1a3f-4fd7-88bf-8598bdb36b80</errorID>
      <errorWord>）</errorWord>
      <group>L1_Punc</group>
      <groupName>标点问题</groupName>
      <ability>L2_Punc_CN</ability>
      <abilityName>标点符号检查</abilityName>
      <candidateList/>
      <explain>同一形式括号套用。</explain>
      <paraID>722A5610</paraID>
      <start>107</start>
      <end>108</end>
      <status>ignored</status>
      <modifiedWord/>
      <trackRevisions>false</trackRevisions>
    </reviewItem>
    <reviewItem>
      <errorID>dbcb9d75-01d3-4011-99f5-b2c0c39d94b9</errorID>
      <errorWord>（3）、</errorWord>
      <group>L1_Punc</group>
      <groupName>标点问题</groupName>
      <ability>L2_Punc_CN</ability>
      <abilityName>标点符号检查</abilityName>
      <candidateList>
        <item>（3）</item>
      </candidateList>
      <explain>根据国标GB/T 15834-2011《标点符号用法》中的4.5.3.3节，带括号的汉字数字或阿拉伯数字表次序时，后面通常不加顿号。如“（一）指导思想”“（二）行动指南”。</explain>
      <paraID>5B1CF0E3</paraID>
      <start>6</start>
      <end>10</end>
      <status>ignored</status>
      <modifiedWord/>
      <trackRevisions>false</trackRevisions>
    </reviewItem>
    <reviewItem>
      <errorID>99a80831-1e07-4e3f-911f-229501d00276</errorID>
      <errorWord>融化</errorWord>
      <group>L1_Word</group>
      <groupName>字词问题</groupName>
      <ability>L2_Typo</ability>
      <abilityName>字词错误</abilityName>
      <candidateList>
        <item>熔化</item>
      </candidateList>
      <explain>存在发音相同字词的误用。</explain>
      <paraID> D8623C5</paraID>
      <start>53</start>
      <end>55</end>
      <status>ignored</status>
      <modifiedWord/>
      <trackRevisions>false</trackRevisions>
    </reviewItem>
    <reviewItem>
      <errorID>a0215f1d-a4ff-4b6f-8c46-64b0ae4c74d6</errorID>
      <errorWord>外圆</errorWord>
      <group>L1_Word</group>
      <groupName>字词问题</groupName>
      <ability>L2_Typo</ability>
      <abilityName>字词错误</abilityName>
      <candidateList>
        <item>外观</item>
      </candidateList>
      <explain/>
      <paraID>79C1D7A7</paraID>
      <start>4</start>
      <end>6</end>
      <status>ignored</status>
      <modifiedWord/>
      <trackRevisions>false</trackRevisions>
    </reviewItem>
    <reviewItem>
      <errorID>0ae0429d-48be-4b58-ae9f-2b0bccabd3e1</errorID>
      <errorWord>（</errorWord>
      <group>L1_Punc</group>
      <groupName>标点问题</groupName>
      <ability>L2_Punc_CN</ability>
      <abilityName>标点符号检查</abilityName>
      <candidateList/>
      <explain>同一形式括号套用。</explain>
      <paraID>7C48B1E7</paraID>
      <start>73</start>
      <end>74</end>
      <status>ignored</status>
      <modifiedWord/>
      <trackRevisions>false</trackRevisions>
    </reviewItem>
    <reviewItem>
      <errorID>8f5ae616-e035-4e55-b1e0-08c83d0645e1</errorID>
      <errorWord>）</errorWord>
      <group>L1_Punc</group>
      <groupName>标点问题</groupName>
      <ability>L2_Punc_CN</ability>
      <abilityName>标点符号检查</abilityName>
      <candidateList/>
      <explain>同一形式括号套用。</explain>
      <paraID>7C48B1E7</paraID>
      <start>79</start>
      <end>80</end>
      <status>ignored</status>
      <modifiedWord/>
      <trackRevisions>false</trackRevisions>
    </reviewItem>
    <reviewItem>
      <errorID>8cfdc87e-d34c-4aaf-858a-f80b24402629</errorID>
      <errorWord>（</errorWord>
      <group>L1_Punc</group>
      <groupName>标点问题</groupName>
      <ability>L2_Punc_CN</ability>
      <abilityName>标点符号检查</abilityName>
      <candidateList/>
      <explain>同一形式括号套用。</explain>
      <paraID>5FBF31E7</paraID>
      <start>102</start>
      <end>103</end>
      <status>ignored</status>
      <modifiedWord/>
      <trackRevisions>false</trackRevisions>
    </reviewItem>
    <reviewItem>
      <errorID>11629eff-64fb-4a7b-9a57-75dccc939cf7</errorID>
      <errorWord>）</errorWord>
      <group>L1_Punc</group>
      <groupName>标点问题</groupName>
      <ability>L2_Punc_CN</ability>
      <abilityName>标点符号检查</abilityName>
      <candidateList/>
      <explain>同一形式括号套用。</explain>
      <paraID>5FBF31E7</paraID>
      <start>139</start>
      <end>140</end>
      <status>ignored</status>
      <modifiedWord/>
      <trackRevisions>false</trackRevisions>
    </reviewItem>
    <reviewItem>
      <errorID>2fb0a41e-bbed-4f6e-b01e-12c863dfa799</errorID>
      <errorWord>（</errorWord>
      <group>L1_Punc</group>
      <groupName>标点问题</groupName>
      <ability>L2_Punc_CN</ability>
      <abilityName>标点符号检查</abilityName>
      <candidateList/>
      <explain>同一形式括号套用。</explain>
      <paraID>5FBF31E7</paraID>
      <start>182</start>
      <end>183</end>
      <status>ignored</status>
      <modifiedWord/>
      <trackRevisions>false</trackRevisions>
    </reviewItem>
    <reviewItem>
      <errorID>8944921b-c965-403f-bb4a-bc32adeda576</errorID>
      <errorWord>）</errorWord>
      <group>L1_Punc</group>
      <groupName>标点问题</groupName>
      <ability>L2_Punc_CN</ability>
      <abilityName>标点符号检查</abilityName>
      <candidateList/>
      <explain>同一形式括号套用。</explain>
      <paraID>5FBF31E7</paraID>
      <start>193</start>
      <end>194</end>
      <status>ignored</status>
      <modifiedWord/>
      <trackRevisions>false</trackRevisions>
    </reviewItem>
    <reviewItem>
      <errorID>ff340e36-1b47-4d3a-a892-4e790f65410f</errorID>
      <errorWord>III类</errorWord>
      <group>L1_Knowledge</group>
      <groupName>知识性问题</groupName>
      <ability>L2_Knowledge</ability>
      <abilityName>其他知识</abilityName>
      <candidateList>
        <item>Ⅲ类</item>
      </candidateList>
      <explain>中文环境下罗马数字格式错误。</explain>
      <paraID>77397C16</paraID>
      <start>94</start>
      <end>98</end>
      <status>ignored</status>
      <modifiedWord/>
      <trackRevisions>false</trackRevisions>
    </reviewItem>
    <reviewItem>
      <errorID>8be77f46-0a20-49ff-91e7-474482a96ee9</errorID>
      <errorWord>未作</errorWord>
      <group>L1_Word</group>
      <groupName>字词问题</groupName>
      <ability>L2_Typo</ability>
      <abilityName>字词错误</abilityName>
      <candidateList>
        <item>未做</item>
      </candidateList>
      <explain/>
      <paraID>77397C16</paraID>
      <start>135</start>
      <end>137</end>
      <status>ignored</status>
      <modifiedWord/>
      <trackRevisions>false</trackRevisions>
    </reviewItem>
    <reviewItem>
      <errorID>782dda60-c727-48c7-be49-fa05d12ee6ad</errorID>
      <errorWord>）</errorWord>
      <group>L1_Format</group>
      <groupName>格式问题</groupName>
      <ability>L2_HalfPunc_CN</ability>
      <abilityName>全半角检查</abilityName>
      <candidateList>
        <item>)</item>
      </candidateList>
      <explain>文本全半角错误。</explain>
      <paraID>7AB8E515</paraID>
      <start>168</start>
      <end>169</end>
      <status>ignored</status>
      <modifiedWord/>
      <trackRevisions>false</trackRevisions>
    </reviewItem>
    <reviewItem>
      <errorID>ff2dbece-a2bd-4ca0-9fac-8b4651ed1f27</errorID>
      <errorWord>III类</errorWord>
      <group>L1_Knowledge</group>
      <groupName>知识性问题</groupName>
      <ability>L2_Knowledge</ability>
      <abilityName>其他知识</abilityName>
      <candidateList>
        <item>Ⅲ类</item>
      </candidateList>
      <explain>中文环境下罗马数字格式错误。</explain>
      <paraID>5D3BBC3E</paraID>
      <start>0</start>
      <end>4</end>
      <status>ignored</status>
      <modifiedWord/>
      <trackRevisions>false</trackRevisions>
    </reviewItem>
    <reviewItem>
      <errorID>6697bfd8-fbb8-474c-8d53-d1f70cd27a5a</errorID>
      <errorWord>III类</errorWord>
      <group>L1_Knowledge</group>
      <groupName>知识性问题</groupName>
      <ability>L2_Knowledge</ability>
      <abilityName>其他知识</abilityName>
      <candidateList>
        <item>Ⅲ类</item>
      </candidateList>
      <explain>中文环境下罗马数字格式错误。</explain>
      <paraID>138EE45C</paraID>
      <start>24</start>
      <end>28</end>
      <status>ignored</status>
      <modifiedWord/>
      <trackRevisions>false</trackRevisions>
    </reviewItem>
    <reviewItem>
      <errorID>3fbdaac3-016f-4a15-95f0-0a42bbc68f4f</errorID>
      <errorWord>达</errorWord>
      <group>L1_Word</group>
      <groupName>字词问题</groupName>
      <ability>L2_Typo</ability>
      <abilityName>字词错误</abilityName>
      <candidateList>
        <item>达到</item>
      </candidateList>
      <explain>〈动〉到（多指抽象事物或程度）：达得到｜达不到｜目的没有～｜～国际水平。</explain>
      <paraID>73FF66B5</paraID>
      <start>29</start>
      <end>31</end>
      <status>modified</status>
      <modifiedWord>达到</modifiedWord>
      <trackRevisions>false</trackRevisions>
    </reviewItem>
    <reviewItem>
      <errorID>d2f56f1e-1799-48b8-a840-31a107bccefc</errorID>
      <errorWord>抛洒</errorWord>
      <group>L1_Word</group>
      <groupName>字词问题</groupName>
      <ability>L2_Typo</ability>
      <abilityName>字词错误</abilityName>
      <candidateList>
        <item>抛撒</item>
      </candidateList>
      <explain>存在发音相同字词的误用。</explain>
      <paraID> ED09141</paraID>
      <start>23</start>
      <end>25</end>
      <status>ignored</status>
      <modifiedWord/>
      <trackRevisions>false</trackRevisions>
    </reviewItem>
    <reviewItem>
      <errorID>61970e0f-52b3-4fe3-9f65-4819c89fb79b</errorID>
      <errorWord>，</errorWord>
      <group>L1_Format</group>
      <groupName>格式问题</groupName>
      <ability>L2_HalfPunc_CN</ability>
      <abilityName>全半角检查</abilityName>
      <candidateList>
        <item>,</item>
      </candidateList>
      <explain>文本全半角错误。</explain>
      <paraID>1E673A83</paraID>
      <start>13</start>
      <end>14</end>
      <status>ignored</status>
      <modifiedWord/>
      <trackRevisions>false</trackRevisions>
    </reviewItem>
    <reviewItem>
      <errorID>0b7df1a0-4c24-42ab-af41-34fe74d404de</errorID>
      <errorWord>，</errorWord>
      <group>L1_Format</group>
      <groupName>格式问题</groupName>
      <ability>L2_HalfPunc_CN</ability>
      <abilityName>全半角检查</abilityName>
      <candidateList>
        <item>,</item>
      </candidateList>
      <explain>文本全半角错误。</explain>
      <paraID> 3E28A62</paraID>
      <start>13</start>
      <end>14</end>
      <status>ignored</status>
      <modifiedWord/>
      <trackRevisions>false</trackRevisions>
    </reviewItem>
    <reviewItem>
      <errorID>8bcefa3d-c392-4fd3-8505-97ad76af81e3</errorID>
      <errorWord>，</errorWord>
      <group>L1_Format</group>
      <groupName>格式问题</groupName>
      <ability>L2_HalfPunc_CN</ability>
      <abilityName>全半角检查</abilityName>
      <candidateList>
        <item>,</item>
      </candidateList>
      <explain>文本全半角错误。</explain>
      <paraID>3AF854CE</paraID>
      <start>13</start>
      <end>14</end>
      <status>ignored</status>
      <modifiedWord/>
      <trackRevisions>false</trackRevisions>
    </reviewItem>
    <reviewItem>
      <errorID>e3ce8cee-988f-45fc-b485-70b30c2b414f</errorID>
      <errorWord>，</errorWord>
      <group>L1_Format</group>
      <groupName>格式问题</groupName>
      <ability>L2_HalfPunc_CN</ability>
      <abilityName>全半角检查</abilityName>
      <candidateList>
        <item>,</item>
      </candidateList>
      <explain>文本全半角错误。</explain>
      <paraID> A802199</paraID>
      <start>13</start>
      <end>14</end>
      <status>ignored</status>
      <modifiedWord/>
      <trackRevisions>false</trackRevisions>
    </reviewItem>
    <reviewItem>
      <errorID>54dcd8e8-b75a-46e0-a415-4715ca19ca09</errorID>
      <errorWord>，</errorWord>
      <group>L1_Format</group>
      <groupName>格式问题</groupName>
      <ability>L2_HalfPunc_CN</ability>
      <abilityName>全半角检查</abilityName>
      <candidateList>
        <item>,</item>
      </candidateList>
      <explain>文本全半角错误。</explain>
      <paraID> 49519DD</paraID>
      <start>13</start>
      <end>14</end>
      <status>ignored</status>
      <modifiedWord/>
      <trackRevisions>false</trackRevisions>
    </reviewItem>
    <reviewItem>
      <errorID>3da20a54-5497-4435-99d7-b0dae8c16b39</errorID>
      <errorWord>小</errorWord>
      <group>L1_Word</group>
      <groupName>字词问题</groupName>
      <ability>L2_Typo</ability>
      <abilityName>字词错误</abilityName>
      <candidateList>
        <item>少</item>
      </candidateList>
      <explain/>
      <paraID>42FA4B8E</paraID>
      <start>146</start>
      <end>147</end>
      <status>ignored</status>
      <modifiedWord/>
      <trackRevisions>false</trackRevisions>
    </reviewItem>
    <reviewItem>
      <errorID>f7075361-ee47-4a5a-a3e7-93fdbb383d03</errorID>
      <errorWord>粘附</errorWord>
      <group>L1_Word</group>
      <groupName>字词问题</groupName>
      <ability>L2_Alias</ability>
      <abilityName>也作/曾用词</abilityName>
      <candidateList>
        <item>黏附</item>
      </candidateList>
      <explain>词汇[粘附]为不规范表述或旧称，其规范书面表述为[黏附]。</explain>
      <paraID>287D30B4</paraID>
      <start>131</start>
      <end>133</end>
      <status>ignored</status>
      <modifiedWord/>
      <trackRevisions>false</trackRevisions>
    </reviewItem>
    <reviewItem>
      <errorID>a12ce079-656b-4123-a1bf-84f14ee3163e</errorID>
      <errorWord>：</errorWord>
      <group>L1_Format</group>
      <groupName>格式问题</groupName>
      <ability>L2_HalfPunc_CN</ability>
      <abilityName>全半角检查</abilityName>
      <candidateList>
        <item>:</item>
      </candidateList>
      <explain>文本全半角错误。</explain>
      <paraID>2A7B4CB6</paraID>
      <start>114</start>
      <end>115</end>
      <status>ignored</status>
      <modifiedWord/>
      <trackRevisions>false</trackRevisions>
    </reviewItem>
    <reviewItem>
      <errorID>5c30b0b8-f430-48ed-87b5-50bca3d9e0a1</errorID>
      <errorWord>：</errorWord>
      <group>L1_Format</group>
      <groupName>格式问题</groupName>
      <ability>L2_HalfPunc_CN</ability>
      <abilityName>全半角检查</abilityName>
      <candidateList>
        <item>:</item>
      </candidateList>
      <explain>文本全半角错误。</explain>
      <paraID>43CDD3DB</paraID>
      <start>5</start>
      <end>6</end>
      <status>ignored</status>
      <modifiedWord/>
      <trackRevisions>false</trackRevisions>
    </reviewItem>
    <reviewItem>
      <errorID>e750327c-12c9-4d36-8d82-ea16a21564a0</errorID>
      <errorWord>：</errorWord>
      <group>L1_Format</group>
      <groupName>格式问题</groupName>
      <ability>L2_HalfPunc_CN</ability>
      <abilityName>全半角检查</abilityName>
      <candidateList>
        <item>:</item>
      </candidateList>
      <explain>文本全半角错误。</explain>
      <paraID>43CDD3DB</paraID>
      <start>18</start>
      <end>19</end>
      <status>ignored</status>
      <modifiedWord/>
      <trackRevisions>false</trackRevisions>
    </reviewItem>
    <reviewItem>
      <errorID>6250b999-5e23-46b1-9a3d-5842f4032000</errorID>
      <errorWord>：</errorWord>
      <group>L1_Format</group>
      <groupName>格式问题</groupName>
      <ability>L2_HalfPunc_CN</ability>
      <abilityName>全半角检查</abilityName>
      <candidateList>
        <item>:</item>
      </candidateList>
      <explain>文本全半角错误。</explain>
      <paraID>43CDD3DB</paraID>
      <start>28</start>
      <end>29</end>
      <status>ignored</status>
      <modifiedWord/>
      <trackRevisions>false</trackRevisions>
    </reviewItem>
    <reviewItem>
      <errorID>70ed419b-edfb-47b9-b48c-54c10d53c145</errorID>
      <errorWord>：</errorWord>
      <group>L1_Format</group>
      <groupName>格式问题</groupName>
      <ability>L2_HalfPunc_CN</ability>
      <abilityName>全半角检查</abilityName>
      <candidateList>
        <item>:</item>
      </candidateList>
      <explain>文本全半角错误。</explain>
      <paraID>189B8066</paraID>
      <start>5</start>
      <end>6</end>
      <status>ignored</status>
      <modifiedWord/>
      <trackRevisions>false</trackRevisions>
    </reviewItem>
    <reviewItem>
      <errorID>068c75e3-6428-4904-af49-218b9dbf710e</errorID>
      <errorWord>：</errorWord>
      <group>L1_Format</group>
      <groupName>格式问题</groupName>
      <ability>L2_HalfPunc_CN</ability>
      <abilityName>全半角检查</abilityName>
      <candidateList>
        <item>:</item>
      </candidateList>
      <explain>文本全半角错误。</explain>
      <paraID>189B8066</paraID>
      <start>18</start>
      <end>19</end>
      <status>ignored</status>
      <modifiedWord/>
      <trackRevisions>false</trackRevisions>
    </reviewItem>
    <reviewItem>
      <errorID>19fba2a5-373e-4afb-81f5-baa83d584278</errorID>
      <errorWord>：</errorWord>
      <group>L1_Format</group>
      <groupName>格式问题</groupName>
      <ability>L2_HalfPunc_CN</ability>
      <abilityName>全半角检查</abilityName>
      <candidateList>
        <item>:</item>
      </candidateList>
      <explain>文本全半角错误。</explain>
      <paraID>189B8066</paraID>
      <start>28</start>
      <end>29</end>
      <status>ignored</status>
      <modifiedWord/>
      <trackRevisions>false</trackRevisions>
    </reviewItem>
    <reviewItem>
      <errorID>25bedc1e-ec30-455f-8417-e39b39079ce6</errorID>
      <errorWord>：</errorWord>
      <group>L1_Format</group>
      <groupName>格式问题</groupName>
      <ability>L2_HalfPunc_CN</ability>
      <abilityName>全半角检查</abilityName>
      <candidateList>
        <item>:</item>
      </candidateList>
      <explain>文本全半角错误。</explain>
      <paraID> 3E912F7</paraID>
      <start>5</start>
      <end>6</end>
      <status>ignored</status>
      <modifiedWord/>
      <trackRevisions>false</trackRevisions>
    </reviewItem>
    <reviewItem>
      <errorID>39fb5465-25da-4424-b81a-92611299c4d1</errorID>
      <errorWord>：</errorWord>
      <group>L1_Format</group>
      <groupName>格式问题</groupName>
      <ability>L2_HalfPunc_CN</ability>
      <abilityName>全半角检查</abilityName>
      <candidateList>
        <item>:</item>
      </candidateList>
      <explain>文本全半角错误。</explain>
      <paraID> 3E912F7</paraID>
      <start>18</start>
      <end>19</end>
      <status>ignored</status>
      <modifiedWord/>
      <trackRevisions>false</trackRevisions>
    </reviewItem>
    <reviewItem>
      <errorID>4cae1f89-3fea-43dc-9667-caa016ec5c97</errorID>
      <errorWord>：</errorWord>
      <group>L1_Format</group>
      <groupName>格式问题</groupName>
      <ability>L2_HalfPunc_CN</ability>
      <abilityName>全半角检查</abilityName>
      <candidateList>
        <item>:</item>
      </candidateList>
      <explain>文本全半角错误。</explain>
      <paraID> 3E912F7</paraID>
      <start>29</start>
      <end>30</end>
      <status>ignored</status>
      <modifiedWord/>
      <trackRevisions>false</trackRevisions>
    </reviewItem>
    <reviewItem>
      <errorID>53f3427b-b4b5-43db-addc-d638662f6f14</errorID>
      <errorWord>：</errorWord>
      <group>L1_Format</group>
      <groupName>格式问题</groupName>
      <ability>L2_HalfPunc_CN</ability>
      <abilityName>全半角检查</abilityName>
      <candidateList>
        <item>:</item>
      </candidateList>
      <explain>文本全半角错误。</explain>
      <paraID>64EE5485</paraID>
      <start>5</start>
      <end>6</end>
      <status>ignored</status>
      <modifiedWord/>
      <trackRevisions>false</trackRevisions>
    </reviewItem>
    <reviewItem>
      <errorID>384efa52-ac67-49c4-b243-e99526cd8cac</errorID>
      <errorWord>：</errorWord>
      <group>L1_Format</group>
      <groupName>格式问题</groupName>
      <ability>L2_HalfPunc_CN</ability>
      <abilityName>全半角检查</abilityName>
      <candidateList>
        <item>:</item>
      </candidateList>
      <explain>文本全半角错误。</explain>
      <paraID>64EE5485</paraID>
      <start>18</start>
      <end>19</end>
      <status>ignored</status>
      <modifiedWord/>
      <trackRevisions>false</trackRevisions>
    </reviewItem>
    <reviewItem>
      <errorID>98dc876d-00a6-4730-b0db-d17e023deed1</errorID>
      <errorWord>：</errorWord>
      <group>L1_Format</group>
      <groupName>格式问题</groupName>
      <ability>L2_HalfPunc_CN</ability>
      <abilityName>全半角检查</abilityName>
      <candidateList>
        <item>:</item>
      </candidateList>
      <explain>文本全半角错误。</explain>
      <paraID>64EE5485</paraID>
      <start>29</start>
      <end>30</end>
      <status>ignored</status>
      <modifiedWord/>
      <trackRevisions>false</trackRevisions>
    </reviewItem>
    <reviewItem>
      <errorID>45a0fe93-d85d-475c-9844-01cdcbfc7e94</errorID>
      <errorWord>：</errorWord>
      <group>L1_Format</group>
      <groupName>格式问题</groupName>
      <ability>L2_HalfPunc_CN</ability>
      <abilityName>全半角检查</abilityName>
      <candidateList>
        <item>:</item>
      </candidateList>
      <explain>文本全半角错误。</explain>
      <paraID>46554616</paraID>
      <start>5</start>
      <end>6</end>
      <status>ignored</status>
      <modifiedWord/>
      <trackRevisions>false</trackRevisions>
    </reviewItem>
    <reviewItem>
      <errorID>4142aab0-d766-4b4b-ba8d-e985c375387f</errorID>
      <errorWord>：</errorWord>
      <group>L1_Format</group>
      <groupName>格式问题</groupName>
      <ability>L2_HalfPunc_CN</ability>
      <abilityName>全半角检查</abilityName>
      <candidateList>
        <item>:</item>
      </candidateList>
      <explain>文本全半角错误。</explain>
      <paraID>46554616</paraID>
      <start>18</start>
      <end>19</end>
      <status>ignored</status>
      <modifiedWord/>
      <trackRevisions>false</trackRevisions>
    </reviewItem>
    <reviewItem>
      <errorID>e2a768dc-6f9c-484b-b6e3-1abca9a50196</errorID>
      <errorWord>：</errorWord>
      <group>L1_Format</group>
      <groupName>格式问题</groupName>
      <ability>L2_HalfPunc_CN</ability>
      <abilityName>全半角检查</abilityName>
      <candidateList>
        <item>:</item>
      </candidateList>
      <explain>文本全半角错误。</explain>
      <paraID>46554616</paraID>
      <start>29</start>
      <end>30</end>
      <status>ignored</status>
      <modifiedWord/>
      <trackRevisions>false</trackRevisions>
    </reviewItem>
    <reviewItem>
      <errorID>5e9da738-5aee-4299-9318-d55f7020c3c6</errorID>
      <errorWord>：</errorWord>
      <group>L1_Format</group>
      <groupName>格式问题</groupName>
      <ability>L2_HalfPunc_CN</ability>
      <abilityName>全半角检查</abilityName>
      <candidateList>
        <item>:</item>
      </candidateList>
      <explain>文本全半角错误。</explain>
      <paraID>7BA3551F</paraID>
      <start>5</start>
      <end>6</end>
      <status>ignored</status>
      <modifiedWord/>
      <trackRevisions>false</trackRevisions>
    </reviewItem>
    <reviewItem>
      <errorID>a5ce5dac-369a-4637-90c7-fe50194f6d28</errorID>
      <errorWord>：</errorWord>
      <group>L1_Format</group>
      <groupName>格式问题</groupName>
      <ability>L2_HalfPunc_CN</ability>
      <abilityName>全半角检查</abilityName>
      <candidateList>
        <item>:</item>
      </candidateList>
      <explain>文本全半角错误。</explain>
      <paraID>7BA3551F</paraID>
      <start>18</start>
      <end>19</end>
      <status>ignored</status>
      <modifiedWord/>
      <trackRevisions>false</trackRevisions>
    </reviewItem>
    <reviewItem>
      <errorID>0496cec1-47d4-4115-81fd-f060ac821054</errorID>
      <errorWord>：</errorWord>
      <group>L1_Format</group>
      <groupName>格式问题</groupName>
      <ability>L2_HalfPunc_CN</ability>
      <abilityName>全半角检查</abilityName>
      <candidateList>
        <item>:</item>
      </candidateList>
      <explain>文本全半角错误。</explain>
      <paraID>7BA3551F</paraID>
      <start>28</start>
      <end>29</end>
      <status>ignored</status>
      <modifiedWord/>
      <trackRevisions>false</trackRevisions>
    </reviewItem>
    <reviewItem>
      <errorID>b1966804-383d-456e-ac37-a3766c522753</errorID>
      <errorWord>：</errorWord>
      <group>L1_Format</group>
      <groupName>格式问题</groupName>
      <ability>L2_HalfPunc_CN</ability>
      <abilityName>全半角检查</abilityName>
      <candidateList>
        <item>:</item>
      </candidateList>
      <explain>文本全半角错误。</explain>
      <paraID>279C73DB</paraID>
      <start>5</start>
      <end>6</end>
      <status>ignored</status>
      <modifiedWord/>
      <trackRevisions>false</trackRevisions>
    </reviewItem>
    <reviewItem>
      <errorID>ebb2ae9c-03e3-4139-8cc2-e6e4363170b0</errorID>
      <errorWord>：</errorWord>
      <group>L1_Format</group>
      <groupName>格式问题</groupName>
      <ability>L2_HalfPunc_CN</ability>
      <abilityName>全半角检查</abilityName>
      <candidateList>
        <item>:</item>
      </candidateList>
      <explain>文本全半角错误。</explain>
      <paraID>279C73DB</paraID>
      <start>19</start>
      <end>20</end>
      <status>ignored</status>
      <modifiedWord/>
      <trackRevisions>false</trackRevisions>
    </reviewItem>
    <reviewItem>
      <errorID>f1cb55e0-6b24-4351-b695-abfb23013dce</errorID>
      <errorWord>：</errorWord>
      <group>L1_Format</group>
      <groupName>格式问题</groupName>
      <ability>L2_HalfPunc_CN</ability>
      <abilityName>全半角检查</abilityName>
      <candidateList>
        <item>:</item>
      </candidateList>
      <explain>文本全半角错误。</explain>
      <paraID>279C73DB</paraID>
      <start>31</start>
      <end>32</end>
      <status>ignored</status>
      <modifiedWord/>
      <trackRevisions>false</trackRevisions>
    </reviewItem>
    <reviewItem>
      <errorID>321b28d3-f25e-4be4-a9f3-c5b5803381b1</errorID>
      <errorWord>：</errorWord>
      <group>L1_Format</group>
      <groupName>格式问题</groupName>
      <ability>L2_HalfPunc_CN</ability>
      <abilityName>全半角检查</abilityName>
      <candidateList>
        <item>:</item>
      </candidateList>
      <explain>文本全半角错误。</explain>
      <paraID> 443307A</paraID>
      <start>5</start>
      <end>6</end>
      <status>ignored</status>
      <modifiedWord/>
      <trackRevisions>false</trackRevisions>
    </reviewItem>
    <reviewItem>
      <errorID>37145aec-3273-46b7-8a2f-b6fc052f23e9</errorID>
      <errorWord>：</errorWord>
      <group>L1_Format</group>
      <groupName>格式问题</groupName>
      <ability>L2_HalfPunc_CN</ability>
      <abilityName>全半角检查</abilityName>
      <candidateList>
        <item>:</item>
      </candidateList>
      <explain>文本全半角错误。</explain>
      <paraID> 443307A</paraID>
      <start>19</start>
      <end>20</end>
      <status>ignored</status>
      <modifiedWord/>
      <trackRevisions>false</trackRevisions>
    </reviewItem>
    <reviewItem>
      <errorID>6239bd9a-4068-41e9-b669-f483f0022871</errorID>
      <errorWord>：</errorWord>
      <group>L1_Format</group>
      <groupName>格式问题</groupName>
      <ability>L2_HalfPunc_CN</ability>
      <abilityName>全半角检查</abilityName>
      <candidateList>
        <item>:</item>
      </candidateList>
      <explain>文本全半角错误。</explain>
      <paraID> 443307A</paraID>
      <start>31</start>
      <end>32</end>
      <status>ignored</status>
      <modifiedWord/>
      <trackRevisions>false</trackRevisions>
    </reviewItem>
    <reviewItem>
      <errorID>74667d16-9a39-41fb-bf50-935b42ef9c82</errorID>
      <errorWord>：</errorWord>
      <group>L1_Format</group>
      <groupName>格式问题</groupName>
      <ability>L2_HalfPunc_CN</ability>
      <abilityName>全半角检查</abilityName>
      <candidateList>
        <item>:</item>
      </candidateList>
      <explain>文本全半角错误。</explain>
      <paraID>5C55D91A</paraID>
      <start>5</start>
      <end>6</end>
      <status>ignored</status>
      <modifiedWord/>
      <trackRevisions>false</trackRevisions>
    </reviewItem>
    <reviewItem>
      <errorID>4b2ac38f-3f6b-409d-8f2a-76a5983b5414</errorID>
      <errorWord>：</errorWord>
      <group>L1_Format</group>
      <groupName>格式问题</groupName>
      <ability>L2_HalfPunc_CN</ability>
      <abilityName>全半角检查</abilityName>
      <candidateList>
        <item>:</item>
      </candidateList>
      <explain>文本全半角错误。</explain>
      <paraID>5C55D91A</paraID>
      <start>18</start>
      <end>19</end>
      <status>ignored</status>
      <modifiedWord/>
      <trackRevisions>false</trackRevisions>
    </reviewItem>
    <reviewItem>
      <errorID>46c9e986-c358-4a32-b228-b88e68dd03d7</errorID>
      <errorWord>：</errorWord>
      <group>L1_Format</group>
      <groupName>格式问题</groupName>
      <ability>L2_HalfPunc_CN</ability>
      <abilityName>全半角检查</abilityName>
      <candidateList>
        <item>:</item>
      </candidateList>
      <explain>文本全半角错误。</explain>
      <paraID>5C55D91A</paraID>
      <start>29</start>
      <end>30</end>
      <status>ignored</status>
      <modifiedWord/>
      <trackRevisions>false</trackRevisions>
    </reviewItem>
    <reviewItem>
      <errorID>9cd5e362-3cf2-4c87-ba61-b2ac1d6b23a3</errorID>
      <errorWord>：</errorWord>
      <group>L1_Format</group>
      <groupName>格式问题</groupName>
      <ability>L2_HalfPunc_CN</ability>
      <abilityName>全半角检查</abilityName>
      <candidateList>
        <item>:</item>
      </candidateList>
      <explain>文本全半角错误。</explain>
      <paraID>3929251C</paraID>
      <start>5</start>
      <end>6</end>
      <status>ignored</status>
      <modifiedWord/>
      <trackRevisions>false</trackRevisions>
    </reviewItem>
    <reviewItem>
      <errorID>41e6cbbd-aa1d-4142-a6ec-43e152e9e49a</errorID>
      <errorWord>：</errorWord>
      <group>L1_Format</group>
      <groupName>格式问题</groupName>
      <ability>L2_HalfPunc_CN</ability>
      <abilityName>全半角检查</abilityName>
      <candidateList>
        <item>:</item>
      </candidateList>
      <explain>文本全半角错误。</explain>
      <paraID>3929251C</paraID>
      <start>18</start>
      <end>19</end>
      <status>ignored</status>
      <modifiedWord/>
      <trackRevisions>false</trackRevisions>
    </reviewItem>
    <reviewItem>
      <errorID>fef645f0-e5ac-4f44-a159-579ab5469155</errorID>
      <errorWord>：</errorWord>
      <group>L1_Format</group>
      <groupName>格式问题</groupName>
      <ability>L2_HalfPunc_CN</ability>
      <abilityName>全半角检查</abilityName>
      <candidateList>
        <item>:</item>
      </candidateList>
      <explain>文本全半角错误。</explain>
      <paraID>3929251C</paraID>
      <start>29</start>
      <end>30</end>
      <status>ignored</status>
      <modifiedWord/>
      <trackRevisions>false</trackRevisions>
    </reviewItem>
    <reviewItem>
      <errorID>a4eb7de2-7355-4171-b3dd-7afa7a1d4f33</errorID>
      <errorWord>：</errorWord>
      <group>L1_Format</group>
      <groupName>格式问题</groupName>
      <ability>L2_HalfPunc_CN</ability>
      <abilityName>全半角检查</abilityName>
      <candidateList>
        <item>:</item>
      </candidateList>
      <explain>文本全半角错误。</explain>
      <paraID>163818FB</paraID>
      <start>16</start>
      <end>17</end>
      <status>ignored</status>
      <modifiedWord/>
      <trackRevisions>false</trackRevisions>
    </reviewItem>
    <reviewItem>
      <errorID>ac4463e0-2193-4f6c-8e4a-c4f5732e5fd7</errorID>
      <errorWord>：</errorWord>
      <group>L1_Format</group>
      <groupName>格式问题</groupName>
      <ability>L2_HalfPunc_CN</ability>
      <abilityName>全半角检查</abilityName>
      <candidateList>
        <item>:</item>
      </candidateList>
      <explain>文本全半角错误。</explain>
      <paraID> E980B00</paraID>
      <start>16</start>
      <end>17</end>
      <status>ignored</status>
      <modifiedWord/>
      <trackRevisions>false</trackRevisions>
    </reviewItem>
    <reviewItem>
      <errorID>c2c476c1-484f-42d9-a847-aa58ab22b5b1</errorID>
      <errorWord>：</errorWord>
      <group>L1_Format</group>
      <groupName>格式问题</groupName>
      <ability>L2_HalfPunc_CN</ability>
      <abilityName>全半角检查</abilityName>
      <candidateList>
        <item>:</item>
      </candidateList>
      <explain>文本全半角错误。</explain>
      <paraID>18BD9A12</paraID>
      <start>17</start>
      <end>18</end>
      <status>ignored</status>
      <modifiedWord/>
      <trackRevisions>false</trackRevisions>
    </reviewItem>
    <reviewItem>
      <errorID>18500af8-5389-48e2-96b3-0a86f96f6a28</errorID>
      <errorWord>：</errorWord>
      <group>L1_Format</group>
      <groupName>格式问题</groupName>
      <ability>L2_HalfPunc_CN</ability>
      <abilityName>全半角检查</abilityName>
      <candidateList>
        <item>:</item>
      </candidateList>
      <explain>文本全半角错误。</explain>
      <paraID>258C7DD9</paraID>
      <start>17</start>
      <end>18</end>
      <status>ignored</status>
      <modifiedWord/>
      <trackRevisions>false</trackRevisions>
    </reviewItem>
    <reviewItem>
      <errorID>9cb1515e-7621-480e-bd68-1eddcce8a099</errorID>
      <errorWord>：</errorWord>
      <group>L1_Format</group>
      <groupName>格式问题</groupName>
      <ability>L2_HalfPunc_CN</ability>
      <abilityName>全半角检查</abilityName>
      <candidateList>
        <item>:</item>
      </candidateList>
      <explain>文本全半角错误。</explain>
      <paraID>43ACB92E</paraID>
      <start>16</start>
      <end>17</end>
      <status>ignored</status>
      <modifiedWord/>
      <trackRevisions>false</trackRevisions>
    </reviewItem>
    <reviewItem>
      <errorID>a3c0a418-8a5b-43eb-ad84-ec42177c9a6b</errorID>
      <errorWord>：</errorWord>
      <group>L1_Format</group>
      <groupName>格式问题</groupName>
      <ability>L2_HalfPunc_CN</ability>
      <abilityName>全半角检查</abilityName>
      <candidateList>
        <item>:</item>
      </candidateList>
      <explain>文本全半角错误。</explain>
      <paraID> B34B9A7</paraID>
      <start>16</start>
      <end>17</end>
      <status>ignored</status>
      <modifiedWord/>
      <trackRevisions>false</trackRevisions>
    </reviewItem>
    <reviewItem>
      <errorID>d9be82c8-337f-4fa5-832a-6cfb254052c0</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 12CE61B</paraID>
      <start>63</start>
      <end>64</end>
      <status>ignored</status>
      <modifiedWord/>
      <trackRevisions>false</trackRevisions>
    </reviewItem>
    <reviewItem>
      <errorID>a72f8fdb-39b7-4ee3-bfc6-c655170dc57a</errorID>
      <errorWord>水</errorWord>
      <group>L1_Word</group>
      <groupName>字词问题</groupName>
      <ability>L2_Typo</ability>
      <abilityName>字词错误</abilityName>
      <candidateList>
        <item>水和</item>
      </candidateList>
      <explain/>
      <paraID>15412FA0</paraID>
      <start>173</start>
      <end>175</end>
      <status>modified</status>
      <modifiedWord>水和</modifiedWord>
      <trackRevisions>false</trackRevisions>
    </reviewItem>
    <reviewItem>
      <errorID>5805fc0e-33a6-46a3-a01e-17c82245464e</errorID>
      <errorWord>辊筒</errorWord>
      <group>L1_Word</group>
      <groupName>字词问题</groupName>
      <ability>L2_Typo</ability>
      <abilityName>字词错误</abilityName>
      <candidateList>
        <item>滚筒</item>
      </candidateList>
      <explain/>
      <paraID>19A15C1E</paraID>
      <start>2</start>
      <end>4</end>
      <status>ignored</status>
      <modifiedWord/>
      <trackRevisions>false</trackRevisions>
    </reviewItem>
    <reviewItem>
      <errorID>a7789906-3566-4dfb-af97-4f93ef354166</errorID>
      <errorWord>）</errorWord>
      <group>L1_Format</group>
      <groupName>格式问题</groupName>
      <ability>L2_HalfPunc_CN</ability>
      <abilityName>全半角检查</abilityName>
      <candidateList>
        <item>)</item>
      </candidateList>
      <explain>文本全半角错误。</explain>
      <paraID>586A956D</paraID>
      <start>19</start>
      <end>20</end>
      <status>ignored</status>
      <modifiedWord/>
      <trackRevisions>false</trackRevisions>
    </reviewItem>
    <reviewItem>
      <errorID>e2643ee1-4277-4b68-8f74-91d4f3f49fc7</errorID>
      <errorWord>，</errorWord>
      <group>L1_Format</group>
      <groupName>格式问题</groupName>
      <ability>L2_HalfPunc_CN</ability>
      <abilityName>全半角检查</abilityName>
      <candidateList>
        <item>, </item>
      </candidateList>
      <explain>文本全半角错误。</explain>
      <paraID>556F31B4</paraID>
      <start>1</start>
      <end>2</end>
      <status>ignored</status>
      <modifiedWord/>
      <trackRevisions>false</trackRevisions>
    </reviewItem>
    <reviewItem>
      <errorID>64e2fee5-9e02-4a8b-a365-786e35e35ab0</errorID>
      <errorWord>再</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385C987D</paraID>
      <start>9</start>
      <end>10</end>
      <status>modified</status>
      <modifiedWord>在</modifiedWord>
      <trackRevisions>false</trackRevisions>
    </reviewItem>
    <reviewItem>
      <errorID>eecf0ffa-3b4c-4434-9f41-fcf3d8fc44a9</errorID>
      <errorWord>(</errorWord>
      <group>L1_Format</group>
      <groupName>格式问题</groupName>
      <ability>L2_HalfPunc_CN</ability>
      <abilityName>全半角检查</abilityName>
      <candidateList>
        <item>（</item>
      </candidateList>
      <explain>文本全半角错误。</explain>
      <paraID>7453697A</paraID>
      <start>80</start>
      <end>81</end>
      <status>modified</status>
      <modifiedWord>（</modifiedWord>
      <trackRevisions>false</trackRevisions>
    </reviewItem>
    <reviewItem>
      <errorID>cfe456bc-da0f-4f27-bb0a-a1a693c180e5</errorID>
      <errorWord>)</errorWord>
      <group>L1_Format</group>
      <groupName>格式问题</groupName>
      <ability>L2_HalfPunc_CN</ability>
      <abilityName>全半角检查</abilityName>
      <candidateList>
        <item>）</item>
      </candidateList>
      <explain>文本全半角错误。</explain>
      <paraID>7453697A</paraID>
      <start>93</start>
      <end>94</end>
      <status>modified</status>
      <modifiedWord>）</modifiedWord>
      <trackRevisions>false</trackRevisions>
    </reviewItem>
    <reviewItem>
      <errorID>3e3c65be-4858-41d7-b9bd-4108583b6db0</errorID>
      <errorWord>程</errorWord>
      <group>L1_Word</group>
      <groupName>字词问题</groupName>
      <ability>L2_Typo</ability>
      <abilityName>字词错误</abilityName>
      <candidateList>
        <item>程中</item>
      </candidateList>
      <explain/>
      <paraID>55789995</paraID>
      <start>291</start>
      <end>292</end>
      <status>ignored</status>
      <modifiedWord/>
      <trackRevisions>false</trackRevisions>
    </reviewItem>
    <reviewItem>
      <errorID>f13a80cb-c435-4dbb-af70-4927e3d5acd1</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6FC27AD2</paraID>
      <start>124</start>
      <end>125</end>
      <status>ignored</status>
      <modifiedWord/>
      <trackRevisions>false</trackRevisions>
    </reviewItem>
    <reviewItem>
      <errorID>927640d5-2b58-4046-b8a5-ff2d32e7958c</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6FC27AD2</paraID>
      <start>161</start>
      <end>162</end>
      <status>ignored</status>
      <modifiedWord/>
      <trackRevisions>false</trackRevisions>
    </reviewItem>
    <reviewItem>
      <errorID>e752b7fa-acea-4b25-b6ed-71a2c8c7f69f</errorID>
      <errorWord>混合并</errorWord>
      <group>L1_Word</group>
      <groupName>字词问题</groupName>
      <ability>L2_Typo</ability>
      <abilityName>字词错误</abilityName>
      <candidateList>
        <item>混合</item>
      </candidateList>
      <explain>〈动〉❶掺杂在一起：男女～双打｜客货～列车。❷把两种或两种以上相互间不发生化学反应的物质掺和在一起。</explain>
      <paraID>120EC50D</paraID>
      <start>16</start>
      <end>18</end>
      <status>modified</status>
      <modifiedWord>混合</modifiedWord>
      <trackRevisions>false</trackRevisions>
    </reviewItem>
    <reviewItem>
      <errorID>db952254-b3d6-4c81-b435-7d507c84b2a9</errorID>
      <errorWord>填写转</errorWord>
      <group>L1_Word</group>
      <groupName>字词问题</groupName>
      <ability>L2_Typo</ability>
      <abilityName>字词错误</abilityName>
      <candidateList>
        <item>填写</item>
      </candidateList>
      <explain>〈动〉在印好的表格、单据等的空白处，按照项目、格式写上应写的文字或数字：～履历表｜～汇款通知单。</explain>
      <paraID>5237AFB1</paraID>
      <start>60</start>
      <end>62</end>
      <status>modified</status>
      <modifiedWord>填写</modifiedWord>
      <trackRevisions>false</trackRevisions>
    </reviewItem>
    <reviewItem>
      <errorID>fd4b69ac-5b31-46c4-aa52-1c8d878efead</errorID>
      <errorWord>程</errorWord>
      <group>L1_Word</group>
      <groupName>字词问题</groupName>
      <ability>L2_Typo</ability>
      <abilityName>字词错误</abilityName>
      <candidateList>
        <item>程中</item>
      </candidateList>
      <explain/>
      <paraID> A88281F</paraID>
      <start>52</start>
      <end>53</end>
      <status>ignored</status>
      <modifiedWord/>
      <trackRevisions>false</trackRevisions>
    </reviewItem>
    <reviewItem>
      <errorID>9d29613f-3a20-4f42-a008-5983bb484513</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489FAE25</paraID>
      <start>84</start>
      <end>85</end>
      <status>ignored</status>
      <modifiedWord/>
      <trackRevisions>false</trackRevisions>
    </reviewItem>
    <reviewItem>
      <errorID>d8dec9d3-2ad6-49db-b548-bb49c5136cb0</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489FAE25</paraID>
      <start>121</start>
      <end>122</end>
      <status>ignored</status>
      <modifiedWord/>
      <trackRevisions>false</trackRevisions>
    </reviewItem>
    <reviewItem>
      <errorID>fd5e0dec-93d5-4bb6-b7ea-6d02218d43e2</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489FAE25</paraID>
      <start>233</start>
      <end>234</end>
      <status>ignored</status>
      <modifiedWord/>
      <trackRevisions>false</trackRevisions>
    </reviewItem>
    <reviewItem>
      <errorID>639f78b4-c293-4630-ba14-a19a627f0916</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42622194</paraID>
      <start>105</start>
      <end>106</end>
      <status>ignored</status>
      <modifiedWord/>
      <trackRevisions>false</trackRevisions>
    </reviewItem>
    <reviewItem>
      <errorID>376baaa6-b3da-4325-89ba-6faa85b4dc60</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227C70E3</paraID>
      <start>31</start>
      <end>32</end>
      <status>modified</status>
      <modifiedWord>等</modifiedWord>
      <trackRevisions>false</trackRevisions>
    </reviewItem>
    <reviewItem>
      <errorID>4c0108ea-e674-421c-91ee-b55d31b7e353</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6A066885</paraID>
      <start>24</start>
      <end>26</end>
      <status>ignored</status>
      <modifiedWord/>
      <trackRevisions>false</trackRevisions>
    </reviewItem>
    <reviewItem>
      <errorID>3c2da8a9-ff87-4076-9f14-ecd87c502c4f</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607DF620</paraID>
      <start>94</start>
      <end>95</end>
      <status>ignored</status>
      <modifiedWord/>
      <trackRevisions>false</trackRevisions>
    </reviewItem>
    <reviewItem>
      <errorID>b9ec9e14-2e0c-4bee-87df-1180f883e3c2</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607DF620</paraID>
      <start>131</start>
      <end>132</end>
      <status>ignored</status>
      <modifiedWord/>
      <trackRevisions>false</trackRevisions>
    </reviewItem>
    <reviewItem>
      <errorID>e92360c5-d634-455b-895a-bb98a7b1fa07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607DF620</paraID>
      <start>229</start>
      <end>230</end>
      <status>ignored</status>
      <modifiedWord/>
      <trackRevisions>false</trackRevisions>
    </reviewItem>
    <reviewItem>
      <errorID>0662ceaf-6469-4ce8-bf1e-2fff4defaaeb</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70D09B6C</paraID>
      <start>121</start>
      <end>122</end>
      <status>ignored</status>
      <modifiedWord/>
      <trackRevisions>false</trackRevisions>
    </reviewItem>
    <reviewItem>
      <errorID>45d413e4-d19a-430c-a991-cd7c5e1c6b8d</errorID>
      <errorWord>（</errorWord>
      <group>L1_Punc</group>
      <groupName>标点问题</groupName>
      <ability>L2_Punc_CN</ability>
      <abilityName>标点符号检查</abilityName>
      <candidateList/>
      <explain>同一形式括号套用。</explain>
      <paraID>26699CEF</paraID>
      <start>40</start>
      <end>41</end>
      <status>ignored</status>
      <modifiedWord/>
      <trackRevisions>false</trackRevisions>
    </reviewItem>
    <reviewItem>
      <errorID>b442c1c7-13dd-43d2-b091-71348b429455</errorID>
      <errorWord>）</errorWord>
      <group>L1_Punc</group>
      <groupName>标点问题</groupName>
      <ability>L2_Punc_CN</ability>
      <abilityName>标点符号检查</abilityName>
      <candidateList/>
      <explain>同一形式括号套用。</explain>
      <paraID>26699CEF</paraID>
      <start>43</start>
      <end>44</end>
      <status>ignored</status>
      <modifiedWord/>
      <trackRevisions>false</trackRevisions>
    </reviewItem>
    <reviewItem>
      <errorID>d84798bf-0d1b-4f9a-8bdb-4c684284bc1c</errorID>
      <errorWord>项目在</errorWord>
      <group>L1_Word</group>
      <groupName>字词问题</groupName>
      <ability>L2_Typo</ability>
      <abilityName>字词错误</abilityName>
      <candidateList>
        <item>项目</item>
      </candidateList>
      <explain>〈名〉事物分成的门类：服务～｜体育～｜建设～。</explain>
      <paraID>536430F0</paraID>
      <start>1</start>
      <end>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83b0fe-b1d9-4e77-8c80-0c00f0a2efe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165</Pages>
  <Words>111508</Words>
  <Characters>129267</Characters>
  <Lines>13</Lines>
  <Paragraphs>3</Paragraphs>
  <TotalTime>19</TotalTime>
  <ScaleCrop>false</ScaleCrop>
  <LinksUpToDate>false</LinksUpToDate>
  <CharactersWithSpaces>129838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2021-01-04T05:15:00Z</dcterms:created>
  <dc:creator>微软用户</dc:creator>
  <cp:lastModifiedBy>雄仔</cp:lastModifiedBy>
  <cp:lastPrinted>2026-06-09T06:40:32Z</cp:lastPrinted>
  <dcterms:modified xsi:type="dcterms:W3CDTF">2026-06-09T06:41:33Z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eyJoZGlkIjoiODY5YmE0YzE0OWUyODVlMTRjOTk3MzJlMDBkZjYxYzMiLCJ1c2VySWQiOiI0MjIzNzA4NDUifQ==</vt:lpwstr>
  </property>
  <property fmtid="{D5CDD505-2E9C-101B-9397-08002B2CF9AE}" pid="3" name="KSOProductBuildVer">
    <vt:lpwstr>2052-12.1.0.26375</vt:lpwstr>
  </property>
  <property fmtid="{D5CDD505-2E9C-101B-9397-08002B2CF9AE}" pid="4" name="ICV">
    <vt:lpwstr>09D4E07744434D64B945CBB410CC3FA2_13</vt:lpwstr>
  </property>
</Properties>
</file>