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00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方正小标宋_GBK" w:cs="Times New Roman"/>
          <w:bCs/>
          <w:color w:val="auto"/>
          <w:sz w:val="72"/>
          <w:szCs w:val="72"/>
        </w:rPr>
      </w:pPr>
    </w:p>
    <w:p w14:paraId="3D26D4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方正小标宋_GBK" w:cs="Times New Roman"/>
          <w:bCs/>
          <w:color w:val="auto"/>
          <w:sz w:val="72"/>
          <w:szCs w:val="72"/>
        </w:rPr>
      </w:pPr>
    </w:p>
    <w:p w14:paraId="6FEBD34E">
      <w:pPr>
        <w:adjustRightInd w:val="0"/>
        <w:snapToGrid w:val="0"/>
        <w:spacing w:line="240" w:lineRule="auto"/>
        <w:ind w:firstLine="0" w:firstLineChars="0"/>
        <w:jc w:val="center"/>
        <w:outlineLvl w:val="0"/>
        <w:rPr>
          <w:rFonts w:hint="default" w:ascii="Times New Roman" w:hAnsi="Times New Roman" w:eastAsia="方正小标宋_GBK" w:cs="Times New Roman"/>
          <w:bCs/>
          <w:color w:val="auto"/>
          <w:sz w:val="72"/>
          <w:szCs w:val="72"/>
        </w:rPr>
      </w:pPr>
      <w:bookmarkStart w:id="0" w:name="_Toc17799"/>
      <w:r>
        <w:rPr>
          <w:rFonts w:hint="default" w:ascii="Times New Roman" w:hAnsi="Times New Roman" w:eastAsia="方正小标宋_GBK" w:cs="Times New Roman"/>
          <w:bCs/>
          <w:color w:val="auto"/>
          <w:sz w:val="72"/>
          <w:szCs w:val="72"/>
        </w:rPr>
        <w:t>建设项目环境影响报告表</w:t>
      </w:r>
      <w:bookmarkEnd w:id="0"/>
    </w:p>
    <w:p w14:paraId="2EE7D651">
      <w:pPr>
        <w:adjustRightInd w:val="0"/>
        <w:snapToGrid w:val="0"/>
        <w:spacing w:beforeLines="80" w:line="240" w:lineRule="auto"/>
        <w:ind w:firstLine="0" w:firstLineChars="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w:t>
      </w:r>
      <w:r>
        <w:rPr>
          <w:rFonts w:hint="default" w:ascii="Times New Roman" w:hAnsi="Times New Roman" w:eastAsia="楷体_GB2312" w:cs="Times New Roman"/>
          <w:bCs/>
          <w:color w:val="auto"/>
          <w:sz w:val="48"/>
          <w:szCs w:val="48"/>
          <w:lang w:val="en-US" w:eastAsia="zh-CN"/>
        </w:rPr>
        <w:t>污染影响类</w:t>
      </w:r>
      <w:r>
        <w:rPr>
          <w:rFonts w:hint="default" w:ascii="Times New Roman" w:hAnsi="Times New Roman" w:eastAsia="楷体_GB2312" w:cs="Times New Roman"/>
          <w:bCs/>
          <w:color w:val="auto"/>
          <w:sz w:val="48"/>
          <w:szCs w:val="48"/>
        </w:rPr>
        <w:t>）</w:t>
      </w:r>
    </w:p>
    <w:p w14:paraId="6B5A607F">
      <w:pPr>
        <w:spacing w:line="240" w:lineRule="auto"/>
        <w:ind w:firstLine="0" w:firstLineChars="0"/>
        <w:rPr>
          <w:rFonts w:hint="default" w:ascii="Times New Roman" w:hAnsi="Times New Roman" w:eastAsia="宋体" w:cs="Times New Roman"/>
          <w:color w:val="auto"/>
          <w:sz w:val="21"/>
        </w:rPr>
      </w:pPr>
    </w:p>
    <w:p w14:paraId="56106BA8">
      <w:pPr>
        <w:spacing w:line="240" w:lineRule="auto"/>
        <w:ind w:firstLine="0" w:firstLineChars="0"/>
        <w:jc w:val="center"/>
        <w:rPr>
          <w:rFonts w:hint="default" w:ascii="Times New Roman" w:hAnsi="Times New Roman" w:eastAsia="仿宋" w:cs="Times New Roman"/>
          <w:color w:val="auto"/>
          <w:sz w:val="52"/>
          <w:szCs w:val="52"/>
        </w:rPr>
      </w:pPr>
    </w:p>
    <w:p w14:paraId="4456ECF6">
      <w:pPr>
        <w:spacing w:line="240" w:lineRule="auto"/>
        <w:ind w:firstLine="1040" w:firstLineChars="0"/>
        <w:rPr>
          <w:rFonts w:hint="default" w:ascii="Times New Roman" w:hAnsi="Times New Roman" w:eastAsia="仿宋" w:cs="Times New Roman"/>
          <w:color w:val="auto"/>
          <w:sz w:val="44"/>
          <w:szCs w:val="44"/>
        </w:rPr>
      </w:pPr>
    </w:p>
    <w:p w14:paraId="21AF29E6">
      <w:pPr>
        <w:spacing w:line="240" w:lineRule="auto"/>
        <w:ind w:firstLine="1040" w:firstLineChars="0"/>
        <w:rPr>
          <w:rFonts w:hint="default" w:ascii="Times New Roman" w:hAnsi="Times New Roman" w:eastAsia="仿宋" w:cs="Times New Roman"/>
          <w:color w:val="auto"/>
          <w:sz w:val="44"/>
          <w:szCs w:val="44"/>
        </w:rPr>
      </w:pPr>
      <w:bookmarkStart w:id="43" w:name="_GoBack"/>
      <w:bookmarkEnd w:id="43"/>
    </w:p>
    <w:p w14:paraId="03D618AE">
      <w:pPr>
        <w:spacing w:line="240" w:lineRule="auto"/>
        <w:ind w:firstLine="1040" w:firstLineChars="0"/>
        <w:rPr>
          <w:rFonts w:hint="default" w:ascii="Times New Roman" w:hAnsi="Times New Roman" w:eastAsia="仿宋" w:cs="Times New Roman"/>
          <w:color w:val="auto"/>
          <w:sz w:val="44"/>
          <w:szCs w:val="44"/>
        </w:rPr>
      </w:pPr>
    </w:p>
    <w:p w14:paraId="3AC75A75">
      <w:pPr>
        <w:spacing w:line="240" w:lineRule="auto"/>
        <w:ind w:firstLine="1040" w:firstLineChars="0"/>
        <w:rPr>
          <w:rFonts w:hint="default" w:ascii="Times New Roman" w:hAnsi="Times New Roman" w:eastAsia="仿宋" w:cs="Times New Roman"/>
          <w:color w:val="auto"/>
          <w:sz w:val="44"/>
          <w:szCs w:val="44"/>
        </w:rPr>
      </w:pPr>
    </w:p>
    <w:p w14:paraId="0C09D6EC">
      <w:pPr>
        <w:widowControl w:val="0"/>
        <w:wordWrap/>
        <w:adjustRightInd w:val="0"/>
        <w:snapToGrid w:val="0"/>
        <w:spacing w:line="480" w:lineRule="auto"/>
        <w:ind w:left="1800" w:leftChars="0" w:hanging="1800" w:hangingChars="500"/>
        <w:jc w:val="both"/>
        <w:textAlignment w:val="auto"/>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6"/>
          <w:szCs w:val="36"/>
        </w:rPr>
        <w:t>项目名称：</w:t>
      </w:r>
      <w:r>
        <w:rPr>
          <w:rFonts w:hint="eastAsia" w:eastAsia="仿宋_GB2312" w:cs="Times New Roman"/>
          <w:color w:val="auto"/>
          <w:sz w:val="36"/>
          <w:szCs w:val="36"/>
          <w:u w:val="single"/>
          <w:lang w:eastAsia="zh-CN"/>
        </w:rPr>
        <w:t>年配煤12万吨加工生产线建设项目</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p>
    <w:p w14:paraId="3F2E0558">
      <w:pPr>
        <w:widowControl w:val="0"/>
        <w:wordWrap/>
        <w:adjustRightInd w:val="0"/>
        <w:snapToGrid w:val="0"/>
        <w:spacing w:line="480" w:lineRule="auto"/>
        <w:ind w:firstLine="360" w:firstLineChars="100"/>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lang w:val="en-US" w:eastAsia="zh-CN"/>
        </w:rPr>
        <w:t xml:space="preserve">   </w:t>
      </w:r>
      <w:r>
        <w:rPr>
          <w:rFonts w:hint="eastAsia" w:eastAsia="仿宋_GB2312" w:cs="Times New Roman"/>
          <w:color w:val="auto"/>
          <w:sz w:val="36"/>
          <w:szCs w:val="36"/>
          <w:u w:val="single"/>
          <w:lang w:eastAsia="zh-CN"/>
        </w:rPr>
        <w:t>玉溪利东商贸有限公司</w:t>
      </w:r>
      <w:r>
        <w:rPr>
          <w:rFonts w:hint="default" w:ascii="Times New Roman" w:hAnsi="Times New Roman" w:eastAsia="仿宋_GB2312" w:cs="Times New Roman"/>
          <w:color w:val="auto"/>
          <w:sz w:val="36"/>
          <w:szCs w:val="36"/>
          <w:u w:val="single"/>
          <w:lang w:val="en-US" w:eastAsia="zh-CN"/>
        </w:rPr>
        <w:t xml:space="preserve">        </w:t>
      </w:r>
    </w:p>
    <w:p w14:paraId="4A5E12F8">
      <w:pPr>
        <w:widowControl w:val="0"/>
        <w:wordWrap/>
        <w:adjustRightInd w:val="0"/>
        <w:snapToGrid w:val="0"/>
        <w:spacing w:line="480" w:lineRule="auto"/>
        <w:ind w:firstLine="1080" w:firstLineChars="300"/>
        <w:textAlignment w:val="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202</w:t>
      </w:r>
      <w:r>
        <w:rPr>
          <w:rFonts w:hint="eastAsia" w:eastAsia="仿宋_GB2312" w:cs="Times New Roman"/>
          <w:color w:val="auto"/>
          <w:sz w:val="36"/>
          <w:szCs w:val="36"/>
          <w:u w:val="single"/>
          <w:lang w:val="en-US" w:eastAsia="zh-CN"/>
        </w:rPr>
        <w:t>6</w:t>
      </w:r>
      <w:r>
        <w:rPr>
          <w:rFonts w:hint="default" w:ascii="Times New Roman" w:hAnsi="Times New Roman" w:eastAsia="仿宋_GB2312" w:cs="Times New Roman"/>
          <w:color w:val="auto"/>
          <w:sz w:val="36"/>
          <w:szCs w:val="36"/>
          <w:u w:val="single"/>
        </w:rPr>
        <w:t>年</w:t>
      </w:r>
      <w:r>
        <w:rPr>
          <w:rFonts w:hint="eastAsia" w:eastAsia="仿宋_GB2312" w:cs="Times New Roman"/>
          <w:color w:val="auto"/>
          <w:sz w:val="36"/>
          <w:szCs w:val="36"/>
          <w:u w:val="single"/>
          <w:lang w:val="en-US" w:eastAsia="zh-CN"/>
        </w:rPr>
        <w:t>06</w:t>
      </w:r>
      <w:r>
        <w:rPr>
          <w:rFonts w:hint="default" w:ascii="Times New Roman" w:hAnsi="Times New Roman" w:eastAsia="仿宋_GB2312" w:cs="Times New Roman"/>
          <w:color w:val="auto"/>
          <w:sz w:val="36"/>
          <w:szCs w:val="36"/>
          <w:u w:val="single"/>
        </w:rPr>
        <w:t xml:space="preserve">月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14:paraId="12EB2938">
      <w:pPr>
        <w:adjustRightInd w:val="0"/>
        <w:snapToGrid w:val="0"/>
        <w:spacing w:line="288" w:lineRule="auto"/>
        <w:ind w:firstLine="1040" w:firstLineChars="0"/>
        <w:rPr>
          <w:rFonts w:hint="default" w:ascii="Times New Roman" w:hAnsi="Times New Roman" w:eastAsia="仿宋_GB2312" w:cs="Times New Roman"/>
          <w:color w:val="auto"/>
          <w:sz w:val="36"/>
          <w:szCs w:val="36"/>
        </w:rPr>
      </w:pPr>
      <w:bookmarkStart w:id="1" w:name="_Hlk57884087"/>
    </w:p>
    <w:p w14:paraId="3B0E2C63">
      <w:pPr>
        <w:adjustRightInd w:val="0"/>
        <w:snapToGrid w:val="0"/>
        <w:spacing w:line="288" w:lineRule="auto"/>
        <w:ind w:firstLine="1040" w:firstLineChars="0"/>
        <w:rPr>
          <w:rFonts w:hint="default" w:ascii="Times New Roman" w:hAnsi="Times New Roman" w:eastAsia="仿宋_GB2312" w:cs="Times New Roman"/>
          <w:color w:val="auto"/>
          <w:sz w:val="36"/>
          <w:szCs w:val="36"/>
        </w:rPr>
      </w:pPr>
    </w:p>
    <w:p w14:paraId="083E6756">
      <w:pPr>
        <w:pStyle w:val="36"/>
        <w:rPr>
          <w:rFonts w:hint="default"/>
          <w:color w:val="auto"/>
        </w:rPr>
      </w:pPr>
    </w:p>
    <w:bookmarkEnd w:id="1"/>
    <w:p w14:paraId="44DD65FE">
      <w:pPr>
        <w:adjustRightInd w:val="0"/>
        <w:snapToGrid w:val="0"/>
        <w:spacing w:line="288" w:lineRule="auto"/>
        <w:ind w:firstLine="0" w:firstLineChars="0"/>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6F75DD86">
      <w:pPr>
        <w:spacing w:line="240" w:lineRule="auto"/>
        <w:ind w:firstLine="0" w:firstLineChars="0"/>
        <w:rPr>
          <w:rFonts w:hint="default" w:ascii="Times New Roman" w:hAnsi="Times New Roman" w:eastAsia="宋体" w:cs="Times New Roman"/>
          <w:color w:val="auto"/>
          <w:sz w:val="21"/>
        </w:rPr>
      </w:pPr>
    </w:p>
    <w:p w14:paraId="776291A2">
      <w:pPr>
        <w:rPr>
          <w:rFonts w:hint="default" w:ascii="Times New Roman" w:hAnsi="Times New Roman" w:cs="Times New Roman"/>
          <w:color w:val="auto"/>
          <w:lang w:val="en-US"/>
        </w:rPr>
        <w:sectPr>
          <w:headerReference r:id="rId5" w:type="default"/>
          <w:footerReference r:id="rId6" w:type="default"/>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rPr>
        <w:br w:type="page"/>
      </w:r>
    </w:p>
    <w:p w14:paraId="09632D04">
      <w:pPr>
        <w:pStyle w:val="20"/>
        <w:rPr>
          <w:rFonts w:hint="default" w:ascii="Times New Roman" w:hAnsi="Times New Roman" w:cs="Times New Roman"/>
          <w:color w:val="auto"/>
        </w:rPr>
      </w:pPr>
    </w:p>
    <w:p w14:paraId="7593BA18">
      <w:pPr>
        <w:ind w:firstLine="0" w:firstLineChars="0"/>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目</w:t>
      </w:r>
      <w:r>
        <w:rPr>
          <w:rFonts w:hint="eastAsia" w:cs="Times New Roman"/>
          <w:b/>
          <w:bCs/>
          <w:color w:val="auto"/>
          <w:sz w:val="28"/>
          <w:szCs w:val="28"/>
          <w:lang w:val="en-US" w:eastAsia="zh-CN"/>
        </w:rPr>
        <w:t xml:space="preserve">  </w:t>
      </w:r>
      <w:r>
        <w:rPr>
          <w:rFonts w:hint="default" w:ascii="Times New Roman" w:hAnsi="Times New Roman" w:cs="Times New Roman"/>
          <w:b/>
          <w:bCs/>
          <w:color w:val="auto"/>
          <w:sz w:val="28"/>
          <w:szCs w:val="28"/>
        </w:rPr>
        <w:t>录</w:t>
      </w:r>
    </w:p>
    <w:p w14:paraId="5D8A34A2">
      <w:pPr>
        <w:pStyle w:val="13"/>
        <w:rPr>
          <w:rFonts w:hint="default"/>
          <w:color w:val="auto"/>
        </w:rPr>
      </w:pPr>
    </w:p>
    <w:p w14:paraId="195044F5">
      <w:pPr>
        <w:pStyle w:val="21"/>
        <w:tabs>
          <w:tab w:val="right" w:leader="dot" w:pos="8306"/>
        </w:tabs>
        <w:rPr>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"1-1" \h \u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_Toc13225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一、</w:t>
      </w:r>
      <w:r>
        <w:rPr>
          <w:rFonts w:hint="default" w:ascii="Times New Roman" w:hAnsi="Times New Roman" w:cs="Times New Roman"/>
          <w:color w:val="auto"/>
        </w:rPr>
        <w:t>建设项目基本情况</w:t>
      </w:r>
      <w:r>
        <w:rPr>
          <w:color w:val="auto"/>
        </w:rPr>
        <w:tab/>
      </w:r>
      <w:r>
        <w:rPr>
          <w:rFonts w:hint="eastAsia"/>
          <w:color w:val="auto"/>
          <w:lang w:val="en-US" w:eastAsia="zh-CN"/>
        </w:rPr>
        <w:t>1</w:t>
      </w:r>
      <w:r>
        <w:rPr>
          <w:rFonts w:hint="default" w:ascii="Times New Roman" w:hAnsi="Times New Roman" w:cs="Times New Roman"/>
          <w:color w:val="auto"/>
          <w:szCs w:val="24"/>
        </w:rPr>
        <w:fldChar w:fldCharType="end"/>
      </w:r>
    </w:p>
    <w:p w14:paraId="1135123A">
      <w:pPr>
        <w:pStyle w:val="21"/>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_Toc309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二、</w:t>
      </w:r>
      <w:r>
        <w:rPr>
          <w:rFonts w:hint="default" w:ascii="Times New Roman" w:hAnsi="Times New Roman" w:cs="Times New Roman"/>
          <w:color w:val="auto"/>
        </w:rPr>
        <w:t>建设项目工程分析</w:t>
      </w:r>
      <w:r>
        <w:rPr>
          <w:color w:val="auto"/>
        </w:rPr>
        <w:tab/>
      </w:r>
      <w:r>
        <w:rPr>
          <w:color w:val="auto"/>
        </w:rPr>
        <w:fldChar w:fldCharType="begin"/>
      </w:r>
      <w:r>
        <w:rPr>
          <w:color w:val="auto"/>
        </w:rPr>
        <w:instrText xml:space="preserve"> PAGEREF _Toc309 \h </w:instrText>
      </w:r>
      <w:r>
        <w:rPr>
          <w:color w:val="auto"/>
        </w:rPr>
        <w:fldChar w:fldCharType="separate"/>
      </w:r>
      <w:r>
        <w:rPr>
          <w:color w:val="auto"/>
        </w:rPr>
        <w:t>23</w:t>
      </w:r>
      <w:r>
        <w:rPr>
          <w:color w:val="auto"/>
        </w:rPr>
        <w:fldChar w:fldCharType="end"/>
      </w:r>
      <w:r>
        <w:rPr>
          <w:rFonts w:hint="default" w:ascii="Times New Roman" w:hAnsi="Times New Roman" w:cs="Times New Roman"/>
          <w:color w:val="auto"/>
          <w:szCs w:val="24"/>
        </w:rPr>
        <w:fldChar w:fldCharType="end"/>
      </w:r>
    </w:p>
    <w:p w14:paraId="7FFCF785">
      <w:pPr>
        <w:pStyle w:val="21"/>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_Toc4973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三、</w:t>
      </w:r>
      <w:r>
        <w:rPr>
          <w:rFonts w:hint="default" w:ascii="Times New Roman" w:hAnsi="Times New Roman" w:cs="Times New Roman"/>
          <w:color w:val="auto"/>
        </w:rPr>
        <w:t>区域环境质量现状、环境保护目标及评价标准</w:t>
      </w:r>
      <w:r>
        <w:rPr>
          <w:color w:val="auto"/>
        </w:rPr>
        <w:tab/>
      </w:r>
      <w:r>
        <w:rPr>
          <w:color w:val="auto"/>
        </w:rPr>
        <w:fldChar w:fldCharType="begin"/>
      </w:r>
      <w:r>
        <w:rPr>
          <w:color w:val="auto"/>
        </w:rPr>
        <w:instrText xml:space="preserve"> PAGEREF _Toc4973 \h </w:instrText>
      </w:r>
      <w:r>
        <w:rPr>
          <w:color w:val="auto"/>
        </w:rPr>
        <w:fldChar w:fldCharType="separate"/>
      </w:r>
      <w:r>
        <w:rPr>
          <w:color w:val="auto"/>
        </w:rPr>
        <w:t>44</w:t>
      </w:r>
      <w:r>
        <w:rPr>
          <w:color w:val="auto"/>
        </w:rPr>
        <w:fldChar w:fldCharType="end"/>
      </w:r>
      <w:r>
        <w:rPr>
          <w:rFonts w:hint="default" w:ascii="Times New Roman" w:hAnsi="Times New Roman" w:cs="Times New Roman"/>
          <w:color w:val="auto"/>
          <w:szCs w:val="24"/>
        </w:rPr>
        <w:fldChar w:fldCharType="end"/>
      </w:r>
    </w:p>
    <w:p w14:paraId="7A6313E0">
      <w:pPr>
        <w:pStyle w:val="21"/>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_Toc25628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四、主要环境影响和保护措施</w:t>
      </w:r>
      <w:r>
        <w:rPr>
          <w:color w:val="auto"/>
        </w:rPr>
        <w:tab/>
      </w:r>
      <w:r>
        <w:rPr>
          <w:color w:val="auto"/>
        </w:rPr>
        <w:fldChar w:fldCharType="begin"/>
      </w:r>
      <w:r>
        <w:rPr>
          <w:color w:val="auto"/>
        </w:rPr>
        <w:instrText xml:space="preserve"> PAGEREF _Toc25628 \h </w:instrText>
      </w:r>
      <w:r>
        <w:rPr>
          <w:color w:val="auto"/>
        </w:rPr>
        <w:fldChar w:fldCharType="separate"/>
      </w:r>
      <w:r>
        <w:rPr>
          <w:color w:val="auto"/>
        </w:rPr>
        <w:t>55</w:t>
      </w:r>
      <w:r>
        <w:rPr>
          <w:color w:val="auto"/>
        </w:rPr>
        <w:fldChar w:fldCharType="end"/>
      </w:r>
      <w:r>
        <w:rPr>
          <w:rFonts w:hint="default" w:ascii="Times New Roman" w:hAnsi="Times New Roman" w:cs="Times New Roman"/>
          <w:color w:val="auto"/>
          <w:szCs w:val="24"/>
        </w:rPr>
        <w:fldChar w:fldCharType="end"/>
      </w:r>
    </w:p>
    <w:p w14:paraId="5E9B6C16">
      <w:pPr>
        <w:pStyle w:val="21"/>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_Toc13367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五、环境保护措施监督检查清单</w:t>
      </w:r>
      <w:r>
        <w:rPr>
          <w:color w:val="auto"/>
        </w:rPr>
        <w:tab/>
      </w:r>
      <w:r>
        <w:rPr>
          <w:color w:val="auto"/>
        </w:rPr>
        <w:fldChar w:fldCharType="begin"/>
      </w:r>
      <w:r>
        <w:rPr>
          <w:color w:val="auto"/>
        </w:rPr>
        <w:instrText xml:space="preserve"> PAGEREF _Toc13367 \h </w:instrText>
      </w:r>
      <w:r>
        <w:rPr>
          <w:color w:val="auto"/>
        </w:rPr>
        <w:fldChar w:fldCharType="separate"/>
      </w:r>
      <w:r>
        <w:rPr>
          <w:color w:val="auto"/>
        </w:rPr>
        <w:t>80</w:t>
      </w:r>
      <w:r>
        <w:rPr>
          <w:color w:val="auto"/>
        </w:rPr>
        <w:fldChar w:fldCharType="end"/>
      </w:r>
      <w:r>
        <w:rPr>
          <w:rFonts w:hint="default" w:ascii="Times New Roman" w:hAnsi="Times New Roman" w:cs="Times New Roman"/>
          <w:color w:val="auto"/>
          <w:szCs w:val="24"/>
        </w:rPr>
        <w:fldChar w:fldCharType="end"/>
      </w:r>
    </w:p>
    <w:p w14:paraId="170091DB">
      <w:pPr>
        <w:pStyle w:val="21"/>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_Toc13537 </w:instrText>
      </w:r>
      <w:r>
        <w:rPr>
          <w:rFonts w:hint="default" w:ascii="Times New Roman" w:hAnsi="Times New Roman" w:cs="Times New Roman"/>
          <w:color w:val="auto"/>
          <w:szCs w:val="24"/>
        </w:rPr>
        <w:fldChar w:fldCharType="separate"/>
      </w:r>
      <w:r>
        <w:rPr>
          <w:rFonts w:hint="eastAsia" w:ascii="Times New Roman" w:hAnsi="Times New Roman" w:eastAsia="宋体" w:cs="Times New Roman"/>
          <w:color w:val="auto"/>
          <w:kern w:val="44"/>
          <w:szCs w:val="24"/>
          <w:lang w:val="en-US" w:eastAsia="zh-CN" w:bidi="ar-SA"/>
        </w:rPr>
        <w:t>六、</w:t>
      </w:r>
      <w:r>
        <w:rPr>
          <w:rFonts w:hint="default" w:ascii="Times New Roman" w:hAnsi="Times New Roman" w:eastAsia="宋体" w:cs="Times New Roman"/>
          <w:color w:val="auto"/>
          <w:kern w:val="44"/>
          <w:szCs w:val="24"/>
          <w:lang w:val="en-US" w:eastAsia="zh-CN" w:bidi="ar-SA"/>
        </w:rPr>
        <w:t>结论</w:t>
      </w:r>
      <w:r>
        <w:rPr>
          <w:color w:val="auto"/>
        </w:rPr>
        <w:tab/>
      </w:r>
      <w:r>
        <w:rPr>
          <w:color w:val="auto"/>
        </w:rPr>
        <w:fldChar w:fldCharType="begin"/>
      </w:r>
      <w:r>
        <w:rPr>
          <w:color w:val="auto"/>
        </w:rPr>
        <w:instrText xml:space="preserve"> PAGEREF _Toc13537 \h </w:instrText>
      </w:r>
      <w:r>
        <w:rPr>
          <w:color w:val="auto"/>
        </w:rPr>
        <w:fldChar w:fldCharType="separate"/>
      </w:r>
      <w:r>
        <w:rPr>
          <w:color w:val="auto"/>
        </w:rPr>
        <w:t>84</w:t>
      </w:r>
      <w:r>
        <w:rPr>
          <w:color w:val="auto"/>
        </w:rPr>
        <w:fldChar w:fldCharType="end"/>
      </w:r>
      <w:r>
        <w:rPr>
          <w:rFonts w:hint="default" w:ascii="Times New Roman" w:hAnsi="Times New Roman" w:cs="Times New Roman"/>
          <w:color w:val="auto"/>
          <w:szCs w:val="24"/>
        </w:rPr>
        <w:fldChar w:fldCharType="end"/>
      </w:r>
    </w:p>
    <w:p w14:paraId="6642B860">
      <w:pPr>
        <w:pStyle w:val="21"/>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_Toc31138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建设项目污染物排放量汇总表</w:t>
      </w:r>
      <w:r>
        <w:rPr>
          <w:color w:val="auto"/>
        </w:rPr>
        <w:tab/>
      </w:r>
      <w:r>
        <w:rPr>
          <w:color w:val="auto"/>
        </w:rPr>
        <w:fldChar w:fldCharType="begin"/>
      </w:r>
      <w:r>
        <w:rPr>
          <w:color w:val="auto"/>
        </w:rPr>
        <w:instrText xml:space="preserve"> PAGEREF _Toc31138 \h </w:instrText>
      </w:r>
      <w:r>
        <w:rPr>
          <w:color w:val="auto"/>
        </w:rPr>
        <w:fldChar w:fldCharType="separate"/>
      </w:r>
      <w:r>
        <w:rPr>
          <w:color w:val="auto"/>
        </w:rPr>
        <w:t>85</w:t>
      </w:r>
      <w:r>
        <w:rPr>
          <w:color w:val="auto"/>
        </w:rPr>
        <w:fldChar w:fldCharType="end"/>
      </w:r>
      <w:r>
        <w:rPr>
          <w:rFonts w:hint="default" w:ascii="Times New Roman" w:hAnsi="Times New Roman" w:cs="Times New Roman"/>
          <w:color w:val="auto"/>
          <w:szCs w:val="24"/>
        </w:rPr>
        <w:fldChar w:fldCharType="end"/>
      </w:r>
    </w:p>
    <w:p w14:paraId="3BA67ADD">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fldChar w:fldCharType="end"/>
      </w:r>
    </w:p>
    <w:p w14:paraId="318EE5B8">
      <w:pPr>
        <w:pStyle w:val="39"/>
        <w:rPr>
          <w:rFonts w:hint="default" w:ascii="Times New Roman" w:hAnsi="Times New Roman" w:cs="Times New Roman"/>
          <w:color w:val="auto"/>
          <w:szCs w:val="24"/>
        </w:rPr>
      </w:pPr>
    </w:p>
    <w:p w14:paraId="4AE916ED">
      <w:pPr>
        <w:pStyle w:val="39"/>
        <w:rPr>
          <w:rFonts w:hint="default" w:ascii="Times New Roman" w:hAnsi="Times New Roman" w:cs="Times New Roman"/>
          <w:color w:val="auto"/>
          <w:szCs w:val="24"/>
        </w:rPr>
      </w:pPr>
    </w:p>
    <w:p w14:paraId="5A919B3D">
      <w:pPr>
        <w:pStyle w:val="39"/>
        <w:rPr>
          <w:rFonts w:hint="default" w:ascii="Times New Roman" w:hAnsi="Times New Roman" w:cs="Times New Roman"/>
          <w:color w:val="auto"/>
          <w:szCs w:val="24"/>
        </w:rPr>
      </w:pPr>
    </w:p>
    <w:p w14:paraId="11A256CA">
      <w:pPr>
        <w:pStyle w:val="39"/>
        <w:rPr>
          <w:rFonts w:hint="default" w:ascii="Times New Roman" w:hAnsi="Times New Roman" w:cs="Times New Roman"/>
          <w:color w:val="auto"/>
          <w:szCs w:val="24"/>
        </w:rPr>
      </w:pPr>
    </w:p>
    <w:p w14:paraId="23C51959">
      <w:pPr>
        <w:pStyle w:val="39"/>
        <w:rPr>
          <w:rFonts w:hint="default" w:ascii="Times New Roman" w:hAnsi="Times New Roman" w:cs="Times New Roman"/>
          <w:color w:val="auto"/>
          <w:szCs w:val="24"/>
        </w:rPr>
      </w:pPr>
    </w:p>
    <w:p w14:paraId="7ED1D7F1">
      <w:pPr>
        <w:pStyle w:val="39"/>
        <w:rPr>
          <w:rFonts w:hint="default" w:ascii="Times New Roman" w:hAnsi="Times New Roman" w:cs="Times New Roman"/>
          <w:color w:val="auto"/>
          <w:szCs w:val="24"/>
        </w:rPr>
      </w:pPr>
    </w:p>
    <w:p w14:paraId="633B4C0A">
      <w:pPr>
        <w:pStyle w:val="39"/>
        <w:rPr>
          <w:rFonts w:hint="default" w:ascii="Times New Roman" w:hAnsi="Times New Roman" w:cs="Times New Roman"/>
          <w:color w:val="auto"/>
          <w:szCs w:val="24"/>
        </w:rPr>
      </w:pPr>
    </w:p>
    <w:p w14:paraId="12E3CDAE">
      <w:pPr>
        <w:pStyle w:val="39"/>
        <w:rPr>
          <w:rFonts w:hint="default" w:ascii="Times New Roman" w:hAnsi="Times New Roman" w:cs="Times New Roman"/>
          <w:color w:val="auto"/>
          <w:szCs w:val="24"/>
        </w:rPr>
      </w:pPr>
    </w:p>
    <w:p w14:paraId="59C4D915">
      <w:pPr>
        <w:pStyle w:val="39"/>
        <w:rPr>
          <w:rFonts w:hint="default" w:ascii="Times New Roman" w:hAnsi="Times New Roman" w:cs="Times New Roman"/>
          <w:color w:val="auto"/>
          <w:szCs w:val="24"/>
        </w:rPr>
      </w:pPr>
    </w:p>
    <w:p w14:paraId="7A8E6EEF">
      <w:pPr>
        <w:pStyle w:val="39"/>
        <w:rPr>
          <w:rFonts w:hint="default" w:ascii="Times New Roman" w:hAnsi="Times New Roman" w:cs="Times New Roman"/>
          <w:color w:val="auto"/>
          <w:szCs w:val="24"/>
        </w:rPr>
      </w:pPr>
    </w:p>
    <w:p w14:paraId="17D1F28E">
      <w:pPr>
        <w:pStyle w:val="39"/>
        <w:rPr>
          <w:rFonts w:hint="default" w:ascii="Times New Roman" w:hAnsi="Times New Roman" w:cs="Times New Roman"/>
          <w:color w:val="auto"/>
          <w:szCs w:val="24"/>
        </w:rPr>
      </w:pPr>
    </w:p>
    <w:p w14:paraId="21CE7C45">
      <w:pPr>
        <w:pStyle w:val="39"/>
        <w:rPr>
          <w:rFonts w:hint="default" w:ascii="Times New Roman" w:hAnsi="Times New Roman" w:cs="Times New Roman"/>
          <w:color w:val="auto"/>
          <w:szCs w:val="24"/>
        </w:rPr>
      </w:pPr>
    </w:p>
    <w:p w14:paraId="26C18270">
      <w:pPr>
        <w:pStyle w:val="39"/>
        <w:rPr>
          <w:rFonts w:hint="default" w:ascii="Times New Roman" w:hAnsi="Times New Roman" w:cs="Times New Roman"/>
          <w:color w:val="auto"/>
          <w:szCs w:val="24"/>
        </w:rPr>
      </w:pPr>
    </w:p>
    <w:p w14:paraId="57243918">
      <w:pPr>
        <w:pStyle w:val="39"/>
        <w:rPr>
          <w:rFonts w:hint="default" w:ascii="Times New Roman" w:hAnsi="Times New Roman" w:cs="Times New Roman"/>
          <w:color w:val="auto"/>
          <w:szCs w:val="24"/>
        </w:rPr>
      </w:pPr>
    </w:p>
    <w:p w14:paraId="784241DD">
      <w:pPr>
        <w:pStyle w:val="39"/>
        <w:rPr>
          <w:rFonts w:hint="default" w:ascii="Times New Roman" w:hAnsi="Times New Roman" w:cs="Times New Roman"/>
          <w:color w:val="auto"/>
          <w:szCs w:val="24"/>
        </w:rPr>
      </w:pPr>
    </w:p>
    <w:p w14:paraId="6740E48E">
      <w:pPr>
        <w:pStyle w:val="39"/>
        <w:rPr>
          <w:rFonts w:hint="default" w:ascii="Times New Roman" w:hAnsi="Times New Roman" w:cs="Times New Roman"/>
          <w:color w:val="auto"/>
          <w:szCs w:val="24"/>
        </w:rPr>
      </w:pPr>
    </w:p>
    <w:p w14:paraId="3E30302F">
      <w:pPr>
        <w:pStyle w:val="39"/>
        <w:rPr>
          <w:rFonts w:hint="default" w:ascii="Times New Roman" w:hAnsi="Times New Roman" w:cs="Times New Roman"/>
          <w:color w:val="auto"/>
          <w:szCs w:val="24"/>
        </w:rPr>
      </w:pPr>
    </w:p>
    <w:p w14:paraId="25BEEB06">
      <w:pPr>
        <w:pStyle w:val="39"/>
        <w:rPr>
          <w:rFonts w:hint="default" w:ascii="Times New Roman" w:hAnsi="Times New Roman" w:cs="Times New Roman"/>
          <w:color w:val="auto"/>
          <w:szCs w:val="24"/>
        </w:rPr>
      </w:pPr>
    </w:p>
    <w:p w14:paraId="5761413B">
      <w:pPr>
        <w:pStyle w:val="39"/>
        <w:rPr>
          <w:rFonts w:hint="default" w:ascii="Times New Roman" w:hAnsi="Times New Roman" w:cs="Times New Roman"/>
          <w:color w:val="auto"/>
          <w:szCs w:val="24"/>
        </w:rPr>
      </w:pPr>
    </w:p>
    <w:p w14:paraId="432806B1">
      <w:pPr>
        <w:pStyle w:val="39"/>
        <w:rPr>
          <w:rFonts w:hint="default" w:ascii="Times New Roman" w:hAnsi="Times New Roman" w:cs="Times New Roman"/>
          <w:color w:val="auto"/>
          <w:szCs w:val="24"/>
        </w:rPr>
      </w:pPr>
    </w:p>
    <w:p w14:paraId="24F0D52C">
      <w:pPr>
        <w:ind w:left="0" w:leftChars="0" w:firstLine="0" w:firstLineChars="0"/>
        <w:rPr>
          <w:rFonts w:hint="default" w:ascii="Times New Roman" w:hAnsi="Times New Roman" w:cs="Times New Roman"/>
          <w:b/>
          <w:bCs/>
          <w:color w:val="auto"/>
          <w:sz w:val="28"/>
          <w:szCs w:val="28"/>
          <w:highlight w:val="none"/>
          <w:lang w:eastAsia="zh-CN"/>
        </w:rPr>
      </w:pPr>
    </w:p>
    <w:p w14:paraId="73399A37">
      <w:pPr>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textAlignment w:val="auto"/>
        <w:rPr>
          <w:rFonts w:hint="default" w:ascii="Times New Roman" w:hAnsi="Times New Roman" w:cs="Times New Roman"/>
          <w:b/>
          <w:bCs/>
          <w:color w:val="auto"/>
          <w:sz w:val="28"/>
          <w:szCs w:val="28"/>
          <w:highlight w:val="none"/>
          <w:lang w:eastAsia="zh-CN"/>
        </w:rPr>
      </w:pPr>
      <w:r>
        <w:rPr>
          <w:rFonts w:hint="default" w:ascii="Times New Roman" w:hAnsi="Times New Roman" w:cs="Times New Roman"/>
          <w:b/>
          <w:bCs/>
          <w:color w:val="auto"/>
          <w:sz w:val="28"/>
          <w:szCs w:val="28"/>
          <w:highlight w:val="none"/>
          <w:lang w:eastAsia="zh-CN"/>
        </w:rPr>
        <w:t>附件</w:t>
      </w:r>
    </w:p>
    <w:p w14:paraId="56ECF195">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eastAsia="zh-CN"/>
        </w:rPr>
        <w:t>附件</w:t>
      </w:r>
      <w:r>
        <w:rPr>
          <w:rFonts w:hint="default" w:ascii="Times New Roman" w:hAnsi="Times New Roman" w:cs="Times New Roman"/>
          <w:color w:val="auto"/>
          <w:szCs w:val="24"/>
          <w:highlight w:val="none"/>
          <w:lang w:val="en-US" w:eastAsia="zh-CN"/>
        </w:rPr>
        <w:t xml:space="preserve">1  </w:t>
      </w:r>
      <w:r>
        <w:rPr>
          <w:rFonts w:hint="eastAsia" w:cs="Times New Roman"/>
          <w:color w:val="auto"/>
          <w:szCs w:val="24"/>
          <w:highlight w:val="none"/>
          <w:lang w:val="en-US" w:eastAsia="zh-CN"/>
        </w:rPr>
        <w:t xml:space="preserve"> </w:t>
      </w:r>
      <w:r>
        <w:rPr>
          <w:rFonts w:hint="default" w:ascii="Times New Roman" w:hAnsi="Times New Roman" w:cs="Times New Roman"/>
          <w:color w:val="auto"/>
          <w:szCs w:val="24"/>
          <w:highlight w:val="none"/>
          <w:lang w:val="en-US" w:eastAsia="zh-CN"/>
        </w:rPr>
        <w:t>委托书</w:t>
      </w:r>
    </w:p>
    <w:p w14:paraId="531007C1">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 xml:space="preserve">附件2  </w:t>
      </w:r>
      <w:r>
        <w:rPr>
          <w:rFonts w:hint="eastAsia" w:cs="Times New Roman"/>
          <w:color w:val="auto"/>
          <w:szCs w:val="24"/>
          <w:highlight w:val="none"/>
          <w:lang w:val="en-US" w:eastAsia="zh-CN"/>
        </w:rPr>
        <w:t xml:space="preserve"> </w:t>
      </w:r>
      <w:r>
        <w:rPr>
          <w:rFonts w:hint="default" w:ascii="Times New Roman" w:hAnsi="Times New Roman" w:cs="Times New Roman"/>
          <w:color w:val="auto"/>
          <w:szCs w:val="24"/>
          <w:highlight w:val="none"/>
          <w:lang w:val="en-US" w:eastAsia="zh-CN"/>
        </w:rPr>
        <w:t>备案证</w:t>
      </w:r>
    </w:p>
    <w:p w14:paraId="2E1EED1A">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 xml:space="preserve">附件3  </w:t>
      </w:r>
      <w:r>
        <w:rPr>
          <w:rFonts w:hint="eastAsia" w:cs="Times New Roman"/>
          <w:color w:val="auto"/>
          <w:szCs w:val="24"/>
          <w:highlight w:val="none"/>
          <w:lang w:val="en-US" w:eastAsia="zh-CN"/>
        </w:rPr>
        <w:t xml:space="preserve"> 法人证件及营业执照</w:t>
      </w:r>
    </w:p>
    <w:p w14:paraId="47A8853D">
      <w:pPr>
        <w:rPr>
          <w:rFonts w:hint="eastAsia"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 xml:space="preserve">附件4  </w:t>
      </w:r>
      <w:r>
        <w:rPr>
          <w:rFonts w:hint="eastAsia" w:cs="Times New Roman"/>
          <w:color w:val="auto"/>
          <w:szCs w:val="24"/>
          <w:highlight w:val="none"/>
          <w:lang w:val="en-US" w:eastAsia="zh-CN"/>
        </w:rPr>
        <w:t xml:space="preserve"> 自然资源局三区三线查询</w:t>
      </w:r>
    </w:p>
    <w:p w14:paraId="17F6AA84">
      <w:pPr>
        <w:rPr>
          <w:rFonts w:hint="eastAsia"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 xml:space="preserve">附件5 </w:t>
      </w:r>
      <w:r>
        <w:rPr>
          <w:rFonts w:hint="eastAsia" w:cs="Times New Roman"/>
          <w:color w:val="auto"/>
          <w:szCs w:val="24"/>
          <w:highlight w:val="none"/>
          <w:lang w:val="en-US" w:eastAsia="zh-CN"/>
        </w:rPr>
        <w:t xml:space="preserve">  化念镇政府选址意见</w:t>
      </w:r>
    </w:p>
    <w:p w14:paraId="27DCF64B">
      <w:pPr>
        <w:rPr>
          <w:rFonts w:hint="default" w:cs="Times New Roman"/>
          <w:color w:val="auto"/>
          <w:szCs w:val="24"/>
          <w:highlight w:val="none"/>
          <w:lang w:val="en-US" w:eastAsia="zh-CN"/>
        </w:rPr>
      </w:pPr>
      <w:r>
        <w:rPr>
          <w:rFonts w:hint="eastAsia" w:cs="Times New Roman"/>
          <w:color w:val="auto"/>
          <w:szCs w:val="24"/>
          <w:highlight w:val="none"/>
          <w:lang w:val="en-US" w:eastAsia="zh-CN"/>
        </w:rPr>
        <w:t>附件6   项目管控单元查询结果</w:t>
      </w:r>
    </w:p>
    <w:p w14:paraId="31074B88">
      <w:pPr>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附件</w:t>
      </w:r>
      <w:r>
        <w:rPr>
          <w:rFonts w:hint="eastAsia" w:cs="Times New Roman"/>
          <w:color w:val="auto"/>
          <w:szCs w:val="24"/>
          <w:highlight w:val="none"/>
          <w:lang w:val="en-US" w:eastAsia="zh-CN"/>
        </w:rPr>
        <w:t>7</w:t>
      </w:r>
      <w:r>
        <w:rPr>
          <w:rFonts w:hint="eastAsia" w:ascii="Times New Roman" w:hAnsi="Times New Roman" w:cs="Times New Roman"/>
          <w:color w:val="auto"/>
          <w:szCs w:val="24"/>
          <w:highlight w:val="none"/>
          <w:lang w:val="en-US" w:eastAsia="zh-CN"/>
        </w:rPr>
        <w:t xml:space="preserve"> </w:t>
      </w:r>
      <w:r>
        <w:rPr>
          <w:rFonts w:hint="eastAsia" w:cs="Times New Roman"/>
          <w:color w:val="auto"/>
          <w:szCs w:val="24"/>
          <w:highlight w:val="none"/>
          <w:lang w:val="en-US" w:eastAsia="zh-CN"/>
        </w:rPr>
        <w:t xml:space="preserve">  原有项目环评批复</w:t>
      </w:r>
    </w:p>
    <w:p w14:paraId="0754DF38">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附件</w:t>
      </w:r>
      <w:r>
        <w:rPr>
          <w:rFonts w:hint="eastAsia" w:cs="Times New Roman"/>
          <w:color w:val="auto"/>
          <w:szCs w:val="24"/>
          <w:highlight w:val="none"/>
          <w:lang w:val="en-US" w:eastAsia="zh-CN"/>
        </w:rPr>
        <w:t>8</w:t>
      </w:r>
      <w:r>
        <w:rPr>
          <w:rFonts w:hint="default" w:ascii="Times New Roman" w:hAnsi="Times New Roman" w:cs="Times New Roman"/>
          <w:color w:val="auto"/>
          <w:szCs w:val="24"/>
          <w:highlight w:val="none"/>
          <w:lang w:val="en-US" w:eastAsia="zh-CN"/>
        </w:rPr>
        <w:t xml:space="preserve"> </w:t>
      </w:r>
      <w:r>
        <w:rPr>
          <w:rFonts w:hint="eastAsia" w:cs="Times New Roman"/>
          <w:color w:val="auto"/>
          <w:szCs w:val="24"/>
          <w:highlight w:val="none"/>
          <w:lang w:val="en-US" w:eastAsia="zh-CN"/>
        </w:rPr>
        <w:t xml:space="preserve">  原煤成分化验单</w:t>
      </w:r>
    </w:p>
    <w:p w14:paraId="65BA1834">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附件</w:t>
      </w:r>
      <w:r>
        <w:rPr>
          <w:rFonts w:hint="eastAsia" w:cs="Times New Roman"/>
          <w:color w:val="auto"/>
          <w:szCs w:val="24"/>
          <w:highlight w:val="none"/>
          <w:lang w:val="en-US" w:eastAsia="zh-CN"/>
        </w:rPr>
        <w:t>9</w:t>
      </w:r>
      <w:r>
        <w:rPr>
          <w:rFonts w:hint="default" w:ascii="Times New Roman" w:hAnsi="Times New Roman" w:cs="Times New Roman"/>
          <w:color w:val="auto"/>
          <w:szCs w:val="24"/>
          <w:highlight w:val="none"/>
          <w:lang w:val="en-US" w:eastAsia="zh-CN"/>
        </w:rPr>
        <w:t xml:space="preserve"> </w:t>
      </w:r>
      <w:r>
        <w:rPr>
          <w:rFonts w:hint="eastAsia" w:cs="Times New Roman"/>
          <w:color w:val="auto"/>
          <w:szCs w:val="24"/>
          <w:highlight w:val="none"/>
          <w:lang w:val="en-US" w:eastAsia="zh-CN"/>
        </w:rPr>
        <w:t xml:space="preserve">  </w:t>
      </w:r>
      <w:r>
        <w:rPr>
          <w:rFonts w:hint="default" w:ascii="Times New Roman" w:hAnsi="Times New Roman" w:cs="Times New Roman"/>
          <w:color w:val="auto"/>
          <w:szCs w:val="24"/>
          <w:highlight w:val="none"/>
          <w:lang w:val="en-US" w:eastAsia="zh-CN"/>
        </w:rPr>
        <w:t>项目租赁协议</w:t>
      </w:r>
    </w:p>
    <w:p w14:paraId="7F9A5DAE">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附件</w:t>
      </w:r>
      <w:r>
        <w:rPr>
          <w:rFonts w:hint="eastAsia" w:cs="Times New Roman"/>
          <w:color w:val="auto"/>
          <w:szCs w:val="24"/>
          <w:highlight w:val="none"/>
          <w:lang w:val="en-US" w:eastAsia="zh-CN"/>
        </w:rPr>
        <w:t>10</w:t>
      </w:r>
      <w:r>
        <w:rPr>
          <w:rFonts w:hint="default" w:ascii="Times New Roman" w:hAnsi="Times New Roman" w:cs="Times New Roman"/>
          <w:color w:val="auto"/>
          <w:szCs w:val="24"/>
          <w:highlight w:val="none"/>
          <w:lang w:val="en-US" w:eastAsia="zh-CN"/>
        </w:rPr>
        <w:t xml:space="preserve">  </w:t>
      </w:r>
      <w:r>
        <w:rPr>
          <w:rFonts w:hint="eastAsia" w:ascii="Times New Roman" w:hAnsi="Times New Roman" w:eastAsia="宋体" w:cs="Times New Roman"/>
          <w:color w:val="auto"/>
          <w:szCs w:val="24"/>
          <w:highlight w:val="none"/>
          <w:lang w:val="en-US" w:eastAsia="zh-CN"/>
        </w:rPr>
        <w:t>项目技术咨询合同</w:t>
      </w:r>
    </w:p>
    <w:p w14:paraId="56B73F21">
      <w:pPr>
        <w:rPr>
          <w:rFonts w:hint="eastAsia" w:cs="Times New Roman"/>
          <w:color w:val="auto"/>
          <w:szCs w:val="24"/>
          <w:highlight w:val="none"/>
          <w:lang w:val="en-US" w:eastAsia="zh-CN"/>
        </w:rPr>
      </w:pPr>
      <w:r>
        <w:rPr>
          <w:rFonts w:hint="eastAsia" w:cs="Times New Roman"/>
          <w:color w:val="auto"/>
          <w:szCs w:val="24"/>
          <w:highlight w:val="none"/>
          <w:lang w:val="en-US" w:eastAsia="zh-CN"/>
        </w:rPr>
        <w:t xml:space="preserve">附件11  </w:t>
      </w:r>
      <w:r>
        <w:rPr>
          <w:rFonts w:hint="eastAsia" w:ascii="Times New Roman" w:hAnsi="Times New Roman" w:eastAsia="宋体" w:cs="Times New Roman"/>
          <w:color w:val="auto"/>
          <w:szCs w:val="24"/>
          <w:highlight w:val="none"/>
          <w:lang w:val="en-US" w:eastAsia="zh-CN"/>
        </w:rPr>
        <w:t>管理进度表及内部审核记录表</w:t>
      </w:r>
    </w:p>
    <w:p w14:paraId="23F0F98B">
      <w:pP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附件</w:t>
      </w:r>
      <w:r>
        <w:rPr>
          <w:rFonts w:hint="eastAsia" w:cs="Times New Roman"/>
          <w:color w:val="auto"/>
          <w:szCs w:val="24"/>
          <w:highlight w:val="none"/>
          <w:lang w:val="en-US" w:eastAsia="zh-CN"/>
        </w:rPr>
        <w:t>12</w:t>
      </w:r>
      <w:r>
        <w:rPr>
          <w:rFonts w:hint="eastAsia" w:ascii="Times New Roman" w:hAnsi="Times New Roman" w:eastAsia="宋体" w:cs="Times New Roman"/>
          <w:color w:val="auto"/>
          <w:szCs w:val="24"/>
          <w:highlight w:val="none"/>
          <w:lang w:val="en-US" w:eastAsia="zh-CN"/>
        </w:rPr>
        <w:t xml:space="preserve">  </w:t>
      </w:r>
      <w:r>
        <w:rPr>
          <w:rFonts w:hint="default" w:cs="Times New Roman"/>
          <w:color w:val="auto"/>
          <w:szCs w:val="24"/>
          <w:highlight w:val="none"/>
          <w:lang w:val="en-US" w:eastAsia="zh-CN"/>
        </w:rPr>
        <w:t>评审意见、签到表及对照修改清单</w:t>
      </w:r>
    </w:p>
    <w:p w14:paraId="704F462F">
      <w:pPr>
        <w:pStyle w:val="42"/>
        <w:rPr>
          <w:rFonts w:hint="eastAsia"/>
          <w:color w:val="auto"/>
          <w:lang w:eastAsia="zh-CN"/>
        </w:rPr>
      </w:pPr>
    </w:p>
    <w:p w14:paraId="2B26CB0D">
      <w:pPr>
        <w:pStyle w:val="42"/>
        <w:rPr>
          <w:rFonts w:hint="eastAsia"/>
          <w:color w:val="auto"/>
          <w:lang w:eastAsia="zh-CN"/>
        </w:rPr>
      </w:pPr>
    </w:p>
    <w:p w14:paraId="6DB1DD5C">
      <w:pPr>
        <w:pStyle w:val="42"/>
        <w:rPr>
          <w:rFonts w:hint="eastAsia"/>
          <w:color w:val="auto"/>
          <w:lang w:eastAsia="zh-CN"/>
        </w:rPr>
      </w:pPr>
    </w:p>
    <w:p w14:paraId="7F9F8DB0">
      <w:pPr>
        <w:pStyle w:val="42"/>
        <w:rPr>
          <w:rFonts w:hint="eastAsia"/>
          <w:color w:val="auto"/>
          <w:lang w:eastAsia="zh-CN"/>
        </w:rPr>
      </w:pPr>
    </w:p>
    <w:p w14:paraId="7C3BE2FE">
      <w:pPr>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textAlignment w:val="auto"/>
        <w:rPr>
          <w:rFonts w:hint="eastAsia" w:ascii="Times New Roman" w:hAnsi="Times New Roman" w:cs="Times New Roman"/>
          <w:b/>
          <w:bCs/>
          <w:color w:val="auto"/>
          <w:sz w:val="28"/>
          <w:szCs w:val="28"/>
          <w:highlight w:val="none"/>
          <w:lang w:eastAsia="zh-CN"/>
        </w:rPr>
      </w:pPr>
      <w:r>
        <w:rPr>
          <w:rFonts w:hint="eastAsia" w:ascii="Times New Roman" w:hAnsi="Times New Roman" w:cs="Times New Roman"/>
          <w:b/>
          <w:bCs/>
          <w:color w:val="auto"/>
          <w:sz w:val="28"/>
          <w:szCs w:val="28"/>
          <w:highlight w:val="none"/>
          <w:lang w:eastAsia="zh-CN"/>
        </w:rPr>
        <w:t>附图</w:t>
      </w:r>
    </w:p>
    <w:p w14:paraId="49CA8588">
      <w:pPr>
        <w:rPr>
          <w:rFonts w:hint="eastAsia"/>
          <w:color w:val="auto"/>
          <w:highlight w:val="none"/>
          <w:lang w:val="en-US" w:eastAsia="zh-CN"/>
        </w:rPr>
      </w:pPr>
      <w:r>
        <w:rPr>
          <w:rFonts w:hint="eastAsia"/>
          <w:color w:val="auto"/>
          <w:highlight w:val="none"/>
          <w:lang w:val="en-US" w:eastAsia="zh-CN"/>
        </w:rPr>
        <w:t>附图1 地理位置图</w:t>
      </w:r>
    </w:p>
    <w:p w14:paraId="7D25A8B6">
      <w:pPr>
        <w:rPr>
          <w:rFonts w:hint="default"/>
          <w:color w:val="auto"/>
          <w:highlight w:val="none"/>
          <w:lang w:eastAsia="zh-CN"/>
        </w:rPr>
      </w:pPr>
      <w:r>
        <w:rPr>
          <w:rFonts w:hint="default"/>
          <w:color w:val="auto"/>
          <w:highlight w:val="none"/>
          <w:lang w:eastAsia="zh-CN"/>
        </w:rPr>
        <w:t xml:space="preserve">附图2 </w:t>
      </w:r>
      <w:r>
        <w:rPr>
          <w:rFonts w:hint="eastAsia"/>
          <w:color w:val="auto"/>
          <w:highlight w:val="none"/>
          <w:lang w:eastAsia="zh-CN"/>
        </w:rPr>
        <w:t>项目周边</w:t>
      </w:r>
      <w:r>
        <w:rPr>
          <w:rFonts w:hint="eastAsia"/>
          <w:color w:val="auto"/>
          <w:highlight w:val="none"/>
          <w:lang w:val="en-US" w:eastAsia="zh-CN"/>
        </w:rPr>
        <w:t>关系</w:t>
      </w:r>
      <w:r>
        <w:rPr>
          <w:rFonts w:hint="eastAsia"/>
          <w:color w:val="auto"/>
          <w:highlight w:val="none"/>
          <w:lang w:eastAsia="zh-CN"/>
        </w:rPr>
        <w:t>图</w:t>
      </w:r>
    </w:p>
    <w:p w14:paraId="266A9DAB">
      <w:pPr>
        <w:rPr>
          <w:rFonts w:hint="default"/>
          <w:color w:val="auto"/>
          <w:highlight w:val="none"/>
          <w:lang w:eastAsia="zh-CN"/>
        </w:rPr>
      </w:pPr>
      <w:r>
        <w:rPr>
          <w:rFonts w:hint="default"/>
          <w:color w:val="auto"/>
          <w:highlight w:val="none"/>
          <w:lang w:eastAsia="zh-CN"/>
        </w:rPr>
        <w:t>附图3 项目平面布置图</w:t>
      </w:r>
    </w:p>
    <w:p w14:paraId="630033CE">
      <w:pPr>
        <w:rPr>
          <w:rFonts w:hint="default"/>
          <w:color w:val="auto"/>
          <w:highlight w:val="none"/>
          <w:lang w:val="en-US" w:eastAsia="zh-CN"/>
        </w:rPr>
      </w:pPr>
      <w:r>
        <w:rPr>
          <w:rFonts w:hint="default"/>
          <w:color w:val="auto"/>
          <w:highlight w:val="none"/>
          <w:lang w:eastAsia="zh-CN"/>
        </w:rPr>
        <w:t xml:space="preserve">附图4 </w:t>
      </w:r>
      <w:r>
        <w:rPr>
          <w:rFonts w:hint="eastAsia"/>
          <w:color w:val="auto"/>
          <w:highlight w:val="none"/>
          <w:lang w:val="en-US" w:eastAsia="zh-CN"/>
        </w:rPr>
        <w:t>项目区域水系图</w:t>
      </w:r>
      <w:bookmarkStart w:id="2" w:name="_Toc13225"/>
    </w:p>
    <w:p w14:paraId="158DA57E">
      <w:pPr>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附图5 项目雨污管网分布图</w:t>
      </w:r>
    </w:p>
    <w:p w14:paraId="372B9D72">
      <w:pPr>
        <w:rPr>
          <w:rFonts w:hint="default" w:ascii="Times New Roman" w:hAnsi="Times New Roman" w:eastAsia="宋体"/>
          <w:color w:val="auto"/>
          <w:highlight w:val="none"/>
          <w:lang w:val="en-US" w:eastAsia="zh-CN"/>
        </w:rPr>
        <w:sectPr>
          <w:footerReference r:id="rId7" w:type="default"/>
          <w:pgSz w:w="11906" w:h="16838"/>
          <w:pgMar w:top="1440" w:right="1800" w:bottom="1440" w:left="1800" w:header="851" w:footer="992" w:gutter="0"/>
          <w:pgNumType w:fmt="decimal" w:start="1"/>
          <w:cols w:space="720" w:num="1"/>
          <w:docGrid w:type="lines" w:linePitch="312" w:charSpace="0"/>
        </w:sectPr>
      </w:pPr>
      <w:r>
        <w:rPr>
          <w:rFonts w:hint="default" w:ascii="Times New Roman" w:hAnsi="Times New Roman" w:eastAsia="宋体"/>
          <w:color w:val="auto"/>
          <w:highlight w:val="none"/>
          <w:lang w:val="en-US" w:eastAsia="zh-CN"/>
        </w:rPr>
        <w:t>附图6 项目分区防渗图</w:t>
      </w:r>
    </w:p>
    <w:p w14:paraId="46F5679D">
      <w:pPr>
        <w:pStyle w:val="2"/>
        <w:numPr>
          <w:ilvl w:val="0"/>
          <w:numId w:val="0"/>
        </w:numPr>
        <w:ind w:firstLine="0" w:firstLineChars="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b/>
          <w:color w:val="auto"/>
          <w:kern w:val="44"/>
          <w:sz w:val="32"/>
          <w:szCs w:val="32"/>
          <w:lang w:val="en-US" w:eastAsia="zh-CN" w:bidi="ar-SA"/>
        </w:rPr>
        <w:t>一、</w:t>
      </w:r>
      <w:r>
        <w:rPr>
          <w:rFonts w:hint="default" w:ascii="Times New Roman" w:hAnsi="Times New Roman" w:eastAsia="黑体" w:cs="Times New Roman"/>
          <w:color w:val="auto"/>
          <w:sz w:val="32"/>
          <w:szCs w:val="32"/>
        </w:rPr>
        <w:t>建设项目基本情况</w:t>
      </w:r>
      <w:bookmarkEnd w:id="2"/>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841"/>
        <w:gridCol w:w="1667"/>
        <w:gridCol w:w="3670"/>
      </w:tblGrid>
      <w:tr w14:paraId="1424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57053C0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建设项目名称</w:t>
            </w:r>
          </w:p>
        </w:tc>
        <w:tc>
          <w:tcPr>
            <w:tcW w:w="4211" w:type="pct"/>
            <w:gridSpan w:val="3"/>
            <w:vAlign w:val="center"/>
          </w:tcPr>
          <w:p w14:paraId="10C2DDEF">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eastAsia="zh-CN"/>
              </w:rPr>
              <w:t>年配煤12万吨加工生产线建设项目</w:t>
            </w:r>
          </w:p>
        </w:tc>
      </w:tr>
      <w:tr w14:paraId="206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390C7E5E">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4211" w:type="pct"/>
            <w:gridSpan w:val="3"/>
            <w:vAlign w:val="center"/>
          </w:tcPr>
          <w:p w14:paraId="3A7C873B">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eastAsia" w:cs="Times New Roman"/>
                <w:color w:val="auto"/>
                <w:lang w:val="en-US" w:eastAsia="zh-CN"/>
              </w:rPr>
              <w:t>2602-530426-04-05-404367</w:t>
            </w:r>
          </w:p>
        </w:tc>
      </w:tr>
      <w:tr w14:paraId="649F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7C846249">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建设单位联系人</w:t>
            </w:r>
          </w:p>
        </w:tc>
        <w:tc>
          <w:tcPr>
            <w:tcW w:w="1080" w:type="pct"/>
            <w:vAlign w:val="center"/>
          </w:tcPr>
          <w:p w14:paraId="06F9B4A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张鑫</w:t>
            </w:r>
          </w:p>
        </w:tc>
        <w:tc>
          <w:tcPr>
            <w:tcW w:w="978" w:type="pct"/>
            <w:vAlign w:val="center"/>
          </w:tcPr>
          <w:p w14:paraId="31568BD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联系方式</w:t>
            </w:r>
          </w:p>
        </w:tc>
        <w:tc>
          <w:tcPr>
            <w:tcW w:w="2152" w:type="pct"/>
            <w:vAlign w:val="center"/>
          </w:tcPr>
          <w:p w14:paraId="5D4C8E99">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18708771777</w:t>
            </w:r>
          </w:p>
        </w:tc>
      </w:tr>
      <w:tr w14:paraId="001A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88" w:type="pct"/>
            <w:vAlign w:val="center"/>
          </w:tcPr>
          <w:p w14:paraId="4424AAD1">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4211" w:type="pct"/>
            <w:gridSpan w:val="3"/>
            <w:vAlign w:val="center"/>
          </w:tcPr>
          <w:p w14:paraId="27F6F48E">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eastAsia" w:cs="Times New Roman"/>
                <w:color w:val="auto"/>
                <w:lang w:eastAsia="zh-CN"/>
              </w:rPr>
              <w:t>云南省玉溪市峨山彝族自治县化念镇化念社区居民委员会（玉溪利东商贸有限公司厂区内）</w:t>
            </w:r>
          </w:p>
        </w:tc>
      </w:tr>
      <w:tr w14:paraId="3D16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88" w:type="pct"/>
            <w:vAlign w:val="center"/>
          </w:tcPr>
          <w:p w14:paraId="3EDAD697">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地理坐标</w:t>
            </w:r>
          </w:p>
        </w:tc>
        <w:tc>
          <w:tcPr>
            <w:tcW w:w="4211" w:type="pct"/>
            <w:gridSpan w:val="3"/>
            <w:vAlign w:val="center"/>
          </w:tcPr>
          <w:p w14:paraId="5E6D7460">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olor w:val="auto"/>
                <w:lang w:eastAsia="zh-CN"/>
              </w:rPr>
              <w:t>东经</w:t>
            </w:r>
            <w:r>
              <w:rPr>
                <w:rFonts w:hint="eastAsia" w:cs="Times New Roman"/>
                <w:color w:val="auto"/>
                <w:u w:val="single"/>
                <w:lang w:val="en-US" w:eastAsia="zh-CN"/>
              </w:rPr>
              <w:t>102</w:t>
            </w:r>
            <w:r>
              <w:rPr>
                <w:rFonts w:hint="default" w:ascii="Times New Roman" w:hAnsi="Times New Roman" w:cs="Times New Roman"/>
                <w:color w:val="auto"/>
                <w:u w:val="single"/>
              </w:rPr>
              <w:t xml:space="preserve"> </w:t>
            </w:r>
            <w:r>
              <w:rPr>
                <w:rFonts w:hint="default" w:ascii="Times New Roman" w:hAnsi="Times New Roman" w:cs="Times New Roman"/>
                <w:color w:val="auto"/>
              </w:rPr>
              <w:t>度</w:t>
            </w:r>
            <w:r>
              <w:rPr>
                <w:rFonts w:hint="eastAsia" w:cs="Times New Roman"/>
                <w:color w:val="auto"/>
                <w:lang w:val="en-US" w:eastAsia="zh-CN"/>
              </w:rPr>
              <w:t>12</w:t>
            </w:r>
            <w:r>
              <w:rPr>
                <w:rFonts w:hint="default" w:ascii="Times New Roman" w:hAnsi="Times New Roman" w:cs="Times New Roman"/>
                <w:color w:val="auto"/>
              </w:rPr>
              <w:t>分</w:t>
            </w:r>
            <w:r>
              <w:rPr>
                <w:rFonts w:hint="eastAsia" w:cs="Times New Roman"/>
                <w:color w:val="auto"/>
                <w:u w:val="single"/>
                <w:lang w:val="en-US" w:eastAsia="zh-CN"/>
              </w:rPr>
              <w:t>37.443</w:t>
            </w:r>
            <w:r>
              <w:rPr>
                <w:rFonts w:hint="default" w:ascii="Times New Roman" w:hAnsi="Times New Roman" w:cs="Times New Roman"/>
                <w:color w:val="auto"/>
              </w:rPr>
              <w:t>秒，</w:t>
            </w:r>
            <w:r>
              <w:rPr>
                <w:rFonts w:hint="eastAsia" w:cs="Times New Roman"/>
                <w:color w:val="auto"/>
                <w:lang w:eastAsia="zh-CN"/>
              </w:rPr>
              <w:t>北纬</w:t>
            </w:r>
            <w:r>
              <w:rPr>
                <w:rFonts w:hint="default" w:ascii="Times New Roman" w:hAnsi="Times New Roman" w:cs="Times New Roman"/>
                <w:color w:val="auto"/>
                <w:u w:val="single"/>
              </w:rPr>
              <w:t>24</w:t>
            </w:r>
            <w:r>
              <w:rPr>
                <w:rFonts w:hint="default" w:ascii="Times New Roman" w:hAnsi="Times New Roman" w:cs="Times New Roman"/>
                <w:color w:val="auto"/>
              </w:rPr>
              <w:t>度</w:t>
            </w:r>
            <w:r>
              <w:rPr>
                <w:rFonts w:hint="eastAsia" w:cs="Times New Roman"/>
                <w:color w:val="auto"/>
                <w:u w:val="single"/>
                <w:lang w:val="en-US" w:eastAsia="zh-CN"/>
              </w:rPr>
              <w:t>5</w:t>
            </w:r>
            <w:r>
              <w:rPr>
                <w:rFonts w:hint="default" w:ascii="Times New Roman" w:hAnsi="Times New Roman" w:cs="Times New Roman"/>
                <w:color w:val="auto"/>
              </w:rPr>
              <w:t>分</w:t>
            </w:r>
            <w:r>
              <w:rPr>
                <w:rFonts w:hint="eastAsia" w:cs="Times New Roman"/>
                <w:color w:val="auto"/>
                <w:u w:val="single"/>
                <w:lang w:val="en-US" w:eastAsia="zh-CN"/>
              </w:rPr>
              <w:t>9.753</w:t>
            </w:r>
            <w:r>
              <w:rPr>
                <w:rFonts w:hint="default" w:ascii="Times New Roman" w:hAnsi="Times New Roman" w:cs="Times New Roman"/>
                <w:color w:val="auto"/>
              </w:rPr>
              <w:t>秒）</w:t>
            </w:r>
          </w:p>
        </w:tc>
      </w:tr>
      <w:tr w14:paraId="1B40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3F36D351">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国民经济</w:t>
            </w:r>
          </w:p>
          <w:p w14:paraId="3943AC7E">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w:t>
            </w:r>
          </w:p>
        </w:tc>
        <w:tc>
          <w:tcPr>
            <w:tcW w:w="1080" w:type="pct"/>
            <w:vAlign w:val="center"/>
          </w:tcPr>
          <w:p w14:paraId="058F2B79">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B0610（烟煤和无烟煤开采洗选）</w:t>
            </w:r>
          </w:p>
        </w:tc>
        <w:tc>
          <w:tcPr>
            <w:tcW w:w="978" w:type="pct"/>
            <w:vAlign w:val="center"/>
          </w:tcPr>
          <w:p w14:paraId="59F62080">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建设项目</w:t>
            </w:r>
          </w:p>
          <w:p w14:paraId="0AF1266E">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w:t>
            </w:r>
          </w:p>
        </w:tc>
        <w:tc>
          <w:tcPr>
            <w:tcW w:w="2152" w:type="pct"/>
            <w:vAlign w:val="center"/>
          </w:tcPr>
          <w:p w14:paraId="7AF66864">
            <w:pPr>
              <w:keepNext w:val="0"/>
              <w:keepLines/>
              <w:pageBreakBefore w:val="0"/>
              <w:widowControl w:val="0"/>
              <w:numPr>
                <w:ilvl w:val="0"/>
                <w:numId w:val="0"/>
              </w:numPr>
              <w:kinsoku/>
              <w:wordWrap w:val="0"/>
              <w:overflowPunct/>
              <w:topLinePunct/>
              <w:autoSpaceDE/>
              <w:autoSpaceDN/>
              <w:bidi w:val="0"/>
              <w:spacing w:line="240" w:lineRule="auto"/>
              <w:jc w:val="both"/>
              <w:textAlignment w:val="auto"/>
              <w:rPr>
                <w:rFonts w:hint="default" w:ascii="Times New Roman" w:hAnsi="Times New Roman" w:cs="Times New Roman"/>
                <w:color w:val="auto"/>
              </w:rPr>
            </w:pPr>
            <w:r>
              <w:rPr>
                <w:rFonts w:hint="eastAsia" w:cs="Times New Roman"/>
                <w:color w:val="auto"/>
                <w:lang w:val="en-US" w:eastAsia="zh-CN"/>
              </w:rPr>
              <w:t>四、</w:t>
            </w:r>
            <w:r>
              <w:rPr>
                <w:rFonts w:hint="default" w:ascii="Times New Roman" w:hAnsi="Times New Roman" w:cs="Times New Roman"/>
                <w:color w:val="auto"/>
              </w:rPr>
              <w:t xml:space="preserve">煤炭开采和洗选业 </w:t>
            </w:r>
          </w:p>
          <w:p w14:paraId="584AA374">
            <w:pPr>
              <w:keepNext w:val="0"/>
              <w:keepLines/>
              <w:pageBreakBefore w:val="0"/>
              <w:widowControl w:val="0"/>
              <w:numPr>
                <w:ilvl w:val="0"/>
                <w:numId w:val="0"/>
              </w:numPr>
              <w:kinsoku/>
              <w:wordWrap w:val="0"/>
              <w:overflowPunct/>
              <w:topLinePunct/>
              <w:autoSpaceDE/>
              <w:autoSpaceDN/>
              <w:bidi w:val="0"/>
              <w:spacing w:line="24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t xml:space="preserve">06 烟煤和无烟煤开采洗选 </w:t>
            </w:r>
          </w:p>
          <w:p w14:paraId="14CD61C2">
            <w:pPr>
              <w:keepNext w:val="0"/>
              <w:keepLines/>
              <w:pageBreakBefore w:val="0"/>
              <w:widowControl w:val="0"/>
              <w:numPr>
                <w:ilvl w:val="0"/>
                <w:numId w:val="0"/>
              </w:numPr>
              <w:kinsoku/>
              <w:wordWrap w:val="0"/>
              <w:overflowPunct/>
              <w:topLinePunct/>
              <w:autoSpaceDE/>
              <w:autoSpaceDN/>
              <w:bidi w:val="0"/>
              <w:spacing w:line="24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t>061 中煤炭洗选、配煤</w:t>
            </w:r>
          </w:p>
        </w:tc>
      </w:tr>
      <w:tr w14:paraId="16A4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5B8B5803">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1080" w:type="pct"/>
            <w:vAlign w:val="center"/>
          </w:tcPr>
          <w:p w14:paraId="35E32D52">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新建（迁建）</w:t>
            </w:r>
          </w:p>
          <w:p w14:paraId="55D9E2E0">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改建</w:t>
            </w:r>
          </w:p>
          <w:p w14:paraId="2FC60305">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扩建</w:t>
            </w:r>
          </w:p>
          <w:p w14:paraId="6B19C924">
            <w:pPr>
              <w:keepNext w:val="0"/>
              <w:keepLines/>
              <w:pageBreakBefore w:val="0"/>
              <w:widowControl w:val="0"/>
              <w:kinsoku/>
              <w:wordWrap w:val="0"/>
              <w:overflowPunct/>
              <w:topLinePunct/>
              <w:autoSpaceDE/>
              <w:autoSpaceDN/>
              <w:bidi w:val="0"/>
              <w:spacing w:line="240" w:lineRule="auto"/>
              <w:ind w:firstLine="0" w:firstLineChars="0"/>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技术改造</w:t>
            </w:r>
          </w:p>
        </w:tc>
        <w:tc>
          <w:tcPr>
            <w:tcW w:w="978" w:type="pct"/>
            <w:vAlign w:val="center"/>
          </w:tcPr>
          <w:p w14:paraId="327C3417">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建设项目</w:t>
            </w:r>
          </w:p>
          <w:p w14:paraId="19C29CFF">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申报情形</w:t>
            </w:r>
          </w:p>
        </w:tc>
        <w:tc>
          <w:tcPr>
            <w:tcW w:w="2152" w:type="pct"/>
            <w:vAlign w:val="center"/>
          </w:tcPr>
          <w:p w14:paraId="105E3B57">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 xml:space="preserve">首次申报项目         </w:t>
            </w:r>
          </w:p>
          <w:p w14:paraId="27F72166">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不予批准后再次申报项目</w:t>
            </w:r>
          </w:p>
          <w:p w14:paraId="61D63497">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 xml:space="preserve">超五年重新审核项目   </w:t>
            </w:r>
          </w:p>
          <w:p w14:paraId="166D6BB9">
            <w:pPr>
              <w:keepNext w:val="0"/>
              <w:keepLines/>
              <w:pageBreakBefore w:val="0"/>
              <w:widowControl w:val="0"/>
              <w:kinsoku/>
              <w:wordWrap w:val="0"/>
              <w:overflowPunct/>
              <w:topLinePunct/>
              <w:autoSpaceDE/>
              <w:autoSpaceDN/>
              <w:bidi w:val="0"/>
              <w:spacing w:line="240" w:lineRule="auto"/>
              <w:ind w:firstLine="0" w:firstLineChars="0"/>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重大变动重新报批项目</w:t>
            </w:r>
          </w:p>
        </w:tc>
      </w:tr>
      <w:tr w14:paraId="2548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22251CDD">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项目审批（核准/备案）部门（选填）</w:t>
            </w:r>
          </w:p>
        </w:tc>
        <w:tc>
          <w:tcPr>
            <w:tcW w:w="1080" w:type="pct"/>
            <w:vAlign w:val="center"/>
          </w:tcPr>
          <w:p w14:paraId="5937DD5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峨山彝族自治县发展和改革局</w:t>
            </w:r>
          </w:p>
        </w:tc>
        <w:tc>
          <w:tcPr>
            <w:tcW w:w="978" w:type="pct"/>
            <w:vAlign w:val="center"/>
          </w:tcPr>
          <w:p w14:paraId="4AD65066">
            <w:pPr>
              <w:keepNext w:val="0"/>
              <w:keepLines/>
              <w:pageBreakBefore w:val="0"/>
              <w:widowControl w:val="0"/>
              <w:kinsoku/>
              <w:wordWrap w:val="0"/>
              <w:overflowPunct/>
              <w:topLinePunct/>
              <w:autoSpaceDE/>
              <w:autoSpaceDN/>
              <w:bidi w:val="0"/>
              <w:adjustRightInd w:val="0"/>
              <w:snapToGrid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项目审批（核准/备案）文号（选填）</w:t>
            </w:r>
          </w:p>
        </w:tc>
        <w:tc>
          <w:tcPr>
            <w:tcW w:w="2152" w:type="pct"/>
            <w:vAlign w:val="center"/>
          </w:tcPr>
          <w:p w14:paraId="213FD2AB">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lang w:val="en-US"/>
              </w:rPr>
            </w:pPr>
            <w:r>
              <w:rPr>
                <w:rFonts w:hint="eastAsia" w:cs="Times New Roman"/>
                <w:color w:val="auto"/>
                <w:lang w:val="en-US" w:eastAsia="zh-CN"/>
              </w:rPr>
              <w:t>/</w:t>
            </w:r>
          </w:p>
        </w:tc>
      </w:tr>
      <w:tr w14:paraId="5509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7E78574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总投资</w:t>
            </w:r>
          </w:p>
          <w:p w14:paraId="7E7991E9">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（万元）</w:t>
            </w:r>
          </w:p>
        </w:tc>
        <w:tc>
          <w:tcPr>
            <w:tcW w:w="1080" w:type="pct"/>
            <w:vAlign w:val="center"/>
          </w:tcPr>
          <w:p w14:paraId="1D24DD34">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60</w:t>
            </w:r>
          </w:p>
        </w:tc>
        <w:tc>
          <w:tcPr>
            <w:tcW w:w="978" w:type="pct"/>
            <w:vAlign w:val="center"/>
          </w:tcPr>
          <w:p w14:paraId="45C1B202">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w:t>
            </w:r>
          </w:p>
          <w:p w14:paraId="3769D8F7">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（万元）</w:t>
            </w:r>
          </w:p>
        </w:tc>
        <w:tc>
          <w:tcPr>
            <w:tcW w:w="2152" w:type="pct"/>
            <w:vAlign w:val="center"/>
          </w:tcPr>
          <w:p w14:paraId="7F0EC9C7">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22.8</w:t>
            </w:r>
          </w:p>
        </w:tc>
      </w:tr>
      <w:tr w14:paraId="5A6C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1A9FB10C">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环保投资占比（%）</w:t>
            </w:r>
          </w:p>
        </w:tc>
        <w:tc>
          <w:tcPr>
            <w:tcW w:w="1080" w:type="pct"/>
            <w:vAlign w:val="center"/>
          </w:tcPr>
          <w:p w14:paraId="661ADFE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38</w:t>
            </w:r>
          </w:p>
        </w:tc>
        <w:tc>
          <w:tcPr>
            <w:tcW w:w="978" w:type="pct"/>
            <w:vAlign w:val="center"/>
          </w:tcPr>
          <w:p w14:paraId="3F37B68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施工工期（月）</w:t>
            </w:r>
          </w:p>
        </w:tc>
        <w:tc>
          <w:tcPr>
            <w:tcW w:w="2152" w:type="pct"/>
            <w:vAlign w:val="center"/>
          </w:tcPr>
          <w:p w14:paraId="3E0883E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w:t>
            </w:r>
          </w:p>
        </w:tc>
      </w:tr>
      <w:tr w14:paraId="4A8C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88" w:type="pct"/>
            <w:vAlign w:val="center"/>
          </w:tcPr>
          <w:p w14:paraId="3C8C7A0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是否开工建设</w:t>
            </w:r>
          </w:p>
        </w:tc>
        <w:tc>
          <w:tcPr>
            <w:tcW w:w="1080" w:type="pct"/>
            <w:vAlign w:val="center"/>
          </w:tcPr>
          <w:p w14:paraId="307B6CB6">
            <w:pPr>
              <w:keepNext w:val="0"/>
              <w:keepLines/>
              <w:pageBreakBefore w:val="0"/>
              <w:widowControl w:val="0"/>
              <w:kinsoku/>
              <w:wordWrap w:val="0"/>
              <w:overflowPunct/>
              <w:topLinePunct/>
              <w:autoSpaceDE/>
              <w:autoSpaceDN/>
              <w:bidi w:val="0"/>
              <w:adjustRightInd w:val="0"/>
              <w:snapToGrid w:val="0"/>
              <w:spacing w:line="240" w:lineRule="auto"/>
              <w:ind w:firstLine="0" w:firstLineChars="0"/>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否</w:t>
            </w:r>
          </w:p>
          <w:p w14:paraId="67A4E020">
            <w:pPr>
              <w:keepNext w:val="0"/>
              <w:keepLines/>
              <w:pageBreakBefore w:val="0"/>
              <w:widowControl w:val="0"/>
              <w:kinsoku/>
              <w:wordWrap w:val="0"/>
              <w:overflowPunct/>
              <w:topLinePunct/>
              <w:autoSpaceDE/>
              <w:autoSpaceDN/>
              <w:bidi w:val="0"/>
              <w:spacing w:line="240" w:lineRule="auto"/>
              <w:ind w:firstLine="0" w:firstLineChars="0"/>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是：</w:t>
            </w:r>
            <w:r>
              <w:rPr>
                <w:rFonts w:hint="default" w:ascii="Times New Roman" w:hAnsi="Times New Roman" w:cs="Times New Roman"/>
                <w:color w:val="auto"/>
                <w:u w:val="single"/>
              </w:rPr>
              <w:t xml:space="preserve">        </w:t>
            </w:r>
          </w:p>
        </w:tc>
        <w:tc>
          <w:tcPr>
            <w:tcW w:w="978" w:type="pct"/>
            <w:vAlign w:val="center"/>
          </w:tcPr>
          <w:p w14:paraId="6857418B">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6"/>
              </w:rPr>
            </w:pPr>
            <w:r>
              <w:rPr>
                <w:rFonts w:hint="default" w:ascii="Times New Roman" w:hAnsi="Times New Roman" w:cs="Times New Roman"/>
                <w:color w:val="auto"/>
                <w:spacing w:val="-6"/>
              </w:rPr>
              <w:t>用地（用海）</w:t>
            </w:r>
          </w:p>
          <w:p w14:paraId="09AFE1BE">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6"/>
              </w:rPr>
              <w:t>面积（</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spacing w:val="-6"/>
              </w:rPr>
              <w:t>）</w:t>
            </w:r>
          </w:p>
        </w:tc>
        <w:tc>
          <w:tcPr>
            <w:tcW w:w="2152" w:type="pct"/>
            <w:vAlign w:val="center"/>
          </w:tcPr>
          <w:p w14:paraId="674D1DA3">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1000</w:t>
            </w:r>
          </w:p>
        </w:tc>
      </w:tr>
      <w:tr w14:paraId="581C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pct"/>
            <w:vAlign w:val="center"/>
          </w:tcPr>
          <w:p w14:paraId="3F1C079C">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sz w:val="20"/>
              </w:rPr>
            </w:pPr>
            <w:r>
              <w:rPr>
                <w:rFonts w:hint="default" w:ascii="Times New Roman" w:hAnsi="Times New Roman" w:cs="Times New Roman"/>
                <w:color w:val="auto"/>
                <w:kern w:val="0"/>
              </w:rPr>
              <w:t>专项评价设置情况</w:t>
            </w:r>
          </w:p>
        </w:tc>
        <w:tc>
          <w:tcPr>
            <w:tcW w:w="4211" w:type="pct"/>
            <w:gridSpan w:val="3"/>
            <w:vAlign w:val="center"/>
          </w:tcPr>
          <w:p w14:paraId="3FE93122">
            <w:pPr>
              <w:keepNext w:val="0"/>
              <w:keepLines/>
              <w:pageBreakBefore w:val="0"/>
              <w:widowControl w:val="0"/>
              <w:kinsoku/>
              <w:wordWrap w:val="0"/>
              <w:overflowPunct/>
              <w:topLinePunct/>
              <w:autoSpaceDE/>
              <w:autoSpaceDN/>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对照专项评价设置原则，本项目无需设置专项评价。</w:t>
            </w:r>
          </w:p>
          <w:p w14:paraId="532E22EE">
            <w:pPr>
              <w:pStyle w:val="48"/>
              <w:keepNext w:val="0"/>
              <w:keepLines/>
              <w:pageBreakBefore w:val="0"/>
              <w:widowControl w:val="0"/>
              <w:kinsoku/>
              <w:wordWrap w:val="0"/>
              <w:overflowPunct/>
              <w:topLinePunct/>
              <w:autoSpaceDE/>
              <w:autoSpaceDN/>
              <w:bidi w:val="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表1  本项目专项设置判定情况表</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630"/>
              <w:gridCol w:w="2863"/>
              <w:gridCol w:w="810"/>
            </w:tblGrid>
            <w:tr w14:paraId="561B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66" w:type="pct"/>
                  <w:vAlign w:val="center"/>
                </w:tcPr>
                <w:p w14:paraId="7A7BD8FC">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专项类别</w:t>
                  </w:r>
                </w:p>
              </w:tc>
              <w:tc>
                <w:tcPr>
                  <w:tcW w:w="1891" w:type="pct"/>
                  <w:vAlign w:val="center"/>
                </w:tcPr>
                <w:p w14:paraId="44FD9B5F">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设置原则</w:t>
                  </w:r>
                </w:p>
              </w:tc>
              <w:tc>
                <w:tcPr>
                  <w:tcW w:w="2059" w:type="pct"/>
                  <w:vAlign w:val="center"/>
                </w:tcPr>
                <w:p w14:paraId="3B9E6488">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82" w:type="pct"/>
                  <w:vAlign w:val="center"/>
                </w:tcPr>
                <w:p w14:paraId="14F7BD04">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是否设置专项</w:t>
                  </w:r>
                </w:p>
              </w:tc>
            </w:tr>
            <w:tr w14:paraId="72CC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E19E8F3">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891" w:type="pct"/>
                  <w:vAlign w:val="center"/>
                </w:tcPr>
                <w:p w14:paraId="30D9AF21">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排放废气含有毒有害污染物、二噁英、苯并</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芘、氰化物、氯气且厂界外500 米范围内有环境空气保护目标的建设项目</w:t>
                  </w:r>
                </w:p>
              </w:tc>
              <w:tc>
                <w:tcPr>
                  <w:tcW w:w="2059" w:type="pct"/>
                  <w:vAlign w:val="center"/>
                </w:tcPr>
                <w:p w14:paraId="6C708370">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根据工程分析，本项目排放废气主要为</w:t>
                  </w:r>
                  <w:r>
                    <w:rPr>
                      <w:rFonts w:hint="eastAsia" w:cs="Times New Roman"/>
                      <w:color w:val="auto"/>
                      <w:sz w:val="21"/>
                      <w:szCs w:val="21"/>
                      <w:lang w:val="en-US" w:eastAsia="zh-CN"/>
                    </w:rPr>
                    <w:t>颗粒物</w:t>
                  </w:r>
                  <w:r>
                    <w:rPr>
                      <w:rFonts w:hint="default" w:ascii="Times New Roman" w:hAnsi="Times New Roman" w:eastAsia="宋体" w:cs="Times New Roman"/>
                      <w:color w:val="auto"/>
                      <w:sz w:val="21"/>
                      <w:szCs w:val="21"/>
                    </w:rPr>
                    <w:t>，不属于《有毒有害大气污染物名录》的污染物及二噁英、苯并</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芘、氰化物、氯气等污染物</w:t>
                  </w:r>
                </w:p>
              </w:tc>
              <w:tc>
                <w:tcPr>
                  <w:tcW w:w="582" w:type="pct"/>
                  <w:vAlign w:val="center"/>
                </w:tcPr>
                <w:p w14:paraId="30472323">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38FF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279FED7">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891" w:type="pct"/>
                  <w:vAlign w:val="center"/>
                </w:tcPr>
                <w:p w14:paraId="7D465BEF">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w:t>
                  </w:r>
                </w:p>
                <w:p w14:paraId="74EC225E">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新增废水直排的污水集中处理厂</w:t>
                  </w:r>
                </w:p>
              </w:tc>
              <w:tc>
                <w:tcPr>
                  <w:tcW w:w="2059" w:type="pct"/>
                  <w:vAlign w:val="center"/>
                </w:tcPr>
                <w:p w14:paraId="623A582C">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项目</w:t>
                  </w:r>
                  <w:r>
                    <w:rPr>
                      <w:rFonts w:hint="eastAsia" w:cs="Times New Roman"/>
                      <w:color w:val="auto"/>
                      <w:sz w:val="21"/>
                      <w:szCs w:val="21"/>
                      <w:lang w:val="en-US" w:eastAsia="zh-CN"/>
                    </w:rPr>
                    <w:t>车辆清洗用水经配套建设的1个容积为60m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的三级沉淀池沉淀处理后循环使用，不外排；初期雨水经沉淀处理后回用于厂区洒水降尘，不外排；本项目产生的生活污水经2m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/d的一体化污水处理设施处理达标后回用于厂区绿化，不外排</w:t>
                  </w:r>
                </w:p>
              </w:tc>
              <w:tc>
                <w:tcPr>
                  <w:tcW w:w="582" w:type="pct"/>
                  <w:vAlign w:val="center"/>
                </w:tcPr>
                <w:p w14:paraId="57E03373">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F16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633C3063">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1891" w:type="pct"/>
                  <w:vAlign w:val="center"/>
                </w:tcPr>
                <w:p w14:paraId="4F280A04">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有毒有害和易燃易爆危险物质存储量超过临界量的建设项目</w:t>
                  </w:r>
                </w:p>
              </w:tc>
              <w:tc>
                <w:tcPr>
                  <w:tcW w:w="2059" w:type="pct"/>
                  <w:vAlign w:val="center"/>
                </w:tcPr>
                <w:p w14:paraId="7E541974">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本项目涉及的有毒有害和易燃易爆危险物质为</w:t>
                  </w:r>
                  <w:r>
                    <w:rPr>
                      <w:rFonts w:hint="eastAsia" w:cs="Times New Roman"/>
                      <w:color w:val="auto"/>
                      <w:kern w:val="0"/>
                      <w:sz w:val="21"/>
                      <w:szCs w:val="21"/>
                      <w:lang w:eastAsia="zh-CN" w:bidi="ar"/>
                    </w:rPr>
                    <w:t>废机油</w:t>
                  </w:r>
                  <w:r>
                    <w:rPr>
                      <w:rFonts w:hint="default" w:ascii="Times New Roman" w:hAnsi="Times New Roman" w:eastAsia="宋体" w:cs="Times New Roman"/>
                      <w:color w:val="auto"/>
                      <w:kern w:val="0"/>
                      <w:sz w:val="21"/>
                      <w:szCs w:val="21"/>
                      <w:lang w:bidi="ar"/>
                    </w:rPr>
                    <w:t>，危险物质总量与临界量比值为</w:t>
                  </w:r>
                  <w:r>
                    <w:rPr>
                      <w:rFonts w:hint="default" w:ascii="Times New Roman" w:hAnsi="Times New Roman" w:eastAsia="宋体" w:cs="Times New Roman"/>
                      <w:color w:val="auto"/>
                      <w:kern w:val="0"/>
                      <w:sz w:val="21"/>
                      <w:szCs w:val="21"/>
                      <w:lang w:eastAsia="zh-CN" w:bidi="ar"/>
                    </w:rPr>
                    <w:t>0.000</w:t>
                  </w:r>
                  <w:r>
                    <w:rPr>
                      <w:rFonts w:hint="default" w:ascii="Times New Roman" w:hAnsi="Times New Roman" w:eastAsia="宋体" w:cs="Times New Roman"/>
                      <w:color w:val="auto"/>
                      <w:kern w:val="0"/>
                      <w:sz w:val="21"/>
                      <w:szCs w:val="21"/>
                      <w:lang w:val="en-US" w:eastAsia="zh-CN" w:bidi="ar"/>
                    </w:rPr>
                    <w:t>04</w:t>
                  </w:r>
                  <w:r>
                    <w:rPr>
                      <w:rFonts w:hint="default" w:ascii="Times New Roman" w:hAnsi="Times New Roman" w:eastAsia="宋体" w:cs="Times New Roman"/>
                      <w:color w:val="auto"/>
                      <w:kern w:val="0"/>
                      <w:sz w:val="21"/>
                      <w:szCs w:val="21"/>
                      <w:lang w:bidi="ar"/>
                    </w:rPr>
                    <w:t>，未超过临界量</w:t>
                  </w:r>
                </w:p>
              </w:tc>
              <w:tc>
                <w:tcPr>
                  <w:tcW w:w="582" w:type="pct"/>
                  <w:vAlign w:val="center"/>
                </w:tcPr>
                <w:p w14:paraId="1930C504">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0247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CD843F3">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1891" w:type="pct"/>
                  <w:vAlign w:val="center"/>
                </w:tcPr>
                <w:p w14:paraId="6C427B72">
                  <w:pPr>
                    <w:pStyle w:val="48"/>
                    <w:keepNext w:val="0"/>
                    <w:keepLines/>
                    <w:pageBreakBefore w:val="0"/>
                    <w:widowControl w:val="0"/>
                    <w:kinsoku/>
                    <w:wordWrap w:val="0"/>
                    <w:overflowPunct/>
                    <w:topLinePunct/>
                    <w:autoSpaceDE/>
                    <w:autoSpaceDN/>
                    <w:bidi w:val="0"/>
                    <w:adjustRightInd/>
                    <w:snapToGrid/>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取水口下游500米范围内有重要水生生物的自然产卵场、索饵场、越冬场和洄游通道的新增河道取水的污染类建设项目</w:t>
                  </w:r>
                </w:p>
              </w:tc>
              <w:tc>
                <w:tcPr>
                  <w:tcW w:w="2059" w:type="pct"/>
                  <w:vAlign w:val="center"/>
                </w:tcPr>
                <w:p w14:paraId="48E35841">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582" w:type="pct"/>
                  <w:vAlign w:val="center"/>
                </w:tcPr>
                <w:p w14:paraId="2F0BE5F0">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0E26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73BD15D">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1891" w:type="pct"/>
                  <w:vAlign w:val="center"/>
                </w:tcPr>
                <w:p w14:paraId="22E21614">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直接向海排放污染物的海洋工程建设项目</w:t>
                  </w:r>
                </w:p>
              </w:tc>
              <w:tc>
                <w:tcPr>
                  <w:tcW w:w="2059" w:type="pct"/>
                  <w:vAlign w:val="center"/>
                </w:tcPr>
                <w:p w14:paraId="2110BC69">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582" w:type="pct"/>
                  <w:vAlign w:val="center"/>
                </w:tcPr>
                <w:p w14:paraId="5EFCD7E1">
                  <w:pPr>
                    <w:pStyle w:val="48"/>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bl>
          <w:p w14:paraId="47AE5420">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sz w:val="24"/>
              </w:rPr>
              <w:t>根据上表，本项目不设置专项评价。</w:t>
            </w:r>
          </w:p>
        </w:tc>
      </w:tr>
      <w:tr w14:paraId="2F17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trPr>
        <w:tc>
          <w:tcPr>
            <w:tcW w:w="788" w:type="pct"/>
            <w:vAlign w:val="center"/>
          </w:tcPr>
          <w:p w14:paraId="756AEF0B">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规划情况</w:t>
            </w:r>
          </w:p>
        </w:tc>
        <w:tc>
          <w:tcPr>
            <w:tcW w:w="4211" w:type="pct"/>
            <w:gridSpan w:val="3"/>
            <w:vAlign w:val="center"/>
          </w:tcPr>
          <w:p w14:paraId="452E3D92">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无</w:t>
            </w:r>
          </w:p>
        </w:tc>
      </w:tr>
      <w:tr w14:paraId="15FF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trPr>
        <w:tc>
          <w:tcPr>
            <w:tcW w:w="788" w:type="pct"/>
            <w:vAlign w:val="center"/>
          </w:tcPr>
          <w:p w14:paraId="55C25DE4">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规划环境影响评价情况</w:t>
            </w:r>
          </w:p>
        </w:tc>
        <w:tc>
          <w:tcPr>
            <w:tcW w:w="4211" w:type="pct"/>
            <w:gridSpan w:val="3"/>
            <w:vAlign w:val="center"/>
          </w:tcPr>
          <w:p w14:paraId="764B1A6E">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无</w:t>
            </w:r>
          </w:p>
        </w:tc>
      </w:tr>
      <w:tr w14:paraId="72F2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7" w:hRule="atLeast"/>
        </w:trPr>
        <w:tc>
          <w:tcPr>
            <w:tcW w:w="788" w:type="pct"/>
            <w:vAlign w:val="center"/>
          </w:tcPr>
          <w:p w14:paraId="56AA0896">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kern w:val="0"/>
              </w:rPr>
              <w:t>规划及规划环境影响评价符合性分析</w:t>
            </w:r>
          </w:p>
        </w:tc>
        <w:tc>
          <w:tcPr>
            <w:tcW w:w="4211" w:type="pct"/>
            <w:gridSpan w:val="3"/>
            <w:vAlign w:val="center"/>
          </w:tcPr>
          <w:p w14:paraId="393F1965">
            <w:pPr>
              <w:pStyle w:val="3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无</w:t>
            </w:r>
          </w:p>
        </w:tc>
      </w:tr>
      <w:tr w14:paraId="384A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7" w:hRule="atLeast"/>
        </w:trPr>
        <w:tc>
          <w:tcPr>
            <w:tcW w:w="788" w:type="pct"/>
            <w:vAlign w:val="center"/>
          </w:tcPr>
          <w:p w14:paraId="009EA8FF">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其他符合性分析</w:t>
            </w:r>
          </w:p>
          <w:p w14:paraId="28F40636">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p>
        </w:tc>
        <w:tc>
          <w:tcPr>
            <w:tcW w:w="4211" w:type="pct"/>
            <w:gridSpan w:val="3"/>
            <w:vAlign w:val="center"/>
          </w:tcPr>
          <w:p w14:paraId="3A41797D">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b/>
                <w:bCs/>
                <w:color w:val="auto"/>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rPr>
              <w:t>产业政策符合性分析</w:t>
            </w:r>
          </w:p>
          <w:p w14:paraId="26539C6C">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5"/>
              </w:rPr>
              <w:t>本项目</w:t>
            </w:r>
            <w:r>
              <w:rPr>
                <w:rFonts w:hint="default" w:ascii="Times New Roman" w:hAnsi="Times New Roman" w:eastAsia="宋体" w:cs="Times New Roman"/>
                <w:color w:val="auto"/>
                <w:spacing w:val="-5"/>
                <w:lang w:val="en-US" w:eastAsia="zh-CN"/>
              </w:rPr>
              <w:t>采用外购的不同品质的</w:t>
            </w:r>
            <w:r>
              <w:rPr>
                <w:rFonts w:hint="eastAsia" w:cs="Times New Roman"/>
                <w:color w:val="auto"/>
                <w:spacing w:val="-5"/>
                <w:lang w:val="en-US" w:eastAsia="zh-CN"/>
              </w:rPr>
              <w:t>无烟煤</w:t>
            </w:r>
            <w:r>
              <w:rPr>
                <w:rFonts w:hint="default" w:ascii="Times New Roman" w:hAnsi="Times New Roman" w:eastAsia="宋体" w:cs="Times New Roman"/>
                <w:color w:val="auto"/>
                <w:spacing w:val="-5"/>
                <w:lang w:val="en-US" w:eastAsia="zh-CN"/>
              </w:rPr>
              <w:t>进行配煤，不涉及采煤、洗选煤和破碎工序，仅进行煤炭的混配</w:t>
            </w:r>
            <w:r>
              <w:rPr>
                <w:rFonts w:hint="default" w:ascii="Times New Roman" w:hAnsi="Times New Roman" w:eastAsia="宋体" w:cs="Times New Roman"/>
                <w:color w:val="auto"/>
                <w:spacing w:val="-5"/>
              </w:rPr>
              <w:t>，</w:t>
            </w:r>
            <w:r>
              <w:rPr>
                <w:rFonts w:hint="default" w:ascii="Times New Roman" w:hAnsi="Times New Roman" w:eastAsia="宋体" w:cs="Times New Roman"/>
                <w:color w:val="auto"/>
              </w:rPr>
              <w:t>根据国家发展和改革委员会《产业结构调整指导目录（20</w:t>
            </w:r>
            <w:r>
              <w:rPr>
                <w:rFonts w:hint="default" w:ascii="Times New Roman" w:hAnsi="Times New Roman" w:eastAsia="宋体" w:cs="Times New Roman"/>
                <w:color w:val="auto"/>
                <w:lang w:val="en-US" w:eastAsia="zh-CN"/>
              </w:rPr>
              <w:t>24</w:t>
            </w:r>
            <w:r>
              <w:rPr>
                <w:rFonts w:hint="default" w:ascii="Times New Roman" w:hAnsi="Times New Roman" w:eastAsia="宋体" w:cs="Times New Roman"/>
                <w:color w:val="auto"/>
              </w:rPr>
              <w:t>年本）》，本项目不属于鼓励类、限制类、淘汰类项目，</w:t>
            </w:r>
            <w:r>
              <w:rPr>
                <w:rFonts w:hint="default" w:ascii="Times New Roman" w:hAnsi="Times New Roman" w:eastAsia="宋体" w:cs="Times New Roman"/>
                <w:color w:val="auto"/>
                <w:lang w:val="en-US" w:eastAsia="zh-CN"/>
              </w:rPr>
              <w:t>视为允许类，项目拟采用的设备不属于限制类、淘汰类之列，</w:t>
            </w:r>
            <w:r>
              <w:rPr>
                <w:rFonts w:hint="default" w:ascii="Times New Roman" w:hAnsi="Times New Roman" w:eastAsia="宋体" w:cs="Times New Roman"/>
                <w:color w:val="auto"/>
              </w:rPr>
              <w:t>因此</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本项目符合国家产业政策。</w:t>
            </w:r>
          </w:p>
          <w:p w14:paraId="4E0E1D2B">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eastAsia="宋体" w:cs="Times New Roman"/>
                <w:color w:val="auto"/>
                <w:spacing w:val="-5"/>
                <w:lang w:val="en-US" w:eastAsia="zh-CN"/>
              </w:rPr>
            </w:pPr>
            <w:r>
              <w:rPr>
                <w:rFonts w:hint="default" w:ascii="Times New Roman" w:hAnsi="Times New Roman" w:eastAsia="宋体" w:cs="Times New Roman"/>
                <w:color w:val="auto"/>
                <w:spacing w:val="-5"/>
              </w:rPr>
              <w:t>项目于</w:t>
            </w:r>
            <w:r>
              <w:rPr>
                <w:rFonts w:hint="eastAsia" w:ascii="Times New Roman" w:hAnsi="Times New Roman" w:eastAsia="宋体" w:cs="Times New Roman"/>
                <w:color w:val="auto"/>
                <w:spacing w:val="-5"/>
                <w:lang w:eastAsia="zh-CN"/>
              </w:rPr>
              <w:t>202</w:t>
            </w:r>
            <w:r>
              <w:rPr>
                <w:rFonts w:hint="eastAsia" w:ascii="Times New Roman" w:hAnsi="Times New Roman" w:eastAsia="宋体" w:cs="Times New Roman"/>
                <w:color w:val="auto"/>
                <w:spacing w:val="-5"/>
                <w:lang w:val="en-US" w:eastAsia="zh-CN"/>
              </w:rPr>
              <w:t>6</w:t>
            </w:r>
            <w:r>
              <w:rPr>
                <w:rFonts w:hint="eastAsia" w:ascii="Times New Roman" w:hAnsi="Times New Roman" w:eastAsia="宋体" w:cs="Times New Roman"/>
                <w:color w:val="auto"/>
                <w:spacing w:val="-5"/>
                <w:lang w:eastAsia="zh-CN"/>
              </w:rPr>
              <w:t>年</w:t>
            </w:r>
            <w:r>
              <w:rPr>
                <w:rFonts w:hint="eastAsia" w:cs="Times New Roman"/>
                <w:color w:val="auto"/>
                <w:spacing w:val="-5"/>
                <w:lang w:eastAsia="zh-CN"/>
              </w:rPr>
              <w:t>02月06日</w:t>
            </w:r>
            <w:r>
              <w:rPr>
                <w:rFonts w:hint="default" w:ascii="Times New Roman" w:hAnsi="Times New Roman" w:eastAsia="宋体" w:cs="Times New Roman"/>
                <w:color w:val="auto"/>
                <w:spacing w:val="-5"/>
              </w:rPr>
              <w:t>取得了</w:t>
            </w:r>
            <w:r>
              <w:rPr>
                <w:rFonts w:hint="eastAsia" w:ascii="Times New Roman" w:hAnsi="Times New Roman" w:eastAsia="宋体" w:cs="Times New Roman"/>
                <w:color w:val="auto"/>
                <w:spacing w:val="-5"/>
                <w:lang w:eastAsia="zh-CN"/>
              </w:rPr>
              <w:t>峨山彝族自治县发展和改革局</w:t>
            </w:r>
            <w:r>
              <w:rPr>
                <w:rFonts w:hint="default" w:ascii="Times New Roman" w:hAnsi="Times New Roman" w:eastAsia="宋体" w:cs="Times New Roman"/>
                <w:color w:val="auto"/>
                <w:spacing w:val="-5"/>
              </w:rPr>
              <w:t>签发的投资项目备案证</w:t>
            </w:r>
            <w:r>
              <w:rPr>
                <w:rFonts w:hint="default" w:ascii="Times New Roman" w:hAnsi="Times New Roman" w:eastAsia="宋体" w:cs="Times New Roman"/>
                <w:color w:val="auto"/>
                <w:spacing w:val="-5"/>
                <w:lang w:eastAsia="zh-CN"/>
              </w:rPr>
              <w:t>（</w:t>
            </w:r>
            <w:r>
              <w:rPr>
                <w:rFonts w:hint="default" w:ascii="Times New Roman" w:hAnsi="Times New Roman" w:eastAsia="宋体" w:cs="Times New Roman"/>
                <w:color w:val="auto"/>
                <w:spacing w:val="-5"/>
                <w:lang w:val="en-US" w:eastAsia="zh-CN"/>
              </w:rPr>
              <w:t>详见附件</w:t>
            </w:r>
            <w:r>
              <w:rPr>
                <w:rFonts w:hint="eastAsia" w:ascii="Times New Roman" w:hAnsi="Times New Roman" w:eastAsia="宋体" w:cs="Times New Roman"/>
                <w:color w:val="auto"/>
                <w:spacing w:val="-5"/>
                <w:lang w:val="en-US" w:eastAsia="zh-CN"/>
              </w:rPr>
              <w:t>2</w:t>
            </w:r>
            <w:r>
              <w:rPr>
                <w:rFonts w:hint="default" w:ascii="Times New Roman" w:hAnsi="Times New Roman" w:eastAsia="宋体" w:cs="Times New Roman"/>
                <w:color w:val="auto"/>
                <w:spacing w:val="-5"/>
                <w:lang w:eastAsia="zh-CN"/>
              </w:rPr>
              <w:t>）</w:t>
            </w:r>
            <w:r>
              <w:rPr>
                <w:rFonts w:hint="eastAsia" w:ascii="Times New Roman" w:hAnsi="Times New Roman" w:eastAsia="宋体" w:cs="Times New Roman"/>
                <w:color w:val="auto"/>
                <w:spacing w:val="-5"/>
                <w:lang w:val="en-US" w:eastAsia="zh-CN"/>
              </w:rPr>
              <w:t>，</w:t>
            </w:r>
            <w:r>
              <w:rPr>
                <w:rFonts w:hint="default" w:ascii="Times New Roman" w:hAnsi="Times New Roman" w:eastAsia="宋体" w:cs="Times New Roman"/>
                <w:color w:val="auto"/>
                <w:spacing w:val="-5"/>
                <w:lang w:val="en-US" w:eastAsia="zh-CN"/>
              </w:rPr>
              <w:t>项目名称为</w:t>
            </w:r>
            <w:r>
              <w:rPr>
                <w:rFonts w:hint="eastAsia" w:cs="Times New Roman"/>
                <w:color w:val="auto"/>
                <w:spacing w:val="-5"/>
                <w:lang w:eastAsia="zh-CN"/>
              </w:rPr>
              <w:t>年配煤12万吨加工生产线建设项目</w:t>
            </w:r>
            <w:r>
              <w:rPr>
                <w:rFonts w:hint="default" w:ascii="Times New Roman" w:hAnsi="Times New Roman" w:eastAsia="宋体" w:cs="Times New Roman"/>
                <w:color w:val="auto"/>
                <w:spacing w:val="-5"/>
                <w:lang w:eastAsia="zh-CN"/>
              </w:rPr>
              <w:t>，</w:t>
            </w:r>
            <w:r>
              <w:rPr>
                <w:rFonts w:hint="default" w:ascii="Times New Roman" w:hAnsi="Times New Roman" w:eastAsia="宋体" w:cs="Times New Roman"/>
                <w:color w:val="auto"/>
                <w:spacing w:val="-5"/>
                <w:lang w:val="en-US" w:eastAsia="zh-CN"/>
              </w:rPr>
              <w:t>项目代码为</w:t>
            </w:r>
            <w:r>
              <w:rPr>
                <w:rFonts w:hint="eastAsia" w:ascii="Times New Roman" w:hAnsi="Times New Roman" w:eastAsia="宋体" w:cs="Times New Roman"/>
                <w:color w:val="auto"/>
                <w:spacing w:val="-5"/>
                <w:lang w:val="en-US" w:eastAsia="zh-CN"/>
              </w:rPr>
              <w:t>2602-530426-04-05-404367</w:t>
            </w:r>
            <w:r>
              <w:rPr>
                <w:rFonts w:hint="default" w:ascii="Times New Roman" w:hAnsi="Times New Roman" w:eastAsia="宋体" w:cs="Times New Roman"/>
                <w:color w:val="auto"/>
                <w:spacing w:val="-5"/>
                <w:lang w:eastAsia="zh-CN"/>
              </w:rPr>
              <w:t>，</w:t>
            </w:r>
            <w:r>
              <w:rPr>
                <w:rFonts w:hint="default" w:ascii="Times New Roman" w:hAnsi="Times New Roman" w:eastAsia="宋体" w:cs="Times New Roman"/>
                <w:color w:val="auto"/>
                <w:spacing w:val="-5"/>
                <w:lang w:val="en-US" w:eastAsia="zh-CN"/>
              </w:rPr>
              <w:t>同意项目建设。</w:t>
            </w:r>
          </w:p>
          <w:p w14:paraId="39B6F526">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eastAsia="宋体" w:cs="Times New Roman"/>
                <w:color w:val="auto"/>
                <w:spacing w:val="-5"/>
              </w:rPr>
            </w:pPr>
            <w:r>
              <w:rPr>
                <w:rFonts w:hint="default" w:ascii="Times New Roman" w:hAnsi="Times New Roman" w:eastAsia="宋体" w:cs="Times New Roman"/>
                <w:color w:val="auto"/>
                <w:spacing w:val="-5"/>
              </w:rPr>
              <w:t>综上所述，项目符合国家的产业政策。</w:t>
            </w:r>
          </w:p>
          <w:p w14:paraId="7057995F">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选址合理性分析</w:t>
            </w:r>
          </w:p>
          <w:p w14:paraId="5CE8D998">
            <w:pPr>
              <w:keepNext w:val="0"/>
              <w:keepLines/>
              <w:pageBreakBefore w:val="0"/>
              <w:widowControl w:val="0"/>
              <w:kinsoku/>
              <w:wordWrap w:val="0"/>
              <w:overflowPunct/>
              <w:topLinePunct/>
              <w:autoSpaceDE/>
              <w:autoSpaceDN/>
              <w:bidi w:val="0"/>
              <w:adjustRightInd/>
              <w:snapToGrid/>
              <w:ind w:firstLine="480"/>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sz w:val="24"/>
                <w:szCs w:val="24"/>
                <w:lang w:val="en-US" w:eastAsia="zh-CN"/>
              </w:rPr>
              <w:t>本项目</w:t>
            </w:r>
            <w:r>
              <w:rPr>
                <w:rFonts w:hint="eastAsia" w:cs="Times New Roman"/>
                <w:color w:val="auto"/>
                <w:kern w:val="2"/>
                <w:sz w:val="24"/>
                <w:szCs w:val="24"/>
                <w:lang w:val="en-US" w:eastAsia="zh-CN" w:bidi="ar-SA"/>
              </w:rPr>
              <w:t>利用</w:t>
            </w:r>
            <w:r>
              <w:rPr>
                <w:rFonts w:hint="eastAsia" w:cs="Times New Roman"/>
                <w:color w:val="auto"/>
                <w:lang w:eastAsia="zh-CN"/>
              </w:rPr>
              <w:t>玉溪利东商贸有限公司</w:t>
            </w:r>
            <w:r>
              <w:rPr>
                <w:rFonts w:hint="eastAsia" w:ascii="Times New Roman" w:hAnsi="Times New Roman" w:eastAsia="宋体" w:cs="Times New Roman"/>
                <w:color w:val="auto"/>
                <w:sz w:val="24"/>
                <w:szCs w:val="24"/>
                <w:lang w:val="en-US" w:eastAsia="zh-CN"/>
              </w:rPr>
              <w:t>已建设完成的封闭式生产车间</w:t>
            </w:r>
            <w:r>
              <w:rPr>
                <w:rFonts w:hint="eastAsia" w:cs="Times New Roman"/>
                <w:color w:val="auto"/>
                <w:sz w:val="24"/>
                <w:szCs w:val="24"/>
                <w:lang w:val="en-US" w:eastAsia="zh-CN"/>
              </w:rPr>
              <w:t>（1900m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进行建设，一半生产车间</w:t>
            </w:r>
            <w:r>
              <w:rPr>
                <w:rFonts w:hint="eastAsia" w:cs="Times New Roman"/>
                <w:color w:val="auto"/>
                <w:sz w:val="24"/>
                <w:szCs w:val="24"/>
                <w:lang w:val="en-US" w:eastAsia="zh-CN"/>
              </w:rPr>
              <w:t>（900m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用于原有项目矿石破碎加工，另一半生产车间</w:t>
            </w:r>
            <w:r>
              <w:rPr>
                <w:rFonts w:hint="eastAsia" w:cs="Times New Roman"/>
                <w:color w:val="auto"/>
                <w:sz w:val="24"/>
                <w:szCs w:val="24"/>
                <w:lang w:val="en-US" w:eastAsia="zh-CN"/>
              </w:rPr>
              <w:t>（1000m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用于本次配煤项目，本次利用车间的占地面积约为1000m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，整个生产线布设在封闭的生产车间内</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lang w:eastAsia="zh-CN"/>
              </w:rPr>
              <w:t>项目已于202</w:t>
            </w:r>
            <w:r>
              <w:rPr>
                <w:rFonts w:hint="eastAsia" w:cs="Times New Roman"/>
                <w:color w:val="auto"/>
                <w:lang w:val="en-US" w:eastAsia="zh-CN"/>
              </w:rPr>
              <w:t>6</w:t>
            </w:r>
            <w:r>
              <w:rPr>
                <w:rFonts w:hint="eastAsia" w:ascii="Times New Roman" w:hAnsi="Times New Roman" w:eastAsia="宋体" w:cs="Times New Roman"/>
                <w:color w:val="auto"/>
                <w:lang w:eastAsia="zh-CN"/>
              </w:rPr>
              <w:t>年</w:t>
            </w:r>
            <w:r>
              <w:rPr>
                <w:rFonts w:hint="eastAsia" w:cs="Times New Roman"/>
                <w:color w:val="auto"/>
                <w:lang w:val="en-US" w:eastAsia="zh-CN"/>
              </w:rPr>
              <w:t>04</w:t>
            </w:r>
            <w:r>
              <w:rPr>
                <w:rFonts w:hint="eastAsia" w:ascii="Times New Roman" w:hAnsi="Times New Roman" w:eastAsia="宋体" w:cs="Times New Roman"/>
                <w:color w:val="auto"/>
                <w:lang w:eastAsia="zh-CN"/>
              </w:rPr>
              <w:t>月</w:t>
            </w:r>
            <w:r>
              <w:rPr>
                <w:rFonts w:hint="eastAsia" w:cs="Times New Roman"/>
                <w:color w:val="auto"/>
                <w:lang w:val="en-US" w:eastAsia="zh-CN"/>
              </w:rPr>
              <w:t>25</w:t>
            </w:r>
            <w:r>
              <w:rPr>
                <w:rFonts w:hint="eastAsia" w:ascii="Times New Roman" w:hAnsi="Times New Roman" w:eastAsia="宋体" w:cs="Times New Roman"/>
                <w:color w:val="auto"/>
                <w:lang w:eastAsia="zh-CN"/>
              </w:rPr>
              <w:t>日取得峨山彝族自治县化念镇的选址意见（详见附件</w:t>
            </w:r>
            <w:r>
              <w:rPr>
                <w:rFonts w:hint="eastAsia" w:cs="Times New Roman"/>
                <w:color w:val="auto"/>
                <w:lang w:val="en-US" w:eastAsia="zh-CN"/>
              </w:rPr>
              <w:t>5</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eastAsia" w:cs="Times New Roman"/>
                <w:color w:val="auto"/>
                <w:lang w:val="en-US" w:eastAsia="zh-CN"/>
              </w:rPr>
              <w:t>根据选址意见可知，本</w:t>
            </w:r>
            <w:r>
              <w:rPr>
                <w:rFonts w:hint="eastAsia" w:ascii="Times New Roman" w:hAnsi="Times New Roman" w:eastAsia="宋体" w:cs="Times New Roman"/>
                <w:color w:val="auto"/>
                <w:lang w:eastAsia="zh-CN"/>
              </w:rPr>
              <w:t>项目选址位于化念镇凤凰社区龙潭组，选址点在化念镇城镇开发边界外，不在村庄建设边界内，不占用永久基本农田，不在生态保护红线范围内，经</w:t>
            </w:r>
            <w:r>
              <w:rPr>
                <w:rFonts w:hint="eastAsia" w:cs="Times New Roman"/>
                <w:color w:val="auto"/>
                <w:lang w:val="en-US" w:eastAsia="zh-CN"/>
              </w:rPr>
              <w:t>化念镇政府</w:t>
            </w:r>
            <w:r>
              <w:rPr>
                <w:rFonts w:hint="eastAsia" w:ascii="Times New Roman" w:hAnsi="Times New Roman" w:eastAsia="宋体" w:cs="Times New Roman"/>
                <w:color w:val="auto"/>
                <w:lang w:eastAsia="zh-CN"/>
              </w:rPr>
              <w:t>讨论研究</w:t>
            </w:r>
            <w:r>
              <w:rPr>
                <w:rFonts w:hint="eastAsia" w:cs="Times New Roman"/>
                <w:color w:val="auto"/>
                <w:lang w:val="en-US" w:eastAsia="zh-CN"/>
              </w:rPr>
              <w:t>决定</w:t>
            </w:r>
            <w:r>
              <w:rPr>
                <w:rFonts w:hint="eastAsia" w:ascii="Times New Roman" w:hAnsi="Times New Roman" w:eastAsia="宋体" w:cs="Times New Roman"/>
                <w:color w:val="auto"/>
                <w:lang w:eastAsia="zh-CN"/>
              </w:rPr>
              <w:t>，原则同意</w:t>
            </w:r>
            <w:r>
              <w:rPr>
                <w:rFonts w:hint="eastAsia" w:cs="Times New Roman"/>
                <w:color w:val="auto"/>
                <w:lang w:val="en-US" w:eastAsia="zh-CN"/>
              </w:rPr>
              <w:t>本</w:t>
            </w:r>
            <w:r>
              <w:rPr>
                <w:rFonts w:hint="eastAsia" w:ascii="Times New Roman" w:hAnsi="Times New Roman" w:eastAsia="宋体" w:cs="Times New Roman"/>
                <w:color w:val="auto"/>
                <w:lang w:eastAsia="zh-CN"/>
              </w:rPr>
              <w:t>项目选址，根据现场踏勘和资料查阅，项目评价范围内无文物保护单位、无自然保护区、风景名胜区等</w:t>
            </w:r>
            <w:r>
              <w:rPr>
                <w:rFonts w:hint="eastAsia" w:cs="Times New Roman"/>
                <w:color w:val="auto"/>
                <w:lang w:val="en-US" w:eastAsia="zh-CN"/>
              </w:rPr>
              <w:t>环境</w:t>
            </w:r>
            <w:r>
              <w:rPr>
                <w:rFonts w:hint="eastAsia" w:ascii="Times New Roman" w:hAnsi="Times New Roman" w:eastAsia="宋体" w:cs="Times New Roman"/>
                <w:color w:val="auto"/>
                <w:lang w:eastAsia="zh-CN"/>
              </w:rPr>
              <w:t>敏感区，根据峨山</w:t>
            </w:r>
            <w:r>
              <w:rPr>
                <w:rFonts w:hint="eastAsia" w:cs="Times New Roman"/>
                <w:color w:val="auto"/>
                <w:lang w:val="en-US" w:eastAsia="zh-CN"/>
              </w:rPr>
              <w:t>彝族自治县</w:t>
            </w:r>
            <w:r>
              <w:rPr>
                <w:rFonts w:hint="eastAsia" w:ascii="Times New Roman" w:hAnsi="Times New Roman" w:eastAsia="宋体" w:cs="Times New Roman"/>
                <w:color w:val="auto"/>
                <w:lang w:eastAsia="zh-CN"/>
              </w:rPr>
              <w:t>自然资源局出具的</w:t>
            </w:r>
            <w:r>
              <w:rPr>
                <w:rFonts w:hint="eastAsia" w:cs="Times New Roman"/>
                <w:color w:val="auto"/>
                <w:lang w:eastAsia="zh-CN"/>
              </w:rPr>
              <w:t>《</w:t>
            </w:r>
            <w:r>
              <w:rPr>
                <w:rFonts w:hint="eastAsia" w:cs="Times New Roman"/>
                <w:color w:val="auto"/>
                <w:lang w:val="en-US" w:eastAsia="zh-CN"/>
              </w:rPr>
              <w:t>峨山县自然资源局关于</w:t>
            </w:r>
            <w:r>
              <w:rPr>
                <w:rFonts w:hint="eastAsia" w:cs="Times New Roman"/>
                <w:color w:val="auto"/>
                <w:lang w:eastAsia="zh-CN"/>
              </w:rPr>
              <w:t>玉溪利东商贸有限公司年产12万吨铁矿破碎加工生产线建设项目“</w:t>
            </w:r>
            <w:r>
              <w:rPr>
                <w:rFonts w:hint="eastAsia" w:cs="Times New Roman"/>
                <w:color w:val="auto"/>
                <w:lang w:val="en-US" w:eastAsia="zh-CN"/>
              </w:rPr>
              <w:t>三区三线</w:t>
            </w:r>
            <w:r>
              <w:rPr>
                <w:rFonts w:hint="eastAsia" w:cs="Times New Roman"/>
                <w:color w:val="auto"/>
                <w:lang w:eastAsia="zh-CN"/>
              </w:rPr>
              <w:t>”</w:t>
            </w:r>
            <w:r>
              <w:rPr>
                <w:rFonts w:hint="eastAsia" w:cs="Times New Roman"/>
                <w:color w:val="auto"/>
                <w:lang w:val="en-US" w:eastAsia="zh-CN"/>
              </w:rPr>
              <w:t>和地类属性查询情况说明</w:t>
            </w:r>
            <w:r>
              <w:rPr>
                <w:rFonts w:hint="eastAsia" w:cs="Times New Roman"/>
                <w:color w:val="auto"/>
                <w:lang w:eastAsia="zh-CN"/>
              </w:rPr>
              <w:t>》</w:t>
            </w:r>
            <w:r>
              <w:rPr>
                <w:rFonts w:hint="eastAsia" w:cs="Times New Roman"/>
                <w:color w:val="auto"/>
                <w:lang w:val="en-US" w:eastAsia="zh-CN"/>
              </w:rPr>
              <w:t xml:space="preserve"> </w:t>
            </w:r>
            <w:r>
              <w:rPr>
                <w:rFonts w:hint="eastAsia" w:cs="Times New Roman"/>
                <w:color w:val="auto"/>
                <w:lang w:eastAsia="zh-CN"/>
              </w:rPr>
              <w:t>，</w:t>
            </w:r>
            <w:r>
              <w:rPr>
                <w:rFonts w:hint="eastAsia" w:cs="Times New Roman"/>
                <w:color w:val="auto"/>
                <w:lang w:val="en-US" w:eastAsia="zh-CN"/>
              </w:rPr>
              <w:t>本项目占地范围未压占峨山县生态保护红线、不在峨山县城镇开发边界内，未占用永久基本农田，土地地类为集体建设用地（详见附件4），</w:t>
            </w:r>
            <w:r>
              <w:rPr>
                <w:rFonts w:hint="eastAsia" w:ascii="Times New Roman" w:hAnsi="Times New Roman" w:eastAsia="宋体" w:cs="Times New Roman"/>
                <w:color w:val="auto"/>
                <w:lang w:eastAsia="zh-CN"/>
              </w:rPr>
              <w:t>项目运营期产生的“三废”通过采取行之有效的措施妥善处理并确保各污染物达标排放后，不会对周围环境造成大的影响，项目建设不会降低和改变区域的环境质量和环境功能，因此项目选址从环境角度来看是可行的。</w:t>
            </w:r>
          </w:p>
          <w:p w14:paraId="6F59113C">
            <w:pPr>
              <w:keepNext w:val="0"/>
              <w:keepLines/>
              <w:pageBreakBefore w:val="0"/>
              <w:widowControl w:val="0"/>
              <w:kinsoku/>
              <w:wordWrap w:val="0"/>
              <w:overflowPunct/>
              <w:topLinePunct/>
              <w:autoSpaceDE/>
              <w:autoSpaceDN/>
              <w:bidi w:val="0"/>
              <w:adjustRightInd/>
              <w:snapToGrid/>
              <w:ind w:firstLine="480"/>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综上分析，从环境影响的角度分析，本项目选址合理。</w:t>
            </w:r>
          </w:p>
          <w:p w14:paraId="4AD40E69">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平面布置合理性分析</w:t>
            </w:r>
          </w:p>
          <w:p w14:paraId="0323D686">
            <w:pPr>
              <w:pStyle w:val="2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sz w:val="24"/>
                <w:szCs w:val="24"/>
                <w:lang w:val="en-US" w:eastAsia="zh-CN"/>
              </w:rPr>
              <w:t>占地面积为</w:t>
            </w:r>
            <w:r>
              <w:rPr>
                <w:rFonts w:hint="eastAsia" w:cs="Times New Roman"/>
                <w:color w:val="auto"/>
                <w:sz w:val="24"/>
                <w:szCs w:val="24"/>
                <w:lang w:val="en-US" w:eastAsia="zh-CN"/>
              </w:rPr>
              <w:t>1000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项目总体布局较简单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pacing w:val="-4"/>
                <w:sz w:val="24"/>
              </w:rPr>
              <w:t>按照工段进</w:t>
            </w:r>
            <w:r>
              <w:rPr>
                <w:rFonts w:hint="default" w:ascii="Times New Roman" w:hAnsi="Times New Roman" w:eastAsia="宋体" w:cs="Times New Roman"/>
                <w:color w:val="auto"/>
                <w:kern w:val="2"/>
                <w:sz w:val="24"/>
                <w:szCs w:val="24"/>
                <w:lang w:val="en-US" w:eastAsia="zh-CN" w:bidi="ar-SA"/>
              </w:rPr>
              <w:t>行车间布置，从</w:t>
            </w:r>
            <w:r>
              <w:rPr>
                <w:rFonts w:hint="eastAsia" w:cs="Times New Roman"/>
                <w:color w:val="auto"/>
                <w:kern w:val="2"/>
                <w:sz w:val="24"/>
                <w:szCs w:val="24"/>
                <w:lang w:val="en-US" w:eastAsia="zh-CN" w:bidi="ar-SA"/>
              </w:rPr>
              <w:t>左</w:t>
            </w:r>
            <w:r>
              <w:rPr>
                <w:rFonts w:hint="default" w:ascii="Times New Roman" w:hAnsi="Times New Roman" w:eastAsia="宋体" w:cs="Times New Roman"/>
                <w:color w:val="auto"/>
                <w:kern w:val="2"/>
                <w:sz w:val="24"/>
                <w:szCs w:val="24"/>
                <w:lang w:val="en-US" w:eastAsia="zh-CN" w:bidi="ar-SA"/>
              </w:rPr>
              <w:t>往</w:t>
            </w:r>
            <w:r>
              <w:rPr>
                <w:rFonts w:hint="eastAsia" w:cs="Times New Roman"/>
                <w:color w:val="auto"/>
                <w:kern w:val="2"/>
                <w:sz w:val="24"/>
                <w:szCs w:val="24"/>
                <w:lang w:val="en-US" w:eastAsia="zh-CN" w:bidi="ar-SA"/>
              </w:rPr>
              <w:t>右</w:t>
            </w:r>
            <w:r>
              <w:rPr>
                <w:rFonts w:hint="default" w:ascii="Times New Roman" w:hAnsi="Times New Roman" w:eastAsia="宋体" w:cs="Times New Roman"/>
                <w:color w:val="auto"/>
                <w:kern w:val="2"/>
                <w:sz w:val="24"/>
                <w:szCs w:val="24"/>
                <w:lang w:val="en-US" w:eastAsia="zh-CN" w:bidi="ar-SA"/>
              </w:rPr>
              <w:t>依次为原</w:t>
            </w:r>
            <w:r>
              <w:rPr>
                <w:rFonts w:hint="eastAsia" w:cs="Times New Roman"/>
                <w:color w:val="auto"/>
                <w:kern w:val="2"/>
                <w:sz w:val="24"/>
                <w:szCs w:val="24"/>
                <w:lang w:val="en-US" w:eastAsia="zh-CN" w:bidi="ar-SA"/>
              </w:rPr>
              <w:t>煤</w:t>
            </w:r>
            <w:r>
              <w:rPr>
                <w:rFonts w:hint="default" w:ascii="Times New Roman" w:hAnsi="Times New Roman" w:eastAsia="宋体" w:cs="Times New Roman"/>
                <w:color w:val="auto"/>
                <w:kern w:val="2"/>
                <w:sz w:val="24"/>
                <w:szCs w:val="24"/>
                <w:lang w:val="en-US" w:eastAsia="zh-CN" w:bidi="ar-SA"/>
              </w:rPr>
              <w:t>堆</w:t>
            </w:r>
            <w:r>
              <w:rPr>
                <w:rFonts w:hint="eastAsia" w:ascii="Times New Roman" w:hAnsi="Times New Roman" w:eastAsia="宋体" w:cs="Times New Roman"/>
                <w:color w:val="auto"/>
                <w:kern w:val="2"/>
                <w:sz w:val="24"/>
                <w:szCs w:val="24"/>
                <w:lang w:val="en-US" w:eastAsia="zh-CN" w:bidi="ar-SA"/>
              </w:rPr>
              <w:t>场</w:t>
            </w:r>
            <w:r>
              <w:rPr>
                <w:rFonts w:hint="eastAsia" w:cs="Times New Roman"/>
                <w:color w:val="auto"/>
                <w:kern w:val="2"/>
                <w:sz w:val="24"/>
                <w:szCs w:val="24"/>
                <w:lang w:val="en-US" w:eastAsia="zh-CN" w:bidi="ar-SA"/>
              </w:rPr>
              <w:t>（400m</w:t>
            </w:r>
            <w:r>
              <w:rPr>
                <w:rFonts w:hint="eastAsia" w:cs="Times New Roman"/>
                <w:color w:val="auto"/>
                <w:kern w:val="2"/>
                <w:sz w:val="24"/>
                <w:szCs w:val="24"/>
                <w:vertAlign w:val="superscript"/>
                <w:lang w:val="en-US" w:eastAsia="zh-CN" w:bidi="ar-SA"/>
              </w:rPr>
              <w:t>2</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生产区</w:t>
            </w:r>
            <w:r>
              <w:rPr>
                <w:rFonts w:hint="eastAsia" w:cs="Times New Roman"/>
                <w:color w:val="auto"/>
                <w:kern w:val="2"/>
                <w:sz w:val="24"/>
                <w:szCs w:val="24"/>
                <w:lang w:val="en-US" w:eastAsia="zh-CN" w:bidi="ar-SA"/>
              </w:rPr>
              <w:t>（100m</w:t>
            </w:r>
            <w:r>
              <w:rPr>
                <w:rFonts w:hint="eastAsia" w:cs="Times New Roman"/>
                <w:color w:val="auto"/>
                <w:kern w:val="2"/>
                <w:sz w:val="24"/>
                <w:szCs w:val="24"/>
                <w:vertAlign w:val="superscript"/>
                <w:lang w:val="en-US" w:eastAsia="zh-CN" w:bidi="ar-SA"/>
              </w:rPr>
              <w:t>2</w:t>
            </w:r>
            <w:r>
              <w:rPr>
                <w:rFonts w:hint="eastAsia" w:cs="Times New Roman"/>
                <w:color w:val="auto"/>
                <w:kern w:val="2"/>
                <w:sz w:val="24"/>
                <w:szCs w:val="24"/>
                <w:lang w:val="en-US" w:eastAsia="zh-CN" w:bidi="ar-SA"/>
              </w:rPr>
              <w:t>）和</w:t>
            </w:r>
            <w:r>
              <w:rPr>
                <w:rFonts w:hint="eastAsia" w:ascii="Times New Roman" w:hAnsi="Times New Roman" w:eastAsia="宋体" w:cs="Times New Roman"/>
                <w:color w:val="auto"/>
                <w:kern w:val="2"/>
                <w:sz w:val="24"/>
                <w:szCs w:val="24"/>
                <w:lang w:val="en-US" w:eastAsia="zh-CN" w:bidi="ar-SA"/>
              </w:rPr>
              <w:t>成品堆</w:t>
            </w:r>
            <w:r>
              <w:rPr>
                <w:rFonts w:hint="eastAsia" w:cs="Times New Roman"/>
                <w:color w:val="auto"/>
                <w:kern w:val="2"/>
                <w:sz w:val="24"/>
                <w:szCs w:val="24"/>
                <w:lang w:val="en-US" w:eastAsia="zh-CN" w:bidi="ar-SA"/>
              </w:rPr>
              <w:t>场（500m</w:t>
            </w:r>
            <w:r>
              <w:rPr>
                <w:rFonts w:hint="eastAsia" w:cs="Times New Roman"/>
                <w:color w:val="auto"/>
                <w:kern w:val="2"/>
                <w:sz w:val="24"/>
                <w:szCs w:val="24"/>
                <w:vertAlign w:val="superscript"/>
                <w:lang w:val="en-US" w:eastAsia="zh-CN" w:bidi="ar-SA"/>
              </w:rPr>
              <w:t>2</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，项目主要噪声污染源布置在生产车间内，通过厂房隔音、合理布设（尽量远离声环境保护目标）可以有效减少项目噪声对周边敏感点的影响，</w:t>
            </w:r>
            <w:r>
              <w:rPr>
                <w:rFonts w:hint="eastAsia" w:cs="Times New Roman"/>
                <w:color w:val="auto"/>
                <w:kern w:val="2"/>
                <w:sz w:val="24"/>
                <w:szCs w:val="24"/>
                <w:lang w:val="en-US" w:eastAsia="zh-CN" w:bidi="ar-SA"/>
              </w:rPr>
              <w:t>原煤装卸堆存废气、成品装卸堆存废气和配煤废气等通过封闭车间阻隔，洒水降尘和加强人工</w:t>
            </w:r>
            <w:r>
              <w:rPr>
                <w:rFonts w:hint="eastAsia" w:ascii="Times New Roman" w:hAnsi="Times New Roman" w:eastAsia="宋体" w:cs="Times New Roman"/>
                <w:color w:val="auto"/>
                <w:kern w:val="2"/>
                <w:sz w:val="24"/>
                <w:szCs w:val="24"/>
                <w:lang w:val="en-US" w:eastAsia="zh-CN" w:bidi="ar-SA"/>
              </w:rPr>
              <w:t>清扫后</w:t>
            </w:r>
            <w:r>
              <w:rPr>
                <w:rFonts w:hint="default" w:ascii="Times New Roman" w:hAnsi="Times New Roman" w:eastAsia="宋体" w:cs="Times New Roman"/>
                <w:color w:val="auto"/>
                <w:kern w:val="2"/>
                <w:sz w:val="24"/>
                <w:szCs w:val="24"/>
                <w:lang w:val="en-US" w:eastAsia="zh-CN" w:bidi="ar-SA"/>
              </w:rPr>
              <w:t>，对外环境影响较小</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峨山县</w:t>
            </w:r>
            <w:r>
              <w:rPr>
                <w:rFonts w:hint="eastAsia" w:cs="Times New Roman"/>
                <w:color w:val="auto"/>
                <w:kern w:val="2"/>
                <w:sz w:val="24"/>
                <w:szCs w:val="24"/>
                <w:lang w:val="en-US" w:eastAsia="zh-CN" w:bidi="ar-SA"/>
              </w:rPr>
              <w:t>化念镇</w:t>
            </w:r>
            <w:r>
              <w:rPr>
                <w:rFonts w:hint="default" w:ascii="Times New Roman" w:hAnsi="Times New Roman" w:eastAsia="宋体" w:cs="Times New Roman"/>
                <w:color w:val="auto"/>
                <w:kern w:val="2"/>
                <w:sz w:val="24"/>
                <w:szCs w:val="24"/>
                <w:lang w:val="en-US" w:eastAsia="zh-CN" w:bidi="ar-SA"/>
              </w:rPr>
              <w:t>常年主导风向为西南风，</w:t>
            </w:r>
            <w:r>
              <w:rPr>
                <w:rFonts w:hint="eastAsia" w:cs="Times New Roman"/>
                <w:color w:val="auto"/>
                <w:kern w:val="2"/>
                <w:sz w:val="24"/>
                <w:szCs w:val="24"/>
                <w:lang w:val="en-US" w:eastAsia="zh-CN" w:bidi="ar-SA"/>
              </w:rPr>
              <w:t>龙潭村</w:t>
            </w:r>
            <w:r>
              <w:rPr>
                <w:rFonts w:hint="default" w:ascii="Times New Roman" w:hAnsi="Times New Roman" w:eastAsia="宋体" w:cs="Times New Roman"/>
                <w:color w:val="auto"/>
                <w:kern w:val="2"/>
                <w:sz w:val="24"/>
                <w:szCs w:val="24"/>
                <w:lang w:val="en-US" w:eastAsia="zh-CN" w:bidi="ar-SA"/>
              </w:rPr>
              <w:t>位于</w:t>
            </w:r>
            <w:r>
              <w:rPr>
                <w:rFonts w:hint="eastAsia"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西</w:t>
            </w:r>
            <w:r>
              <w:rPr>
                <w:rFonts w:hint="eastAsia" w:ascii="Times New Roman" w:hAnsi="Times New Roman" w:eastAsia="宋体" w:cs="Times New Roman"/>
                <w:color w:val="auto"/>
                <w:kern w:val="2"/>
                <w:sz w:val="24"/>
                <w:szCs w:val="24"/>
                <w:lang w:val="en-US" w:eastAsia="zh-CN" w:bidi="ar-SA"/>
              </w:rPr>
              <w:t>南侧（上风向）</w:t>
            </w:r>
            <w:r>
              <w:rPr>
                <w:rFonts w:hint="default" w:ascii="Times New Roman" w:hAnsi="Times New Roman" w:eastAsia="宋体" w:cs="Times New Roman"/>
                <w:color w:val="auto"/>
                <w:kern w:val="2"/>
                <w:sz w:val="24"/>
                <w:szCs w:val="24"/>
                <w:lang w:val="en-US" w:eastAsia="zh-CN" w:bidi="ar-SA"/>
              </w:rPr>
              <w:t>，且</w:t>
            </w:r>
            <w:r>
              <w:rPr>
                <w:rFonts w:hint="eastAsia" w:ascii="Times New Roman" w:hAnsi="Times New Roman" w:eastAsia="宋体" w:cs="Times New Roman"/>
                <w:color w:val="auto"/>
                <w:kern w:val="2"/>
                <w:sz w:val="24"/>
                <w:szCs w:val="24"/>
                <w:lang w:val="en-US" w:eastAsia="zh-CN" w:bidi="ar-SA"/>
              </w:rPr>
              <w:t>整个生产工段布设于封闭的车间内，远离项目</w:t>
            </w:r>
            <w:r>
              <w:rPr>
                <w:rFonts w:hint="eastAsia" w:cs="Times New Roman"/>
                <w:color w:val="auto"/>
                <w:kern w:val="2"/>
                <w:sz w:val="24"/>
                <w:szCs w:val="24"/>
                <w:lang w:val="en-US" w:eastAsia="zh-CN" w:bidi="ar-SA"/>
              </w:rPr>
              <w:t>西</w:t>
            </w:r>
            <w:r>
              <w:rPr>
                <w:rFonts w:hint="eastAsia" w:ascii="Times New Roman" w:hAnsi="Times New Roman" w:eastAsia="宋体" w:cs="Times New Roman"/>
                <w:color w:val="auto"/>
                <w:kern w:val="2"/>
                <w:sz w:val="24"/>
                <w:szCs w:val="24"/>
                <w:lang w:val="en-US" w:eastAsia="zh-CN" w:bidi="ar-SA"/>
              </w:rPr>
              <w:t>南侧的</w:t>
            </w:r>
            <w:r>
              <w:rPr>
                <w:rFonts w:hint="eastAsia" w:cs="Times New Roman"/>
                <w:color w:val="auto"/>
                <w:kern w:val="2"/>
                <w:sz w:val="24"/>
                <w:szCs w:val="24"/>
                <w:lang w:val="en-US" w:eastAsia="zh-CN" w:bidi="ar-SA"/>
              </w:rPr>
              <w:t>龙潭村</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项目产污点均设置合理的治理设施，</w:t>
            </w:r>
            <w:r>
              <w:rPr>
                <w:rFonts w:hint="eastAsia" w:cs="Times New Roman"/>
                <w:color w:val="auto"/>
                <w:kern w:val="2"/>
                <w:sz w:val="24"/>
                <w:szCs w:val="24"/>
                <w:lang w:val="en-US" w:eastAsia="zh-CN" w:bidi="ar-SA"/>
              </w:rPr>
              <w:t>根据项目预测结果，</w:t>
            </w:r>
            <w:r>
              <w:rPr>
                <w:rFonts w:hint="default" w:ascii="Times New Roman" w:hAnsi="Times New Roman" w:eastAsia="宋体" w:cs="Times New Roman"/>
                <w:color w:val="auto"/>
                <w:kern w:val="2"/>
                <w:sz w:val="24"/>
                <w:szCs w:val="24"/>
                <w:lang w:val="en-US" w:eastAsia="zh-CN" w:bidi="ar-SA"/>
              </w:rPr>
              <w:t>运营期产生的</w:t>
            </w:r>
            <w:r>
              <w:rPr>
                <w:rFonts w:hint="eastAsia" w:ascii="Times New Roman" w:hAnsi="Times New Roman" w:eastAsia="宋体" w:cs="Times New Roman"/>
                <w:color w:val="auto"/>
                <w:kern w:val="2"/>
                <w:sz w:val="24"/>
                <w:szCs w:val="24"/>
                <w:lang w:val="en-US" w:eastAsia="zh-CN" w:bidi="ar-SA"/>
              </w:rPr>
              <w:t>废气对</w:t>
            </w:r>
            <w:r>
              <w:rPr>
                <w:rFonts w:hint="eastAsia" w:cs="Times New Roman"/>
                <w:color w:val="auto"/>
                <w:kern w:val="2"/>
                <w:sz w:val="24"/>
                <w:szCs w:val="24"/>
                <w:lang w:val="en-US" w:eastAsia="zh-CN" w:bidi="ar-SA"/>
              </w:rPr>
              <w:t>龙潭村</w:t>
            </w:r>
            <w:r>
              <w:rPr>
                <w:rFonts w:hint="eastAsia" w:ascii="Times New Roman" w:hAnsi="Times New Roman" w:eastAsia="宋体" w:cs="Times New Roman"/>
                <w:color w:val="auto"/>
                <w:kern w:val="2"/>
                <w:sz w:val="24"/>
                <w:szCs w:val="24"/>
                <w:lang w:val="en-US" w:eastAsia="zh-CN" w:bidi="ar-SA"/>
              </w:rPr>
              <w:t>产生</w:t>
            </w:r>
            <w:r>
              <w:rPr>
                <w:rFonts w:hint="eastAsia" w:cs="Times New Roman"/>
                <w:color w:val="auto"/>
                <w:kern w:val="2"/>
                <w:sz w:val="24"/>
                <w:szCs w:val="24"/>
                <w:lang w:val="en-US" w:eastAsia="zh-CN" w:bidi="ar-SA"/>
              </w:rPr>
              <w:t>的</w:t>
            </w:r>
            <w:r>
              <w:rPr>
                <w:rFonts w:hint="eastAsia" w:ascii="Times New Roman" w:hAnsi="Times New Roman" w:eastAsia="宋体" w:cs="Times New Roman"/>
                <w:color w:val="auto"/>
                <w:kern w:val="2"/>
                <w:sz w:val="24"/>
                <w:szCs w:val="24"/>
                <w:lang w:val="en-US" w:eastAsia="zh-CN" w:bidi="ar-SA"/>
              </w:rPr>
              <w:t>影响</w:t>
            </w:r>
            <w:r>
              <w:rPr>
                <w:rFonts w:hint="eastAsia" w:cs="Times New Roman"/>
                <w:color w:val="auto"/>
                <w:kern w:val="2"/>
                <w:sz w:val="24"/>
                <w:szCs w:val="24"/>
                <w:lang w:val="en-US" w:eastAsia="zh-CN" w:bidi="ar-SA"/>
              </w:rPr>
              <w:t>在可接受范围内</w:t>
            </w:r>
            <w:r>
              <w:rPr>
                <w:rFonts w:hint="eastAsia"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kern w:val="2"/>
                <w:sz w:val="24"/>
                <w:szCs w:val="24"/>
                <w:lang w:val="en-US" w:eastAsia="zh-CN" w:bidi="ar-SA"/>
              </w:rPr>
              <w:t>出入口布设于厂区</w:t>
            </w:r>
            <w:r>
              <w:rPr>
                <w:rFonts w:hint="eastAsia" w:ascii="Times New Roman" w:hAnsi="Times New Roman" w:eastAsia="宋体" w:cs="Times New Roman"/>
                <w:color w:val="auto"/>
                <w:kern w:val="2"/>
                <w:sz w:val="24"/>
                <w:szCs w:val="24"/>
                <w:lang w:val="en-US" w:eastAsia="zh-CN" w:bidi="ar-SA"/>
              </w:rPr>
              <w:t>东</w:t>
            </w:r>
            <w:r>
              <w:rPr>
                <w:rFonts w:hint="default" w:ascii="Times New Roman" w:hAnsi="Times New Roman" w:eastAsia="宋体" w:cs="Times New Roman"/>
                <w:color w:val="auto"/>
                <w:kern w:val="2"/>
                <w:sz w:val="24"/>
                <w:szCs w:val="24"/>
                <w:lang w:val="en-US" w:eastAsia="zh-CN" w:bidi="ar-SA"/>
              </w:rPr>
              <w:t>侧，临近</w:t>
            </w:r>
            <w:r>
              <w:rPr>
                <w:rFonts w:hint="eastAsia" w:ascii="Times New Roman" w:hAnsi="Times New Roman" w:eastAsia="宋体" w:cs="Times New Roman"/>
                <w:color w:val="auto"/>
                <w:kern w:val="2"/>
                <w:sz w:val="24"/>
                <w:szCs w:val="24"/>
                <w:lang w:val="en-US" w:eastAsia="zh-CN" w:bidi="ar-SA"/>
              </w:rPr>
              <w:t>内部道路</w:t>
            </w:r>
            <w:r>
              <w:rPr>
                <w:rFonts w:hint="default" w:ascii="Times New Roman" w:hAnsi="Times New Roman" w:eastAsia="宋体" w:cs="Times New Roman"/>
                <w:color w:val="auto"/>
                <w:kern w:val="2"/>
                <w:sz w:val="24"/>
                <w:szCs w:val="24"/>
                <w:lang w:val="en-US" w:eastAsia="zh-CN" w:bidi="ar-SA"/>
              </w:rPr>
              <w:t>，方便原料和成品的运输。</w:t>
            </w:r>
          </w:p>
          <w:p w14:paraId="2F24DCB0">
            <w:pPr>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项目内各功能区划分明确，便于生产，生产车间距离周边敏感点较远，按此平面布置运营后产生的各项污染物对周边环境影响较小，平面布置合理。</w:t>
            </w:r>
          </w:p>
          <w:p w14:paraId="33E7BBFD">
            <w:pPr>
              <w:pStyle w:val="2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本项目平面布置</w:t>
            </w:r>
            <w:r>
              <w:rPr>
                <w:rFonts w:hint="default" w:ascii="Times New Roman" w:hAnsi="Times New Roman" w:eastAsia="宋体" w:cs="Times New Roman"/>
                <w:color w:val="auto"/>
                <w:sz w:val="24"/>
                <w:szCs w:val="24"/>
                <w:lang w:eastAsia="zh-CN"/>
              </w:rPr>
              <w:t>详</w:t>
            </w:r>
            <w:r>
              <w:rPr>
                <w:rFonts w:hint="default" w:ascii="Times New Roman" w:hAnsi="Times New Roman" w:eastAsia="宋体" w:cs="Times New Roman"/>
                <w:color w:val="auto"/>
                <w:sz w:val="24"/>
                <w:szCs w:val="24"/>
              </w:rPr>
              <w:t>见附图</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14:paraId="787557DD">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val="en-US" w:eastAsia="zh-CN"/>
              </w:rPr>
              <w:t>项目与《中华人民共和国大气污染防治法》符合性分析</w:t>
            </w:r>
          </w:p>
          <w:p w14:paraId="0E3AC3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w:t>
            </w:r>
            <w:r>
              <w:rPr>
                <w:rFonts w:hint="eastAsia" w:ascii="Times New Roman" w:hAnsi="Times New Roman" w:cs="Times New Roman" w:eastAsiaTheme="minorEastAsia"/>
                <w:color w:val="auto"/>
                <w:kern w:val="2"/>
                <w:sz w:val="24"/>
                <w:szCs w:val="24"/>
                <w:lang w:val="en-US" w:eastAsia="zh-CN" w:bidi="ar-SA"/>
              </w:rPr>
              <w:t>项目</w:t>
            </w:r>
            <w:r>
              <w:rPr>
                <w:rFonts w:hint="default" w:ascii="Times New Roman" w:hAnsi="Times New Roman" w:cs="Times New Roman" w:eastAsiaTheme="minorEastAsia"/>
                <w:color w:val="auto"/>
                <w:kern w:val="2"/>
                <w:sz w:val="24"/>
                <w:szCs w:val="24"/>
                <w:lang w:val="en-US" w:eastAsia="zh-CN" w:bidi="ar-SA"/>
              </w:rPr>
              <w:t>与《中华人民共和国大气污染防治法》的符合性详见</w:t>
            </w:r>
            <w:r>
              <w:rPr>
                <w:rFonts w:hint="eastAsia" w:ascii="Times New Roman" w:hAnsi="Times New Roman" w:cs="Times New Roman" w:eastAsiaTheme="minorEastAsia"/>
                <w:color w:val="auto"/>
                <w:kern w:val="2"/>
                <w:sz w:val="24"/>
                <w:szCs w:val="24"/>
                <w:lang w:val="en-US" w:eastAsia="zh-CN" w:bidi="ar-SA"/>
              </w:rPr>
              <w:t>下</w:t>
            </w:r>
            <w:r>
              <w:rPr>
                <w:rFonts w:hint="default" w:ascii="Times New Roman" w:hAnsi="Times New Roman" w:cs="Times New Roman" w:eastAsiaTheme="minorEastAsia"/>
                <w:color w:val="auto"/>
                <w:kern w:val="2"/>
                <w:sz w:val="24"/>
                <w:szCs w:val="24"/>
                <w:lang w:val="en-US" w:eastAsia="zh-CN" w:bidi="ar-SA"/>
              </w:rPr>
              <w:t>表</w:t>
            </w:r>
            <w:r>
              <w:rPr>
                <w:rFonts w:hint="eastAsia" w:ascii="Times New Roman" w:hAnsi="Times New Roman" w:cs="Times New Roman" w:eastAsiaTheme="minorEastAsia"/>
                <w:color w:val="auto"/>
                <w:kern w:val="2"/>
                <w:sz w:val="24"/>
                <w:szCs w:val="24"/>
                <w:lang w:val="en-US" w:eastAsia="zh-CN" w:bidi="ar-SA"/>
              </w:rPr>
              <w:t>。</w:t>
            </w:r>
          </w:p>
          <w:p w14:paraId="47B1563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项目与《中华人民共和国大气污染防治法》符合性分析</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4"/>
              <w:gridCol w:w="2844"/>
              <w:gridCol w:w="653"/>
            </w:tblGrid>
            <w:tr w14:paraId="522D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4" w:type="pct"/>
                  <w:noWrap w:val="0"/>
                  <w:vAlign w:val="center"/>
                </w:tcPr>
                <w:p w14:paraId="7CEEEB95">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大气污染防治法相关内容</w:t>
                  </w:r>
                </w:p>
              </w:tc>
              <w:tc>
                <w:tcPr>
                  <w:tcW w:w="2045" w:type="pct"/>
                  <w:noWrap w:val="0"/>
                  <w:vAlign w:val="center"/>
                </w:tcPr>
                <w:p w14:paraId="7943A7F3">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相符性分析</w:t>
                  </w:r>
                </w:p>
              </w:tc>
              <w:tc>
                <w:tcPr>
                  <w:tcW w:w="469" w:type="pct"/>
                  <w:noWrap w:val="0"/>
                  <w:vAlign w:val="center"/>
                </w:tcPr>
                <w:p w14:paraId="64D83182">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bidi="ar"/>
                    </w:rPr>
                    <w:t>符合性</w:t>
                  </w:r>
                </w:p>
              </w:tc>
            </w:tr>
            <w:tr w14:paraId="2BD6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noWrap w:val="0"/>
                  <w:vAlign w:val="center"/>
                </w:tcPr>
                <w:p w14:paraId="3186966D">
                  <w:pPr>
                    <w:pStyle w:val="43"/>
                    <w:keepNext w:val="0"/>
                    <w:keepLines w:val="0"/>
                    <w:pageBreakBefore w:val="0"/>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045" w:type="pct"/>
                  <w:noWrap w:val="0"/>
                  <w:vAlign w:val="center"/>
                </w:tcPr>
                <w:p w14:paraId="1FDE8445">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本项目正在办理环评手续，取得环评批复后，将及时公开</w:t>
                  </w:r>
                  <w:r>
                    <w:rPr>
                      <w:rFonts w:hint="default" w:ascii="Times New Roman" w:hAnsi="Times New Roman" w:eastAsia="宋体" w:cs="Times New Roman"/>
                      <w:color w:val="auto"/>
                      <w:sz w:val="21"/>
                      <w:szCs w:val="21"/>
                    </w:rPr>
                    <w:t>环境影响评价文件</w:t>
                  </w:r>
                  <w:r>
                    <w:rPr>
                      <w:rFonts w:hint="default" w:ascii="Times New Roman" w:hAnsi="Times New Roman" w:eastAsia="宋体" w:cs="Times New Roman"/>
                      <w:color w:val="auto"/>
                      <w:kern w:val="0"/>
                      <w:sz w:val="21"/>
                      <w:szCs w:val="21"/>
                      <w:lang w:bidi="ar"/>
                    </w:rPr>
                    <w:t>；建设及运营过程中在采取相应环保措施后，项目各大气污染物均能达标排放。</w:t>
                  </w:r>
                </w:p>
              </w:tc>
              <w:tc>
                <w:tcPr>
                  <w:tcW w:w="469" w:type="pct"/>
                  <w:noWrap w:val="0"/>
                  <w:vAlign w:val="center"/>
                </w:tcPr>
                <w:p w14:paraId="3DFD6C2E">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3A0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noWrap w:val="0"/>
                  <w:vAlign w:val="center"/>
                </w:tcPr>
                <w:p w14:paraId="16A837C1">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第十九条 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tc>
              <w:tc>
                <w:tcPr>
                  <w:tcW w:w="2045" w:type="pct"/>
                  <w:noWrap w:val="0"/>
                  <w:vAlign w:val="center"/>
                </w:tcPr>
                <w:p w14:paraId="211D60FC">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本项目排放的大气污染物主要为颗粒物，经工程分析可知，</w:t>
                  </w:r>
                  <w:r>
                    <w:rPr>
                      <w:rFonts w:hint="default" w:ascii="Times New Roman" w:hAnsi="Times New Roman" w:eastAsia="宋体" w:cs="Times New Roman"/>
                      <w:color w:val="auto"/>
                      <w:kern w:val="0"/>
                      <w:sz w:val="21"/>
                      <w:szCs w:val="21"/>
                      <w:lang w:bidi="ar"/>
                    </w:rPr>
                    <w:t>建设及运营过程中在采取相应环保措施后，项目排放的颗粒物能达标排放</w:t>
                  </w:r>
                  <w:r>
                    <w:rPr>
                      <w:rFonts w:hint="default" w:ascii="Times New Roman" w:hAnsi="Times New Roman" w:eastAsia="宋体" w:cs="Times New Roman"/>
                      <w:color w:val="auto"/>
                      <w:sz w:val="21"/>
                      <w:szCs w:val="21"/>
                    </w:rPr>
                    <w:t>。本项目发生实际排污行为之前将按照《排污许可管理条例》的相关要求，及时办理固定污染源排污登记手续。</w:t>
                  </w:r>
                </w:p>
              </w:tc>
              <w:tc>
                <w:tcPr>
                  <w:tcW w:w="469" w:type="pct"/>
                  <w:noWrap w:val="0"/>
                  <w:vAlign w:val="center"/>
                </w:tcPr>
                <w:p w14:paraId="1C302E73">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863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noWrap w:val="0"/>
                  <w:vAlign w:val="center"/>
                </w:tcPr>
                <w:p w14:paraId="64FA64F7">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第二十四条 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环境保护主管部门的监控设备联网，保证监测设备正常运行并依法公开排放信息。监测的具体办法和重点排污单位的条件由国务院环境保护主管部门规定。</w:t>
                  </w:r>
                </w:p>
              </w:tc>
              <w:tc>
                <w:tcPr>
                  <w:tcW w:w="2045" w:type="pct"/>
                  <w:noWrap w:val="0"/>
                  <w:vAlign w:val="center"/>
                </w:tcPr>
                <w:p w14:paraId="460DCBAB">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本项目排放的大气污染物主要为颗粒物，不涉及有毒有害大气污染物；</w:t>
                  </w:r>
                  <w:r>
                    <w:rPr>
                      <w:rFonts w:hint="eastAsia"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rPr>
                    <w:t>重点排污单位</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无需安装</w:t>
                  </w:r>
                  <w:r>
                    <w:rPr>
                      <w:rFonts w:hint="default" w:ascii="Times New Roman" w:hAnsi="Times New Roman" w:eastAsia="宋体" w:cs="Times New Roman"/>
                      <w:color w:val="auto"/>
                      <w:sz w:val="21"/>
                      <w:szCs w:val="21"/>
                    </w:rPr>
                    <w:t>自动监测设备</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rPr>
                    <w:t>项目发生实际排污行为之前</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将</w:t>
                  </w:r>
                  <w:r>
                    <w:rPr>
                      <w:rFonts w:hint="default" w:ascii="Times New Roman" w:hAnsi="Times New Roman" w:eastAsia="宋体" w:cs="Times New Roman"/>
                      <w:color w:val="auto"/>
                      <w:sz w:val="21"/>
                      <w:szCs w:val="21"/>
                    </w:rPr>
                    <w:t>根据《排污单位自行监测技术指南 总则》（HJ819-2017）中相关要求进行自行监测，并依法公开排放信息。</w:t>
                  </w:r>
                </w:p>
              </w:tc>
              <w:tc>
                <w:tcPr>
                  <w:tcW w:w="469" w:type="pct"/>
                  <w:noWrap w:val="0"/>
                  <w:vAlign w:val="center"/>
                </w:tcPr>
                <w:p w14:paraId="48C3CA91">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6C4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noWrap w:val="0"/>
                  <w:vAlign w:val="center"/>
                </w:tcPr>
                <w:p w14:paraId="56283334">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第二十七条 国家对严重污染大气环境的工艺、设备和产品实行淘汰制度。</w:t>
                  </w:r>
                </w:p>
                <w:p w14:paraId="15CE3206">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国务院经济综合主管部门会同国务院有关部门确定严重污染大气环境的工艺、设备和产品淘汰期限，并纳入国家综合性产业政策目录。</w:t>
                  </w:r>
                </w:p>
                <w:p w14:paraId="6FE8C6CC">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生产者、进口者、销售者或者使用者应当在规定期限内停止生产、进口、销售或者使用列入前款规定目录中的设备和产品。工艺的采用者应当在规定期限内停止采用列入前款规定目录中的工艺。</w:t>
                  </w:r>
                </w:p>
                <w:p w14:paraId="070FC51C">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被淘汰的设备和产品，不得转让给他人使用。</w:t>
                  </w:r>
                </w:p>
              </w:tc>
              <w:tc>
                <w:tcPr>
                  <w:tcW w:w="2045" w:type="pct"/>
                  <w:noWrap w:val="0"/>
                  <w:vAlign w:val="center"/>
                </w:tcPr>
                <w:p w14:paraId="39AD86B7">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根据国家发展和改革委员会《产业结构调整指导目录（20</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年本）》，本项目不属于鼓励类、限制类、淘汰类项目，</w:t>
                  </w:r>
                  <w:r>
                    <w:rPr>
                      <w:rFonts w:hint="default" w:ascii="Times New Roman" w:hAnsi="Times New Roman" w:eastAsia="宋体" w:cs="Times New Roman"/>
                      <w:color w:val="auto"/>
                      <w:sz w:val="21"/>
                      <w:szCs w:val="21"/>
                      <w:lang w:val="en-US" w:eastAsia="zh-CN"/>
                    </w:rPr>
                    <w:t>视为允许类，项目拟采用的设备不属于限制类、淘汰类之列，</w:t>
                  </w:r>
                  <w:r>
                    <w:rPr>
                      <w:rFonts w:hint="default" w:ascii="Times New Roman" w:hAnsi="Times New Roman" w:eastAsia="宋体" w:cs="Times New Roman"/>
                      <w:color w:val="auto"/>
                      <w:sz w:val="21"/>
                      <w:szCs w:val="21"/>
                    </w:rPr>
                    <w:t>因此，符合国家产业政策。</w:t>
                  </w:r>
                </w:p>
              </w:tc>
              <w:tc>
                <w:tcPr>
                  <w:tcW w:w="469" w:type="pct"/>
                  <w:noWrap w:val="0"/>
                  <w:vAlign w:val="center"/>
                </w:tcPr>
                <w:p w14:paraId="0BC27980">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F8F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noWrap w:val="0"/>
                  <w:vAlign w:val="center"/>
                </w:tcPr>
                <w:p w14:paraId="271E1FE2">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第四十八条 钢铁、建材、有色金属、石油、化工、制药、矿产开采等企业，应当加强精细化管理，采取集中收集处理等措施，严格控制粉尘和气态污染物的排放。</w:t>
                  </w:r>
                </w:p>
                <w:p w14:paraId="77310572">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工业生产企业应当采取密闭、围挡、遮盖、清扫、洒水等措施，减少内部物料的堆存、传输、装卸等环节产生的粉尘和气态污染物的排放。</w:t>
                  </w:r>
                </w:p>
              </w:tc>
              <w:tc>
                <w:tcPr>
                  <w:tcW w:w="2045" w:type="pct"/>
                  <w:noWrap w:val="0"/>
                  <w:vAlign w:val="center"/>
                </w:tcPr>
                <w:p w14:paraId="5D06FE38">
                  <w:pPr>
                    <w:keepNext w:val="0"/>
                    <w:keepLines w:val="0"/>
                    <w:pageBreakBefore w:val="0"/>
                    <w:widowControl/>
                    <w:kinsoku/>
                    <w:wordWrap/>
                    <w:overflowPunct/>
                    <w:topLinePunct w:val="0"/>
                    <w:bidi w:val="0"/>
                    <w:snapToGrid/>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采用外购的不同品质的</w:t>
                  </w:r>
                  <w:r>
                    <w:rPr>
                      <w:rFonts w:hint="eastAsia" w:cs="Times New Roman"/>
                      <w:color w:val="auto"/>
                      <w:sz w:val="21"/>
                      <w:szCs w:val="21"/>
                      <w:lang w:val="en-US" w:eastAsia="zh-CN"/>
                    </w:rPr>
                    <w:t>无烟煤</w:t>
                  </w:r>
                  <w:r>
                    <w:rPr>
                      <w:rFonts w:hint="default" w:ascii="Times New Roman" w:hAnsi="Times New Roman" w:eastAsia="宋体" w:cs="Times New Roman"/>
                      <w:color w:val="auto"/>
                      <w:sz w:val="21"/>
                      <w:szCs w:val="21"/>
                      <w:lang w:val="en-US" w:eastAsia="zh-CN"/>
                    </w:rPr>
                    <w:t>进行配煤</w:t>
                  </w:r>
                  <w:r>
                    <w:rPr>
                      <w:rFonts w:hint="eastAsia"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rPr>
                    <w:t>钢铁、建材、有色金属、石油、化工、制药、矿产开采等企业</w:t>
                  </w:r>
                  <w:r>
                    <w:rPr>
                      <w:rFonts w:hint="eastAsia" w:ascii="Times New Roman" w:hAnsi="Times New Roman" w:eastAsia="宋体" w:cs="Times New Roman"/>
                      <w:color w:val="auto"/>
                      <w:sz w:val="21"/>
                      <w:szCs w:val="21"/>
                      <w:lang w:eastAsia="zh-CN"/>
                    </w:rPr>
                    <w:t>。</w:t>
                  </w:r>
                </w:p>
                <w:p w14:paraId="77D44182">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整个生产线布设在封闭的生产车间内，原煤装卸堆存废气、成品装卸堆存废气和配煤废气等通过</w:t>
                  </w:r>
                  <w:r>
                    <w:rPr>
                      <w:rFonts w:hint="eastAsia" w:cs="Times New Roman"/>
                      <w:color w:val="auto"/>
                      <w:sz w:val="21"/>
                      <w:szCs w:val="21"/>
                      <w:lang w:val="en-US" w:eastAsia="zh-CN"/>
                    </w:rPr>
                    <w:t>封闭</w:t>
                  </w:r>
                  <w:r>
                    <w:rPr>
                      <w:rFonts w:hint="eastAsia" w:ascii="Times New Roman" w:hAnsi="Times New Roman" w:eastAsia="宋体" w:cs="Times New Roman"/>
                      <w:color w:val="auto"/>
                      <w:sz w:val="21"/>
                      <w:szCs w:val="21"/>
                      <w:lang w:val="en-US" w:eastAsia="zh-CN"/>
                    </w:rPr>
                    <w:t>车间阻隔，洒水降尘和加强人工清扫后</w:t>
                  </w:r>
                  <w:r>
                    <w:rPr>
                      <w:rFonts w:hint="default" w:ascii="Times New Roman" w:hAnsi="Times New Roman" w:eastAsia="宋体" w:cs="Times New Roman"/>
                      <w:color w:val="auto"/>
                      <w:sz w:val="21"/>
                      <w:szCs w:val="21"/>
                      <w:lang w:val="en-US" w:eastAsia="zh-CN"/>
                    </w:rPr>
                    <w:t>，对外环境影响较小</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峨山县</w:t>
                  </w:r>
                  <w:r>
                    <w:rPr>
                      <w:rFonts w:hint="eastAsia" w:ascii="Times New Roman" w:hAnsi="Times New Roman" w:eastAsia="宋体" w:cs="Times New Roman"/>
                      <w:color w:val="auto"/>
                      <w:sz w:val="21"/>
                      <w:szCs w:val="21"/>
                      <w:lang w:val="en-US" w:eastAsia="zh-CN"/>
                    </w:rPr>
                    <w:t>化念镇</w:t>
                  </w:r>
                  <w:r>
                    <w:rPr>
                      <w:rFonts w:hint="default" w:ascii="Times New Roman" w:hAnsi="Times New Roman" w:eastAsia="宋体" w:cs="Times New Roman"/>
                      <w:color w:val="auto"/>
                      <w:sz w:val="21"/>
                      <w:szCs w:val="21"/>
                      <w:lang w:val="en-US" w:eastAsia="zh-CN"/>
                    </w:rPr>
                    <w:t>常年主导风向为西南风，</w:t>
                  </w:r>
                  <w:r>
                    <w:rPr>
                      <w:rFonts w:hint="eastAsia" w:ascii="Times New Roman" w:hAnsi="Times New Roman" w:eastAsia="宋体" w:cs="Times New Roman"/>
                      <w:color w:val="auto"/>
                      <w:sz w:val="21"/>
                      <w:szCs w:val="21"/>
                      <w:lang w:val="en-US" w:eastAsia="zh-CN"/>
                    </w:rPr>
                    <w:t>龙潭村</w:t>
                  </w: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项目西南侧（上风向），远离项目西南侧的龙潭村，</w:t>
                  </w:r>
                  <w:r>
                    <w:rPr>
                      <w:rFonts w:hint="default" w:ascii="Times New Roman" w:hAnsi="Times New Roman" w:eastAsia="宋体" w:cs="Times New Roman"/>
                      <w:color w:val="auto"/>
                      <w:sz w:val="21"/>
                      <w:szCs w:val="21"/>
                      <w:lang w:val="en-US" w:eastAsia="zh-CN"/>
                    </w:rPr>
                    <w:t>项目产污点均设置合理的治理设施，</w:t>
                  </w:r>
                  <w:r>
                    <w:rPr>
                      <w:rFonts w:hint="eastAsia" w:ascii="Times New Roman" w:hAnsi="Times New Roman" w:eastAsia="宋体" w:cs="Times New Roman"/>
                      <w:color w:val="auto"/>
                      <w:sz w:val="21"/>
                      <w:szCs w:val="21"/>
                      <w:lang w:val="en-US" w:eastAsia="zh-CN"/>
                    </w:rPr>
                    <w:t>根据项目预测结果，</w:t>
                  </w:r>
                  <w:r>
                    <w:rPr>
                      <w:rFonts w:hint="default" w:ascii="Times New Roman" w:hAnsi="Times New Roman" w:eastAsia="宋体" w:cs="Times New Roman"/>
                      <w:color w:val="auto"/>
                      <w:sz w:val="21"/>
                      <w:szCs w:val="21"/>
                      <w:lang w:val="en-US" w:eastAsia="zh-CN"/>
                    </w:rPr>
                    <w:t>运营期产生的</w:t>
                  </w:r>
                  <w:r>
                    <w:rPr>
                      <w:rFonts w:hint="eastAsia" w:ascii="Times New Roman" w:hAnsi="Times New Roman" w:eastAsia="宋体" w:cs="Times New Roman"/>
                      <w:color w:val="auto"/>
                      <w:sz w:val="21"/>
                      <w:szCs w:val="21"/>
                      <w:lang w:val="en-US" w:eastAsia="zh-CN"/>
                    </w:rPr>
                    <w:t>废气对龙潭村产生的影响在可接受范围内。</w:t>
                  </w:r>
                </w:p>
              </w:tc>
              <w:tc>
                <w:tcPr>
                  <w:tcW w:w="469" w:type="pct"/>
                  <w:noWrap w:val="0"/>
                  <w:vAlign w:val="center"/>
                </w:tcPr>
                <w:p w14:paraId="1F6A9E61">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447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4" w:type="pct"/>
                  <w:noWrap w:val="0"/>
                  <w:vAlign w:val="center"/>
                </w:tcPr>
                <w:p w14:paraId="689344A6">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第六十条 在用机动车排放大气污染物超过标准的，应当进行维修；经维修或者采用污染控制技术后，大气污染物排放仍不符合国家在用机动车排放标准的，应当强制报废。</w:t>
                  </w:r>
                </w:p>
              </w:tc>
              <w:tc>
                <w:tcPr>
                  <w:tcW w:w="2045" w:type="pct"/>
                  <w:noWrap w:val="0"/>
                  <w:vAlign w:val="center"/>
                </w:tcPr>
                <w:p w14:paraId="749FE47B">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本项目在采取使用尾气达标车辆、不超载运输、进场车辆减速慢行、定期检查检修车辆、对运输道路采取洒水抑尘等措施后，能够实现汽车尾气污染物达标排放</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val="en-US" w:eastAsia="zh-CN" w:bidi="ar"/>
                    </w:rPr>
                    <w:t>本次评价建议建设单位优先选用新能源汽车进行运输，尽量减少化石能源的使用。</w:t>
                  </w:r>
                </w:p>
              </w:tc>
              <w:tc>
                <w:tcPr>
                  <w:tcW w:w="469" w:type="pct"/>
                  <w:noWrap w:val="0"/>
                  <w:vAlign w:val="center"/>
                </w:tcPr>
                <w:p w14:paraId="3194BB87">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053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2484" w:type="pct"/>
                  <w:noWrap w:val="0"/>
                  <w:vAlign w:val="center"/>
                </w:tcPr>
                <w:p w14:paraId="43A9D091">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第七十条 运输煤炭、垃圾、渣土、砂石、土方、灰浆等散装、流体物料的车辆应当采取密闭或者其他措施防止物料遗撒造成扬尘污染，并按照规定路线行驶。</w:t>
                  </w:r>
                </w:p>
                <w:p w14:paraId="7E6965D5">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装卸物料应当采取密闭或者喷雾等方式防治扬尘污染。</w:t>
                  </w:r>
                </w:p>
              </w:tc>
              <w:tc>
                <w:tcPr>
                  <w:tcW w:w="2045" w:type="pct"/>
                  <w:vMerge w:val="restart"/>
                  <w:noWrap w:val="0"/>
                  <w:vAlign w:val="center"/>
                </w:tcPr>
                <w:p w14:paraId="5D2BF3A2">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项目在采取进场道路及厂区内地面硬化，派专人定期进行路面清洗、洒水降尘，运输车辆封闭遮盖，对进出车辆轮胎、车厢外侧进行冲洗，厂区内运输严格控制车速，厂区外运输合理规划运输路线，优化运输时间，严禁超载运输；</w:t>
                  </w: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整个生产线布设在封闭的生产车间内，原煤装卸堆存废气、成品装卸堆存废气和配煤废气等通过</w:t>
                  </w:r>
                  <w:r>
                    <w:rPr>
                      <w:rFonts w:hint="eastAsia" w:cs="Times New Roman"/>
                      <w:color w:val="auto"/>
                      <w:sz w:val="21"/>
                      <w:szCs w:val="21"/>
                      <w:lang w:val="en-US" w:eastAsia="zh-CN"/>
                    </w:rPr>
                    <w:t>封闭</w:t>
                  </w:r>
                  <w:r>
                    <w:rPr>
                      <w:rFonts w:hint="eastAsia" w:ascii="Times New Roman" w:hAnsi="Times New Roman" w:eastAsia="宋体" w:cs="Times New Roman"/>
                      <w:color w:val="auto"/>
                      <w:sz w:val="21"/>
                      <w:szCs w:val="21"/>
                      <w:lang w:val="en-US" w:eastAsia="zh-CN"/>
                    </w:rPr>
                    <w:t>车间阻隔，洒水降尘和加强人工清扫后</w:t>
                  </w:r>
                  <w:r>
                    <w:rPr>
                      <w:rFonts w:hint="default" w:ascii="Times New Roman" w:hAnsi="Times New Roman" w:eastAsia="宋体" w:cs="Times New Roman"/>
                      <w:color w:val="auto"/>
                      <w:sz w:val="21"/>
                      <w:szCs w:val="21"/>
                      <w:lang w:val="en-US" w:eastAsia="zh-CN"/>
                    </w:rPr>
                    <w:t>，对外环境影响较小</w:t>
                  </w:r>
                  <w:r>
                    <w:rPr>
                      <w:rFonts w:hint="eastAsia" w:ascii="Times New Roman" w:hAnsi="Times New Roman" w:eastAsia="宋体" w:cs="Times New Roman"/>
                      <w:color w:val="auto"/>
                      <w:sz w:val="21"/>
                      <w:szCs w:val="21"/>
                      <w:lang w:val="en-US" w:eastAsia="zh-CN"/>
                    </w:rPr>
                    <w:t>。</w:t>
                  </w:r>
                </w:p>
              </w:tc>
              <w:tc>
                <w:tcPr>
                  <w:tcW w:w="469" w:type="pct"/>
                  <w:noWrap w:val="0"/>
                  <w:vAlign w:val="center"/>
                </w:tcPr>
                <w:p w14:paraId="7949A149">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AA6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2484" w:type="pct"/>
                  <w:noWrap w:val="0"/>
                  <w:vAlign w:val="center"/>
                </w:tcPr>
                <w:p w14:paraId="01EAA620">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第七十二条 贮存煤炭、煤矸石、煤渣、煤灰、水泥、石灰、石膏、砂土等易产生扬尘的物料应当密闭；不能密闭的，应当设置不低于堆放物高度的严密围挡，并采取有效覆盖措施防治扬尘污染。</w:t>
                  </w:r>
                </w:p>
                <w:p w14:paraId="18431912">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2045" w:type="pct"/>
                  <w:vMerge w:val="continue"/>
                  <w:noWrap w:val="0"/>
                  <w:vAlign w:val="center"/>
                </w:tcPr>
                <w:p w14:paraId="7479D916">
                  <w:pPr>
                    <w:keepNext w:val="0"/>
                    <w:keepLines w:val="0"/>
                    <w:pageBreakBefore w:val="0"/>
                    <w:widowControl/>
                    <w:kinsoku/>
                    <w:wordWrap/>
                    <w:overflowPunct/>
                    <w:topLinePunct w:val="0"/>
                    <w:bidi w:val="0"/>
                    <w:snapToGrid/>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469" w:type="pct"/>
                  <w:noWrap w:val="0"/>
                  <w:vAlign w:val="center"/>
                </w:tcPr>
                <w:p w14:paraId="79983A07">
                  <w:pPr>
                    <w:pStyle w:val="43"/>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22D1ED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综上，本</w:t>
            </w:r>
            <w:r>
              <w:rPr>
                <w:rFonts w:hint="default" w:ascii="Times New Roman" w:hAnsi="Times New Roman" w:eastAsia="宋体" w:cs="Times New Roman"/>
                <w:bCs/>
                <w:color w:val="auto"/>
                <w:lang w:val="en-US" w:eastAsia="zh-CN"/>
              </w:rPr>
              <w:t>项目与《中华人民共和国大气污染防治法》相符</w:t>
            </w:r>
            <w:r>
              <w:rPr>
                <w:rFonts w:hint="eastAsia" w:ascii="Times New Roman" w:hAnsi="Times New Roman" w:eastAsia="宋体" w:cs="Times New Roman"/>
                <w:bCs/>
                <w:color w:val="auto"/>
                <w:lang w:val="en-US" w:eastAsia="zh-CN"/>
              </w:rPr>
              <w:t>。</w:t>
            </w:r>
          </w:p>
          <w:p w14:paraId="6FEE27B0">
            <w:pPr>
              <w:adjustRightInd w:val="0"/>
              <w:snapToGrid w:val="0"/>
              <w:spacing w:line="360" w:lineRule="auto"/>
              <w:ind w:left="0" w:leftChars="0" w:firstLine="0" w:firstLineChars="0"/>
              <w:rPr>
                <w:b/>
                <w:bCs/>
                <w:color w:val="auto"/>
                <w:kern w:val="0"/>
                <w:sz w:val="24"/>
              </w:rPr>
            </w:pPr>
            <w:r>
              <w:rPr>
                <w:rFonts w:hint="eastAsia"/>
                <w:b/>
                <w:bCs/>
                <w:color w:val="auto"/>
                <w:kern w:val="0"/>
                <w:sz w:val="24"/>
                <w:lang w:val="en-US" w:eastAsia="zh-CN"/>
              </w:rPr>
              <w:t>5</w:t>
            </w:r>
            <w:r>
              <w:rPr>
                <w:b/>
                <w:bCs/>
                <w:color w:val="auto"/>
                <w:kern w:val="0"/>
                <w:sz w:val="24"/>
              </w:rPr>
              <w:t>、项目与</w:t>
            </w:r>
            <w:r>
              <w:rPr>
                <w:rFonts w:hint="eastAsia"/>
                <w:b/>
                <w:bCs/>
                <w:color w:val="auto"/>
                <w:kern w:val="0"/>
                <w:sz w:val="24"/>
              </w:rPr>
              <w:t>《空气质量持续改善行动计划》(国发〔2023〕24号)</w:t>
            </w:r>
            <w:r>
              <w:rPr>
                <w:b/>
                <w:bCs/>
                <w:color w:val="auto"/>
                <w:kern w:val="0"/>
                <w:sz w:val="24"/>
              </w:rPr>
              <w:t>符合性分析</w:t>
            </w:r>
          </w:p>
          <w:p w14:paraId="44C010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本项目与《空气质量持续改善行动计划》的符合性见下表。</w:t>
            </w:r>
          </w:p>
          <w:p w14:paraId="6462A2E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表</w:t>
            </w:r>
            <w:r>
              <w:rPr>
                <w:rFonts w:hint="eastAsia" w:ascii="Times New Roman" w:hAnsi="Times New Roman" w:eastAsia="宋体"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项目与</w:t>
            </w:r>
            <w:r>
              <w:rPr>
                <w:rFonts w:hint="eastAsia" w:ascii="Times New Roman" w:hAnsi="Times New Roman" w:eastAsia="宋体" w:cs="Times New Roman"/>
                <w:b/>
                <w:bCs/>
                <w:color w:val="auto"/>
                <w:kern w:val="0"/>
                <w:sz w:val="24"/>
                <w:szCs w:val="24"/>
                <w:lang w:val="en-US" w:eastAsia="zh-CN" w:bidi="ar"/>
              </w:rPr>
              <w:t>《空气质量持续改善行动计划》</w:t>
            </w:r>
            <w:r>
              <w:rPr>
                <w:rFonts w:hint="default" w:ascii="Times New Roman" w:hAnsi="Times New Roman" w:eastAsia="宋体" w:cs="Times New Roman"/>
                <w:b/>
                <w:bCs/>
                <w:color w:val="auto"/>
                <w:kern w:val="0"/>
                <w:sz w:val="24"/>
                <w:szCs w:val="24"/>
                <w:lang w:val="en-US" w:eastAsia="zh-CN" w:bidi="ar"/>
              </w:rPr>
              <w:t>符合性分析</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163"/>
              <w:gridCol w:w="2390"/>
              <w:gridCol w:w="685"/>
            </w:tblGrid>
            <w:tr w14:paraId="74D9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jc w:val="center"/>
              </w:trPr>
              <w:tc>
                <w:tcPr>
                  <w:tcW w:w="510" w:type="pct"/>
                  <w:noWrap w:val="0"/>
                  <w:vAlign w:val="center"/>
                </w:tcPr>
                <w:p w14:paraId="41D536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276" w:type="pct"/>
                  <w:noWrap w:val="0"/>
                  <w:vAlign w:val="center"/>
                </w:tcPr>
                <w:p w14:paraId="76C1EE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文件内容</w:t>
                  </w:r>
                </w:p>
              </w:tc>
              <w:tc>
                <w:tcPr>
                  <w:tcW w:w="1720" w:type="pct"/>
                  <w:noWrap w:val="0"/>
                  <w:vAlign w:val="center"/>
                </w:tcPr>
                <w:p w14:paraId="71B99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相符性分析</w:t>
                  </w:r>
                </w:p>
              </w:tc>
              <w:tc>
                <w:tcPr>
                  <w:tcW w:w="493" w:type="pct"/>
                  <w:noWrap w:val="0"/>
                  <w:vAlign w:val="center"/>
                </w:tcPr>
                <w:p w14:paraId="0AC9E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241A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0" w:type="pct"/>
                  <w:noWrap w:val="0"/>
                  <w:vAlign w:val="center"/>
                </w:tcPr>
                <w:p w14:paraId="34262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一、总体要求</w:t>
                  </w:r>
                </w:p>
              </w:tc>
              <w:tc>
                <w:tcPr>
                  <w:tcW w:w="2276" w:type="pct"/>
                  <w:noWrap w:val="0"/>
                  <w:vAlign w:val="center"/>
                </w:tcPr>
                <w:p w14:paraId="34A015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指导思想。以习近平新时代中国特色社会主义思想为指导，全面贯彻党的二十大精神，深入贯彻习近平生态文明思想，落实全国生态环境保护大会部署，坚持稳中求进工作总基调，协同推进降碳、减污、扩绿、增长，以改善空气质量为核心，以减少重污染天气和解决人民群众身边的突出大气环境问题为重点，以降低细颗粒物（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p>
              </w:tc>
              <w:tc>
                <w:tcPr>
                  <w:tcW w:w="1720" w:type="pct"/>
                  <w:noWrap w:val="0"/>
                  <w:vAlign w:val="center"/>
                </w:tcPr>
                <w:p w14:paraId="4F0D2C2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本项目以降低颗粒物排放为核心，通过</w:t>
                  </w:r>
                  <w:r>
                    <w:rPr>
                      <w:rFonts w:hint="eastAsia" w:cs="Times New Roman"/>
                      <w:color w:val="auto"/>
                      <w:sz w:val="21"/>
                      <w:szCs w:val="21"/>
                      <w:lang w:eastAsia="zh-CN"/>
                    </w:rPr>
                    <w:t>封闭</w:t>
                  </w:r>
                  <w:r>
                    <w:rPr>
                      <w:rFonts w:hint="default" w:ascii="Times New Roman" w:hAnsi="Times New Roman" w:eastAsia="宋体" w:cs="Times New Roman"/>
                      <w:color w:val="auto"/>
                      <w:sz w:val="21"/>
                      <w:szCs w:val="21"/>
                    </w:rPr>
                    <w:t>厂房、</w:t>
                  </w:r>
                  <w:r>
                    <w:rPr>
                      <w:rFonts w:hint="eastAsia" w:ascii="Times New Roman" w:hAnsi="Times New Roman" w:eastAsia="宋体" w:cs="Times New Roman"/>
                      <w:color w:val="auto"/>
                      <w:sz w:val="21"/>
                      <w:szCs w:val="21"/>
                      <w:lang w:val="en-US" w:eastAsia="zh-CN"/>
                    </w:rPr>
                    <w:t>洒水</w:t>
                  </w:r>
                  <w:r>
                    <w:rPr>
                      <w:rFonts w:hint="default" w:ascii="Times New Roman" w:hAnsi="Times New Roman" w:eastAsia="宋体" w:cs="Times New Roman"/>
                      <w:color w:val="auto"/>
                      <w:sz w:val="21"/>
                      <w:szCs w:val="21"/>
                    </w:rPr>
                    <w:t>降尘、运输车辆管控等组合措施，实现颗粒物精准治污；项目能源以电网供电为主，无化石燃料燃烧产生的氮氧化物排放，不涉及VOCs排放，从产业、能源、交通各环节落实污染防控要求，符合文件对污染物减排及源头防控要求。</w:t>
                  </w:r>
                </w:p>
              </w:tc>
              <w:tc>
                <w:tcPr>
                  <w:tcW w:w="493" w:type="pct"/>
                  <w:noWrap w:val="0"/>
                  <w:vAlign w:val="center"/>
                </w:tcPr>
                <w:p w14:paraId="085DE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p w14:paraId="4D4ED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p w14:paraId="40F745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p w14:paraId="237B0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76D6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0" w:type="pct"/>
                  <w:noWrap w:val="0"/>
                  <w:vAlign w:val="center"/>
                </w:tcPr>
                <w:p w14:paraId="2498F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三、优化交通结构，大力发展绿色运输体系</w:t>
                  </w:r>
                </w:p>
              </w:tc>
              <w:tc>
                <w:tcPr>
                  <w:tcW w:w="2276" w:type="pct"/>
                  <w:noWrap w:val="0"/>
                  <w:vAlign w:val="center"/>
                </w:tcPr>
                <w:p w14:paraId="04652D4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四）持续优化调整货物运输结构。大宗货物中长距离运输优先采用铁路、水路运输，短距离运输优先采用封闭式皮带廊道或新能源车船。探索将清洁运输作为煤矿、钢铁、火电、有色、焦化、煤化工等行业新改扩建项目审核和监管重点。重点区域内直辖市、省会城市采取公铁联运等“外集内配”物流方式。</w:t>
                  </w:r>
                </w:p>
              </w:tc>
              <w:tc>
                <w:tcPr>
                  <w:tcW w:w="1720" w:type="pct"/>
                  <w:noWrap w:val="0"/>
                  <w:vAlign w:val="center"/>
                </w:tcPr>
                <w:p w14:paraId="6CFDE38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本次评价建议建设单位优先选用新能源汽车进行运输，运输的煤炭在运输组织中优先配合区域清洁运输要求，短距离运输采用</w:t>
                  </w:r>
                  <w:r>
                    <w:rPr>
                      <w:rFonts w:hint="eastAsia" w:cs="Times New Roman"/>
                      <w:color w:val="auto"/>
                      <w:sz w:val="21"/>
                      <w:szCs w:val="21"/>
                      <w:lang w:eastAsia="zh-CN"/>
                    </w:rPr>
                    <w:t>封闭</w:t>
                  </w:r>
                  <w:r>
                    <w:rPr>
                      <w:rFonts w:hint="default" w:ascii="Times New Roman" w:hAnsi="Times New Roman" w:eastAsia="宋体" w:cs="Times New Roman"/>
                      <w:color w:val="auto"/>
                      <w:sz w:val="21"/>
                      <w:szCs w:val="21"/>
                    </w:rPr>
                    <w:t>式车辆并落实封闭遮盖措施；项目已按要求落实清洁运输相关管控措施，运输环节扬尘污染防控到位，符合文件中大宗货物运输结构优化及清洁运输监管要求。</w:t>
                  </w:r>
                </w:p>
              </w:tc>
              <w:tc>
                <w:tcPr>
                  <w:tcW w:w="493" w:type="pct"/>
                  <w:noWrap w:val="0"/>
                  <w:vAlign w:val="center"/>
                </w:tcPr>
                <w:p w14:paraId="2D925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1A555F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lang w:val="en-US" w:eastAsia="zh-CN"/>
              </w:rPr>
            </w:pPr>
            <w:r>
              <w:rPr>
                <w:rFonts w:hint="eastAsia" w:ascii="Times New Roman" w:hAnsi="Times New Roman" w:eastAsia="宋体" w:cs="黑体"/>
                <w:color w:val="auto"/>
                <w:kern w:val="2"/>
                <w:sz w:val="24"/>
                <w:szCs w:val="24"/>
                <w:lang w:val="en-US" w:eastAsia="zh-CN" w:bidi="ar-SA"/>
              </w:rPr>
              <w:t>综上，本</w:t>
            </w:r>
            <w:r>
              <w:rPr>
                <w:rFonts w:hint="default" w:ascii="Times New Roman" w:hAnsi="Times New Roman" w:eastAsia="宋体" w:cs="黑体"/>
                <w:color w:val="auto"/>
                <w:kern w:val="2"/>
                <w:sz w:val="24"/>
                <w:szCs w:val="24"/>
                <w:lang w:val="en-US" w:eastAsia="zh-CN" w:bidi="ar-SA"/>
              </w:rPr>
              <w:t>项目与《</w:t>
            </w:r>
            <w:r>
              <w:rPr>
                <w:rFonts w:hint="eastAsia" w:ascii="Times New Roman" w:hAnsi="Times New Roman" w:eastAsia="宋体" w:cs="黑体"/>
                <w:color w:val="auto"/>
                <w:kern w:val="2"/>
                <w:sz w:val="24"/>
                <w:szCs w:val="24"/>
                <w:lang w:val="en-US" w:eastAsia="zh-CN" w:bidi="ar-SA"/>
              </w:rPr>
              <w:t>空气质量持续改善行动计划</w:t>
            </w:r>
            <w:r>
              <w:rPr>
                <w:rFonts w:hint="default" w:ascii="Times New Roman" w:hAnsi="Times New Roman" w:eastAsia="宋体" w:cs="黑体"/>
                <w:color w:val="auto"/>
                <w:kern w:val="2"/>
                <w:sz w:val="24"/>
                <w:szCs w:val="24"/>
                <w:lang w:val="en-US" w:eastAsia="zh-CN" w:bidi="ar-SA"/>
              </w:rPr>
              <w:t>》相符</w:t>
            </w:r>
            <w:r>
              <w:rPr>
                <w:rFonts w:hint="eastAsia" w:ascii="Times New Roman" w:hAnsi="Times New Roman" w:eastAsia="宋体" w:cs="黑体"/>
                <w:color w:val="auto"/>
                <w:kern w:val="2"/>
                <w:sz w:val="24"/>
                <w:szCs w:val="24"/>
                <w:lang w:val="en-US" w:eastAsia="zh-CN" w:bidi="ar-SA"/>
              </w:rPr>
              <w:t>。</w:t>
            </w:r>
          </w:p>
          <w:p w14:paraId="782CF444">
            <w:pPr>
              <w:pStyle w:val="4"/>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0" w:firstLineChars="0"/>
              <w:textAlignment w:val="auto"/>
              <w:rPr>
                <w:rFonts w:hint="default" w:ascii="Times New Roman" w:hAnsi="Times New Roman" w:eastAsia="宋体" w:cs="Times New Roman"/>
                <w:b/>
                <w:bCs/>
                <w:color w:val="auto"/>
                <w:kern w:val="2"/>
                <w:sz w:val="24"/>
                <w:szCs w:val="24"/>
                <w:lang w:val="en-US" w:eastAsia="zh-CN" w:bidi="ar-SA"/>
              </w:rPr>
            </w:pPr>
            <w:bookmarkStart w:id="3" w:name="_Toc3549"/>
            <w:bookmarkStart w:id="4" w:name="_Toc29406"/>
            <w:bookmarkStart w:id="5" w:name="_Toc31931"/>
            <w:r>
              <w:rPr>
                <w:rFonts w:hint="eastAsia" w:cs="Times New Roman"/>
                <w:b/>
                <w:bCs/>
                <w:color w:val="auto"/>
                <w:kern w:val="2"/>
                <w:sz w:val="24"/>
                <w:szCs w:val="24"/>
                <w:lang w:val="en-US" w:eastAsia="zh-CN" w:bidi="ar-SA"/>
              </w:rPr>
              <w:t>6</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与《云南省土壤污染防治条例》的符合性</w:t>
            </w:r>
            <w:bookmarkEnd w:id="3"/>
            <w:bookmarkEnd w:id="4"/>
            <w:bookmarkEnd w:id="5"/>
          </w:p>
          <w:p w14:paraId="3BD094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w:t>
            </w:r>
            <w:r>
              <w:rPr>
                <w:rFonts w:hint="eastAsia" w:ascii="Times New Roman" w:hAnsi="Times New Roman" w:cs="Times New Roman" w:eastAsiaTheme="minorEastAsia"/>
                <w:color w:val="auto"/>
                <w:kern w:val="2"/>
                <w:sz w:val="24"/>
                <w:szCs w:val="24"/>
                <w:lang w:val="en-US" w:eastAsia="zh-CN" w:bidi="ar-SA"/>
              </w:rPr>
              <w:t>项目</w:t>
            </w:r>
            <w:r>
              <w:rPr>
                <w:rFonts w:hint="default" w:ascii="Times New Roman" w:hAnsi="Times New Roman" w:cs="Times New Roman" w:eastAsiaTheme="minorEastAsia"/>
                <w:color w:val="auto"/>
                <w:kern w:val="2"/>
                <w:sz w:val="24"/>
                <w:szCs w:val="24"/>
                <w:lang w:val="en-US" w:eastAsia="zh-CN" w:bidi="ar-SA"/>
              </w:rPr>
              <w:t>与《云南省土壤污染防治条例》的符合性详见</w:t>
            </w:r>
            <w:r>
              <w:rPr>
                <w:rFonts w:hint="eastAsia" w:ascii="Times New Roman" w:hAnsi="Times New Roman" w:cs="Times New Roman" w:eastAsiaTheme="minorEastAsia"/>
                <w:color w:val="auto"/>
                <w:kern w:val="2"/>
                <w:sz w:val="24"/>
                <w:szCs w:val="24"/>
                <w:lang w:val="en-US" w:eastAsia="zh-CN" w:bidi="ar-SA"/>
              </w:rPr>
              <w:t>下</w:t>
            </w:r>
            <w:r>
              <w:rPr>
                <w:rFonts w:hint="default" w:ascii="Times New Roman" w:hAnsi="Times New Roman" w:cs="Times New Roman" w:eastAsiaTheme="minorEastAsia"/>
                <w:color w:val="auto"/>
                <w:kern w:val="2"/>
                <w:sz w:val="24"/>
                <w:szCs w:val="24"/>
                <w:lang w:val="en-US" w:eastAsia="zh-CN" w:bidi="ar-SA"/>
              </w:rPr>
              <w:t>表。</w:t>
            </w:r>
          </w:p>
          <w:p w14:paraId="24762E2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cs="Times New Roman"/>
                <w:b/>
                <w:color w:val="auto"/>
                <w:sz w:val="24"/>
                <w:szCs w:val="24"/>
                <w:lang w:val="en-US" w:eastAsia="zh-CN"/>
              </w:rPr>
              <w:t xml:space="preserve">4 </w:t>
            </w:r>
            <w:r>
              <w:rPr>
                <w:rFonts w:hint="default" w:ascii="Times New Roman" w:hAnsi="Times New Roman" w:eastAsia="宋体" w:cs="Times New Roman"/>
                <w:b/>
                <w:color w:val="auto"/>
                <w:sz w:val="24"/>
                <w:szCs w:val="24"/>
              </w:rPr>
              <w:t xml:space="preserve"> </w:t>
            </w:r>
            <w:r>
              <w:rPr>
                <w:rFonts w:hint="eastAsia" w:cs="Times New Roman"/>
                <w:b/>
                <w:color w:val="auto"/>
                <w:sz w:val="24"/>
                <w:szCs w:val="24"/>
                <w:lang w:val="en-US" w:eastAsia="zh-CN"/>
              </w:rPr>
              <w:t>项目</w:t>
            </w:r>
            <w:r>
              <w:rPr>
                <w:rFonts w:hint="default" w:ascii="Times New Roman" w:hAnsi="Times New Roman" w:eastAsia="宋体" w:cs="Times New Roman"/>
                <w:b/>
                <w:color w:val="auto"/>
                <w:sz w:val="24"/>
                <w:szCs w:val="24"/>
              </w:rPr>
              <w:t>与《云南省土壤污染防治条例》的符合性分析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399"/>
              <w:gridCol w:w="2218"/>
              <w:gridCol w:w="762"/>
            </w:tblGrid>
            <w:tr w14:paraId="502B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trPr>
              <w:tc>
                <w:tcPr>
                  <w:tcW w:w="410" w:type="pct"/>
                  <w:noWrap w:val="0"/>
                  <w:vAlign w:val="center"/>
                </w:tcPr>
                <w:p w14:paraId="1804BA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445" w:type="pct"/>
                  <w:noWrap w:val="0"/>
                  <w:vAlign w:val="center"/>
                </w:tcPr>
                <w:p w14:paraId="0AAE3B9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云南省土壤污染防治条例</w:t>
                  </w:r>
                </w:p>
              </w:tc>
              <w:tc>
                <w:tcPr>
                  <w:tcW w:w="1595" w:type="pct"/>
                  <w:noWrap w:val="0"/>
                  <w:vAlign w:val="center"/>
                </w:tcPr>
                <w:p w14:paraId="47BC5B8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本项目</w:t>
                  </w:r>
                </w:p>
              </w:tc>
              <w:tc>
                <w:tcPr>
                  <w:tcW w:w="548" w:type="pct"/>
                  <w:noWrap w:val="0"/>
                  <w:vAlign w:val="center"/>
                </w:tcPr>
                <w:p w14:paraId="303ACD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符合性</w:t>
                  </w:r>
                </w:p>
              </w:tc>
            </w:tr>
            <w:tr w14:paraId="547D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3110F4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445" w:type="pct"/>
                  <w:noWrap w:val="0"/>
                  <w:vAlign w:val="center"/>
                </w:tcPr>
                <w:p w14:paraId="103E056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第十二条 县级以上人民政府及其有关部门应当加强发展规划和建设项目布局论证，严格执行相关行业企业布局选址要求，根据土壤环境质量状况、环境承载能力，合理确定区域功能定位、空间布局，合理规划产业布局。鼓励工业企业集聚发展，提高土地节约集约利用水平，减少土壤污染。禁止在居民区和学校、医院、疗养院、养老院等单位周边新建、改建、扩建可能造成土壤污染的建设项目</w:t>
                  </w:r>
                </w:p>
              </w:tc>
              <w:tc>
                <w:tcPr>
                  <w:tcW w:w="1595" w:type="pct"/>
                  <w:noWrap w:val="0"/>
                  <w:vAlign w:val="center"/>
                </w:tcPr>
                <w:p w14:paraId="25DB838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本</w:t>
                  </w:r>
                  <w:r>
                    <w:rPr>
                      <w:rFonts w:hint="default" w:ascii="Times New Roman" w:hAnsi="Times New Roman" w:cs="Times New Roman" w:eastAsiaTheme="minorEastAsia"/>
                      <w:color w:val="auto"/>
                      <w:sz w:val="21"/>
                      <w:szCs w:val="21"/>
                      <w:lang w:val="en-US" w:eastAsia="zh-CN"/>
                    </w:rPr>
                    <w:t>项目</w:t>
                  </w:r>
                  <w:r>
                    <w:rPr>
                      <w:rFonts w:hint="default" w:ascii="Times New Roman" w:hAnsi="Times New Roman" w:cs="Times New Roman" w:eastAsiaTheme="minorEastAsia"/>
                      <w:color w:val="auto"/>
                      <w:sz w:val="21"/>
                      <w:szCs w:val="21"/>
                    </w:rPr>
                    <w:t>位于</w:t>
                  </w:r>
                  <w:r>
                    <w:rPr>
                      <w:rFonts w:hint="default" w:ascii="Times New Roman" w:hAnsi="Times New Roman" w:cs="Times New Roman" w:eastAsiaTheme="minorEastAsia"/>
                      <w:color w:val="auto"/>
                      <w:sz w:val="21"/>
                      <w:szCs w:val="21"/>
                      <w:lang w:val="en-US" w:eastAsia="zh-CN"/>
                    </w:rPr>
                    <w:t>峨山县化念镇</w:t>
                  </w:r>
                  <w:r>
                    <w:rPr>
                      <w:rFonts w:hint="default" w:ascii="Times New Roman" w:hAnsi="Times New Roman" w:cs="Times New Roman" w:eastAsiaTheme="minorEastAsia"/>
                      <w:color w:val="auto"/>
                      <w:sz w:val="21"/>
                      <w:szCs w:val="21"/>
                    </w:rPr>
                    <w:t>，远离居民区和学校、医院、疗养院、养老院等</w:t>
                  </w:r>
                  <w:r>
                    <w:rPr>
                      <w:rFonts w:hint="eastAsia" w:ascii="Times New Roman" w:hAnsi="Times New Roman" w:cs="Times New Roman" w:eastAsiaTheme="minorEastAsia"/>
                      <w:color w:val="auto"/>
                      <w:sz w:val="21"/>
                      <w:szCs w:val="21"/>
                      <w:lang w:eastAsia="zh-CN"/>
                    </w:rPr>
                    <w:t>，项目已于202</w:t>
                  </w:r>
                  <w:r>
                    <w:rPr>
                      <w:rFonts w:hint="eastAsia" w:cs="Times New Roman" w:eastAsiaTheme="minorEastAsia"/>
                      <w:color w:val="auto"/>
                      <w:sz w:val="21"/>
                      <w:szCs w:val="21"/>
                      <w:lang w:val="en-US" w:eastAsia="zh-CN"/>
                    </w:rPr>
                    <w:t>6</w:t>
                  </w:r>
                  <w:r>
                    <w:rPr>
                      <w:rFonts w:hint="eastAsia" w:ascii="Times New Roman" w:hAnsi="Times New Roman" w:cs="Times New Roman" w:eastAsiaTheme="minorEastAsia"/>
                      <w:color w:val="auto"/>
                      <w:sz w:val="21"/>
                      <w:szCs w:val="21"/>
                      <w:lang w:eastAsia="zh-CN"/>
                    </w:rPr>
                    <w:t>年</w:t>
                  </w:r>
                  <w:r>
                    <w:rPr>
                      <w:rFonts w:hint="eastAsia" w:ascii="Times New Roman" w:hAnsi="Times New Roman" w:cs="Times New Roman" w:eastAsiaTheme="minorEastAsia"/>
                      <w:color w:val="auto"/>
                      <w:sz w:val="21"/>
                      <w:szCs w:val="21"/>
                      <w:lang w:val="en-US" w:eastAsia="zh-CN"/>
                    </w:rPr>
                    <w:t>0</w:t>
                  </w:r>
                  <w:r>
                    <w:rPr>
                      <w:rFonts w:hint="eastAsia" w:cs="Times New Roman" w:eastAsiaTheme="minorEastAsia"/>
                      <w:color w:val="auto"/>
                      <w:sz w:val="21"/>
                      <w:szCs w:val="21"/>
                      <w:lang w:val="en-US" w:eastAsia="zh-CN"/>
                    </w:rPr>
                    <w:t>4</w:t>
                  </w:r>
                  <w:r>
                    <w:rPr>
                      <w:rFonts w:hint="eastAsia" w:ascii="Times New Roman" w:hAnsi="Times New Roman" w:cs="Times New Roman" w:eastAsiaTheme="minorEastAsia"/>
                      <w:color w:val="auto"/>
                      <w:sz w:val="21"/>
                      <w:szCs w:val="21"/>
                      <w:lang w:eastAsia="zh-CN"/>
                    </w:rPr>
                    <w:t>月</w:t>
                  </w:r>
                  <w:r>
                    <w:rPr>
                      <w:rFonts w:hint="eastAsia" w:cs="Times New Roman" w:eastAsiaTheme="minorEastAsia"/>
                      <w:color w:val="auto"/>
                      <w:sz w:val="21"/>
                      <w:szCs w:val="21"/>
                      <w:lang w:val="en-US" w:eastAsia="zh-CN"/>
                    </w:rPr>
                    <w:t>25</w:t>
                  </w:r>
                  <w:r>
                    <w:rPr>
                      <w:rFonts w:hint="eastAsia" w:ascii="Times New Roman" w:hAnsi="Times New Roman" w:cs="Times New Roman" w:eastAsiaTheme="minorEastAsia"/>
                      <w:color w:val="auto"/>
                      <w:sz w:val="21"/>
                      <w:szCs w:val="21"/>
                      <w:lang w:eastAsia="zh-CN"/>
                    </w:rPr>
                    <w:t>日取得峨山彝族自治县化念镇的选址意见，项目评价范围内无文物保护单位、无自然保护区、风景名胜区等</w:t>
                  </w:r>
                  <w:r>
                    <w:rPr>
                      <w:rFonts w:hint="eastAsia" w:ascii="Times New Roman" w:hAnsi="Times New Roman" w:cs="Times New Roman" w:eastAsiaTheme="minorEastAsia"/>
                      <w:color w:val="auto"/>
                      <w:sz w:val="21"/>
                      <w:szCs w:val="21"/>
                      <w:lang w:val="en-US" w:eastAsia="zh-CN"/>
                    </w:rPr>
                    <w:t>环境</w:t>
                  </w:r>
                  <w:r>
                    <w:rPr>
                      <w:rFonts w:hint="eastAsia" w:ascii="Times New Roman" w:hAnsi="Times New Roman" w:cs="Times New Roman" w:eastAsiaTheme="minorEastAsia"/>
                      <w:color w:val="auto"/>
                      <w:sz w:val="21"/>
                      <w:szCs w:val="21"/>
                      <w:lang w:eastAsia="zh-CN"/>
                    </w:rPr>
                    <w:t>敏感区，</w:t>
                  </w:r>
                  <w:r>
                    <w:rPr>
                      <w:rFonts w:hint="eastAsia" w:ascii="Times New Roman" w:hAnsi="Times New Roman" w:cs="Times New Roman" w:eastAsiaTheme="minorEastAsia"/>
                      <w:color w:val="auto"/>
                      <w:sz w:val="21"/>
                      <w:szCs w:val="21"/>
                      <w:lang w:val="en-US" w:eastAsia="zh-CN"/>
                    </w:rPr>
                    <w:t>本项目占地范围未压占峨山县生态保护红线、不在峨山县城镇开发边界内，未占用永久基本农田，土地地类为集体建设用地，</w:t>
                  </w:r>
                  <w:r>
                    <w:rPr>
                      <w:rFonts w:hint="eastAsia" w:ascii="Times New Roman" w:hAnsi="Times New Roman" w:cs="Times New Roman" w:eastAsiaTheme="minorEastAsia"/>
                      <w:color w:val="auto"/>
                      <w:sz w:val="21"/>
                      <w:szCs w:val="21"/>
                      <w:lang w:eastAsia="zh-CN"/>
                    </w:rPr>
                    <w:t>项目运营期产生的“三废”通过采取行之有效的措施妥善处理并确保各污染物达标排放后，不会对周围环境造成大的影响</w:t>
                  </w:r>
                </w:p>
              </w:tc>
              <w:tc>
                <w:tcPr>
                  <w:tcW w:w="548" w:type="pct"/>
                  <w:noWrap w:val="0"/>
                  <w:vAlign w:val="center"/>
                </w:tcPr>
                <w:p w14:paraId="092D8C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1161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07E0D5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445" w:type="pct"/>
                  <w:noWrap w:val="0"/>
                  <w:vAlign w:val="center"/>
                </w:tcPr>
                <w:p w14:paraId="6B259A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第十四条 各类涉及土地利用的规划和可能造成土壤污染的建设项目，应当依法进行环境影响评价。环境影响评价文件应当包括对土壤可能造成的不良影响及应当采取的相应预防措施等内容。建设项目配套建设的土壤污染防治设施，应当与主体工程同时设计、同时施工、同时投入使用</w:t>
                  </w:r>
                </w:p>
              </w:tc>
              <w:tc>
                <w:tcPr>
                  <w:tcW w:w="1595" w:type="pct"/>
                  <w:noWrap w:val="0"/>
                  <w:vAlign w:val="center"/>
                </w:tcPr>
                <w:p w14:paraId="4EFD74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本</w:t>
                  </w:r>
                  <w:r>
                    <w:rPr>
                      <w:rFonts w:hint="default" w:ascii="Times New Roman" w:hAnsi="Times New Roman" w:cs="Times New Roman" w:eastAsiaTheme="minorEastAsia"/>
                      <w:color w:val="auto"/>
                      <w:sz w:val="21"/>
                      <w:szCs w:val="21"/>
                      <w:lang w:val="en-US" w:eastAsia="zh-CN"/>
                    </w:rPr>
                    <w:t>项目</w:t>
                  </w:r>
                  <w:r>
                    <w:rPr>
                      <w:rFonts w:hint="default" w:ascii="Times New Roman" w:hAnsi="Times New Roman" w:cs="Times New Roman" w:eastAsiaTheme="minorEastAsia"/>
                      <w:color w:val="auto"/>
                      <w:sz w:val="21"/>
                      <w:szCs w:val="21"/>
                    </w:rPr>
                    <w:t>正在进行环境影响评价、制定了土壤污染防治措施，治理设施与</w:t>
                  </w:r>
                  <w:r>
                    <w:rPr>
                      <w:rFonts w:hint="default" w:ascii="Times New Roman" w:hAnsi="Times New Roman" w:cs="Times New Roman" w:eastAsiaTheme="minorEastAsia"/>
                      <w:bCs/>
                      <w:color w:val="auto"/>
                      <w:sz w:val="21"/>
                      <w:szCs w:val="21"/>
                    </w:rPr>
                    <w:t>主体工程同时设计、同时施工、同时投入使用</w:t>
                  </w:r>
                </w:p>
              </w:tc>
              <w:tc>
                <w:tcPr>
                  <w:tcW w:w="548" w:type="pct"/>
                  <w:noWrap w:val="0"/>
                  <w:vAlign w:val="center"/>
                </w:tcPr>
                <w:p w14:paraId="0F08168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4D63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716B92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445" w:type="pct"/>
                  <w:noWrap w:val="0"/>
                  <w:vAlign w:val="center"/>
                </w:tcPr>
                <w:p w14:paraId="696474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第十五条 单位和个人生产、使用、贮存、运输、回收、处置、排放有毒有害物质，从事加油站经营、油品运输、油品贮存以及车船拆解、修理、保养等活动，应当采取有效的防渗漏、防流失、防扬散或者其他措施，防止土壤污染</w:t>
                  </w:r>
                </w:p>
              </w:tc>
              <w:tc>
                <w:tcPr>
                  <w:tcW w:w="1595" w:type="pct"/>
                  <w:noWrap w:val="0"/>
                  <w:vAlign w:val="center"/>
                </w:tcPr>
                <w:p w14:paraId="65C83F8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本</w:t>
                  </w:r>
                  <w:r>
                    <w:rPr>
                      <w:rFonts w:hint="default" w:ascii="Times New Roman" w:hAnsi="Times New Roman" w:cs="Times New Roman" w:eastAsiaTheme="minorEastAsia"/>
                      <w:color w:val="auto"/>
                      <w:sz w:val="21"/>
                      <w:szCs w:val="21"/>
                      <w:lang w:val="en-US" w:eastAsia="zh-CN"/>
                    </w:rPr>
                    <w:t>项目</w:t>
                  </w:r>
                  <w:r>
                    <w:rPr>
                      <w:rFonts w:hint="default" w:ascii="Times New Roman" w:hAnsi="Times New Roman" w:cs="Times New Roman" w:eastAsiaTheme="minorEastAsia"/>
                      <w:color w:val="auto"/>
                      <w:sz w:val="21"/>
                      <w:szCs w:val="21"/>
                      <w:lang w:eastAsia="zh-CN"/>
                    </w:rPr>
                    <w:t>产生的危险废物主要为</w:t>
                  </w:r>
                  <w:r>
                    <w:rPr>
                      <w:rFonts w:hint="eastAsia" w:cs="Times New Roman" w:eastAsiaTheme="minorEastAsia"/>
                      <w:color w:val="auto"/>
                      <w:sz w:val="21"/>
                      <w:szCs w:val="21"/>
                      <w:lang w:eastAsia="zh-CN"/>
                    </w:rPr>
                    <w:t>废机油</w:t>
                  </w:r>
                  <w:r>
                    <w:rPr>
                      <w:rFonts w:hint="default" w:ascii="Times New Roman" w:hAnsi="Times New Roman" w:cs="Times New Roman" w:eastAsiaTheme="minorEastAsia"/>
                      <w:color w:val="auto"/>
                      <w:sz w:val="21"/>
                      <w:szCs w:val="21"/>
                      <w:lang w:val="en-US" w:eastAsia="zh-CN"/>
                    </w:rPr>
                    <w:t>，产生的</w:t>
                  </w:r>
                  <w:r>
                    <w:rPr>
                      <w:rFonts w:hint="eastAsia" w:cs="Times New Roman" w:eastAsiaTheme="minorEastAsia"/>
                      <w:color w:val="auto"/>
                      <w:sz w:val="21"/>
                      <w:szCs w:val="21"/>
                      <w:lang w:val="en-US" w:eastAsia="zh-CN"/>
                    </w:rPr>
                    <w:t>废机油</w:t>
                  </w:r>
                  <w:r>
                    <w:rPr>
                      <w:rFonts w:hint="default" w:ascii="Times New Roman" w:hAnsi="Times New Roman" w:cs="Times New Roman" w:eastAsiaTheme="minorEastAsia"/>
                      <w:color w:val="auto"/>
                      <w:sz w:val="21"/>
                      <w:szCs w:val="21"/>
                      <w:lang w:val="en-US" w:eastAsia="zh-CN"/>
                    </w:rPr>
                    <w:t>暂存于危废暂存间（5m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），委托有资质的单位进行处置，不外排，危废暂存间应严格按照GB18597-2023《危险废物贮存污染控制标准》相关要求进行建设</w:t>
                  </w:r>
                </w:p>
              </w:tc>
              <w:tc>
                <w:tcPr>
                  <w:tcW w:w="548" w:type="pct"/>
                  <w:noWrap w:val="0"/>
                  <w:vAlign w:val="center"/>
                </w:tcPr>
                <w:p w14:paraId="721F39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15BE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222782F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2445" w:type="pct"/>
                  <w:noWrap w:val="0"/>
                  <w:vAlign w:val="center"/>
                </w:tcPr>
                <w:p w14:paraId="4E666DE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有色金属矿和黑色金属矿采选、有色金属和黑色金属冶炼、石油加工、化学原料和化学制品制造、焦化、医药制造、制革、电镀、铅蓄电池制造、印染、危险废物利用及处置等行业中纳入排污许可重点管理的企业事业单位，应当列入土壤污染重点监管单位名录</w:t>
                  </w:r>
                </w:p>
              </w:tc>
              <w:tc>
                <w:tcPr>
                  <w:tcW w:w="1595" w:type="pct"/>
                  <w:noWrap w:val="0"/>
                  <w:vAlign w:val="center"/>
                </w:tcPr>
                <w:p w14:paraId="3BACD1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本项目不涉及</w:t>
                  </w:r>
                </w:p>
              </w:tc>
              <w:tc>
                <w:tcPr>
                  <w:tcW w:w="548" w:type="pct"/>
                  <w:noWrap w:val="0"/>
                  <w:vAlign w:val="center"/>
                </w:tcPr>
                <w:p w14:paraId="0A3EC4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2C69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035447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2445" w:type="pct"/>
                  <w:noWrap w:val="0"/>
                  <w:vAlign w:val="center"/>
                </w:tcPr>
                <w:p w14:paraId="145597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第十七条 土壤污染重点监管单位应当依法履行下列义务：（一）严格控制有毒有害物质排放，按年度向所在地生态环境主管部门报告排放</w:t>
                  </w:r>
                  <w:r>
                    <w:rPr>
                      <w:rFonts w:hint="eastAsia" w:cs="Times New Roman" w:eastAsiaTheme="minorEastAsia"/>
                      <w:bCs/>
                      <w:color w:val="auto"/>
                      <w:sz w:val="21"/>
                      <w:szCs w:val="21"/>
                      <w:lang w:val="en-US" w:eastAsia="zh-CN"/>
                    </w:rPr>
                    <w:t>情况</w:t>
                  </w:r>
                  <w:r>
                    <w:rPr>
                      <w:rFonts w:hint="default" w:ascii="Times New Roman" w:hAnsi="Times New Roman" w:cs="Times New Roman" w:eastAsiaTheme="minorEastAsia"/>
                      <w:bCs/>
                      <w:color w:val="auto"/>
                      <w:sz w:val="21"/>
                      <w:szCs w:val="21"/>
                    </w:rPr>
                    <w:t>（二）建立土壤污染隐患排查制度，发现污染隐患的，应当采取相应处置措施，保证持续有效防止有毒有害物质渗漏、流失、扬散；（三）依照法律法规和监测规范，制定、实施自行监测方案，对监测数据的真实性和准确性负责，不得篡改、伪造监测数据，并将监测数据报所在地生态环境主管部门；（四）法律法规规定的其他义务</w:t>
                  </w:r>
                </w:p>
              </w:tc>
              <w:tc>
                <w:tcPr>
                  <w:tcW w:w="1595" w:type="pct"/>
                  <w:noWrap w:val="0"/>
                  <w:vAlign w:val="center"/>
                </w:tcPr>
                <w:p w14:paraId="07F50B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本项目</w:t>
                  </w:r>
                  <w:r>
                    <w:rPr>
                      <w:rFonts w:hint="eastAsia" w:ascii="Times New Roman" w:hAnsi="Times New Roman" w:cs="Times New Roman" w:eastAsiaTheme="minorEastAsia"/>
                      <w:color w:val="auto"/>
                      <w:sz w:val="21"/>
                      <w:szCs w:val="21"/>
                      <w:lang w:val="en-US" w:eastAsia="zh-CN"/>
                    </w:rPr>
                    <w:t>属于配煤项目，不属于</w:t>
                  </w:r>
                  <w:r>
                    <w:rPr>
                      <w:rFonts w:hint="default" w:ascii="Times New Roman" w:hAnsi="Times New Roman" w:cs="Times New Roman" w:eastAsiaTheme="minorEastAsia"/>
                      <w:color w:val="auto"/>
                      <w:sz w:val="21"/>
                      <w:szCs w:val="21"/>
                      <w:lang w:eastAsia="zh-CN"/>
                    </w:rPr>
                    <w:t>土壤污染重点监管单位</w:t>
                  </w:r>
                </w:p>
              </w:tc>
              <w:tc>
                <w:tcPr>
                  <w:tcW w:w="548" w:type="pct"/>
                  <w:noWrap w:val="0"/>
                  <w:vAlign w:val="center"/>
                </w:tcPr>
                <w:p w14:paraId="3F76796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0039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7C1FB0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w:t>
                  </w:r>
                </w:p>
              </w:tc>
              <w:tc>
                <w:tcPr>
                  <w:tcW w:w="2445" w:type="pct"/>
                  <w:noWrap w:val="0"/>
                  <w:vAlign w:val="center"/>
                </w:tcPr>
                <w:p w14:paraId="75C4324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第十九条 从事有色金属矿采选、有色金属冶炼、铅蓄电池制造、制革、化学原料和化学制品制造、电镀等行业的企业事业单位和其他生产经营者，应当执行重金属污染物排放标准要求和总量控制制度，依法实施强制性清洁生产审核，采用先进适用的生产工艺和技术，减少重金属污染物排放</w:t>
                  </w:r>
                </w:p>
              </w:tc>
              <w:tc>
                <w:tcPr>
                  <w:tcW w:w="1595" w:type="pct"/>
                  <w:noWrap w:val="0"/>
                  <w:vAlign w:val="center"/>
                </w:tcPr>
                <w:p w14:paraId="6626EB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本项目</w:t>
                  </w:r>
                  <w:r>
                    <w:rPr>
                      <w:rFonts w:hint="default" w:ascii="Times New Roman" w:hAnsi="Times New Roman" w:cs="Times New Roman" w:eastAsiaTheme="minorEastAsia"/>
                      <w:color w:val="auto"/>
                      <w:sz w:val="21"/>
                      <w:szCs w:val="21"/>
                      <w:lang w:val="en-US" w:eastAsia="zh-CN"/>
                    </w:rPr>
                    <w:t>不涉及</w:t>
                  </w:r>
                </w:p>
              </w:tc>
              <w:tc>
                <w:tcPr>
                  <w:tcW w:w="548" w:type="pct"/>
                  <w:noWrap w:val="0"/>
                  <w:vAlign w:val="center"/>
                </w:tcPr>
                <w:p w14:paraId="38672F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54AB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10" w:type="pct"/>
                  <w:noWrap w:val="0"/>
                  <w:vAlign w:val="center"/>
                </w:tcPr>
                <w:p w14:paraId="1A495D7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w:t>
                  </w:r>
                </w:p>
              </w:tc>
              <w:tc>
                <w:tcPr>
                  <w:tcW w:w="2445" w:type="pct"/>
                  <w:noWrap w:val="0"/>
                  <w:vAlign w:val="center"/>
                </w:tcPr>
                <w:p w14:paraId="77A4B8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第二十条 县级以上人民政府生态环境、自然资源等主管部门应当依法加强对矿产资源开发区域土壤污染防治的监督管理，按照相关标准和总量控制的要求，严格控制可能造成土壤污染的重点污染物排放。企业在开采、选矿、运输、仓储等矿产资源开发活动中应当采取防护措施，防止废气、废水、尾矿、矿渣、矸石等污染土壤环境。贮存矿业固体废物应当采取符合国家环境保护标准的防护措施</w:t>
                  </w:r>
                </w:p>
              </w:tc>
              <w:tc>
                <w:tcPr>
                  <w:tcW w:w="1595" w:type="pct"/>
                  <w:noWrap w:val="0"/>
                  <w:vAlign w:val="center"/>
                </w:tcPr>
                <w:p w14:paraId="7D1EC2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eastAsia="zh-CN"/>
                    </w:rPr>
                    <w:t>本项目</w:t>
                  </w:r>
                  <w:r>
                    <w:rPr>
                      <w:rFonts w:hint="default" w:ascii="Times New Roman" w:hAnsi="Times New Roman" w:cs="Times New Roman" w:eastAsiaTheme="minorEastAsia"/>
                      <w:color w:val="auto"/>
                      <w:sz w:val="21"/>
                      <w:szCs w:val="21"/>
                      <w:lang w:val="en-US" w:eastAsia="zh-CN"/>
                    </w:rPr>
                    <w:t>生产车间</w:t>
                  </w:r>
                  <w:r>
                    <w:rPr>
                      <w:rFonts w:hint="eastAsia" w:ascii="Times New Roman" w:hAnsi="Times New Roman" w:cs="Times New Roman" w:eastAsiaTheme="minorEastAsia"/>
                      <w:color w:val="auto"/>
                      <w:sz w:val="21"/>
                      <w:szCs w:val="21"/>
                      <w:lang w:val="en-US" w:eastAsia="zh-CN"/>
                    </w:rPr>
                    <w:t>为</w:t>
                  </w:r>
                  <w:r>
                    <w:rPr>
                      <w:rFonts w:hint="eastAsia" w:cs="Times New Roman" w:eastAsiaTheme="minorEastAsia"/>
                      <w:color w:val="auto"/>
                      <w:sz w:val="21"/>
                      <w:szCs w:val="21"/>
                      <w:lang w:val="en-US" w:eastAsia="zh-CN"/>
                    </w:rPr>
                    <w:t>封闭</w:t>
                  </w:r>
                  <w:r>
                    <w:rPr>
                      <w:rFonts w:hint="eastAsia" w:ascii="Times New Roman" w:hAnsi="Times New Roman" w:cs="Times New Roman" w:eastAsiaTheme="minorEastAsia"/>
                      <w:color w:val="auto"/>
                      <w:sz w:val="21"/>
                      <w:szCs w:val="21"/>
                      <w:lang w:val="en-US" w:eastAsia="zh-CN"/>
                    </w:rPr>
                    <w:t>的彩钢车间（整个生产工段布设于</w:t>
                  </w:r>
                  <w:r>
                    <w:rPr>
                      <w:rFonts w:hint="eastAsia" w:cs="Times New Roman" w:eastAsiaTheme="minorEastAsia"/>
                      <w:color w:val="auto"/>
                      <w:sz w:val="21"/>
                      <w:szCs w:val="21"/>
                      <w:lang w:val="en-US" w:eastAsia="zh-CN"/>
                    </w:rPr>
                    <w:t>封闭</w:t>
                  </w:r>
                  <w:r>
                    <w:rPr>
                      <w:rFonts w:hint="eastAsia" w:ascii="Times New Roman" w:hAnsi="Times New Roman" w:cs="Times New Roman" w:eastAsiaTheme="minorEastAsia"/>
                      <w:color w:val="auto"/>
                      <w:sz w:val="21"/>
                      <w:szCs w:val="21"/>
                      <w:lang w:val="en-US" w:eastAsia="zh-CN"/>
                    </w:rPr>
                    <w:t>的车间内），地面进行了硬化，本项目主要为</w:t>
                  </w:r>
                  <w:r>
                    <w:rPr>
                      <w:rFonts w:hint="eastAsia" w:cs="Times New Roman" w:eastAsiaTheme="minorEastAsia"/>
                      <w:color w:val="auto"/>
                      <w:sz w:val="21"/>
                      <w:szCs w:val="21"/>
                      <w:lang w:val="en-US" w:eastAsia="zh-CN"/>
                    </w:rPr>
                    <w:t>配煤</w:t>
                  </w:r>
                  <w:r>
                    <w:rPr>
                      <w:rFonts w:hint="eastAsia" w:ascii="Times New Roman" w:hAnsi="Times New Roman" w:cs="Times New Roman" w:eastAsiaTheme="minorEastAsia"/>
                      <w:color w:val="auto"/>
                      <w:sz w:val="21"/>
                      <w:szCs w:val="21"/>
                      <w:lang w:val="en-US" w:eastAsia="zh-CN"/>
                    </w:rPr>
                    <w:t>项目，</w:t>
                  </w:r>
                  <w:r>
                    <w:rPr>
                      <w:rFonts w:hint="eastAsia" w:cs="Times New Roman" w:eastAsiaTheme="minorEastAsia"/>
                      <w:color w:val="auto"/>
                      <w:sz w:val="21"/>
                      <w:szCs w:val="21"/>
                      <w:lang w:val="en-US" w:eastAsia="zh-CN"/>
                    </w:rPr>
                    <w:t>按本次评价提出的意见采取措施后，本项目建设</w:t>
                  </w:r>
                  <w:r>
                    <w:rPr>
                      <w:rFonts w:hint="eastAsia" w:ascii="Times New Roman" w:hAnsi="Times New Roman" w:cs="Times New Roman" w:eastAsiaTheme="minorEastAsia"/>
                      <w:color w:val="auto"/>
                      <w:sz w:val="21"/>
                      <w:szCs w:val="21"/>
                      <w:lang w:val="en-US" w:eastAsia="zh-CN"/>
                    </w:rPr>
                    <w:t>对土壤环境影响较小</w:t>
                  </w:r>
                </w:p>
              </w:tc>
              <w:tc>
                <w:tcPr>
                  <w:tcW w:w="548" w:type="pct"/>
                  <w:noWrap w:val="0"/>
                  <w:vAlign w:val="center"/>
                </w:tcPr>
                <w:p w14:paraId="635408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03AC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577FC5A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c>
                <w:tcPr>
                  <w:tcW w:w="2445" w:type="pct"/>
                  <w:noWrap w:val="0"/>
                  <w:vAlign w:val="center"/>
                </w:tcPr>
                <w:p w14:paraId="1118E8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第二十一条 尾矿库运营、管理单位应当按照规定加强尾矿库的安全管理，开展土壤环境风险隐患排查，采取措施防止土壤污染。危库、险库、病库以及其他需要重点监管的尾矿库的运营、管理单位应当按照规定，进行土壤污染状况监测和定期评估。县级以上人民政府应急管理主管部门应当监督尾矿库运营、管理单位履行防治土壤污染的法定义务，防止其发生可能污染土壤的事故；生态环境主管部门应当加强对尾矿库土壤污染防治情况的监督检查和定期评估，发现风险隐患的，及时督促尾矿库运营、管理单位采取相应措施</w:t>
                  </w:r>
                </w:p>
              </w:tc>
              <w:tc>
                <w:tcPr>
                  <w:tcW w:w="1595" w:type="pct"/>
                  <w:noWrap w:val="0"/>
                  <w:vAlign w:val="center"/>
                </w:tcPr>
                <w:p w14:paraId="7B0B09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本项目不涉及</w:t>
                  </w:r>
                </w:p>
              </w:tc>
              <w:tc>
                <w:tcPr>
                  <w:tcW w:w="548" w:type="pct"/>
                  <w:noWrap w:val="0"/>
                  <w:vAlign w:val="center"/>
                </w:tcPr>
                <w:p w14:paraId="60AD4B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7255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22E62F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9</w:t>
                  </w:r>
                </w:p>
              </w:tc>
              <w:tc>
                <w:tcPr>
                  <w:tcW w:w="2445" w:type="pct"/>
                  <w:noWrap w:val="0"/>
                  <w:vAlign w:val="center"/>
                </w:tcPr>
                <w:p w14:paraId="05242C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第二十八条 各级人民政府应当加强对土壤资源的保护和合理利用。对开发建设过程中剥离的表土，应当单独收集和存放，符合条件的应当优先用于土地复垦、土壤改良、造地和绿化等。禁止将重金属或者其他有毒有害物质含量超标的工业固体废物、生活垃圾或者污染土壤用于土地复垦</w:t>
                  </w:r>
                </w:p>
              </w:tc>
              <w:tc>
                <w:tcPr>
                  <w:tcW w:w="1595" w:type="pct"/>
                  <w:noWrap w:val="0"/>
                  <w:vAlign w:val="center"/>
                </w:tcPr>
                <w:p w14:paraId="2880AEC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本项目利用玉溪利东商贸有限公司已建设完成的封闭式厂房进行建设</w:t>
                  </w:r>
                  <w:r>
                    <w:rPr>
                      <w:rFonts w:hint="eastAsia" w:cs="Times New Roman" w:eastAsiaTheme="minorEastAsia"/>
                      <w:color w:val="auto"/>
                      <w:sz w:val="21"/>
                      <w:szCs w:val="21"/>
                      <w:lang w:eastAsia="zh-CN"/>
                    </w:rPr>
                    <w:t>，</w:t>
                  </w:r>
                  <w:r>
                    <w:rPr>
                      <w:rFonts w:hint="eastAsia" w:cs="Times New Roman" w:eastAsiaTheme="minorEastAsia"/>
                      <w:color w:val="auto"/>
                      <w:sz w:val="21"/>
                      <w:szCs w:val="21"/>
                      <w:lang w:val="en-US" w:eastAsia="zh-CN"/>
                    </w:rPr>
                    <w:t>不涉及表土的剥离，本项目为配煤项目不涉及将</w:t>
                  </w:r>
                  <w:r>
                    <w:rPr>
                      <w:rFonts w:hint="default" w:ascii="Times New Roman" w:hAnsi="Times New Roman" w:cs="Times New Roman" w:eastAsiaTheme="minorEastAsia"/>
                      <w:bCs/>
                      <w:color w:val="auto"/>
                      <w:sz w:val="21"/>
                      <w:szCs w:val="21"/>
                    </w:rPr>
                    <w:t>重金属或者其他有毒有害物质含量超标的工业固体废物、生活垃圾或者污染土壤用于土地复垦</w:t>
                  </w:r>
                </w:p>
              </w:tc>
              <w:tc>
                <w:tcPr>
                  <w:tcW w:w="548" w:type="pct"/>
                  <w:noWrap w:val="0"/>
                  <w:vAlign w:val="center"/>
                </w:tcPr>
                <w:p w14:paraId="0C4579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494E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645A392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1</w:t>
                  </w:r>
                  <w:r>
                    <w:rPr>
                      <w:rFonts w:hint="eastAsia" w:ascii="Times New Roman" w:hAnsi="Times New Roman" w:cs="Times New Roman" w:eastAsiaTheme="minorEastAsia"/>
                      <w:color w:val="auto"/>
                      <w:sz w:val="21"/>
                      <w:szCs w:val="21"/>
                      <w:lang w:val="en-US" w:eastAsia="zh-CN"/>
                    </w:rPr>
                    <w:t>0</w:t>
                  </w:r>
                </w:p>
              </w:tc>
              <w:tc>
                <w:tcPr>
                  <w:tcW w:w="2445" w:type="pct"/>
                  <w:noWrap w:val="0"/>
                  <w:vAlign w:val="center"/>
                </w:tcPr>
                <w:p w14:paraId="43862BE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第三十七条 县级以上人民政府应当依法将符合条件的优先保护类耕地划为永久基本农田，实行严格保护。在永久基本农田集中区域，不得新建可能造成土壤污染的建设项目；已经建成的，应当限期关闭拆除。省人民政府应当对优先保护类耕地面积减少或者土壤环境质量下降的县（市、区）进行预警提醒，并依法采取环境影响评价限批等限制性措施</w:t>
                  </w:r>
                </w:p>
              </w:tc>
              <w:tc>
                <w:tcPr>
                  <w:tcW w:w="1595" w:type="pct"/>
                  <w:noWrap w:val="0"/>
                  <w:vAlign w:val="center"/>
                </w:tcPr>
                <w:p w14:paraId="55FD669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本项目</w:t>
                  </w:r>
                  <w:r>
                    <w:rPr>
                      <w:rFonts w:hint="eastAsia" w:cs="Times New Roman" w:eastAsiaTheme="minorEastAsia"/>
                      <w:color w:val="auto"/>
                      <w:sz w:val="21"/>
                      <w:szCs w:val="21"/>
                      <w:lang w:val="en-US" w:eastAsia="zh-CN"/>
                    </w:rPr>
                    <w:t>利用玉溪利东商贸有限公司已建设完成的封闭式厂房进行建设</w:t>
                  </w:r>
                  <w:r>
                    <w:rPr>
                      <w:rFonts w:hint="default"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不新增占地，</w:t>
                  </w:r>
                  <w:r>
                    <w:rPr>
                      <w:rFonts w:hint="default" w:ascii="Times New Roman" w:hAnsi="Times New Roman" w:cs="Times New Roman" w:eastAsiaTheme="minorEastAsia"/>
                      <w:color w:val="auto"/>
                      <w:sz w:val="21"/>
                      <w:szCs w:val="21"/>
                    </w:rPr>
                    <w:t>位于</w:t>
                  </w:r>
                  <w:r>
                    <w:rPr>
                      <w:rFonts w:hint="default" w:ascii="Times New Roman" w:hAnsi="Times New Roman" w:cs="Times New Roman" w:eastAsiaTheme="minorEastAsia"/>
                      <w:color w:val="auto"/>
                      <w:sz w:val="21"/>
                      <w:szCs w:val="21"/>
                      <w:lang w:val="en-US" w:eastAsia="zh-CN"/>
                    </w:rPr>
                    <w:t>峨山县化念镇</w:t>
                  </w:r>
                  <w:r>
                    <w:rPr>
                      <w:rFonts w:hint="default" w:ascii="Times New Roman" w:hAnsi="Times New Roman" w:cs="Times New Roman" w:eastAsiaTheme="minorEastAsia"/>
                      <w:color w:val="auto"/>
                      <w:sz w:val="21"/>
                      <w:szCs w:val="21"/>
                    </w:rPr>
                    <w:t>，项目用地为</w:t>
                  </w:r>
                  <w:r>
                    <w:rPr>
                      <w:rFonts w:hint="default" w:ascii="Times New Roman" w:hAnsi="Times New Roman" w:cs="Times New Roman" w:eastAsiaTheme="minorEastAsia"/>
                      <w:color w:val="auto"/>
                      <w:sz w:val="21"/>
                      <w:szCs w:val="21"/>
                      <w:lang w:val="en-US" w:eastAsia="zh-CN"/>
                    </w:rPr>
                    <w:t>建设</w:t>
                  </w:r>
                  <w:r>
                    <w:rPr>
                      <w:rFonts w:hint="eastAsia" w:cs="Times New Roman" w:eastAsiaTheme="minorEastAsia"/>
                      <w:color w:val="auto"/>
                      <w:sz w:val="21"/>
                      <w:szCs w:val="21"/>
                      <w:lang w:val="en-US" w:eastAsia="zh-CN"/>
                    </w:rPr>
                    <w:t>用地</w:t>
                  </w:r>
                  <w:r>
                    <w:rPr>
                      <w:rFonts w:hint="default" w:ascii="Times New Roman" w:hAnsi="Times New Roman" w:cs="Times New Roman" w:eastAsiaTheme="minorEastAsia"/>
                      <w:color w:val="auto"/>
                      <w:sz w:val="21"/>
                      <w:szCs w:val="21"/>
                    </w:rPr>
                    <w:t>，不涉及</w:t>
                  </w:r>
                  <w:r>
                    <w:rPr>
                      <w:rFonts w:hint="default" w:ascii="Times New Roman" w:hAnsi="Times New Roman" w:cs="Times New Roman" w:eastAsiaTheme="minorEastAsia"/>
                      <w:color w:val="auto"/>
                      <w:sz w:val="21"/>
                      <w:szCs w:val="21"/>
                      <w:lang w:val="en-US" w:eastAsia="zh-CN"/>
                    </w:rPr>
                    <w:t>基本农田和</w:t>
                  </w:r>
                  <w:r>
                    <w:rPr>
                      <w:rFonts w:hint="default" w:ascii="Times New Roman" w:hAnsi="Times New Roman" w:cs="Times New Roman" w:eastAsiaTheme="minorEastAsia"/>
                      <w:color w:val="auto"/>
                      <w:sz w:val="21"/>
                      <w:szCs w:val="21"/>
                    </w:rPr>
                    <w:t>耕地</w:t>
                  </w:r>
                </w:p>
              </w:tc>
              <w:tc>
                <w:tcPr>
                  <w:tcW w:w="548" w:type="pct"/>
                  <w:noWrap w:val="0"/>
                  <w:vAlign w:val="center"/>
                </w:tcPr>
                <w:p w14:paraId="5DDBE39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bl>
          <w:p w14:paraId="72906B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rPr>
            </w:pPr>
            <w:r>
              <w:rPr>
                <w:rFonts w:hint="eastAsia" w:ascii="Times New Roman" w:hAnsi="Times New Roman" w:eastAsia="宋体" w:cs="Times New Roman"/>
                <w:bCs/>
                <w:color w:val="auto"/>
                <w:lang w:val="en-US" w:eastAsia="zh-CN"/>
              </w:rPr>
              <w:t>综上，本</w:t>
            </w:r>
            <w:r>
              <w:rPr>
                <w:rFonts w:hint="default" w:ascii="Times New Roman" w:hAnsi="Times New Roman" w:eastAsia="宋体" w:cs="Times New Roman"/>
                <w:bCs/>
                <w:color w:val="auto"/>
              </w:rPr>
              <w:t>项目与《云南省土壤污染防治条例》相符。</w:t>
            </w:r>
          </w:p>
          <w:p w14:paraId="0F9BFEDE">
            <w:pPr>
              <w:pStyle w:val="4"/>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0" w:firstLineChars="0"/>
              <w:textAlignment w:val="auto"/>
              <w:rPr>
                <w:rFonts w:hint="default" w:ascii="Times New Roman" w:hAnsi="Times New Roman" w:eastAsia="宋体" w:cs="Times New Roman"/>
                <w:b/>
                <w:bCs/>
                <w:color w:val="auto"/>
                <w:kern w:val="2"/>
                <w:sz w:val="24"/>
                <w:szCs w:val="24"/>
                <w:lang w:val="en-US" w:eastAsia="zh-CN" w:bidi="ar-SA"/>
              </w:rPr>
            </w:pPr>
            <w:bookmarkStart w:id="6" w:name="_Toc12842"/>
            <w:r>
              <w:rPr>
                <w:rFonts w:hint="eastAsia" w:cs="Times New Roman"/>
                <w:b/>
                <w:bCs/>
                <w:color w:val="auto"/>
                <w:kern w:val="2"/>
                <w:sz w:val="24"/>
                <w:szCs w:val="24"/>
                <w:lang w:val="en-US" w:eastAsia="zh-CN" w:bidi="ar-SA"/>
              </w:rPr>
              <w:t>7</w:t>
            </w:r>
            <w:r>
              <w:rPr>
                <w:rFonts w:hint="eastAsia" w:ascii="Times New Roman" w:hAnsi="Times New Roman" w:eastAsia="宋体" w:cs="Times New Roman"/>
                <w:b/>
                <w:bCs/>
                <w:color w:val="auto"/>
                <w:kern w:val="2"/>
                <w:sz w:val="24"/>
                <w:szCs w:val="24"/>
                <w:lang w:val="en-US" w:eastAsia="zh-CN" w:bidi="ar-SA"/>
              </w:rPr>
              <w:t>、与《云南省大气污染防治条例》符合性分析</w:t>
            </w:r>
            <w:bookmarkEnd w:id="6"/>
          </w:p>
          <w:p w14:paraId="0733F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本项目与《云南省大气污染防治条例》的符合性见表</w:t>
            </w:r>
            <w:r>
              <w:rPr>
                <w:rFonts w:hint="eastAsia" w:cs="Times New Roman"/>
                <w:bCs/>
                <w:color w:val="auto"/>
                <w:lang w:val="en-US" w:eastAsia="zh-CN"/>
              </w:rPr>
              <w:t>5</w:t>
            </w:r>
            <w:r>
              <w:rPr>
                <w:rFonts w:hint="eastAsia" w:ascii="Times New Roman" w:hAnsi="Times New Roman" w:eastAsia="宋体" w:cs="Times New Roman"/>
                <w:bCs/>
                <w:color w:val="auto"/>
                <w:lang w:val="en-US" w:eastAsia="zh-CN"/>
              </w:rPr>
              <w:t>。</w:t>
            </w:r>
          </w:p>
          <w:p w14:paraId="7F6653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表</w:t>
            </w:r>
            <w:r>
              <w:rPr>
                <w:rFonts w:hint="eastAsia" w:cs="Times New Roman"/>
                <w:b/>
                <w:bCs/>
                <w:color w:val="auto"/>
                <w:kern w:val="0"/>
                <w:sz w:val="24"/>
                <w:szCs w:val="24"/>
                <w:lang w:val="en-US" w:eastAsia="zh-CN" w:bidi="ar"/>
              </w:rPr>
              <w:t>5 项目</w:t>
            </w:r>
            <w:r>
              <w:rPr>
                <w:rFonts w:hint="default" w:ascii="Times New Roman" w:hAnsi="Times New Roman" w:eastAsia="宋体" w:cs="Times New Roman"/>
                <w:b/>
                <w:bCs/>
                <w:color w:val="auto"/>
                <w:kern w:val="0"/>
                <w:sz w:val="24"/>
                <w:szCs w:val="24"/>
                <w:lang w:val="en-US" w:eastAsia="zh-CN" w:bidi="ar"/>
              </w:rPr>
              <w:t>与</w:t>
            </w:r>
            <w:r>
              <w:rPr>
                <w:rFonts w:hint="eastAsia"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云南省大气污染防治条例</w:t>
            </w:r>
            <w:r>
              <w:rPr>
                <w:rFonts w:hint="eastAsia"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的符合性分析</w:t>
            </w:r>
          </w:p>
          <w:tbl>
            <w:tblPr>
              <w:tblStyle w:val="2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8"/>
              <w:gridCol w:w="3314"/>
              <w:gridCol w:w="899"/>
            </w:tblGrid>
            <w:tr w14:paraId="400E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969" w:type="pct"/>
                  <w:noWrap w:val="0"/>
                  <w:vAlign w:val="center"/>
                </w:tcPr>
                <w:p w14:paraId="358AAA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rPr>
                  </w:pPr>
                  <w:r>
                    <w:rPr>
                      <w:rFonts w:hint="default" w:ascii="Times New Roman" w:hAnsi="Times New Roman" w:cs="Times New Roman" w:eastAsiaTheme="minorEastAsia"/>
                      <w:b/>
                      <w:bCs/>
                      <w:color w:val="auto"/>
                      <w:kern w:val="0"/>
                      <w:sz w:val="21"/>
                      <w:szCs w:val="21"/>
                      <w:lang w:val="en-US" w:eastAsia="zh-CN" w:bidi="ar"/>
                    </w:rPr>
                    <w:t>云南省大气污染防治条例</w:t>
                  </w:r>
                </w:p>
              </w:tc>
              <w:tc>
                <w:tcPr>
                  <w:tcW w:w="2383" w:type="pct"/>
                  <w:noWrap w:val="0"/>
                  <w:vAlign w:val="center"/>
                </w:tcPr>
                <w:p w14:paraId="7D4FDC63">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本项目</w:t>
                  </w:r>
                </w:p>
              </w:tc>
              <w:tc>
                <w:tcPr>
                  <w:tcW w:w="646" w:type="pct"/>
                  <w:noWrap w:val="0"/>
                  <w:vAlign w:val="center"/>
                </w:tcPr>
                <w:p w14:paraId="0A281CAB">
                  <w:pPr>
                    <w:pStyle w:val="16"/>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符合性</w:t>
                  </w:r>
                </w:p>
              </w:tc>
            </w:tr>
            <w:tr w14:paraId="46D1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1969" w:type="pct"/>
                  <w:noWrap w:val="0"/>
                  <w:vAlign w:val="center"/>
                </w:tcPr>
                <w:p w14:paraId="3E581C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eastAsiaTheme="minorEastAsia"/>
                      <w:b w:val="0"/>
                      <w:bCs w:val="0"/>
                      <w:color w:val="auto"/>
                      <w:kern w:val="0"/>
                      <w:sz w:val="21"/>
                      <w:szCs w:val="21"/>
                      <w:lang w:val="en-US" w:eastAsia="zh-CN" w:bidi="ar"/>
                    </w:rPr>
                    <w:t>依法实行排污许可管理的单位，应当取得排污许可证，并按照排污许可证的规定排放大气污染物，禁止无排污许可证或者不按照排污许可证的规定排放大气污染物</w:t>
                  </w:r>
                </w:p>
              </w:tc>
              <w:tc>
                <w:tcPr>
                  <w:tcW w:w="2383" w:type="pct"/>
                  <w:noWrap w:val="0"/>
                  <w:vAlign w:val="center"/>
                </w:tcPr>
                <w:p w14:paraId="38BF3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w:t>
                  </w:r>
                  <w:r>
                    <w:rPr>
                      <w:rFonts w:hint="default" w:ascii="Times New Roman" w:hAnsi="Times New Roman" w:cs="Times New Roman" w:eastAsiaTheme="minorEastAsia"/>
                      <w:b w:val="0"/>
                      <w:bCs w:val="0"/>
                      <w:color w:val="auto"/>
                      <w:kern w:val="0"/>
                      <w:sz w:val="21"/>
                      <w:szCs w:val="21"/>
                      <w:lang w:val="en-US" w:eastAsia="zh-CN" w:bidi="ar"/>
                    </w:rPr>
                    <w:t>依法实行排污许可管理制度，应依法申领排污许可证，根据排污许可证排放许可的污染物</w:t>
                  </w:r>
                </w:p>
              </w:tc>
              <w:tc>
                <w:tcPr>
                  <w:tcW w:w="646" w:type="pct"/>
                  <w:noWrap w:val="0"/>
                  <w:vAlign w:val="center"/>
                </w:tcPr>
                <w:p w14:paraId="529B63A3">
                  <w:pPr>
                    <w:pStyle w:val="16"/>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2904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pct"/>
                  <w:noWrap w:val="0"/>
                  <w:vAlign w:val="center"/>
                </w:tcPr>
                <w:p w14:paraId="2C8CE6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kern w:val="0"/>
                      <w:sz w:val="21"/>
                      <w:szCs w:val="21"/>
                      <w:lang w:val="en-US" w:eastAsia="zh-CN" w:bidi="ar"/>
                    </w:rPr>
                    <w:t>运输煤炭、垃圾、渣土、砂石、土方、灰浆等散装、流体物料的车辆应当采取密闭或者其他措施防止物料遗撒造成扬尘污染，并按照规定路线和时间行驶</w:t>
                  </w:r>
                </w:p>
                <w:p w14:paraId="58299E9A">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rPr>
                  </w:pPr>
                </w:p>
              </w:tc>
              <w:tc>
                <w:tcPr>
                  <w:tcW w:w="2383" w:type="pct"/>
                  <w:noWrap w:val="0"/>
                  <w:vAlign w:val="center"/>
                </w:tcPr>
                <w:p w14:paraId="47466134">
                  <w:pPr>
                    <w:pStyle w:val="16"/>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本项目原料和成品的运输均采用汽车运输，</w:t>
                  </w:r>
                  <w:r>
                    <w:rPr>
                      <w:rFonts w:hint="default" w:ascii="Times New Roman" w:hAnsi="Times New Roman" w:cs="Times New Roman" w:eastAsiaTheme="minorEastAsia"/>
                      <w:b w:val="0"/>
                      <w:bCs w:val="0"/>
                      <w:color w:val="auto"/>
                      <w:sz w:val="21"/>
                      <w:szCs w:val="21"/>
                      <w:lang w:val="en-US" w:eastAsia="zh-CN"/>
                    </w:rPr>
                    <w:t>运输过程中采取</w:t>
                  </w:r>
                  <w:r>
                    <w:rPr>
                      <w:rFonts w:hint="eastAsia" w:ascii="Times New Roman" w:hAnsi="Times New Roman" w:cs="Times New Roman" w:eastAsiaTheme="minorEastAsia"/>
                      <w:b w:val="0"/>
                      <w:bCs w:val="0"/>
                      <w:color w:val="auto"/>
                      <w:sz w:val="21"/>
                      <w:szCs w:val="21"/>
                      <w:lang w:val="en-US" w:eastAsia="zh-CN"/>
                    </w:rPr>
                    <w:t>篷布</w:t>
                  </w:r>
                  <w:r>
                    <w:rPr>
                      <w:rFonts w:hint="default" w:ascii="Times New Roman" w:hAnsi="Times New Roman" w:cs="Times New Roman" w:eastAsiaTheme="minorEastAsia"/>
                      <w:b w:val="0"/>
                      <w:bCs w:val="0"/>
                      <w:color w:val="auto"/>
                      <w:sz w:val="21"/>
                      <w:szCs w:val="21"/>
                      <w:lang w:val="en-US" w:eastAsia="zh-CN"/>
                    </w:rPr>
                    <w:t>遮盖，车厢应经常检查维修，要求严实不漏失，做到封闭运输，运输经过村庄、农田时要减速慢行，运输只在白天进行，合理调配运输时段，尽量避免在午休等居民正常休息时段经过城镇外围</w:t>
                  </w:r>
                </w:p>
              </w:tc>
              <w:tc>
                <w:tcPr>
                  <w:tcW w:w="646" w:type="pct"/>
                  <w:noWrap w:val="0"/>
                  <w:vAlign w:val="center"/>
                </w:tcPr>
                <w:p w14:paraId="74FB1DB3">
                  <w:pPr>
                    <w:pStyle w:val="16"/>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3812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pct"/>
                  <w:noWrap w:val="0"/>
                  <w:vAlign w:val="center"/>
                </w:tcPr>
                <w:p w14:paraId="509AAF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0"/>
                      <w:sz w:val="21"/>
                      <w:szCs w:val="21"/>
                      <w:lang w:val="en-US" w:eastAsia="zh-CN" w:bidi="ar"/>
                    </w:rPr>
                  </w:pPr>
                  <w:r>
                    <w:rPr>
                      <w:rFonts w:hint="default" w:ascii="Times New Roman" w:hAnsi="Times New Roman" w:cs="Times New Roman" w:eastAsiaTheme="minorEastAsia"/>
                      <w:b w:val="0"/>
                      <w:bCs w:val="0"/>
                      <w:color w:val="auto"/>
                      <w:kern w:val="0"/>
                      <w:sz w:val="21"/>
                      <w:szCs w:val="21"/>
                      <w:lang w:val="en-US" w:eastAsia="zh-CN" w:bidi="ar"/>
                    </w:rPr>
                    <w:t> 矿产资源开采、露天物料堆场等应当采用防风抑尘工艺、技术和设备，采取有效措施防治扬尘污染。</w:t>
                  </w:r>
                </w:p>
              </w:tc>
              <w:tc>
                <w:tcPr>
                  <w:tcW w:w="2383" w:type="pct"/>
                  <w:noWrap w:val="0"/>
                  <w:vAlign w:val="center"/>
                </w:tcPr>
                <w:p w14:paraId="4E5DFA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0"/>
                      <w:sz w:val="21"/>
                      <w:szCs w:val="21"/>
                      <w:lang w:val="en-US" w:eastAsia="zh-CN" w:bidi="ar"/>
                    </w:rPr>
                  </w:pPr>
                  <w:r>
                    <w:rPr>
                      <w:rFonts w:hint="default" w:ascii="Times New Roman" w:hAnsi="Times New Roman" w:cs="Times New Roman" w:eastAsiaTheme="minorEastAsia"/>
                      <w:b w:val="0"/>
                      <w:bCs w:val="0"/>
                      <w:color w:val="auto"/>
                      <w:kern w:val="0"/>
                      <w:sz w:val="21"/>
                      <w:szCs w:val="21"/>
                      <w:lang w:val="en-US" w:eastAsia="zh-CN" w:bidi="ar"/>
                    </w:rPr>
                    <w:t>本项目为</w:t>
                  </w:r>
                  <w:r>
                    <w:rPr>
                      <w:rFonts w:hint="eastAsia" w:cs="Times New Roman" w:eastAsiaTheme="minorEastAsia"/>
                      <w:b w:val="0"/>
                      <w:bCs w:val="0"/>
                      <w:color w:val="auto"/>
                      <w:kern w:val="0"/>
                      <w:sz w:val="21"/>
                      <w:szCs w:val="21"/>
                      <w:lang w:val="en-US" w:eastAsia="zh-CN" w:bidi="ar"/>
                    </w:rPr>
                    <w:t>配煤</w:t>
                  </w:r>
                  <w:r>
                    <w:rPr>
                      <w:rFonts w:hint="default" w:ascii="Times New Roman" w:hAnsi="Times New Roman" w:cs="Times New Roman" w:eastAsiaTheme="minorEastAsia"/>
                      <w:b w:val="0"/>
                      <w:bCs w:val="0"/>
                      <w:color w:val="auto"/>
                      <w:kern w:val="0"/>
                      <w:sz w:val="21"/>
                      <w:szCs w:val="21"/>
                      <w:lang w:val="en-US" w:eastAsia="zh-CN" w:bidi="ar"/>
                    </w:rPr>
                    <w:t>项目，整个生产工段布设于封闭的车间内，车间地面硬化处理，并设置</w:t>
                  </w:r>
                  <w:r>
                    <w:rPr>
                      <w:rFonts w:hint="eastAsia" w:cs="Times New Roman" w:eastAsiaTheme="minorEastAsia"/>
                      <w:b w:val="0"/>
                      <w:bCs w:val="0"/>
                      <w:color w:val="auto"/>
                      <w:kern w:val="0"/>
                      <w:sz w:val="21"/>
                      <w:szCs w:val="21"/>
                      <w:lang w:val="en-US" w:eastAsia="zh-CN" w:bidi="ar"/>
                    </w:rPr>
                    <w:t>洒水降尘</w:t>
                  </w:r>
                  <w:r>
                    <w:rPr>
                      <w:rFonts w:hint="default" w:ascii="Times New Roman" w:hAnsi="Times New Roman" w:cs="Times New Roman" w:eastAsiaTheme="minorEastAsia"/>
                      <w:b w:val="0"/>
                      <w:bCs w:val="0"/>
                      <w:color w:val="auto"/>
                      <w:kern w:val="0"/>
                      <w:sz w:val="21"/>
                      <w:szCs w:val="21"/>
                      <w:lang w:val="en-US" w:eastAsia="zh-CN" w:bidi="ar"/>
                    </w:rPr>
                    <w:t>装置</w:t>
                  </w:r>
                </w:p>
              </w:tc>
              <w:tc>
                <w:tcPr>
                  <w:tcW w:w="646" w:type="pct"/>
                  <w:noWrap w:val="0"/>
                  <w:vAlign w:val="center"/>
                </w:tcPr>
                <w:p w14:paraId="7D7436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0"/>
                      <w:sz w:val="21"/>
                      <w:szCs w:val="21"/>
                      <w:lang w:val="en-US" w:eastAsia="zh-CN" w:bidi="ar"/>
                    </w:rPr>
                  </w:pPr>
                  <w:r>
                    <w:rPr>
                      <w:rFonts w:hint="default" w:ascii="Times New Roman" w:hAnsi="Times New Roman" w:cs="Times New Roman" w:eastAsiaTheme="minorEastAsia"/>
                      <w:b w:val="0"/>
                      <w:bCs w:val="0"/>
                      <w:color w:val="auto"/>
                      <w:kern w:val="0"/>
                      <w:sz w:val="21"/>
                      <w:szCs w:val="21"/>
                      <w:lang w:val="en-US" w:eastAsia="zh-CN" w:bidi="ar"/>
                    </w:rPr>
                    <w:t>符合</w:t>
                  </w:r>
                </w:p>
              </w:tc>
            </w:tr>
          </w:tbl>
          <w:p w14:paraId="3BD04D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lang w:val="en-US" w:eastAsia="zh-CN"/>
              </w:rPr>
            </w:pPr>
            <w:bookmarkStart w:id="7" w:name="_Toc2425"/>
            <w:r>
              <w:rPr>
                <w:rFonts w:hint="eastAsia" w:ascii="Times New Roman" w:hAnsi="Times New Roman" w:eastAsia="宋体" w:cs="Times New Roman"/>
                <w:bCs/>
                <w:color w:val="auto"/>
                <w:lang w:val="en-US" w:eastAsia="zh-CN"/>
              </w:rPr>
              <w:t>综上，本</w:t>
            </w:r>
            <w:r>
              <w:rPr>
                <w:rFonts w:hint="default" w:ascii="Times New Roman" w:hAnsi="Times New Roman" w:eastAsia="宋体" w:cs="Times New Roman"/>
                <w:bCs/>
                <w:color w:val="auto"/>
                <w:lang w:val="en-US" w:eastAsia="zh-CN"/>
              </w:rPr>
              <w:t>项目与《</w:t>
            </w:r>
            <w:r>
              <w:rPr>
                <w:rFonts w:hint="eastAsia" w:ascii="Times New Roman" w:hAnsi="Times New Roman" w:eastAsia="宋体" w:cs="Times New Roman"/>
                <w:bCs/>
                <w:color w:val="auto"/>
                <w:lang w:val="en-US" w:eastAsia="zh-CN"/>
              </w:rPr>
              <w:t>云南省大气污染防治条例</w:t>
            </w:r>
            <w:r>
              <w:rPr>
                <w:rFonts w:hint="default" w:ascii="Times New Roman" w:hAnsi="Times New Roman" w:eastAsia="宋体" w:cs="Times New Roman"/>
                <w:bCs/>
                <w:color w:val="auto"/>
                <w:lang w:val="en-US" w:eastAsia="zh-CN"/>
              </w:rPr>
              <w:t>》相符</w:t>
            </w:r>
            <w:r>
              <w:rPr>
                <w:rFonts w:hint="eastAsia" w:ascii="Times New Roman" w:hAnsi="Times New Roman" w:eastAsia="宋体" w:cs="Times New Roman"/>
                <w:bCs/>
                <w:color w:val="auto"/>
                <w:lang w:val="en-US" w:eastAsia="zh-CN"/>
              </w:rPr>
              <w:t>。</w:t>
            </w:r>
          </w:p>
          <w:p w14:paraId="179B756D">
            <w:pPr>
              <w:pStyle w:val="4"/>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0" w:firstLineChars="0"/>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8、</w:t>
            </w:r>
            <w:r>
              <w:rPr>
                <w:rFonts w:hint="eastAsia" w:ascii="Times New Roman" w:hAnsi="Times New Roman" w:eastAsia="宋体" w:cs="Times New Roman"/>
                <w:b/>
                <w:bCs/>
                <w:color w:val="auto"/>
                <w:kern w:val="2"/>
                <w:sz w:val="24"/>
                <w:szCs w:val="24"/>
                <w:lang w:val="en-US" w:eastAsia="zh-CN" w:bidi="ar-SA"/>
              </w:rPr>
              <w:t>与《云南省固体废物污染环境防治条例》</w:t>
            </w:r>
            <w:r>
              <w:rPr>
                <w:rFonts w:hint="default" w:ascii="Times New Roman" w:hAnsi="Times New Roman" w:eastAsia="宋体" w:cs="Times New Roman"/>
                <w:b/>
                <w:bCs/>
                <w:color w:val="auto"/>
                <w:kern w:val="2"/>
                <w:sz w:val="24"/>
                <w:szCs w:val="24"/>
                <w:lang w:val="en-US" w:eastAsia="zh-CN" w:bidi="ar-SA"/>
              </w:rPr>
              <w:t>符合性分析</w:t>
            </w:r>
            <w:bookmarkEnd w:id="7"/>
          </w:p>
          <w:p w14:paraId="15B816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项目与《云南省固体废物污染环境防治条例》的符合性见表</w:t>
            </w:r>
            <w:r>
              <w:rPr>
                <w:rFonts w:hint="eastAsia" w:cs="Times New Roman"/>
                <w:bCs/>
                <w:color w:val="auto"/>
                <w:lang w:val="en-US" w:eastAsia="zh-CN"/>
              </w:rPr>
              <w:t>6</w:t>
            </w:r>
            <w:r>
              <w:rPr>
                <w:rFonts w:hint="eastAsia" w:ascii="Times New Roman" w:hAnsi="Times New Roman" w:eastAsia="宋体" w:cs="Times New Roman"/>
                <w:bCs/>
                <w:color w:val="auto"/>
                <w:lang w:val="en-US" w:eastAsia="zh-CN"/>
              </w:rPr>
              <w:t>。</w:t>
            </w:r>
          </w:p>
          <w:p w14:paraId="297577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w:t>
            </w:r>
            <w:r>
              <w:rPr>
                <w:rFonts w:hint="eastAsia" w:cs="Times New Roman"/>
                <w:b/>
                <w:bCs/>
                <w:color w:val="auto"/>
                <w:kern w:val="0"/>
                <w:sz w:val="24"/>
                <w:szCs w:val="24"/>
                <w:lang w:val="en-US" w:eastAsia="zh-CN" w:bidi="ar"/>
              </w:rPr>
              <w:t xml:space="preserve">6 </w:t>
            </w:r>
            <w:r>
              <w:rPr>
                <w:rFonts w:hint="eastAsia" w:ascii="Times New Roman" w:hAnsi="Times New Roman" w:eastAsia="宋体" w:cs="Times New Roman"/>
                <w:b/>
                <w:bCs/>
                <w:color w:val="auto"/>
                <w:kern w:val="0"/>
                <w:sz w:val="24"/>
                <w:szCs w:val="24"/>
                <w:lang w:val="en-US" w:eastAsia="zh-CN" w:bidi="ar"/>
              </w:rPr>
              <w:t xml:space="preserve"> 与《</w:t>
            </w:r>
            <w:r>
              <w:rPr>
                <w:rFonts w:hint="default" w:ascii="Times New Roman" w:hAnsi="Times New Roman" w:eastAsia="宋体" w:cs="Times New Roman"/>
                <w:b/>
                <w:bCs/>
                <w:color w:val="auto"/>
                <w:kern w:val="0"/>
                <w:sz w:val="24"/>
                <w:szCs w:val="24"/>
                <w:lang w:val="en-US" w:eastAsia="zh-CN" w:bidi="ar"/>
              </w:rPr>
              <w:t>云南省固体废物污染环境防治条例</w:t>
            </w:r>
            <w:r>
              <w:rPr>
                <w:rFonts w:hint="eastAsia" w:ascii="Times New Roman" w:hAnsi="Times New Roman" w:eastAsia="宋体" w:cs="Times New Roman"/>
                <w:b/>
                <w:bCs/>
                <w:color w:val="auto"/>
                <w:kern w:val="0"/>
                <w:sz w:val="24"/>
                <w:szCs w:val="24"/>
                <w:lang w:val="en-US" w:eastAsia="zh-CN" w:bidi="ar"/>
              </w:rPr>
              <w:t>》的符合性分析</w:t>
            </w:r>
          </w:p>
          <w:tbl>
            <w:tblPr>
              <w:tblStyle w:val="29"/>
              <w:tblW w:w="69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9"/>
              <w:gridCol w:w="1571"/>
              <w:gridCol w:w="953"/>
            </w:tblGrid>
            <w:tr w14:paraId="7B3A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4429" w:type="dxa"/>
                  <w:noWrap w:val="0"/>
                  <w:vAlign w:val="center"/>
                </w:tcPr>
                <w:p w14:paraId="34920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i w:val="0"/>
                      <w:iCs w:val="0"/>
                      <w:color w:val="auto"/>
                      <w:kern w:val="0"/>
                      <w:sz w:val="21"/>
                      <w:szCs w:val="21"/>
                      <w:lang w:val="en-US" w:eastAsia="zh-CN" w:bidi="ar"/>
                    </w:rPr>
                  </w:pPr>
                  <w:r>
                    <w:rPr>
                      <w:rFonts w:hint="default" w:ascii="Times New Roman" w:hAnsi="Times New Roman" w:cs="Times New Roman" w:eastAsiaTheme="minorEastAsia"/>
                      <w:b/>
                      <w:bCs/>
                      <w:i w:val="0"/>
                      <w:iCs w:val="0"/>
                      <w:color w:val="auto"/>
                      <w:kern w:val="0"/>
                      <w:sz w:val="21"/>
                      <w:szCs w:val="21"/>
                      <w:lang w:val="en-US" w:eastAsia="zh-CN" w:bidi="ar"/>
                    </w:rPr>
                    <w:t>云南省固体废物污染环境防治条例</w:t>
                  </w:r>
                </w:p>
              </w:tc>
              <w:tc>
                <w:tcPr>
                  <w:tcW w:w="1571" w:type="dxa"/>
                  <w:noWrap w:val="0"/>
                  <w:vAlign w:val="center"/>
                </w:tcPr>
                <w:p w14:paraId="200590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i w:val="0"/>
                      <w:iCs w:val="0"/>
                      <w:color w:val="auto"/>
                      <w:kern w:val="0"/>
                      <w:sz w:val="21"/>
                      <w:szCs w:val="21"/>
                      <w:lang w:val="en-US" w:eastAsia="zh-CN" w:bidi="ar"/>
                    </w:rPr>
                  </w:pPr>
                  <w:r>
                    <w:rPr>
                      <w:rFonts w:hint="default" w:ascii="Times New Roman" w:hAnsi="Times New Roman" w:cs="Times New Roman" w:eastAsiaTheme="minorEastAsia"/>
                      <w:b/>
                      <w:bCs/>
                      <w:i w:val="0"/>
                      <w:iCs w:val="0"/>
                      <w:color w:val="auto"/>
                      <w:kern w:val="0"/>
                      <w:sz w:val="21"/>
                      <w:szCs w:val="21"/>
                      <w:lang w:val="en-US" w:eastAsia="zh-CN" w:bidi="ar"/>
                    </w:rPr>
                    <w:t>本项目</w:t>
                  </w:r>
                </w:p>
              </w:tc>
              <w:tc>
                <w:tcPr>
                  <w:tcW w:w="953" w:type="dxa"/>
                  <w:noWrap w:val="0"/>
                  <w:vAlign w:val="center"/>
                </w:tcPr>
                <w:p w14:paraId="4ACB8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i w:val="0"/>
                      <w:iCs w:val="0"/>
                      <w:color w:val="auto"/>
                      <w:kern w:val="0"/>
                      <w:sz w:val="21"/>
                      <w:szCs w:val="21"/>
                      <w:lang w:val="en-US" w:eastAsia="zh-CN" w:bidi="ar"/>
                    </w:rPr>
                  </w:pPr>
                  <w:r>
                    <w:rPr>
                      <w:rFonts w:hint="default" w:ascii="Times New Roman" w:hAnsi="Times New Roman" w:cs="Times New Roman" w:eastAsiaTheme="minorEastAsia"/>
                      <w:b/>
                      <w:bCs/>
                      <w:i w:val="0"/>
                      <w:iCs w:val="0"/>
                      <w:color w:val="auto"/>
                      <w:kern w:val="0"/>
                      <w:sz w:val="21"/>
                      <w:szCs w:val="21"/>
                      <w:lang w:val="en-US" w:eastAsia="zh-CN" w:bidi="ar"/>
                    </w:rPr>
                    <w:t>符合性</w:t>
                  </w:r>
                </w:p>
              </w:tc>
            </w:tr>
            <w:tr w14:paraId="276C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4429" w:type="dxa"/>
                  <w:noWrap w:val="0"/>
                  <w:vAlign w:val="center"/>
                </w:tcPr>
                <w:p w14:paraId="7FB2BB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产生工业固体废物的单位应当根据经济、技术条件对工业固体废物加以利用；对暂时不利用或者不能利用的，应当按照国家规定建设贮存设施、场所，安全分类存放，或者采取无害化处置措施。</w:t>
                  </w:r>
                </w:p>
              </w:tc>
              <w:tc>
                <w:tcPr>
                  <w:tcW w:w="1571" w:type="dxa"/>
                  <w:vMerge w:val="restart"/>
                  <w:noWrap w:val="0"/>
                  <w:vAlign w:val="center"/>
                </w:tcPr>
                <w:p w14:paraId="217248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本项目产生</w:t>
                  </w:r>
                  <w:r>
                    <w:rPr>
                      <w:rFonts w:hint="eastAsia" w:ascii="Times New Roman" w:hAnsi="Times New Roman" w:cs="Times New Roman" w:eastAsiaTheme="minorEastAsia"/>
                      <w:b w:val="0"/>
                      <w:bCs w:val="0"/>
                      <w:i w:val="0"/>
                      <w:iCs w:val="0"/>
                      <w:color w:val="auto"/>
                      <w:kern w:val="0"/>
                      <w:sz w:val="21"/>
                      <w:szCs w:val="21"/>
                      <w:lang w:val="en-US" w:eastAsia="zh-CN" w:bidi="ar"/>
                    </w:rPr>
                    <w:t>的沉淀池煤泥</w:t>
                  </w:r>
                  <w:r>
                    <w:rPr>
                      <w:rFonts w:hint="eastAsia" w:ascii="Times New Roman" w:hAnsi="Times New Roman" w:cs="Times New Roman" w:eastAsiaTheme="minorEastAsia"/>
                      <w:b w:val="0"/>
                      <w:bCs w:val="0"/>
                      <w:i w:val="0"/>
                      <w:iCs w:val="0"/>
                      <w:color w:val="auto"/>
                      <w:kern w:val="0"/>
                      <w:sz w:val="21"/>
                      <w:szCs w:val="21"/>
                      <w:lang w:val="zh-CN" w:eastAsia="zh-CN" w:bidi="ar"/>
                    </w:rPr>
                    <w:t>统一收集后作为在建配矿项目的原料进行配矿，</w:t>
                  </w:r>
                  <w:r>
                    <w:rPr>
                      <w:rFonts w:hint="eastAsia" w:cs="Times New Roman" w:eastAsiaTheme="minorEastAsia"/>
                      <w:b w:val="0"/>
                      <w:bCs w:val="0"/>
                      <w:i w:val="0"/>
                      <w:iCs w:val="0"/>
                      <w:color w:val="auto"/>
                      <w:kern w:val="0"/>
                      <w:sz w:val="21"/>
                      <w:szCs w:val="21"/>
                      <w:lang w:val="en-US" w:eastAsia="zh-CN" w:bidi="ar"/>
                    </w:rPr>
                    <w:t>不外排</w:t>
                  </w:r>
                  <w:r>
                    <w:rPr>
                      <w:rFonts w:hint="eastAsia" w:ascii="Times New Roman" w:hAnsi="Times New Roman" w:cs="Times New Roman" w:eastAsiaTheme="minorEastAsia"/>
                      <w:b w:val="0"/>
                      <w:bCs w:val="0"/>
                      <w:i w:val="0"/>
                      <w:iCs w:val="0"/>
                      <w:color w:val="auto"/>
                      <w:kern w:val="0"/>
                      <w:sz w:val="21"/>
                      <w:szCs w:val="21"/>
                      <w:lang w:val="en-US" w:eastAsia="zh-CN" w:bidi="ar"/>
                    </w:rPr>
                    <w:t>，废机油</w:t>
                  </w:r>
                  <w:r>
                    <w:rPr>
                      <w:rFonts w:hint="default" w:ascii="Times New Roman" w:hAnsi="Times New Roman" w:cs="Times New Roman" w:eastAsiaTheme="minorEastAsia"/>
                      <w:b w:val="0"/>
                      <w:bCs w:val="0"/>
                      <w:i w:val="0"/>
                      <w:iCs w:val="0"/>
                      <w:color w:val="auto"/>
                      <w:kern w:val="0"/>
                      <w:sz w:val="21"/>
                      <w:szCs w:val="21"/>
                      <w:lang w:val="en-US" w:eastAsia="zh-CN" w:bidi="ar"/>
                    </w:rPr>
                    <w:t>收集后暂存于危废暂存间，委托有资质的单位进行处置</w:t>
                  </w:r>
                  <w:r>
                    <w:rPr>
                      <w:rFonts w:hint="eastAsia" w:ascii="Times New Roman" w:hAnsi="Times New Roman" w:cs="Times New Roman" w:eastAsiaTheme="minorEastAsia"/>
                      <w:b w:val="0"/>
                      <w:bCs w:val="0"/>
                      <w:i w:val="0"/>
                      <w:iCs w:val="0"/>
                      <w:color w:val="auto"/>
                      <w:kern w:val="0"/>
                      <w:sz w:val="21"/>
                      <w:szCs w:val="21"/>
                      <w:lang w:val="en-US" w:eastAsia="zh-CN" w:bidi="ar"/>
                    </w:rPr>
                    <w:t>。</w:t>
                  </w:r>
                </w:p>
              </w:tc>
              <w:tc>
                <w:tcPr>
                  <w:tcW w:w="953" w:type="dxa"/>
                  <w:noWrap w:val="0"/>
                  <w:vAlign w:val="center"/>
                </w:tcPr>
                <w:p w14:paraId="38EE6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r w14:paraId="6DF5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9" w:type="dxa"/>
                  <w:noWrap w:val="0"/>
                  <w:vAlign w:val="center"/>
                </w:tcPr>
                <w:p w14:paraId="7F0460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 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w:t>
                  </w:r>
                </w:p>
              </w:tc>
              <w:tc>
                <w:tcPr>
                  <w:tcW w:w="1571" w:type="dxa"/>
                  <w:vMerge w:val="continue"/>
                  <w:noWrap w:val="0"/>
                  <w:vAlign w:val="center"/>
                </w:tcPr>
                <w:p w14:paraId="352CA1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p>
              </w:tc>
              <w:tc>
                <w:tcPr>
                  <w:tcW w:w="953" w:type="dxa"/>
                  <w:noWrap w:val="0"/>
                  <w:vAlign w:val="center"/>
                </w:tcPr>
                <w:p w14:paraId="1A819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bl>
          <w:p w14:paraId="195DD1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综上，本</w:t>
            </w:r>
            <w:r>
              <w:rPr>
                <w:rFonts w:hint="default" w:ascii="Times New Roman" w:hAnsi="Times New Roman" w:eastAsia="宋体" w:cs="Times New Roman"/>
                <w:bCs/>
                <w:color w:val="auto"/>
                <w:lang w:val="en-US" w:eastAsia="zh-CN"/>
              </w:rPr>
              <w:t>项目与《</w:t>
            </w:r>
            <w:r>
              <w:rPr>
                <w:rFonts w:hint="eastAsia" w:ascii="Times New Roman" w:hAnsi="Times New Roman" w:eastAsia="宋体" w:cs="Times New Roman"/>
                <w:bCs/>
                <w:color w:val="auto"/>
                <w:lang w:val="en-US" w:eastAsia="zh-CN"/>
              </w:rPr>
              <w:t>云南省固体废物污染环境防治条例</w:t>
            </w:r>
            <w:r>
              <w:rPr>
                <w:rFonts w:hint="default" w:ascii="Times New Roman" w:hAnsi="Times New Roman" w:eastAsia="宋体" w:cs="Times New Roman"/>
                <w:bCs/>
                <w:color w:val="auto"/>
                <w:lang w:val="en-US" w:eastAsia="zh-CN"/>
              </w:rPr>
              <w:t>》相符</w:t>
            </w:r>
            <w:r>
              <w:rPr>
                <w:rFonts w:hint="eastAsia" w:ascii="Times New Roman" w:hAnsi="Times New Roman" w:eastAsia="宋体" w:cs="Times New Roman"/>
                <w:bCs/>
                <w:color w:val="auto"/>
                <w:lang w:val="en-US" w:eastAsia="zh-CN"/>
              </w:rPr>
              <w:t>。</w:t>
            </w:r>
          </w:p>
          <w:p w14:paraId="50B50614">
            <w:pPr>
              <w:pStyle w:val="4"/>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0" w:firstLineChars="0"/>
              <w:textAlignment w:val="auto"/>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9、项目与《</w:t>
            </w:r>
            <w:r>
              <w:rPr>
                <w:rFonts w:hint="eastAsia" w:cs="Times New Roman"/>
                <w:b/>
                <w:bCs/>
                <w:color w:val="auto"/>
                <w:kern w:val="2"/>
                <w:sz w:val="24"/>
                <w:szCs w:val="24"/>
                <w:lang w:val="zh-CN" w:eastAsia="zh-CN" w:bidi="ar-SA"/>
              </w:rPr>
              <w:t>云南省关于深入打好污染防治攻坚战实施方案》</w:t>
            </w:r>
            <w:r>
              <w:rPr>
                <w:rFonts w:hint="eastAsia" w:cs="Times New Roman"/>
                <w:b/>
                <w:bCs/>
                <w:color w:val="auto"/>
                <w:kern w:val="2"/>
                <w:sz w:val="24"/>
                <w:szCs w:val="24"/>
                <w:lang w:val="en-US" w:eastAsia="zh-CN" w:bidi="ar-SA"/>
              </w:rPr>
              <w:t>符合性分析</w:t>
            </w:r>
          </w:p>
          <w:p w14:paraId="4DC180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本项目与《</w:t>
            </w:r>
            <w:r>
              <w:rPr>
                <w:rFonts w:hint="eastAsia" w:ascii="Times New Roman" w:hAnsi="Times New Roman" w:eastAsia="宋体" w:cs="Times New Roman"/>
                <w:bCs/>
                <w:color w:val="auto"/>
                <w:lang w:val="zh-CN" w:eastAsia="zh-CN"/>
              </w:rPr>
              <w:t>云南省关于深入打好污染防治攻坚战实施方案</w:t>
            </w:r>
            <w:r>
              <w:rPr>
                <w:rFonts w:hint="eastAsia" w:ascii="Times New Roman" w:hAnsi="Times New Roman" w:eastAsia="宋体" w:cs="Times New Roman"/>
                <w:bCs/>
                <w:color w:val="auto"/>
                <w:lang w:val="en-US" w:eastAsia="zh-CN"/>
              </w:rPr>
              <w:t>》的符合性见下表。</w:t>
            </w:r>
          </w:p>
          <w:p w14:paraId="219FC7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sz w:val="24"/>
                <w:szCs w:val="24"/>
                <w:lang w:val="zh-CN"/>
              </w:rPr>
            </w:pPr>
            <w:r>
              <w:rPr>
                <w:rFonts w:hint="eastAsia" w:ascii="Times New Roman" w:hAnsi="Times New Roman" w:eastAsia="宋体" w:cs="Times New Roman"/>
                <w:b/>
                <w:color w:val="auto"/>
                <w:sz w:val="24"/>
                <w:szCs w:val="24"/>
                <w:lang w:val="en-US" w:eastAsia="zh-CN"/>
              </w:rPr>
              <w:t>表</w:t>
            </w:r>
            <w:r>
              <w:rPr>
                <w:rFonts w:hint="eastAsia" w:cs="Times New Roman"/>
                <w:b/>
                <w:color w:val="auto"/>
                <w:sz w:val="24"/>
                <w:szCs w:val="24"/>
                <w:lang w:val="en-US" w:eastAsia="zh-CN"/>
              </w:rPr>
              <w:t>7</w:t>
            </w:r>
            <w:r>
              <w:rPr>
                <w:rFonts w:hint="eastAsia" w:ascii="Times New Roman" w:hAnsi="Times New Roman" w:eastAsia="宋体" w:cs="Times New Roman"/>
                <w:b/>
                <w:color w:val="auto"/>
                <w:sz w:val="24"/>
                <w:szCs w:val="24"/>
                <w:lang w:val="en-US" w:eastAsia="zh-CN"/>
              </w:rPr>
              <w:t xml:space="preserve"> 项目与《</w:t>
            </w:r>
            <w:r>
              <w:rPr>
                <w:rFonts w:hint="eastAsia" w:ascii="Times New Roman" w:hAnsi="Times New Roman" w:eastAsia="宋体" w:cs="Times New Roman"/>
                <w:b/>
                <w:color w:val="auto"/>
                <w:sz w:val="24"/>
                <w:szCs w:val="24"/>
                <w:lang w:val="zh-CN"/>
              </w:rPr>
              <w:t>云南省关于深入打好污染防治攻坚战实施方案》</w:t>
            </w:r>
          </w:p>
          <w:p w14:paraId="76956B9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符合性分析</w:t>
            </w:r>
          </w:p>
          <w:tbl>
            <w:tblPr>
              <w:tblStyle w:val="29"/>
              <w:tblW w:w="6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4"/>
              <w:gridCol w:w="2509"/>
              <w:gridCol w:w="1000"/>
            </w:tblGrid>
            <w:tr w14:paraId="2960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4" w:type="dxa"/>
                  <w:vAlign w:val="center"/>
                </w:tcPr>
                <w:p w14:paraId="7CC4765C">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zh-CN" w:eastAsia="zh-CN"/>
                    </w:rPr>
                    <w:t>云南省关于深入打好污染防治攻坚战实施方案</w:t>
                  </w:r>
                </w:p>
              </w:tc>
              <w:tc>
                <w:tcPr>
                  <w:tcW w:w="2509" w:type="dxa"/>
                  <w:vAlign w:val="center"/>
                </w:tcPr>
                <w:p w14:paraId="2F1B4D2F">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w:t>
                  </w:r>
                </w:p>
              </w:tc>
              <w:tc>
                <w:tcPr>
                  <w:tcW w:w="1000" w:type="dxa"/>
                  <w:vAlign w:val="center"/>
                </w:tcPr>
                <w:p w14:paraId="776BFDF8">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14:paraId="5F7E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4" w:type="dxa"/>
                  <w:vAlign w:val="center"/>
                </w:tcPr>
                <w:p w14:paraId="69266774">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坚决遏制高耗能高排放项目盲目发展。坚决停批停建不符合规定的项目，深入推进产业补链延链强链、绿色低碳转型。严格落实产能置换和产能控制政策，实施粗钢产能清理整顿。</w:t>
                  </w:r>
                </w:p>
              </w:tc>
              <w:tc>
                <w:tcPr>
                  <w:tcW w:w="2509" w:type="dxa"/>
                  <w:vAlign w:val="center"/>
                </w:tcPr>
                <w:p w14:paraId="4F9A39E8">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w:t>
                  </w:r>
                  <w:r>
                    <w:rPr>
                      <w:rFonts w:hint="default" w:ascii="Times New Roman" w:hAnsi="Times New Roman" w:eastAsia="宋体" w:cs="Times New Roman"/>
                      <w:color w:val="auto"/>
                      <w:kern w:val="0"/>
                      <w:sz w:val="21"/>
                      <w:szCs w:val="21"/>
                      <w:lang w:val="en-US" w:eastAsia="zh-CN" w:bidi="ar-SA"/>
                    </w:rPr>
                    <w:t>通过外购不同品质的</w:t>
                  </w:r>
                  <w:r>
                    <w:rPr>
                      <w:rFonts w:hint="eastAsia" w:ascii="Times New Roman" w:hAnsi="Times New Roman" w:cs="Times New Roman"/>
                      <w:color w:val="auto"/>
                      <w:kern w:val="0"/>
                      <w:sz w:val="21"/>
                      <w:szCs w:val="21"/>
                      <w:lang w:val="en-US" w:eastAsia="zh-CN" w:bidi="ar-SA"/>
                    </w:rPr>
                    <w:t>无烟煤</w:t>
                  </w:r>
                  <w:r>
                    <w:rPr>
                      <w:rFonts w:hint="default" w:ascii="Times New Roman" w:hAnsi="Times New Roman" w:eastAsia="宋体" w:cs="Times New Roman"/>
                      <w:color w:val="auto"/>
                      <w:kern w:val="0"/>
                      <w:sz w:val="21"/>
                      <w:szCs w:val="21"/>
                      <w:lang w:val="en-US" w:eastAsia="zh-CN" w:bidi="ar-SA"/>
                    </w:rPr>
                    <w:t>进行配煤加工</w:t>
                  </w:r>
                  <w:r>
                    <w:rPr>
                      <w:rFonts w:hint="default" w:ascii="Times New Roman" w:hAnsi="Times New Roman" w:eastAsia="宋体" w:cs="Times New Roman"/>
                      <w:b w:val="0"/>
                      <w:bCs w:val="0"/>
                      <w:color w:val="auto"/>
                      <w:sz w:val="21"/>
                      <w:szCs w:val="21"/>
                      <w:lang w:val="en-US" w:eastAsia="zh-CN"/>
                    </w:rPr>
                    <w:t>，不属于高耗能高排放项目，本项目不涉及粗钢产能清理整顿</w:t>
                  </w:r>
                </w:p>
              </w:tc>
              <w:tc>
                <w:tcPr>
                  <w:tcW w:w="1000" w:type="dxa"/>
                  <w:vAlign w:val="center"/>
                </w:tcPr>
                <w:p w14:paraId="4589FA58">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r w14:paraId="1D1F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4" w:type="dxa"/>
                  <w:vAlign w:val="center"/>
                </w:tcPr>
                <w:p w14:paraId="66B6E692">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提升生态环境监管执法效能。全面推行排污许可“一证式”管理，构建监管执法体系和自行监测监管机制。依法严厉打击恶意偷排和危险废物非法转移、倾倒、处置等环境违法犯罪，严肃查处环评、监测等领域弄虚作假行为</w:t>
                  </w:r>
                </w:p>
              </w:tc>
              <w:tc>
                <w:tcPr>
                  <w:tcW w:w="2509" w:type="dxa"/>
                  <w:vAlign w:val="center"/>
                </w:tcPr>
                <w:p w14:paraId="3F077304">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本项目产生的固废100%合理处置，危险废物暂存于危废暂存间，委托有资质的单位进行处置，本项目正式运行前，应按照相关规范申请排污许可证</w:t>
                  </w:r>
                </w:p>
              </w:tc>
              <w:tc>
                <w:tcPr>
                  <w:tcW w:w="1000" w:type="dxa"/>
                  <w:vAlign w:val="center"/>
                </w:tcPr>
                <w:p w14:paraId="4AC8E800">
                  <w:pPr>
                    <w:pStyle w:val="1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符合</w:t>
                  </w:r>
                </w:p>
              </w:tc>
            </w:tr>
          </w:tbl>
          <w:p w14:paraId="3C1E93F9">
            <w:pPr>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480" w:firstLineChars="200"/>
              <w:textAlignment w:val="auto"/>
              <w:outlineLvl w:val="9"/>
              <w:rPr>
                <w:rFonts w:hint="eastAsia"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综上所述，项目与</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zh-CN"/>
              </w:rPr>
              <w:t>云南省关于深入打好污染防治攻坚战实施方案》</w:t>
            </w:r>
            <w:r>
              <w:rPr>
                <w:rFonts w:hint="eastAsia" w:cs="Times New Roman"/>
                <w:b w:val="0"/>
                <w:bCs w:val="0"/>
                <w:color w:val="auto"/>
                <w:sz w:val="24"/>
                <w:szCs w:val="24"/>
                <w:lang w:val="en-US" w:eastAsia="zh-CN"/>
              </w:rPr>
              <w:t>相符。</w:t>
            </w:r>
          </w:p>
          <w:p w14:paraId="73A97512">
            <w:pPr>
              <w:pStyle w:val="4"/>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0" w:firstLineChars="0"/>
              <w:textAlignment w:val="auto"/>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10、</w:t>
            </w:r>
            <w:r>
              <w:rPr>
                <w:rFonts w:hint="eastAsia" w:ascii="Times New Roman" w:hAnsi="Times New Roman" w:eastAsia="宋体" w:cs="Times New Roman"/>
                <w:b/>
                <w:bCs/>
                <w:color w:val="auto"/>
                <w:kern w:val="2"/>
                <w:sz w:val="24"/>
                <w:szCs w:val="24"/>
                <w:lang w:val="en-US" w:eastAsia="zh-CN" w:bidi="ar-SA"/>
              </w:rPr>
              <w:t>与《玉溪市生态环境局关于印发玉溪市生态环境分区管控动态更新调整方案（2023年）的通知》的符合性分析</w:t>
            </w:r>
          </w:p>
          <w:p w14:paraId="13C6A1D7">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根据查询云南省生态环境分区管控公共服务查询平台，网址为“http://183.224.17.39:19272/sxydyn”</w:t>
            </w:r>
            <w:r>
              <w:rPr>
                <w:rFonts w:hint="default" w:ascii="Times New Roman" w:hAnsi="Times New Roman" w:eastAsia="宋体" w:cs="Times New Roman"/>
                <w:color w:val="auto"/>
                <w:lang w:val="en-US" w:eastAsia="zh-CN"/>
              </w:rPr>
              <w:t>，项目位于峨山彝族自治县矿产资源重点管控单元，管控单元编码为ZH5304262000</w:t>
            </w:r>
            <w:r>
              <w:rPr>
                <w:rFonts w:hint="eastAsia" w:ascii="Times New Roman" w:hAnsi="Times New Roman" w:eastAsia="宋体" w:cs="Times New Roman"/>
                <w:color w:val="auto"/>
                <w:lang w:val="en-US" w:eastAsia="zh-CN"/>
              </w:rPr>
              <w:t>3，查询结果如下图。</w:t>
            </w:r>
          </w:p>
          <w:p w14:paraId="7FECB71E">
            <w:pPr>
              <w:numPr>
                <w:ilvl w:val="0"/>
                <w:numId w:val="0"/>
              </w:numPr>
              <w:rPr>
                <w:rFonts w:hint="default" w:cs="Times New Roman"/>
                <w:color w:val="auto"/>
                <w:sz w:val="24"/>
                <w:szCs w:val="24"/>
                <w:lang w:val="en-US"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1447800</wp:posOffset>
                      </wp:positionH>
                      <wp:positionV relativeFrom="paragraph">
                        <wp:posOffset>2305050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48D1F">
                                  <w:pPr>
                                    <w:rPr>
                                      <w:rFonts w:hint="default" w:eastAsia="宋体"/>
                                      <w:b/>
                                      <w:bCs/>
                                      <w:color w:val="0000FF"/>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0000FF"/>
                                      <w:sz w:val="24"/>
                                      <w:szCs w:val="24"/>
                                      <w:lang w:val="en-US" w:eastAsia="zh-CN"/>
                                      <w14:shadow w14:blurRad="38100" w14:dist="19050" w14:dir="2700000" w14:sx="100000" w14:sy="100000" w14:kx="0" w14:ky="0" w14:algn="tl">
                                        <w14:schemeClr w14:val="dk1">
                                          <w14:alpha w14:val="60000"/>
                                        </w14:schemeClr>
                                      </w14:shadow>
                                    </w:rPr>
                                    <w:t>项目所在地</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14pt;margin-top:181.5pt;height:144pt;width:144pt;mso-wrap-style:none;z-index:251660288;mso-width-relative:page;mso-height-relative:page;" filled="f" stroked="f" coordsize="21600,21600" o:gfxdata="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EnYrvZAAAACwEAAA8AAAAAAAAAAQAgAAAAIgAAAGRycy9kb3du&#10;cmV2LnhtbFBLAQIUABQAAAAIAIdO4kD9n/f2NwIAAGcEAAAOAAAAAAAAAAEAIAAAACgBAABkcnMv&#10;ZTJvRG9jLnhtbFBLBQYAAAAABgAGAFkBAADRBQAAAAA=&#10;">
                      <v:fill on="f" focussize="0,0"/>
                      <v:stroke on="f" weight="0.5pt"/>
                      <v:imagedata o:title=""/>
                      <o:lock v:ext="edit" aspectratio="f"/>
                      <v:textbox style="mso-fit-shape-to-text:t;">
                        <w:txbxContent>
                          <w:p w14:paraId="63248D1F">
                            <w:pPr>
                              <w:rPr>
                                <w:rFonts w:hint="default" w:eastAsia="宋体"/>
                                <w:b/>
                                <w:bCs/>
                                <w:color w:val="0000FF"/>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0000FF"/>
                                <w:sz w:val="24"/>
                                <w:szCs w:val="24"/>
                                <w:lang w:val="en-US" w:eastAsia="zh-CN"/>
                                <w14:shadow w14:blurRad="38100" w14:dist="19050" w14:dir="2700000" w14:sx="100000" w14:sy="100000" w14:kx="0" w14:ky="0" w14:algn="tl">
                                  <w14:schemeClr w14:val="dk1">
                                    <w14:alpha w14:val="60000"/>
                                  </w14:schemeClr>
                                </w14:shadow>
                              </w:rPr>
                              <w:t>项目所在地</w:t>
                            </w:r>
                          </w:p>
                        </w:txbxContent>
                      </v:textbox>
                    </v:shape>
                  </w:pict>
                </mc:Fallback>
              </mc:AlternateContent>
            </w:r>
            <w:r>
              <w:rPr>
                <w:color w:val="auto"/>
              </w:rPr>
              <w:drawing>
                <wp:inline distT="0" distB="0" distL="114300" distR="114300">
                  <wp:extent cx="4415155" cy="3152775"/>
                  <wp:effectExtent l="0" t="0" r="4445" b="9525"/>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10"/>
                          <a:stretch>
                            <a:fillRect/>
                          </a:stretch>
                        </pic:blipFill>
                        <pic:spPr>
                          <a:xfrm>
                            <a:off x="0" y="0"/>
                            <a:ext cx="4415155" cy="3152775"/>
                          </a:xfrm>
                          <a:prstGeom prst="rect">
                            <a:avLst/>
                          </a:prstGeom>
                          <a:noFill/>
                          <a:ln>
                            <a:noFill/>
                          </a:ln>
                        </pic:spPr>
                      </pic:pic>
                    </a:graphicData>
                  </a:graphic>
                </wp:inline>
              </w:drawing>
            </w:r>
          </w:p>
          <w:p w14:paraId="7C16A20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图1 项目所在地与分区管控图相对位置</w:t>
            </w:r>
          </w:p>
          <w:p w14:paraId="6E1D3B6D">
            <w:pPr>
              <w:rPr>
                <w:rFonts w:hint="eastAsia" w:cs="Times New Roman"/>
                <w:color w:val="auto"/>
                <w:sz w:val="24"/>
                <w:szCs w:val="24"/>
                <w:lang w:val="en-US" w:eastAsia="zh-CN"/>
              </w:rPr>
            </w:pPr>
            <w:r>
              <w:rPr>
                <w:rFonts w:hint="eastAsia" w:cs="Times New Roman"/>
                <w:color w:val="auto"/>
                <w:sz w:val="24"/>
                <w:szCs w:val="24"/>
                <w:lang w:val="en-US" w:eastAsia="zh-CN"/>
              </w:rPr>
              <w:t>项目与《玉溪市生态环境局关于印发玉溪市生态环境分区管控动态更新调整方案（2023年）的通知》符合性分析详见下表</w:t>
            </w:r>
          </w:p>
          <w:p w14:paraId="3E553187">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24"/>
                <w:highlight w:val="none"/>
                <w:shd w:val="clear" w:color="auto" w:fill="auto"/>
                <w:lang w:val="en-US" w:eastAsia="zh-CN"/>
              </w:rPr>
            </w:pPr>
            <w:r>
              <w:rPr>
                <w:rFonts w:hint="eastAsia" w:ascii="Times New Roman" w:hAnsi="Times New Roman" w:eastAsia="宋体" w:cs="Times New Roman"/>
                <w:b/>
                <w:bCs/>
                <w:color w:val="auto"/>
                <w:sz w:val="24"/>
                <w:szCs w:val="24"/>
                <w:highlight w:val="none"/>
                <w:shd w:val="clear" w:color="auto" w:fill="auto"/>
                <w:lang w:val="en-US" w:eastAsia="zh-CN"/>
              </w:rPr>
              <w:t>表</w:t>
            </w:r>
            <w:r>
              <w:rPr>
                <w:rFonts w:hint="eastAsia" w:cs="Times New Roman"/>
                <w:b/>
                <w:bCs/>
                <w:color w:val="auto"/>
                <w:sz w:val="24"/>
                <w:szCs w:val="24"/>
                <w:highlight w:val="none"/>
                <w:shd w:val="clear" w:color="auto" w:fill="auto"/>
                <w:lang w:val="en-US" w:eastAsia="zh-CN"/>
              </w:rPr>
              <w:t>6</w:t>
            </w:r>
            <w:r>
              <w:rPr>
                <w:rFonts w:hint="eastAsia" w:ascii="Times New Roman" w:hAnsi="Times New Roman" w:eastAsia="宋体" w:cs="Times New Roman"/>
                <w:b/>
                <w:bCs/>
                <w:color w:val="auto"/>
                <w:sz w:val="24"/>
                <w:szCs w:val="24"/>
                <w:highlight w:val="none"/>
                <w:shd w:val="clear" w:color="auto" w:fill="auto"/>
                <w:lang w:val="en-US" w:eastAsia="zh-CN"/>
              </w:rPr>
              <w:t xml:space="preserve"> 项目与 《玉溪市生态环境局关于印发玉溪市生态环境分区管控动态更新调整方案（2023年）的通知》符合性分析</w:t>
            </w:r>
          </w:p>
          <w:tbl>
            <w:tblPr>
              <w:tblStyle w:val="28"/>
              <w:tblpPr w:leftFromText="181" w:rightFromText="181" w:vertAnchor="text" w:horzAnchor="page" w:tblpX="165" w:tblpY="58"/>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108"/>
              <w:gridCol w:w="2362"/>
              <w:gridCol w:w="812"/>
            </w:tblGrid>
            <w:tr w14:paraId="09DA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5000" w:type="pct"/>
                  <w:gridSpan w:val="4"/>
                  <w:noWrap w:val="0"/>
                  <w:vAlign w:val="center"/>
                </w:tcPr>
                <w:p w14:paraId="0F6574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玉溪市生态环境管控总体要求</w:t>
                  </w:r>
                </w:p>
              </w:tc>
            </w:tr>
            <w:tr w14:paraId="1F00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478" w:type="pct"/>
                  <w:noWrap w:val="0"/>
                  <w:vAlign w:val="center"/>
                </w:tcPr>
                <w:p w14:paraId="45F3CD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管控领域</w:t>
                  </w:r>
                </w:p>
              </w:tc>
              <w:tc>
                <w:tcPr>
                  <w:tcW w:w="2236" w:type="pct"/>
                  <w:noWrap w:val="0"/>
                  <w:vAlign w:val="center"/>
                </w:tcPr>
                <w:p w14:paraId="0941C79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1700" w:type="pct"/>
                  <w:noWrap w:val="0"/>
                  <w:vAlign w:val="center"/>
                </w:tcPr>
                <w:p w14:paraId="546A0BB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584" w:type="pct"/>
                  <w:noWrap w:val="0"/>
                  <w:vAlign w:val="center"/>
                </w:tcPr>
                <w:p w14:paraId="32B090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符合情况</w:t>
                  </w:r>
                </w:p>
              </w:tc>
            </w:tr>
            <w:tr w14:paraId="2D3B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restart"/>
                  <w:noWrap w:val="0"/>
                  <w:vAlign w:val="center"/>
                </w:tcPr>
                <w:p w14:paraId="2A0075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空间布局约束</w:t>
                  </w:r>
                </w:p>
              </w:tc>
              <w:tc>
                <w:tcPr>
                  <w:tcW w:w="2236" w:type="pct"/>
                  <w:noWrap w:val="0"/>
                  <w:vAlign w:val="center"/>
                </w:tcPr>
                <w:p w14:paraId="370ABC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tc>
              <w:tc>
                <w:tcPr>
                  <w:tcW w:w="1700" w:type="pct"/>
                  <w:noWrap w:val="0"/>
                  <w:vAlign w:val="center"/>
                </w:tcPr>
                <w:p w14:paraId="040F10D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根据《产业结构调整指导目录（20</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年本）》，本项目不属于鼓励类、限制类、淘汰类项目，</w:t>
                  </w:r>
                  <w:r>
                    <w:rPr>
                      <w:rFonts w:hint="default" w:ascii="Times New Roman" w:hAnsi="Times New Roman" w:eastAsia="宋体" w:cs="Times New Roman"/>
                      <w:color w:val="auto"/>
                      <w:sz w:val="21"/>
                      <w:szCs w:val="21"/>
                      <w:lang w:val="en-US" w:eastAsia="zh-CN"/>
                    </w:rPr>
                    <w:t>视为允许类，</w:t>
                  </w:r>
                  <w:r>
                    <w:rPr>
                      <w:rFonts w:hint="default" w:ascii="Times New Roman" w:hAnsi="Times New Roman" w:eastAsia="宋体" w:cs="Times New Roman"/>
                      <w:color w:val="auto"/>
                      <w:sz w:val="21"/>
                      <w:szCs w:val="21"/>
                    </w:rPr>
                    <w:t>因此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本项目符合国家产业政策。</w:t>
                  </w:r>
                  <w:r>
                    <w:rPr>
                      <w:rFonts w:hint="default"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rPr>
                    <w:t>钢铁、水泥、平板玻璃、电解铝等行业</w:t>
                  </w:r>
                  <w:r>
                    <w:rPr>
                      <w:rFonts w:hint="default" w:ascii="Times New Roman" w:hAnsi="Times New Roman" w:eastAsia="宋体" w:cs="Times New Roman"/>
                      <w:color w:val="auto"/>
                      <w:sz w:val="21"/>
                      <w:szCs w:val="21"/>
                      <w:lang w:eastAsia="zh-CN"/>
                    </w:rPr>
                    <w:t>。</w:t>
                  </w:r>
                </w:p>
              </w:tc>
              <w:tc>
                <w:tcPr>
                  <w:tcW w:w="584" w:type="pct"/>
                  <w:noWrap w:val="0"/>
                  <w:vAlign w:val="center"/>
                </w:tcPr>
                <w:p w14:paraId="715F57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F5B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3293D3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549F570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河湖水域岸线空间管控，严格落实九大高原湖泊（抚仙湖、星云湖、杞麓湖）“两线三区”相关管控要求。加快推动重点区域、重点流域落后和过剩产能退出。依法加快城市建成区重污染企业搬迁改造或关闭退出。</w:t>
                  </w:r>
                </w:p>
              </w:tc>
              <w:tc>
                <w:tcPr>
                  <w:tcW w:w="1700" w:type="pct"/>
                  <w:noWrap w:val="0"/>
                  <w:vAlign w:val="center"/>
                </w:tcPr>
                <w:p w14:paraId="26AB6CD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本项目位于峨山彝族自治县化念镇，不涉及</w:t>
                  </w:r>
                  <w:r>
                    <w:rPr>
                      <w:rFonts w:hint="default" w:ascii="Times New Roman" w:hAnsi="Times New Roman" w:eastAsia="宋体" w:cs="Times New Roman"/>
                      <w:color w:val="auto"/>
                      <w:sz w:val="21"/>
                      <w:szCs w:val="21"/>
                    </w:rPr>
                    <w:t>河湖水域岸线空间管控</w:t>
                  </w:r>
                  <w:r>
                    <w:rPr>
                      <w:rFonts w:hint="default" w:ascii="Times New Roman" w:hAnsi="Times New Roman" w:eastAsia="宋体" w:cs="Times New Roman"/>
                      <w:color w:val="auto"/>
                      <w:sz w:val="21"/>
                      <w:szCs w:val="21"/>
                      <w:lang w:val="en-US" w:eastAsia="zh-CN"/>
                    </w:rPr>
                    <w:t>。</w:t>
                  </w:r>
                </w:p>
              </w:tc>
              <w:tc>
                <w:tcPr>
                  <w:tcW w:w="584" w:type="pct"/>
                  <w:noWrap w:val="0"/>
                  <w:vAlign w:val="center"/>
                </w:tcPr>
                <w:p w14:paraId="2ADCC18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EA6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02AED79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42F29EA7">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700" w:type="pct"/>
                  <w:noWrap w:val="0"/>
                  <w:vAlign w:val="center"/>
                </w:tcPr>
                <w:p w14:paraId="252DAD9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本项目不属于高污染行业，不属于被列入《云南省城镇人口密集区危险化学品生产企业搬迁改造名单》的搬迁改造企业；</w:t>
                  </w:r>
                  <w:r>
                    <w:rPr>
                      <w:rFonts w:hint="default" w:ascii="Times New Roman" w:hAnsi="Times New Roman" w:eastAsia="宋体" w:cs="Times New Roman"/>
                      <w:color w:val="auto"/>
                      <w:sz w:val="21"/>
                      <w:szCs w:val="21"/>
                      <w:lang w:val="en-US" w:eastAsia="zh-CN"/>
                    </w:rPr>
                    <w:t>本项目为新建项目，位于峨山彝族自治县化念镇，采用外购的不同品质的</w:t>
                  </w:r>
                  <w:r>
                    <w:rPr>
                      <w:rFonts w:hint="eastAsia" w:cs="Times New Roman"/>
                      <w:color w:val="auto"/>
                      <w:sz w:val="21"/>
                      <w:szCs w:val="21"/>
                      <w:lang w:val="en-US" w:eastAsia="zh-CN"/>
                    </w:rPr>
                    <w:t>无烟煤</w:t>
                  </w:r>
                  <w:r>
                    <w:rPr>
                      <w:rFonts w:hint="default" w:ascii="Times New Roman" w:hAnsi="Times New Roman" w:eastAsia="宋体" w:cs="Times New Roman"/>
                      <w:color w:val="auto"/>
                      <w:sz w:val="21"/>
                      <w:szCs w:val="21"/>
                      <w:lang w:val="en-US" w:eastAsia="zh-CN"/>
                    </w:rPr>
                    <w:t>进行配煤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rPr>
                    <w:t>钢铁、石化、化工、焦化、建材、有色、制浆造纸行业中的高污染项目</w:t>
                  </w:r>
                  <w:r>
                    <w:rPr>
                      <w:rFonts w:hint="default" w:ascii="Times New Roman" w:hAnsi="Times New Roman" w:eastAsia="宋体" w:cs="Times New Roman"/>
                      <w:color w:val="auto"/>
                      <w:sz w:val="21"/>
                      <w:szCs w:val="21"/>
                      <w:lang w:eastAsia="zh-CN"/>
                    </w:rPr>
                    <w:t>。</w:t>
                  </w:r>
                </w:p>
              </w:tc>
              <w:tc>
                <w:tcPr>
                  <w:tcW w:w="584" w:type="pct"/>
                  <w:noWrap w:val="0"/>
                  <w:vAlign w:val="center"/>
                </w:tcPr>
                <w:p w14:paraId="04A016C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AD2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659DF39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5CAE4468">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4.禁止在九大高原湖泊（抚仙湖、星云湖、杞麓湖）流域内新建、改建、扩建污染环境、高耗水、高耗能、破坏生态平衡和自然景观的项目。</w:t>
                  </w:r>
                </w:p>
              </w:tc>
              <w:tc>
                <w:tcPr>
                  <w:tcW w:w="1700" w:type="pct"/>
                  <w:noWrap w:val="0"/>
                  <w:vAlign w:val="center"/>
                </w:tcPr>
                <w:p w14:paraId="4BAE82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584" w:type="pct"/>
                  <w:noWrap w:val="0"/>
                  <w:vAlign w:val="center"/>
                </w:tcPr>
                <w:p w14:paraId="0D9210C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F2B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1E1D5D5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1AE41066">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5.落实云南省碳达峰碳中和相关要求，处理好发展和减排、整体和局部、长远目标和短期目标、政府和市场的关系，坚定不移走生态优先、绿色低碳的高质量发展道路。</w:t>
                  </w:r>
                </w:p>
              </w:tc>
              <w:tc>
                <w:tcPr>
                  <w:tcW w:w="1700" w:type="pct"/>
                  <w:noWrap w:val="0"/>
                  <w:vAlign w:val="center"/>
                </w:tcPr>
                <w:p w14:paraId="7EEEFA19">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本项目以电网供电为主，不使用高污染燃料，从源头减少碳排放；</w:t>
                  </w:r>
                  <w:r>
                    <w:rPr>
                      <w:rFonts w:hint="default" w:ascii="Times New Roman" w:hAnsi="Times New Roman" w:eastAsia="宋体" w:cs="Times New Roman"/>
                      <w:color w:val="auto"/>
                      <w:sz w:val="21"/>
                      <w:szCs w:val="21"/>
                      <w:lang w:val="en-US" w:eastAsia="zh-CN"/>
                    </w:rPr>
                    <w:t>运输车辆优先选用新能源汽车，减少化石能源的使用，</w:t>
                  </w:r>
                  <w:r>
                    <w:rPr>
                      <w:rFonts w:hint="default" w:ascii="Times New Roman" w:hAnsi="Times New Roman" w:eastAsia="宋体" w:cs="Times New Roman"/>
                      <w:color w:val="auto"/>
                      <w:sz w:val="21"/>
                      <w:szCs w:val="21"/>
                    </w:rPr>
                    <w:t>项目通过节能降耗、资源循环实现减排目标，契合区域绿色发展规划，全面符合云南省绿色低碳高质量发展要求。</w:t>
                  </w:r>
                </w:p>
              </w:tc>
              <w:tc>
                <w:tcPr>
                  <w:tcW w:w="584" w:type="pct"/>
                  <w:noWrap w:val="0"/>
                  <w:vAlign w:val="center"/>
                </w:tcPr>
                <w:p w14:paraId="461820D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504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restart"/>
                  <w:noWrap w:val="0"/>
                  <w:vAlign w:val="center"/>
                </w:tcPr>
                <w:p w14:paraId="3EB73A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污染物排放管控</w:t>
                  </w:r>
                </w:p>
              </w:tc>
              <w:tc>
                <w:tcPr>
                  <w:tcW w:w="2236" w:type="pct"/>
                  <w:noWrap w:val="0"/>
                  <w:vAlign w:val="center"/>
                </w:tcPr>
                <w:p w14:paraId="6EBD3111">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1.严格落实强制性清洁生产审核要求，引导重点行业实施清洁生产改造，到2025年底，重点行业企业基本达到国内清洁生产先进水平。</w:t>
                  </w:r>
                </w:p>
              </w:tc>
              <w:tc>
                <w:tcPr>
                  <w:tcW w:w="1700" w:type="pct"/>
                  <w:noWrap w:val="0"/>
                  <w:vAlign w:val="center"/>
                </w:tcPr>
                <w:p w14:paraId="0CB3A30E">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属于配煤项目，不属于重点行业，不涉及</w:t>
                  </w:r>
                  <w:r>
                    <w:rPr>
                      <w:rFonts w:hint="default" w:ascii="Times New Roman" w:hAnsi="Times New Roman" w:eastAsia="宋体" w:cs="Times New Roman"/>
                      <w:color w:val="auto"/>
                      <w:sz w:val="21"/>
                      <w:szCs w:val="21"/>
                    </w:rPr>
                    <w:t>强制性清洁生产</w:t>
                  </w:r>
                  <w:r>
                    <w:rPr>
                      <w:rFonts w:hint="default" w:ascii="Times New Roman" w:hAnsi="Times New Roman" w:eastAsia="宋体" w:cs="Times New Roman"/>
                      <w:color w:val="auto"/>
                      <w:sz w:val="21"/>
                      <w:szCs w:val="21"/>
                      <w:lang w:val="en-US" w:eastAsia="zh-CN"/>
                    </w:rPr>
                    <w:t>改造。</w:t>
                  </w:r>
                </w:p>
              </w:tc>
              <w:tc>
                <w:tcPr>
                  <w:tcW w:w="584" w:type="pct"/>
                  <w:noWrap w:val="0"/>
                  <w:vAlign w:val="center"/>
                </w:tcPr>
                <w:p w14:paraId="1CE380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CD1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2651C3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3FDBE970">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tc>
              <w:tc>
                <w:tcPr>
                  <w:tcW w:w="1700" w:type="pct"/>
                  <w:noWrap w:val="0"/>
                  <w:vAlign w:val="center"/>
                </w:tcPr>
                <w:p w14:paraId="580D15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lang w:eastAsia="zh-CN"/>
                    </w:rPr>
                    <w:t>。</w:t>
                  </w:r>
                </w:p>
              </w:tc>
              <w:tc>
                <w:tcPr>
                  <w:tcW w:w="584" w:type="pct"/>
                  <w:noWrap w:val="0"/>
                  <w:vAlign w:val="center"/>
                </w:tcPr>
                <w:p w14:paraId="6DD35F0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5C1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6D95639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44030B5B">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3.严格保护城乡饮用水水源地，整治饮用水水源保护区内的污染源，确保饮水安全。</w:t>
                  </w:r>
                </w:p>
              </w:tc>
              <w:tc>
                <w:tcPr>
                  <w:tcW w:w="1700" w:type="pct"/>
                  <w:noWrap w:val="0"/>
                  <w:vAlign w:val="center"/>
                </w:tcPr>
                <w:p w14:paraId="778AE2A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584" w:type="pct"/>
                  <w:noWrap w:val="0"/>
                  <w:vAlign w:val="center"/>
                </w:tcPr>
                <w:p w14:paraId="0FAB75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14:paraId="343A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2D47DD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65165FF8">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tc>
              <w:tc>
                <w:tcPr>
                  <w:tcW w:w="1700" w:type="pct"/>
                  <w:noWrap w:val="0"/>
                  <w:vAlign w:val="center"/>
                </w:tcPr>
                <w:p w14:paraId="46E0CB0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本项目主要污染物为颗粒物，产生量较小，本项目为配煤项目，不属于</w:t>
                  </w:r>
                  <w:r>
                    <w:rPr>
                      <w:rFonts w:hint="default" w:ascii="Times New Roman" w:hAnsi="Times New Roman" w:eastAsia="宋体" w:cs="Times New Roman"/>
                      <w:color w:val="auto"/>
                      <w:sz w:val="21"/>
                      <w:szCs w:val="21"/>
                    </w:rPr>
                    <w:t>石化、化工、包装印刷、工业涂装</w:t>
                  </w:r>
                  <w:r>
                    <w:rPr>
                      <w:rFonts w:hint="default" w:ascii="Times New Roman" w:hAnsi="Times New Roman" w:eastAsia="宋体" w:cs="Times New Roman"/>
                      <w:color w:val="auto"/>
                      <w:sz w:val="21"/>
                      <w:szCs w:val="21"/>
                      <w:lang w:val="en-US" w:eastAsia="zh-CN"/>
                    </w:rPr>
                    <w:t>等行业，本项目运输车辆优先选用新能源汽车密闭运输，不涉及</w:t>
                  </w:r>
                  <w:r>
                    <w:rPr>
                      <w:rFonts w:hint="default" w:ascii="Times New Roman" w:hAnsi="Times New Roman" w:eastAsia="宋体" w:cs="Times New Roman"/>
                      <w:color w:val="auto"/>
                      <w:sz w:val="21"/>
                      <w:szCs w:val="21"/>
                    </w:rPr>
                    <w:t>煤电、水泥、焦化</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钢铁行业</w:t>
                  </w:r>
                  <w:r>
                    <w:rPr>
                      <w:rFonts w:hint="default" w:ascii="Times New Roman" w:hAnsi="Times New Roman" w:eastAsia="宋体" w:cs="Times New Roman"/>
                      <w:color w:val="auto"/>
                      <w:sz w:val="21"/>
                      <w:szCs w:val="21"/>
                      <w:lang w:val="en-US" w:eastAsia="zh-CN"/>
                    </w:rPr>
                    <w:t>的超低排放改造。</w:t>
                  </w:r>
                  <w:r>
                    <w:rPr>
                      <w:rFonts w:hint="default" w:ascii="Times New Roman" w:hAnsi="Times New Roman" w:eastAsia="宋体" w:cs="Times New Roman"/>
                      <w:color w:val="auto"/>
                      <w:kern w:val="0"/>
                      <w:sz w:val="21"/>
                      <w:szCs w:val="21"/>
                      <w:lang w:bidi="ar"/>
                    </w:rPr>
                    <w:t>本项目不涉及恶臭气体产生，也不涉及秸秆的产生及利用。</w:t>
                  </w:r>
                </w:p>
              </w:tc>
              <w:tc>
                <w:tcPr>
                  <w:tcW w:w="584" w:type="pct"/>
                  <w:noWrap w:val="0"/>
                  <w:vAlign w:val="center"/>
                </w:tcPr>
                <w:p w14:paraId="6CFF2F8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6BC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365321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411BDE31">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5.加大环境污染物减排力度，到2025年，实现氮氧化物减排1224吨，挥发性有机物减排1393吨，化学需氧量减排2461吨，氨氮减排230吨。</w:t>
                  </w:r>
                </w:p>
              </w:tc>
              <w:tc>
                <w:tcPr>
                  <w:tcW w:w="1700" w:type="pct"/>
                  <w:noWrap w:val="0"/>
                  <w:vAlign w:val="center"/>
                </w:tcPr>
                <w:p w14:paraId="0E9E3A0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584" w:type="pct"/>
                  <w:noWrap w:val="0"/>
                  <w:vAlign w:val="center"/>
                </w:tcPr>
                <w:p w14:paraId="645FD3C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BF1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38C7576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7AB70600">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tc>
              <w:tc>
                <w:tcPr>
                  <w:tcW w:w="1700" w:type="pct"/>
                  <w:noWrap w:val="0"/>
                  <w:vAlign w:val="center"/>
                </w:tcPr>
                <w:p w14:paraId="7767EAD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eastAsiaTheme="minorEastAsia"/>
                      <w:color w:val="auto"/>
                      <w:sz w:val="21"/>
                      <w:szCs w:val="21"/>
                      <w:lang w:val="en-US" w:eastAsia="zh-CN"/>
                    </w:rPr>
                    <w:t>利用玉溪利东商贸有限公司已建设完成的封闭式厂房进行建设</w:t>
                  </w:r>
                  <w:r>
                    <w:rPr>
                      <w:rFonts w:hint="default" w:ascii="Times New Roman" w:hAnsi="Times New Roman" w:eastAsia="宋体" w:cs="Times New Roman"/>
                      <w:color w:val="auto"/>
                      <w:sz w:val="21"/>
                      <w:szCs w:val="21"/>
                      <w:lang w:val="en-US" w:eastAsia="zh-CN"/>
                    </w:rPr>
                    <w:t>，该封闭式厂房用地性质为建设用地，不属于</w:t>
                  </w:r>
                  <w:r>
                    <w:rPr>
                      <w:rFonts w:hint="default" w:ascii="Times New Roman" w:hAnsi="Times New Roman" w:eastAsia="宋体" w:cs="Times New Roman"/>
                      <w:color w:val="auto"/>
                      <w:sz w:val="21"/>
                      <w:szCs w:val="21"/>
                    </w:rPr>
                    <w:t>农用地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本项目属于新建项目，无原有环境问题遗留，未被列入</w:t>
                  </w:r>
                  <w:r>
                    <w:rPr>
                      <w:rFonts w:hint="default" w:ascii="Times New Roman" w:hAnsi="Times New Roman" w:eastAsia="宋体" w:cs="Times New Roman"/>
                      <w:color w:val="auto"/>
                      <w:sz w:val="21"/>
                      <w:szCs w:val="21"/>
                    </w:rPr>
                    <w:t>建设用地土壤污染风险管控和修复名录的地块</w:t>
                  </w:r>
                  <w:r>
                    <w:rPr>
                      <w:rFonts w:hint="default" w:ascii="Times New Roman" w:hAnsi="Times New Roman" w:eastAsia="宋体" w:cs="Times New Roman"/>
                      <w:color w:val="auto"/>
                      <w:sz w:val="21"/>
                      <w:szCs w:val="21"/>
                      <w:lang w:eastAsia="zh-CN"/>
                    </w:rPr>
                    <w:t>。</w:t>
                  </w:r>
                </w:p>
                <w:p w14:paraId="5F674C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584" w:type="pct"/>
                  <w:noWrap w:val="0"/>
                  <w:vAlign w:val="center"/>
                </w:tcPr>
                <w:p w14:paraId="36EA03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8F9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4FA2D7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6CD2CF19">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tc>
              <w:tc>
                <w:tcPr>
                  <w:tcW w:w="1700" w:type="pct"/>
                  <w:noWrap w:val="0"/>
                  <w:vAlign w:val="center"/>
                </w:tcPr>
                <w:p w14:paraId="21D181AB">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本项目严格落实“无废城市”建设要求，建立工业固废全过程污染防治责任制度，按规定建立管理台账，</w:t>
                  </w:r>
                  <w:r>
                    <w:rPr>
                      <w:rFonts w:hint="default" w:ascii="Times New Roman" w:hAnsi="Times New Roman" w:eastAsia="宋体" w:cs="Times New Roman"/>
                      <w:color w:val="auto"/>
                      <w:sz w:val="21"/>
                      <w:szCs w:val="21"/>
                      <w:lang w:val="en-US" w:eastAsia="zh-CN"/>
                    </w:rPr>
                    <w:t>固废</w:t>
                  </w:r>
                  <w:r>
                    <w:rPr>
                      <w:rFonts w:hint="default" w:ascii="Times New Roman" w:hAnsi="Times New Roman" w:eastAsia="宋体" w:cs="Times New Roman"/>
                      <w:color w:val="auto"/>
                      <w:sz w:val="21"/>
                      <w:szCs w:val="21"/>
                    </w:rPr>
                    <w:t>处置率100%。</w:t>
                  </w:r>
                </w:p>
              </w:tc>
              <w:tc>
                <w:tcPr>
                  <w:tcW w:w="584" w:type="pct"/>
                  <w:noWrap w:val="0"/>
                  <w:vAlign w:val="center"/>
                </w:tcPr>
                <w:p w14:paraId="138BCF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DAA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19E9C85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0EA4918D">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8.到2025年，中心城区细颗粒物（PM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）平均浓度控制在21微克/立方米以内，城市空气质量优良天数比率达到98.5%以上，坚决防范重度及以上污染天气发生，全市地表水国控断面优良水体比例达80%，消除城市黑臭水体，消除劣Ⅴ类水体。</w:t>
                  </w:r>
                </w:p>
              </w:tc>
              <w:tc>
                <w:tcPr>
                  <w:tcW w:w="1700" w:type="pct"/>
                  <w:noWrap w:val="0"/>
                  <w:vAlign w:val="center"/>
                </w:tcPr>
                <w:p w14:paraId="12D582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根据工程分析，在采取本次评价所提出的污染防治措施后，大气污染物能够达标排放，无废水外排，符合管控要求。</w:t>
                  </w:r>
                </w:p>
              </w:tc>
              <w:tc>
                <w:tcPr>
                  <w:tcW w:w="584" w:type="pct"/>
                  <w:noWrap w:val="0"/>
                  <w:vAlign w:val="center"/>
                </w:tcPr>
                <w:p w14:paraId="17DB752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6EB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restart"/>
                  <w:noWrap w:val="0"/>
                  <w:vAlign w:val="center"/>
                </w:tcPr>
                <w:p w14:paraId="36557D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环境风险防控</w:t>
                  </w:r>
                </w:p>
              </w:tc>
              <w:tc>
                <w:tcPr>
                  <w:tcW w:w="2236" w:type="pct"/>
                  <w:noWrap w:val="0"/>
                  <w:vAlign w:val="center"/>
                </w:tcPr>
                <w:p w14:paraId="342F180D">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1.强化与其他滇中城市的大气、水污染防治联防联控协作机制，加强区域内重污染天气和跨界水体风险应急联动。</w:t>
                  </w:r>
                </w:p>
              </w:tc>
              <w:tc>
                <w:tcPr>
                  <w:tcW w:w="1700" w:type="pct"/>
                  <w:noWrap w:val="0"/>
                  <w:vAlign w:val="center"/>
                </w:tcPr>
                <w:p w14:paraId="5F2A614F">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项目建成后，企业将积极配合环保主管部门与其他滇中城市的大气、水污染防治联防联控协作，加强区域内重污染天气和跨界水体风险应急联动。</w:t>
                  </w:r>
                </w:p>
              </w:tc>
              <w:tc>
                <w:tcPr>
                  <w:tcW w:w="584" w:type="pct"/>
                  <w:noWrap w:val="0"/>
                  <w:vAlign w:val="center"/>
                </w:tcPr>
                <w:p w14:paraId="60FA479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4FA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49101A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4A2A9293">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700" w:type="pct"/>
                  <w:noWrap w:val="0"/>
                  <w:vAlign w:val="center"/>
                </w:tcPr>
                <w:p w14:paraId="729A30B3">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项目建成后，企业将及时编制应急预案，将项目涉及的环境风险及时纳入应急预案。</w:t>
                  </w:r>
                </w:p>
              </w:tc>
              <w:tc>
                <w:tcPr>
                  <w:tcW w:w="584" w:type="pct"/>
                  <w:noWrap w:val="0"/>
                  <w:vAlign w:val="center"/>
                </w:tcPr>
                <w:p w14:paraId="3FA4959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C19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restart"/>
                  <w:noWrap w:val="0"/>
                  <w:vAlign w:val="center"/>
                </w:tcPr>
                <w:p w14:paraId="302F8D6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资源开发利用效率</w:t>
                  </w:r>
                </w:p>
              </w:tc>
              <w:tc>
                <w:tcPr>
                  <w:tcW w:w="2236" w:type="pct"/>
                  <w:noWrap w:val="0"/>
                  <w:vAlign w:val="center"/>
                </w:tcPr>
                <w:p w14:paraId="0B678F03">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1.降低水、土地、能源、矿产资源消耗强度，强化约束性指标管理。</w:t>
                  </w:r>
                </w:p>
              </w:tc>
              <w:tc>
                <w:tcPr>
                  <w:tcW w:w="1700" w:type="pct"/>
                  <w:noWrap w:val="0"/>
                  <w:vAlign w:val="center"/>
                </w:tcPr>
                <w:p w14:paraId="567E99F5">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eastAsia" w:cs="Times New Roman" w:eastAsiaTheme="minorEastAsia"/>
                      <w:color w:val="auto"/>
                      <w:sz w:val="21"/>
                      <w:szCs w:val="21"/>
                      <w:lang w:val="en-US" w:eastAsia="zh-CN"/>
                    </w:rPr>
                    <w:t>利用玉溪利东商贸有限公司已建设完成的封闭式厂房进行建设</w:t>
                  </w:r>
                  <w:r>
                    <w:rPr>
                      <w:rFonts w:hint="default" w:ascii="Times New Roman" w:hAnsi="Times New Roman" w:eastAsia="宋体" w:cs="Times New Roman"/>
                      <w:color w:val="auto"/>
                      <w:sz w:val="21"/>
                      <w:szCs w:val="21"/>
                    </w:rPr>
                    <w:t>，不新增用地，提高土地集约利用效率；项目选用低能耗设备优化生产流程，降低单位产品能耗；项目不涉及矿产资源开采。</w:t>
                  </w:r>
                </w:p>
              </w:tc>
              <w:tc>
                <w:tcPr>
                  <w:tcW w:w="584" w:type="pct"/>
                  <w:noWrap w:val="0"/>
                  <w:vAlign w:val="center"/>
                </w:tcPr>
                <w:p w14:paraId="5C50596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135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2745CE6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6E33A2A9">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2.实行最严格的水资源管理制度，严格用水总量、强度指标管理，严格取水管控，建立重点监控取水单位名录，强化重点监控取水单位管理。全市年用水总量、万元工业增加值用水量降幅等指标达到省考核要求。</w:t>
                  </w:r>
                </w:p>
              </w:tc>
              <w:tc>
                <w:tcPr>
                  <w:tcW w:w="1700" w:type="pct"/>
                  <w:noWrap w:val="0"/>
                  <w:vAlign w:val="center"/>
                </w:tcPr>
                <w:p w14:paraId="73DF3B39">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本项目不属于高耗水企业，用水量不触及资源利用上线；生活污水与初期雨水经处理后100%回用，</w:t>
                  </w:r>
                  <w:r>
                    <w:rPr>
                      <w:rFonts w:hint="default" w:ascii="Times New Roman" w:hAnsi="Times New Roman" w:eastAsia="宋体" w:cs="Times New Roman"/>
                      <w:color w:val="auto"/>
                      <w:sz w:val="21"/>
                      <w:szCs w:val="21"/>
                      <w:lang w:val="en-US" w:eastAsia="zh-CN"/>
                    </w:rPr>
                    <w:t>车辆清洗用水经沉淀处理后循环使用，不外排，</w:t>
                  </w:r>
                  <w:r>
                    <w:rPr>
                      <w:rFonts w:hint="default" w:ascii="Times New Roman" w:hAnsi="Times New Roman" w:eastAsia="宋体" w:cs="Times New Roman"/>
                      <w:color w:val="auto"/>
                      <w:sz w:val="21"/>
                      <w:szCs w:val="21"/>
                    </w:rPr>
                    <w:t>降低水资源取用量。</w:t>
                  </w:r>
                </w:p>
              </w:tc>
              <w:tc>
                <w:tcPr>
                  <w:tcW w:w="584" w:type="pct"/>
                  <w:noWrap w:val="0"/>
                  <w:vAlign w:val="center"/>
                </w:tcPr>
                <w:p w14:paraId="59893FD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C36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2D94D4E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1ED0BA0B">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3.坚持最严格的耕地保护制度，守住耕地保护红线。坚持节约用地，严格执行耕地占补平衡等制度，提高土地投资强度和单位面积产出水平。</w:t>
                  </w:r>
                </w:p>
              </w:tc>
              <w:tc>
                <w:tcPr>
                  <w:tcW w:w="1700" w:type="pct"/>
                  <w:noWrap w:val="0"/>
                  <w:vAlign w:val="center"/>
                </w:tcPr>
                <w:p w14:paraId="77D3AD12">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eastAsia" w:cs="Times New Roman" w:eastAsiaTheme="minorEastAsia"/>
                      <w:color w:val="auto"/>
                      <w:sz w:val="21"/>
                      <w:szCs w:val="21"/>
                      <w:lang w:val="en-US" w:eastAsia="zh-CN"/>
                    </w:rPr>
                    <w:t>利用玉溪利东商贸有限公司已建设完成的封闭式厂房进行建设</w:t>
                  </w:r>
                  <w:r>
                    <w:rPr>
                      <w:rFonts w:hint="default" w:ascii="Times New Roman" w:hAnsi="Times New Roman" w:eastAsia="宋体" w:cs="Times New Roman"/>
                      <w:color w:val="auto"/>
                      <w:sz w:val="21"/>
                      <w:szCs w:val="21"/>
                    </w:rPr>
                    <w:t>，未新增建设用地，未压占基本农田、生态保护红线，不在城镇开发区边界外，因此未突破规划用地性质限制。</w:t>
                  </w:r>
                </w:p>
              </w:tc>
              <w:tc>
                <w:tcPr>
                  <w:tcW w:w="584" w:type="pct"/>
                  <w:noWrap w:val="0"/>
                  <w:vAlign w:val="center"/>
                </w:tcPr>
                <w:p w14:paraId="1424D26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BE9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3ED8FD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3D64D297">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4.全市单位GDP二氧化碳排放累计下降率完成云南省下达的指标；单位GDP能耗持续下降，到2025年，全市单位GDP能耗累计下降率14%。</w:t>
                  </w:r>
                </w:p>
              </w:tc>
              <w:tc>
                <w:tcPr>
                  <w:tcW w:w="1700" w:type="pct"/>
                  <w:noWrap w:val="0"/>
                  <w:vAlign w:val="center"/>
                </w:tcPr>
                <w:p w14:paraId="160C64F2">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以电网供电为主，无高耗能工艺及高污染燃料使用，能耗水平低；项目运营过程中无新增高耗能环节，能耗及碳排放增量可控，不会影响区域单位GDP能耗累计下降及二氧化碳排放下降目标，完全契合相关管控要求。</w:t>
                  </w:r>
                </w:p>
              </w:tc>
              <w:tc>
                <w:tcPr>
                  <w:tcW w:w="584" w:type="pct"/>
                  <w:noWrap w:val="0"/>
                  <w:vAlign w:val="center"/>
                </w:tcPr>
                <w:p w14:paraId="7DD27E9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43B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0FD4B00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03D6333E">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5.高污染燃料禁燃区按照《高污染燃料目录》及当地有关禁燃区管理规定执行。</w:t>
                  </w:r>
                </w:p>
              </w:tc>
              <w:tc>
                <w:tcPr>
                  <w:tcW w:w="1700" w:type="pct"/>
                  <w:noWrap w:val="0"/>
                  <w:vAlign w:val="center"/>
                </w:tcPr>
                <w:p w14:paraId="4066DD1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584" w:type="pct"/>
                  <w:noWrap w:val="0"/>
                  <w:vAlign w:val="center"/>
                </w:tcPr>
                <w:p w14:paraId="765A26A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14:paraId="7D1C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478" w:type="pct"/>
                  <w:vMerge w:val="continue"/>
                  <w:noWrap w:val="0"/>
                  <w:vAlign w:val="center"/>
                </w:tcPr>
                <w:p w14:paraId="6AAF79E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17CC3B1F">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6.实施高效节水灌溉工程，大力推广高效节水灌溉措施，到2025年，农田灌溉水有效利用系数达到0.55。</w:t>
                  </w:r>
                </w:p>
              </w:tc>
              <w:tc>
                <w:tcPr>
                  <w:tcW w:w="1700" w:type="pct"/>
                  <w:noWrap w:val="0"/>
                  <w:vAlign w:val="center"/>
                </w:tcPr>
                <w:p w14:paraId="1E3FDA8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584" w:type="pct"/>
                  <w:noWrap w:val="0"/>
                  <w:vAlign w:val="center"/>
                </w:tcPr>
                <w:p w14:paraId="054937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14:paraId="4194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trPr>
              <w:tc>
                <w:tcPr>
                  <w:tcW w:w="5000" w:type="pct"/>
                  <w:gridSpan w:val="4"/>
                  <w:noWrap w:val="0"/>
                  <w:vAlign w:val="center"/>
                </w:tcPr>
                <w:p w14:paraId="4A203C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生态环境准入清单（峨山县矿产资源重点管控单元</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管控单元编码</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ZH53042620003</w:t>
                  </w:r>
                  <w:r>
                    <w:rPr>
                      <w:rFonts w:hint="default" w:ascii="Times New Roman" w:hAnsi="Times New Roman" w:eastAsia="宋体" w:cs="Times New Roman"/>
                      <w:b/>
                      <w:bCs/>
                      <w:color w:val="auto"/>
                      <w:sz w:val="21"/>
                      <w:szCs w:val="21"/>
                      <w:lang w:eastAsia="zh-CN"/>
                    </w:rPr>
                    <w:t>）</w:t>
                  </w:r>
                </w:p>
              </w:tc>
            </w:tr>
            <w:tr w14:paraId="42AD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78" w:type="pct"/>
                  <w:vMerge w:val="restart"/>
                  <w:noWrap w:val="0"/>
                  <w:vAlign w:val="center"/>
                </w:tcPr>
                <w:p w14:paraId="5C0F08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w:t>
                  </w:r>
                  <w:r>
                    <w:rPr>
                      <w:rFonts w:hint="default" w:ascii="Times New Roman" w:hAnsi="Times New Roman" w:eastAsia="宋体" w:cs="Times New Roman"/>
                      <w:b/>
                      <w:bCs/>
                      <w:color w:val="auto"/>
                      <w:sz w:val="21"/>
                      <w:szCs w:val="21"/>
                      <w:lang w:val="en-US" w:eastAsia="zh-CN"/>
                    </w:rPr>
                    <w:t>空</w:t>
                  </w:r>
                  <w:r>
                    <w:rPr>
                      <w:rFonts w:hint="default" w:ascii="Times New Roman" w:hAnsi="Times New Roman" w:eastAsia="宋体" w:cs="Times New Roman"/>
                      <w:b/>
                      <w:bCs/>
                      <w:color w:val="auto"/>
                      <w:sz w:val="21"/>
                      <w:szCs w:val="21"/>
                    </w:rPr>
                    <w:t>间布局约束</w:t>
                  </w:r>
                </w:p>
              </w:tc>
              <w:tc>
                <w:tcPr>
                  <w:tcW w:w="2236" w:type="pct"/>
                  <w:noWrap w:val="0"/>
                  <w:vAlign w:val="center"/>
                </w:tcPr>
                <w:p w14:paraId="2731A2F8">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bCs/>
                      <w:color w:val="auto"/>
                      <w:sz w:val="21"/>
                      <w:szCs w:val="21"/>
                    </w:rPr>
                    <w:t>限制开采供过于求、国家规定保护性开采、资源总量不足和对生态环境影响较大的矿产。禁止开采可耕地的砖瓦用粘土等矿产</w:t>
                  </w:r>
                  <w:r>
                    <w:rPr>
                      <w:rFonts w:hint="default" w:ascii="Times New Roman" w:hAnsi="Times New Roman" w:eastAsia="宋体" w:cs="Times New Roman"/>
                      <w:color w:val="auto"/>
                      <w:sz w:val="21"/>
                      <w:szCs w:val="21"/>
                    </w:rPr>
                    <w:t>。</w:t>
                  </w:r>
                </w:p>
              </w:tc>
              <w:tc>
                <w:tcPr>
                  <w:tcW w:w="1700" w:type="pct"/>
                  <w:noWrap w:val="0"/>
                  <w:vAlign w:val="center"/>
                </w:tcPr>
                <w:p w14:paraId="38111AB4">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SA"/>
                    </w:rPr>
                    <w:t>项目主要为通过外购不同品质的无烟煤进行配煤加工，不涉及矿山开采</w:t>
                  </w:r>
                  <w:r>
                    <w:rPr>
                      <w:rFonts w:hint="default" w:ascii="Times New Roman" w:hAnsi="Times New Roman" w:eastAsia="宋体" w:cs="Times New Roman"/>
                      <w:color w:val="auto"/>
                      <w:sz w:val="21"/>
                      <w:szCs w:val="21"/>
                    </w:rPr>
                    <w:t>。</w:t>
                  </w:r>
                </w:p>
                <w:p w14:paraId="35CDC0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584" w:type="pct"/>
                  <w:noWrap w:val="0"/>
                  <w:vAlign w:val="center"/>
                </w:tcPr>
                <w:p w14:paraId="57F79DF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FAC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78" w:type="pct"/>
                  <w:vMerge w:val="continue"/>
                  <w:noWrap w:val="0"/>
                  <w:vAlign w:val="center"/>
                </w:tcPr>
                <w:p w14:paraId="7AC546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3C797F2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bCs/>
                      <w:color w:val="auto"/>
                      <w:sz w:val="21"/>
                      <w:szCs w:val="21"/>
                    </w:rPr>
                    <w:t>新建矿山严格控制最低开采规模及最低服务年限，原则上新建矿山设计规模应达到中型以上</w:t>
                  </w:r>
                  <w:r>
                    <w:rPr>
                      <w:rFonts w:hint="default" w:ascii="Times New Roman" w:hAnsi="Times New Roman" w:eastAsia="宋体" w:cs="Times New Roman"/>
                      <w:color w:val="auto"/>
                      <w:sz w:val="21"/>
                      <w:szCs w:val="21"/>
                    </w:rPr>
                    <w:t>。</w:t>
                  </w:r>
                </w:p>
              </w:tc>
              <w:tc>
                <w:tcPr>
                  <w:tcW w:w="1700" w:type="pct"/>
                  <w:noWrap w:val="0"/>
                  <w:vAlign w:val="center"/>
                </w:tcPr>
                <w:p w14:paraId="2F9B545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本项目不涉及。</w:t>
                  </w:r>
                </w:p>
              </w:tc>
              <w:tc>
                <w:tcPr>
                  <w:tcW w:w="584" w:type="pct"/>
                  <w:noWrap w:val="0"/>
                  <w:vAlign w:val="center"/>
                </w:tcPr>
                <w:p w14:paraId="764C884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35E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8" w:type="pct"/>
                  <w:vMerge w:val="continue"/>
                  <w:noWrap w:val="0"/>
                  <w:vAlign w:val="center"/>
                </w:tcPr>
                <w:p w14:paraId="6724CB6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0B7BD81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bCs/>
                      <w:color w:val="auto"/>
                      <w:sz w:val="21"/>
                      <w:szCs w:val="21"/>
                    </w:rPr>
                    <w:t>严格执行禁止开采区规定，对各类保护区内已设置的商业探矿权和采矿权，依法退出；对各类保护区设立之前已存在的合法探矿权和采矿权，以及各类保护区设立之后各项手续完备且已征得保护区主管部门同意设立的探矿权和采矿权，分类提出差别化的补偿和退出方案，在保障探矿权和采矿权人合法权益的前提下，依法有序退出</w:t>
                  </w:r>
                  <w:r>
                    <w:rPr>
                      <w:rFonts w:hint="default" w:ascii="Times New Roman" w:hAnsi="Times New Roman" w:eastAsia="宋体" w:cs="Times New Roman"/>
                      <w:color w:val="auto"/>
                      <w:kern w:val="0"/>
                      <w:sz w:val="21"/>
                      <w:szCs w:val="21"/>
                      <w:lang w:bidi="ar"/>
                    </w:rPr>
                    <w:t>。</w:t>
                  </w:r>
                </w:p>
              </w:tc>
              <w:tc>
                <w:tcPr>
                  <w:tcW w:w="1700" w:type="pct"/>
                  <w:noWrap w:val="0"/>
                  <w:vAlign w:val="center"/>
                </w:tcPr>
                <w:p w14:paraId="395FD92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本项目不涉及。</w:t>
                  </w:r>
                </w:p>
              </w:tc>
              <w:tc>
                <w:tcPr>
                  <w:tcW w:w="584" w:type="pct"/>
                  <w:noWrap w:val="0"/>
                  <w:vAlign w:val="center"/>
                </w:tcPr>
                <w:p w14:paraId="16E191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w:t>
                  </w:r>
                </w:p>
              </w:tc>
            </w:tr>
            <w:tr w14:paraId="07CF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78" w:type="pct"/>
                  <w:vMerge w:val="restart"/>
                  <w:noWrap w:val="0"/>
                  <w:vAlign w:val="center"/>
                </w:tcPr>
                <w:p w14:paraId="6835263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w:t>
                  </w:r>
                  <w:r>
                    <w:rPr>
                      <w:rFonts w:hint="default" w:ascii="Times New Roman" w:hAnsi="Times New Roman" w:eastAsia="宋体" w:cs="Times New Roman"/>
                      <w:b/>
                      <w:bCs/>
                      <w:color w:val="auto"/>
                      <w:sz w:val="21"/>
                      <w:szCs w:val="21"/>
                      <w:lang w:val="en-US" w:eastAsia="zh-CN"/>
                    </w:rPr>
                    <w:t>污</w:t>
                  </w:r>
                  <w:r>
                    <w:rPr>
                      <w:rFonts w:hint="default" w:ascii="Times New Roman" w:hAnsi="Times New Roman" w:eastAsia="宋体" w:cs="Times New Roman"/>
                      <w:b/>
                      <w:bCs/>
                      <w:color w:val="auto"/>
                      <w:sz w:val="21"/>
                      <w:szCs w:val="21"/>
                    </w:rPr>
                    <w:t>染物排放管控</w:t>
                  </w:r>
                </w:p>
              </w:tc>
              <w:tc>
                <w:tcPr>
                  <w:tcW w:w="2236" w:type="pct"/>
                  <w:noWrap w:val="0"/>
                  <w:vAlign w:val="center"/>
                </w:tcPr>
                <w:p w14:paraId="52B32D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bCs/>
                      <w:color w:val="auto"/>
                      <w:sz w:val="21"/>
                      <w:szCs w:val="21"/>
                    </w:rPr>
                    <w:t>推行清洁生产工艺，严格控制矿产资源开发的污染物排放</w:t>
                  </w:r>
                  <w:r>
                    <w:rPr>
                      <w:rFonts w:hint="default" w:ascii="Times New Roman" w:hAnsi="Times New Roman" w:eastAsia="宋体" w:cs="Times New Roman"/>
                      <w:color w:val="auto"/>
                      <w:sz w:val="21"/>
                      <w:szCs w:val="21"/>
                    </w:rPr>
                    <w:t>。</w:t>
                  </w:r>
                </w:p>
              </w:tc>
              <w:tc>
                <w:tcPr>
                  <w:tcW w:w="1700" w:type="pct"/>
                  <w:vMerge w:val="restart"/>
                  <w:noWrap w:val="0"/>
                  <w:vAlign w:val="center"/>
                </w:tcPr>
                <w:p w14:paraId="21B8C43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SA"/>
                    </w:rPr>
                    <w:t>项目主要为通过外购不同品质的</w:t>
                  </w:r>
                  <w:r>
                    <w:rPr>
                      <w:rFonts w:hint="eastAsia" w:cs="Times New Roman"/>
                      <w:color w:val="auto"/>
                      <w:kern w:val="0"/>
                      <w:sz w:val="21"/>
                      <w:szCs w:val="21"/>
                      <w:lang w:val="en-US" w:eastAsia="zh-CN" w:bidi="ar-SA"/>
                    </w:rPr>
                    <w:t>无烟煤</w:t>
                  </w:r>
                  <w:r>
                    <w:rPr>
                      <w:rFonts w:hint="default" w:ascii="Times New Roman" w:hAnsi="Times New Roman" w:eastAsia="宋体" w:cs="Times New Roman"/>
                      <w:color w:val="auto"/>
                      <w:kern w:val="0"/>
                      <w:sz w:val="21"/>
                      <w:szCs w:val="21"/>
                      <w:lang w:val="en-US" w:eastAsia="zh-CN" w:bidi="ar-SA"/>
                    </w:rPr>
                    <w:t>进行配煤加工，不涉及选矿，不涉及矿山矿山开采和矿山修复治理</w:t>
                  </w:r>
                </w:p>
              </w:tc>
              <w:tc>
                <w:tcPr>
                  <w:tcW w:w="584" w:type="pct"/>
                  <w:noWrap w:val="0"/>
                  <w:vAlign w:val="center"/>
                </w:tcPr>
                <w:p w14:paraId="55C632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11A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78" w:type="pct"/>
                  <w:vMerge w:val="continue"/>
                  <w:noWrap w:val="0"/>
                  <w:vAlign w:val="center"/>
                </w:tcPr>
                <w:p w14:paraId="180A773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36" w:type="pct"/>
                  <w:noWrap w:val="0"/>
                  <w:vAlign w:val="center"/>
                </w:tcPr>
                <w:p w14:paraId="2F05D7C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bCs/>
                      <w:color w:val="auto"/>
                      <w:sz w:val="21"/>
                      <w:szCs w:val="21"/>
                    </w:rPr>
                    <w:t>对原有大中型矿山进行技术改造，淘汰污染严重、资源利用率低的落后设备与工艺</w:t>
                  </w:r>
                  <w:r>
                    <w:rPr>
                      <w:rFonts w:hint="default" w:ascii="Times New Roman" w:hAnsi="Times New Roman" w:eastAsia="宋体" w:cs="Times New Roman"/>
                      <w:color w:val="auto"/>
                      <w:sz w:val="21"/>
                      <w:szCs w:val="21"/>
                    </w:rPr>
                    <w:t>。</w:t>
                  </w:r>
                </w:p>
              </w:tc>
              <w:tc>
                <w:tcPr>
                  <w:tcW w:w="1700" w:type="pct"/>
                  <w:vMerge w:val="continue"/>
                  <w:noWrap w:val="0"/>
                  <w:vAlign w:val="center"/>
                </w:tcPr>
                <w:p w14:paraId="676D3F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584" w:type="pct"/>
                  <w:noWrap w:val="0"/>
                  <w:vAlign w:val="center"/>
                </w:tcPr>
                <w:p w14:paraId="244C69B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632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78" w:type="pct"/>
                  <w:vMerge w:val="continue"/>
                  <w:noWrap w:val="0"/>
                  <w:vAlign w:val="center"/>
                </w:tcPr>
                <w:p w14:paraId="05AB6AD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0DCE17F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bCs/>
                      <w:color w:val="auto"/>
                      <w:sz w:val="21"/>
                      <w:szCs w:val="21"/>
                    </w:rPr>
                    <w:t>加强绿色勘查开采新技术、新方法和新工艺研发与推广，积极推进绿色勘查与开发</w:t>
                  </w:r>
                  <w:r>
                    <w:rPr>
                      <w:rFonts w:hint="default" w:ascii="Times New Roman" w:hAnsi="Times New Roman" w:eastAsia="宋体" w:cs="Times New Roman"/>
                      <w:color w:val="auto"/>
                      <w:sz w:val="21"/>
                      <w:szCs w:val="21"/>
                    </w:rPr>
                    <w:t>。</w:t>
                  </w:r>
                </w:p>
              </w:tc>
              <w:tc>
                <w:tcPr>
                  <w:tcW w:w="1700" w:type="pct"/>
                  <w:vMerge w:val="continue"/>
                  <w:noWrap w:val="0"/>
                  <w:vAlign w:val="center"/>
                </w:tcPr>
                <w:p w14:paraId="7BB681C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584" w:type="pct"/>
                  <w:noWrap w:val="0"/>
                  <w:vAlign w:val="center"/>
                </w:tcPr>
                <w:p w14:paraId="2AEE7AA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818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78" w:type="pct"/>
                  <w:vMerge w:val="continue"/>
                  <w:noWrap w:val="0"/>
                  <w:vAlign w:val="center"/>
                </w:tcPr>
                <w:p w14:paraId="08854B2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6055E6B9">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bCs/>
                      <w:color w:val="auto"/>
                      <w:sz w:val="21"/>
                      <w:szCs w:val="21"/>
                    </w:rPr>
                    <w:t>推进绿色矿山建设，完善尾矿库污染防治措施，严格落实排污许可制度。</w:t>
                  </w:r>
                </w:p>
              </w:tc>
              <w:tc>
                <w:tcPr>
                  <w:tcW w:w="1700" w:type="pct"/>
                  <w:vMerge w:val="continue"/>
                  <w:noWrap w:val="0"/>
                  <w:vAlign w:val="center"/>
                </w:tcPr>
                <w:p w14:paraId="1C43C8C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584" w:type="pct"/>
                  <w:noWrap w:val="0"/>
                  <w:vAlign w:val="center"/>
                </w:tcPr>
                <w:p w14:paraId="18AFB68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70D0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78" w:type="pct"/>
                  <w:vMerge w:val="continue"/>
                  <w:noWrap w:val="0"/>
                  <w:vAlign w:val="center"/>
                </w:tcPr>
                <w:p w14:paraId="65AC011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36B73187">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bCs/>
                      <w:color w:val="auto"/>
                      <w:sz w:val="21"/>
                      <w:szCs w:val="21"/>
                    </w:rPr>
                    <w:t>加快推进历史遗留矿山生态修复工作，争取到2025年，基本完成历史遗留露天矿山生态修复工作</w:t>
                  </w:r>
                  <w:r>
                    <w:rPr>
                      <w:rFonts w:hint="default" w:ascii="Times New Roman" w:hAnsi="Times New Roman" w:eastAsia="宋体" w:cs="Times New Roman"/>
                      <w:color w:val="auto"/>
                      <w:sz w:val="21"/>
                      <w:szCs w:val="21"/>
                    </w:rPr>
                    <w:t>。</w:t>
                  </w:r>
                </w:p>
              </w:tc>
              <w:tc>
                <w:tcPr>
                  <w:tcW w:w="1700" w:type="pct"/>
                  <w:vMerge w:val="continue"/>
                  <w:noWrap w:val="0"/>
                  <w:vAlign w:val="center"/>
                </w:tcPr>
                <w:p w14:paraId="7B11B09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584" w:type="pct"/>
                  <w:noWrap w:val="0"/>
                  <w:vAlign w:val="center"/>
                </w:tcPr>
                <w:p w14:paraId="44F3E2E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C0C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78" w:type="pct"/>
                  <w:vMerge w:val="restart"/>
                  <w:noWrap w:val="0"/>
                  <w:vAlign w:val="center"/>
                </w:tcPr>
                <w:p w14:paraId="0DEC65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w:t>
                  </w:r>
                  <w:r>
                    <w:rPr>
                      <w:rFonts w:hint="default" w:ascii="Times New Roman" w:hAnsi="Times New Roman" w:eastAsia="宋体" w:cs="Times New Roman"/>
                      <w:b/>
                      <w:bCs/>
                      <w:color w:val="auto"/>
                      <w:sz w:val="21"/>
                      <w:szCs w:val="21"/>
                      <w:lang w:val="en-US" w:eastAsia="zh-CN"/>
                    </w:rPr>
                    <w:t>环</w:t>
                  </w:r>
                  <w:r>
                    <w:rPr>
                      <w:rFonts w:hint="default" w:ascii="Times New Roman" w:hAnsi="Times New Roman" w:eastAsia="宋体" w:cs="Times New Roman"/>
                      <w:b/>
                      <w:bCs/>
                      <w:color w:val="auto"/>
                      <w:sz w:val="21"/>
                      <w:szCs w:val="21"/>
                    </w:rPr>
                    <w:t>境风险防控</w:t>
                  </w:r>
                </w:p>
              </w:tc>
              <w:tc>
                <w:tcPr>
                  <w:tcW w:w="2236" w:type="pct"/>
                  <w:noWrap w:val="0"/>
                  <w:vAlign w:val="center"/>
                </w:tcPr>
                <w:p w14:paraId="459F31DA">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bCs/>
                      <w:color w:val="auto"/>
                      <w:sz w:val="21"/>
                      <w:szCs w:val="21"/>
                    </w:rPr>
                    <w:t>矿山采选区、废水处理设施、固体废物储存场所等应配备完善的污染防治措施，严防对水体和土壤造成污染</w:t>
                  </w:r>
                  <w:r>
                    <w:rPr>
                      <w:rFonts w:hint="default" w:ascii="Times New Roman" w:hAnsi="Times New Roman" w:eastAsia="宋体" w:cs="Times New Roman"/>
                      <w:color w:val="auto"/>
                      <w:sz w:val="21"/>
                      <w:szCs w:val="21"/>
                    </w:rPr>
                    <w:t>。</w:t>
                  </w:r>
                </w:p>
              </w:tc>
              <w:tc>
                <w:tcPr>
                  <w:tcW w:w="1700" w:type="pct"/>
                  <w:vMerge w:val="restart"/>
                  <w:noWrap w:val="0"/>
                  <w:vAlign w:val="center"/>
                </w:tcPr>
                <w:p w14:paraId="15E0E973">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本项目生活污水经2m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/d的一体化污水处理设施处理达标后回用于厂区绿化，不外排；</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车辆清洗用水经沉淀处理后循环使用，不外排</w:t>
                  </w:r>
                  <w:r>
                    <w:rPr>
                      <w:rFonts w:hint="eastAsia" w:cs="Times New Roman"/>
                      <w:color w:val="auto"/>
                      <w:sz w:val="21"/>
                      <w:szCs w:val="21"/>
                      <w:lang w:val="en-US" w:eastAsia="zh-CN"/>
                    </w:rPr>
                    <w:t>；初期雨水经沉淀处理后回用于厂区洒水降尘，不外排。</w:t>
                  </w:r>
                  <w:r>
                    <w:rPr>
                      <w:rFonts w:hint="default" w:ascii="Times New Roman" w:hAnsi="Times New Roman" w:eastAsia="宋体" w:cs="Times New Roman"/>
                      <w:color w:val="auto"/>
                      <w:sz w:val="21"/>
                      <w:szCs w:val="21"/>
                      <w:lang w:val="en-US" w:eastAsia="zh-CN"/>
                    </w:rPr>
                    <w:t>项目的建设对地表水、大气环境、土壤影响较小</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kern w:val="0"/>
                      <w:sz w:val="21"/>
                      <w:szCs w:val="21"/>
                      <w:lang w:val="en-US" w:eastAsia="zh-CN" w:bidi="ar"/>
                    </w:rPr>
                    <w:t>本项目不涉及</w:t>
                  </w:r>
                  <w:r>
                    <w:rPr>
                      <w:rFonts w:hint="default" w:ascii="Times New Roman" w:hAnsi="Times New Roman" w:eastAsia="宋体" w:cs="Times New Roman"/>
                      <w:color w:val="auto"/>
                      <w:kern w:val="0"/>
                      <w:sz w:val="21"/>
                      <w:szCs w:val="21"/>
                      <w:lang w:val="en-US" w:eastAsia="zh-CN" w:bidi="ar-SA"/>
                    </w:rPr>
                    <w:t>矿山的开采</w:t>
                  </w:r>
                  <w:r>
                    <w:rPr>
                      <w:rFonts w:hint="default" w:ascii="Times New Roman" w:hAnsi="Times New Roman" w:eastAsia="宋体" w:cs="Times New Roman"/>
                      <w:color w:val="auto"/>
                      <w:kern w:val="0"/>
                      <w:sz w:val="21"/>
                      <w:szCs w:val="21"/>
                      <w:lang w:bidi="ar"/>
                    </w:rPr>
                    <w:t>。</w:t>
                  </w:r>
                </w:p>
              </w:tc>
              <w:tc>
                <w:tcPr>
                  <w:tcW w:w="584" w:type="pct"/>
                  <w:noWrap w:val="0"/>
                  <w:vAlign w:val="center"/>
                </w:tcPr>
                <w:p w14:paraId="2F1EBD1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color w:val="auto"/>
                      <w:sz w:val="21"/>
                      <w:szCs w:val="21"/>
                      <w:lang w:val="en-US" w:eastAsia="zh-CN"/>
                    </w:rPr>
                    <w:t>符合</w:t>
                  </w:r>
                </w:p>
              </w:tc>
            </w:tr>
            <w:tr w14:paraId="7554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8" w:type="pct"/>
                  <w:vMerge w:val="continue"/>
                  <w:noWrap w:val="0"/>
                  <w:vAlign w:val="center"/>
                </w:tcPr>
                <w:p w14:paraId="688C02C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p>
              </w:tc>
              <w:tc>
                <w:tcPr>
                  <w:tcW w:w="2236" w:type="pct"/>
                  <w:noWrap w:val="0"/>
                  <w:vAlign w:val="center"/>
                </w:tcPr>
                <w:p w14:paraId="068DBB3F">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Cs/>
                      <w:color w:val="auto"/>
                      <w:sz w:val="21"/>
                      <w:szCs w:val="21"/>
                    </w:rPr>
                    <w:t>2.对尾矿库、废石堆通过平整、覆土、种植等措施开展复垦还绿，严防重金属污染。</w:t>
                  </w:r>
                </w:p>
              </w:tc>
              <w:tc>
                <w:tcPr>
                  <w:tcW w:w="1700" w:type="pct"/>
                  <w:vMerge w:val="continue"/>
                  <w:noWrap w:val="0"/>
                  <w:vAlign w:val="center"/>
                </w:tcPr>
                <w:p w14:paraId="574258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p>
              </w:tc>
              <w:tc>
                <w:tcPr>
                  <w:tcW w:w="584" w:type="pct"/>
                  <w:noWrap w:val="0"/>
                  <w:vAlign w:val="center"/>
                </w:tcPr>
                <w:p w14:paraId="5F15445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sz w:val="21"/>
                      <w:szCs w:val="21"/>
                      <w:lang w:val="en-US" w:eastAsia="zh-CN"/>
                    </w:rPr>
                    <w:t>符合</w:t>
                  </w:r>
                </w:p>
              </w:tc>
            </w:tr>
            <w:tr w14:paraId="1B1C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78" w:type="pct"/>
                  <w:vMerge w:val="restart"/>
                  <w:noWrap w:val="0"/>
                  <w:vAlign w:val="center"/>
                </w:tcPr>
                <w:p w14:paraId="68448A7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资</w:t>
                  </w:r>
                  <w:r>
                    <w:rPr>
                      <w:rFonts w:hint="default" w:ascii="Times New Roman" w:hAnsi="Times New Roman" w:eastAsia="宋体" w:cs="Times New Roman"/>
                      <w:b/>
                      <w:bCs/>
                      <w:color w:val="auto"/>
                      <w:sz w:val="21"/>
                      <w:szCs w:val="21"/>
                      <w:lang w:val="en-US" w:eastAsia="zh-CN"/>
                    </w:rPr>
                    <w:t>资</w:t>
                  </w:r>
                  <w:r>
                    <w:rPr>
                      <w:rFonts w:hint="default" w:ascii="Times New Roman" w:hAnsi="Times New Roman" w:eastAsia="宋体" w:cs="Times New Roman"/>
                      <w:b/>
                      <w:bCs/>
                      <w:color w:val="auto"/>
                      <w:sz w:val="21"/>
                      <w:szCs w:val="21"/>
                    </w:rPr>
                    <w:t>源开发利用效率</w:t>
                  </w:r>
                </w:p>
              </w:tc>
              <w:tc>
                <w:tcPr>
                  <w:tcW w:w="2236" w:type="pct"/>
                  <w:noWrap w:val="0"/>
                  <w:vAlign w:val="center"/>
                </w:tcPr>
                <w:p w14:paraId="6C1F50E0">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bCs/>
                      <w:color w:val="auto"/>
                      <w:sz w:val="21"/>
                      <w:szCs w:val="21"/>
                    </w:rPr>
                    <w:t>从源头减少废水产生，实施清污分流，充分利用矿井水、循环利用选矿水</w:t>
                  </w:r>
                  <w:r>
                    <w:rPr>
                      <w:rFonts w:hint="default" w:ascii="Times New Roman" w:hAnsi="Times New Roman" w:eastAsia="宋体" w:cs="Times New Roman"/>
                      <w:color w:val="auto"/>
                      <w:sz w:val="21"/>
                      <w:szCs w:val="21"/>
                    </w:rPr>
                    <w:t>。</w:t>
                  </w:r>
                </w:p>
              </w:tc>
              <w:tc>
                <w:tcPr>
                  <w:tcW w:w="1700" w:type="pct"/>
                  <w:noWrap w:val="0"/>
                  <w:vAlign w:val="center"/>
                </w:tcPr>
                <w:p w14:paraId="0703877C">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项目</w:t>
                  </w:r>
                  <w:r>
                    <w:rPr>
                      <w:rFonts w:hint="default" w:ascii="Times New Roman" w:hAnsi="Times New Roman" w:eastAsia="宋体" w:cs="Times New Roman"/>
                      <w:color w:val="auto"/>
                      <w:sz w:val="21"/>
                      <w:szCs w:val="21"/>
                      <w:lang w:val="en-US" w:eastAsia="zh-CN"/>
                    </w:rPr>
                    <w:t>车辆清洗用水经沉淀处理后循环使用，不外排，本项目无污废水</w:t>
                  </w:r>
                  <w:r>
                    <w:rPr>
                      <w:rFonts w:hint="default" w:ascii="Times New Roman" w:hAnsi="Times New Roman" w:eastAsia="宋体" w:cs="Times New Roman"/>
                      <w:color w:val="auto"/>
                      <w:sz w:val="21"/>
                      <w:szCs w:val="21"/>
                    </w:rPr>
                    <w:t>外排</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kern w:val="0"/>
                      <w:sz w:val="21"/>
                      <w:szCs w:val="21"/>
                      <w:lang w:val="en-US" w:eastAsia="zh-CN" w:bidi="ar-SA"/>
                    </w:rPr>
                    <w:t>主要为通过外购不同品质的</w:t>
                  </w:r>
                  <w:r>
                    <w:rPr>
                      <w:rFonts w:hint="eastAsia" w:cs="Times New Roman"/>
                      <w:color w:val="auto"/>
                      <w:kern w:val="0"/>
                      <w:sz w:val="21"/>
                      <w:szCs w:val="21"/>
                      <w:lang w:val="en-US" w:eastAsia="zh-CN" w:bidi="ar-SA"/>
                    </w:rPr>
                    <w:t>无烟煤</w:t>
                  </w:r>
                  <w:r>
                    <w:rPr>
                      <w:rFonts w:hint="default" w:ascii="Times New Roman" w:hAnsi="Times New Roman" w:eastAsia="宋体" w:cs="Times New Roman"/>
                      <w:color w:val="auto"/>
                      <w:kern w:val="0"/>
                      <w:sz w:val="21"/>
                      <w:szCs w:val="21"/>
                      <w:lang w:val="en-US" w:eastAsia="zh-CN" w:bidi="ar-SA"/>
                    </w:rPr>
                    <w:t>进行配煤加工，不涉及矿山的开采。</w:t>
                  </w:r>
                </w:p>
              </w:tc>
              <w:tc>
                <w:tcPr>
                  <w:tcW w:w="584" w:type="pct"/>
                  <w:noWrap w:val="0"/>
                  <w:vAlign w:val="center"/>
                </w:tcPr>
                <w:p w14:paraId="45C4FCD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4A51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Merge w:val="continue"/>
                  <w:noWrap w:val="0"/>
                  <w:vAlign w:val="center"/>
                </w:tcPr>
                <w:p w14:paraId="08ADD7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236" w:type="pct"/>
                  <w:noWrap w:val="0"/>
                  <w:vAlign w:val="center"/>
                </w:tcPr>
                <w:p w14:paraId="53B5DF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bCs/>
                      <w:color w:val="auto"/>
                      <w:sz w:val="21"/>
                      <w:szCs w:val="21"/>
                    </w:rPr>
                    <w:t>提高矿产资源回采率和综合回收率，大力开展粉煤灰、炉渣、冶炼废渣、尾矿等资源化利用</w:t>
                  </w:r>
                  <w:r>
                    <w:rPr>
                      <w:rFonts w:hint="default" w:ascii="Times New Roman" w:hAnsi="Times New Roman" w:eastAsia="宋体" w:cs="Times New Roman"/>
                      <w:color w:val="auto"/>
                      <w:sz w:val="21"/>
                      <w:szCs w:val="21"/>
                    </w:rPr>
                    <w:t>。</w:t>
                  </w:r>
                </w:p>
              </w:tc>
              <w:tc>
                <w:tcPr>
                  <w:tcW w:w="1700" w:type="pct"/>
                  <w:noWrap w:val="0"/>
                  <w:vAlign w:val="center"/>
                </w:tcPr>
                <w:p w14:paraId="29D6DEC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w:t>
                  </w:r>
                </w:p>
              </w:tc>
              <w:tc>
                <w:tcPr>
                  <w:tcW w:w="584" w:type="pct"/>
                  <w:noWrap w:val="0"/>
                  <w:vAlign w:val="center"/>
                </w:tcPr>
                <w:p w14:paraId="20CF355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bl>
          <w:p w14:paraId="593D48C4">
            <w:pPr>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b w:val="0"/>
                <w:bCs w:val="0"/>
                <w:color w:val="auto"/>
                <w:kern w:val="2"/>
                <w:sz w:val="24"/>
                <w:szCs w:val="24"/>
                <w:lang w:val="en-US" w:eastAsia="zh-CN" w:bidi="ar-SA"/>
              </w:rPr>
              <w:t>综上所述，项目与</w:t>
            </w:r>
            <w:r>
              <w:rPr>
                <w:rFonts w:hint="default" w:ascii="Times New Roman" w:hAnsi="Times New Roman" w:cs="Times New Roman" w:eastAsiaTheme="minorEastAsia"/>
                <w:b w:val="0"/>
                <w:bCs w:val="0"/>
                <w:color w:val="auto"/>
                <w:sz w:val="24"/>
                <w:szCs w:val="24"/>
                <w:lang w:val="en-US" w:eastAsia="zh-CN"/>
              </w:rPr>
              <w:t>《玉溪市生态环境局关于印发玉溪市生态环境分区管控动态更新调整方案（2023年）的通知》相符。</w:t>
            </w:r>
            <w:bookmarkStart w:id="8" w:name="_Toc3473"/>
          </w:p>
          <w:p w14:paraId="410BA43A">
            <w:pPr>
              <w:pStyle w:val="4"/>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0" w:firstLineChars="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11、项目与周边保护目标相容性分析</w:t>
            </w:r>
          </w:p>
          <w:p w14:paraId="20A05631">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本项目采用雨污分流制，</w:t>
            </w:r>
            <w:r>
              <w:rPr>
                <w:rFonts w:hint="default" w:ascii="Times New Roman" w:hAnsi="Times New Roman" w:eastAsia="宋体" w:cs="Times New Roman"/>
                <w:color w:val="auto"/>
                <w:sz w:val="24"/>
                <w:lang w:val="en-US" w:eastAsia="zh-CN"/>
              </w:rPr>
              <w:t>初期雨水</w:t>
            </w:r>
            <w:r>
              <w:rPr>
                <w:rFonts w:hint="default" w:ascii="Times New Roman" w:hAnsi="Times New Roman" w:eastAsia="宋体" w:cs="Times New Roman"/>
                <w:color w:val="auto"/>
                <w:sz w:val="24"/>
              </w:rPr>
              <w:t>经</w:t>
            </w:r>
            <w:r>
              <w:rPr>
                <w:rFonts w:hint="default" w:ascii="Times New Roman" w:hAnsi="Times New Roman" w:eastAsia="宋体" w:cs="Times New Roman"/>
                <w:color w:val="auto"/>
                <w:sz w:val="24"/>
                <w:lang w:val="en-US" w:eastAsia="zh-CN"/>
              </w:rPr>
              <w:t>收集</w:t>
            </w:r>
            <w:r>
              <w:rPr>
                <w:rFonts w:hint="default" w:ascii="Times New Roman" w:hAnsi="Times New Roman" w:eastAsia="宋体" w:cs="Times New Roman"/>
                <w:color w:val="auto"/>
                <w:sz w:val="24"/>
              </w:rPr>
              <w:t>沉淀后回用于厂区洒水降尘，不外排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项目全厂生活污水经2m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/d的一体化污水处理设施处理达标后，回用于厂区绿化，不外排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项目车辆清洗用水经沉淀处理后循环使用，不外排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本项目的建设对周边地表水影响不大；</w:t>
            </w:r>
            <w:r>
              <w:rPr>
                <w:rFonts w:hint="default" w:ascii="Times New Roman" w:hAnsi="Times New Roman" w:eastAsia="宋体" w:cs="Times New Roman"/>
                <w:color w:val="auto"/>
                <w:kern w:val="2"/>
                <w:sz w:val="24"/>
                <w:szCs w:val="24"/>
                <w:lang w:val="en-US" w:eastAsia="zh-CN" w:bidi="ar-SA"/>
              </w:rPr>
              <w:t>项目主要噪声污染源布置在生产车间内，通过厂房隔音、合理布设（尽量远离声环境保护目标）可以有效减少项目噪声对周边敏感点的影响；本项目原煤装卸堆存废气、成品装卸堆存废气和配煤废气等通过</w:t>
            </w:r>
            <w:r>
              <w:rPr>
                <w:rFonts w:hint="eastAsia" w:cs="Times New Roman"/>
                <w:color w:val="auto"/>
                <w:kern w:val="2"/>
                <w:sz w:val="24"/>
                <w:szCs w:val="24"/>
                <w:lang w:val="en-US" w:eastAsia="zh-CN" w:bidi="ar-SA"/>
              </w:rPr>
              <w:t>封闭</w:t>
            </w:r>
            <w:r>
              <w:rPr>
                <w:rFonts w:hint="default" w:ascii="Times New Roman" w:hAnsi="Times New Roman" w:eastAsia="宋体" w:cs="Times New Roman"/>
                <w:color w:val="auto"/>
                <w:kern w:val="2"/>
                <w:sz w:val="24"/>
                <w:szCs w:val="24"/>
                <w:lang w:val="en-US" w:eastAsia="zh-CN" w:bidi="ar-SA"/>
              </w:rPr>
              <w:t>车间阻隔，洒水降尘和加强人工清扫后，对外环境影响较小。峨山县化念镇常年主导风向为西南风，龙潭村位于项目西南侧（上风向）</w:t>
            </w:r>
            <w:r>
              <w:rPr>
                <w:rFonts w:hint="eastAsia" w:cs="Times New Roman"/>
                <w:color w:val="auto"/>
                <w:kern w:val="2"/>
                <w:sz w:val="24"/>
                <w:szCs w:val="24"/>
                <w:lang w:val="en-US" w:eastAsia="zh-CN" w:bidi="ar-SA"/>
              </w:rPr>
              <w:t>325m</w:t>
            </w:r>
            <w:r>
              <w:rPr>
                <w:rFonts w:hint="default" w:ascii="Times New Roman" w:hAnsi="Times New Roman" w:eastAsia="宋体" w:cs="Times New Roman"/>
                <w:color w:val="auto"/>
                <w:kern w:val="2"/>
                <w:sz w:val="24"/>
                <w:szCs w:val="24"/>
                <w:lang w:val="en-US" w:eastAsia="zh-CN" w:bidi="ar-SA"/>
              </w:rPr>
              <w:t>，且整个生产工段布设于封闭的车间内，远离项目西南侧</w:t>
            </w:r>
            <w:r>
              <w:rPr>
                <w:rFonts w:hint="eastAsia" w:cs="Times New Roman"/>
                <w:color w:val="auto"/>
                <w:kern w:val="2"/>
                <w:sz w:val="24"/>
                <w:szCs w:val="24"/>
                <w:lang w:val="en-US" w:eastAsia="zh-CN" w:bidi="ar-SA"/>
              </w:rPr>
              <w:t>325m</w:t>
            </w:r>
            <w:r>
              <w:rPr>
                <w:rFonts w:hint="default" w:ascii="Times New Roman" w:hAnsi="Times New Roman" w:eastAsia="宋体" w:cs="Times New Roman"/>
                <w:color w:val="auto"/>
                <w:kern w:val="2"/>
                <w:sz w:val="24"/>
                <w:szCs w:val="24"/>
                <w:lang w:val="en-US" w:eastAsia="zh-CN" w:bidi="ar-SA"/>
              </w:rPr>
              <w:t>的龙潭村，项目产污点均设置合理的治理设施，根据项目预测结果</w:t>
            </w:r>
            <w:r>
              <w:rPr>
                <w:rFonts w:hint="eastAsia" w:cs="Times New Roman"/>
                <w:color w:val="auto"/>
                <w:kern w:val="2"/>
                <w:sz w:val="24"/>
                <w:szCs w:val="24"/>
                <w:lang w:val="en-US" w:eastAsia="zh-CN" w:bidi="ar-SA"/>
              </w:rPr>
              <w:t>（详见下文表4-3）</w:t>
            </w:r>
            <w:r>
              <w:rPr>
                <w:rFonts w:hint="default" w:ascii="Times New Roman" w:hAnsi="Times New Roman" w:eastAsia="宋体" w:cs="Times New Roman"/>
                <w:color w:val="auto"/>
                <w:kern w:val="2"/>
                <w:sz w:val="24"/>
                <w:szCs w:val="24"/>
                <w:lang w:val="en-US" w:eastAsia="zh-CN" w:bidi="ar-SA"/>
              </w:rPr>
              <w:t>，运营期产生的废气对龙潭村产生的影响在可接受范围内</w:t>
            </w:r>
            <w:r>
              <w:rPr>
                <w:rFonts w:hint="default" w:ascii="Times New Roman" w:hAnsi="Times New Roman" w:eastAsia="宋体" w:cs="Times New Roman"/>
                <w:color w:val="auto"/>
                <w:sz w:val="24"/>
              </w:rPr>
              <w:t>；运营期产生的固体废弃物均能得到妥善处理，处置率</w:t>
            </w:r>
            <w:r>
              <w:rPr>
                <w:rFonts w:hint="default" w:ascii="Times New Roman" w:hAnsi="Times New Roman" w:eastAsia="宋体" w:cs="Times New Roman"/>
                <w:color w:val="auto"/>
                <w:sz w:val="24"/>
                <w:lang w:val="en-US" w:eastAsia="zh-CN"/>
              </w:rPr>
              <w:t>为</w:t>
            </w:r>
            <w:r>
              <w:rPr>
                <w:rFonts w:hint="default" w:ascii="Times New Roman" w:hAnsi="Times New Roman" w:eastAsia="宋体" w:cs="Times New Roman"/>
                <w:color w:val="auto"/>
                <w:sz w:val="24"/>
              </w:rPr>
              <w:t>100%</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本项目</w:t>
            </w:r>
            <w:r>
              <w:rPr>
                <w:rFonts w:hint="eastAsia" w:cs="Times New Roman" w:eastAsiaTheme="minorEastAsia"/>
                <w:color w:val="auto"/>
                <w:sz w:val="24"/>
                <w:szCs w:val="24"/>
                <w:lang w:val="en-US" w:eastAsia="zh-CN"/>
              </w:rPr>
              <w:t>利用玉溪利东商贸有限公司已建设完成的封闭式厂房进行建设</w:t>
            </w:r>
            <w:r>
              <w:rPr>
                <w:rFonts w:hint="default" w:ascii="Times New Roman" w:hAnsi="Times New Roman" w:eastAsia="宋体" w:cs="Times New Roman"/>
                <w:color w:val="auto"/>
                <w:sz w:val="32"/>
                <w:szCs w:val="32"/>
                <w:lang w:val="en-US" w:eastAsia="zh-CN"/>
              </w:rPr>
              <w:t>，</w:t>
            </w:r>
            <w:r>
              <w:rPr>
                <w:rFonts w:hint="default" w:ascii="Times New Roman" w:hAnsi="Times New Roman" w:eastAsia="宋体" w:cs="Times New Roman"/>
                <w:color w:val="auto"/>
                <w:sz w:val="24"/>
                <w:lang w:val="en-US" w:eastAsia="zh-CN"/>
              </w:rPr>
              <w:t>不新增占地</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用地性质为建设用地，且</w:t>
            </w:r>
            <w:r>
              <w:rPr>
                <w:rFonts w:hint="default" w:ascii="Times New Roman" w:hAnsi="Times New Roman" w:eastAsia="宋体" w:cs="Times New Roman"/>
                <w:color w:val="auto"/>
                <w:sz w:val="24"/>
                <w:highlight w:val="none"/>
              </w:rPr>
              <w:t>项目场地及周边200m范围内不存在自然保护区、世界文化和自然遗产地、风景名胜区、森林公园、地质公园、重要湿地、原始天然林、珍惜濒危野生动植物天然集中分布区等生态环境保护目标</w:t>
            </w:r>
            <w:r>
              <w:rPr>
                <w:rFonts w:hint="default" w:ascii="Times New Roman" w:hAnsi="Times New Roman" w:eastAsia="宋体" w:cs="Times New Roman"/>
                <w:color w:val="auto"/>
                <w:sz w:val="24"/>
                <w:lang w:val="en-US" w:eastAsia="zh-CN"/>
              </w:rPr>
              <w:t>，不会对周边生态环境造成不利影响。</w:t>
            </w:r>
          </w:p>
          <w:p w14:paraId="2EEE1CC1">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color w:val="auto"/>
                <w:sz w:val="24"/>
                <w:lang w:val="en-US" w:eastAsia="zh-CN"/>
              </w:rPr>
              <w:t>综上所述</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项目的建设不会对周围环境产生较大影响，建成后不会改变区域环境质量状况</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项目的建设与周边环境相容。</w:t>
            </w:r>
          </w:p>
          <w:p w14:paraId="217D8A86">
            <w:pPr>
              <w:pStyle w:val="4"/>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0" w:firstLineChars="0"/>
              <w:textAlignment w:val="auto"/>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12、与《峨山县国土空间总体规划》符合性分析</w:t>
            </w:r>
            <w:bookmarkEnd w:id="8"/>
          </w:p>
          <w:p w14:paraId="55C40E0E">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outlineLvl w:val="9"/>
              <w:rPr>
                <w:rFonts w:hint="default" w:ascii="Times New Roman" w:hAnsi="Times New Roman" w:cs="Times New Roman" w:eastAsiaTheme="minorEastAsia"/>
                <w:color w:val="auto"/>
                <w:kern w:val="0"/>
                <w:highlight w:val="none"/>
                <w:lang w:val="en-US" w:eastAsia="zh-CN"/>
              </w:rPr>
            </w:pPr>
            <w:r>
              <w:rPr>
                <w:rFonts w:hint="default" w:ascii="Times New Roman" w:hAnsi="Times New Roman" w:cs="Times New Roman" w:eastAsiaTheme="minorEastAsia"/>
                <w:color w:val="auto"/>
                <w:kern w:val="0"/>
                <w:highlight w:val="none"/>
                <w:lang w:val="en-US" w:eastAsia="zh-CN"/>
              </w:rPr>
              <w:t>根据《峨山县国土空间总体规划》，峨山县行政区域内的全域国土空间，规划总面积为1931.75平方千米，峨山县辖2街道3镇3乡，分别为双江街道、小街街道、化念镇、甸中镇、塔甸镇、岔河乡、富良棚乡、大龙潭乡，规划形成了“中心城区—重点镇—特色乡镇”的三级城镇等级体系，其中，中心城区指双江街道和小街街道，重点镇为化念镇和甸中镇，特色乡镇为塔甸镇、岔河乡、富良棚乡、大龙潭乡，工业型城镇为化念镇，城镇职责为利用绿色钢城的产业优势，依托交通区位，重点发展矿冶工业、装备制造业等企业。</w:t>
            </w:r>
          </w:p>
          <w:p w14:paraId="1039695E">
            <w:pPr>
              <w:keepNext w:val="0"/>
              <w:keepLines w:val="0"/>
              <w:widowControl/>
              <w:suppressLineNumbers w:val="0"/>
              <w:jc w:val="left"/>
              <w:rPr>
                <w:rFonts w:hint="default" w:ascii="Times New Roman" w:hAnsi="Times New Roman" w:cs="Times New Roman" w:eastAsiaTheme="minorEastAsia"/>
                <w:color w:val="auto"/>
                <w:kern w:val="0"/>
                <w:highlight w:val="none"/>
                <w:lang w:val="en-US" w:eastAsia="zh-CN"/>
              </w:rPr>
            </w:pPr>
            <w:r>
              <w:rPr>
                <w:rFonts w:hint="default" w:ascii="Times New Roman" w:hAnsi="Times New Roman" w:cs="Times New Roman" w:eastAsiaTheme="minorEastAsia"/>
                <w:color w:val="auto"/>
                <w:kern w:val="0"/>
                <w:highlight w:val="none"/>
                <w:lang w:val="en-US" w:eastAsia="zh-CN"/>
              </w:rPr>
              <w:t>本项目位于化念镇，</w:t>
            </w:r>
            <w:r>
              <w:rPr>
                <w:rFonts w:hint="eastAsia" w:ascii="Times New Roman" w:hAnsi="Times New Roman" w:cs="Times New Roman" w:eastAsiaTheme="minorEastAsia"/>
                <w:color w:val="auto"/>
                <w:kern w:val="0"/>
                <w:highlight w:val="none"/>
                <w:lang w:val="en-US" w:eastAsia="zh-CN"/>
              </w:rPr>
              <w:t>通过外购</w:t>
            </w:r>
            <w:r>
              <w:rPr>
                <w:rFonts w:hint="default" w:ascii="Times New Roman" w:hAnsi="Times New Roman" w:cs="Times New Roman" w:eastAsiaTheme="minorEastAsia"/>
                <w:color w:val="auto"/>
                <w:kern w:val="0"/>
                <w:highlight w:val="none"/>
                <w:lang w:val="en-US" w:eastAsia="zh-CN"/>
              </w:rPr>
              <w:t>不同品质的</w:t>
            </w:r>
            <w:r>
              <w:rPr>
                <w:rFonts w:hint="eastAsia" w:cs="Times New Roman" w:eastAsiaTheme="minorEastAsia"/>
                <w:color w:val="auto"/>
                <w:kern w:val="0"/>
                <w:highlight w:val="none"/>
                <w:lang w:val="en-US" w:eastAsia="zh-CN"/>
              </w:rPr>
              <w:t>无烟煤</w:t>
            </w:r>
            <w:r>
              <w:rPr>
                <w:rFonts w:hint="default" w:ascii="Times New Roman" w:hAnsi="Times New Roman" w:cs="Times New Roman" w:eastAsiaTheme="minorEastAsia"/>
                <w:color w:val="auto"/>
                <w:kern w:val="0"/>
                <w:highlight w:val="none"/>
                <w:lang w:val="en-US" w:eastAsia="zh-CN"/>
              </w:rPr>
              <w:t>进行配煤</w:t>
            </w:r>
            <w:r>
              <w:rPr>
                <w:rFonts w:hint="eastAsia" w:ascii="Times New Roman" w:hAnsi="Times New Roman" w:cs="Times New Roman" w:eastAsiaTheme="minorEastAsia"/>
                <w:color w:val="auto"/>
                <w:kern w:val="0"/>
                <w:highlight w:val="none"/>
                <w:lang w:val="en-US" w:eastAsia="zh-CN"/>
              </w:rPr>
              <w:t>加工，生产混煤外售钢铁厂</w:t>
            </w:r>
            <w:r>
              <w:rPr>
                <w:rFonts w:hint="default" w:ascii="Times New Roman" w:hAnsi="Times New Roman" w:cs="Times New Roman" w:eastAsiaTheme="minorEastAsia"/>
                <w:color w:val="auto"/>
                <w:kern w:val="0"/>
                <w:highlight w:val="none"/>
                <w:lang w:val="en-US" w:eastAsia="zh-CN"/>
              </w:rPr>
              <w:t>，</w:t>
            </w:r>
            <w:r>
              <w:rPr>
                <w:rFonts w:hint="eastAsia" w:cs="Times New Roman" w:eastAsiaTheme="minorEastAsia"/>
                <w:color w:val="auto"/>
                <w:kern w:val="0"/>
                <w:highlight w:val="none"/>
                <w:lang w:val="en-US" w:eastAsia="zh-CN"/>
              </w:rPr>
              <w:t>本项目生产的混煤属于钢铁冶炼行业的配套行业，</w:t>
            </w:r>
            <w:r>
              <w:rPr>
                <w:rFonts w:ascii="宋体" w:hAnsi="宋体" w:eastAsia="宋体" w:cs="宋体"/>
                <w:color w:val="auto"/>
                <w:kern w:val="0"/>
                <w:sz w:val="24"/>
                <w:szCs w:val="24"/>
                <w:lang w:val="en-US" w:eastAsia="zh-CN" w:bidi="ar"/>
              </w:rPr>
              <w:t>煤炭与钢铁产业在工艺上不可替代、资源上专属匹配、产能上协同联动、产业链上深度整合、政策转型上协同适配，符合性程度极高</w:t>
            </w:r>
            <w:r>
              <w:rPr>
                <w:rFonts w:hint="eastAsia" w:cs="Times New Roman" w:eastAsiaTheme="minorEastAsia"/>
                <w:color w:val="auto"/>
                <w:kern w:val="0"/>
                <w:highlight w:val="none"/>
                <w:lang w:val="en-US" w:eastAsia="zh-CN"/>
              </w:rPr>
              <w:t>，故本项目</w:t>
            </w:r>
            <w:r>
              <w:rPr>
                <w:rFonts w:hint="default" w:ascii="Times New Roman" w:hAnsi="Times New Roman" w:cs="Times New Roman" w:eastAsiaTheme="minorEastAsia"/>
                <w:color w:val="auto"/>
                <w:kern w:val="0"/>
                <w:highlight w:val="none"/>
                <w:lang w:val="en-US" w:eastAsia="zh-CN"/>
              </w:rPr>
              <w:t>与《峨山县国土空间总体规划》中“工业型城镇为化念镇，城镇职责为利用绿色钢城的产业优势，依托交通区位，重点发展矿冶工业、装备制造业等企业”相符。</w:t>
            </w:r>
          </w:p>
          <w:p w14:paraId="5DA8A5C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eastAsia="宋体" w:cs="Times New Roman"/>
                <w:b/>
                <w:bCs/>
                <w:color w:val="auto"/>
                <w:highlight w:val="none"/>
                <w:shd w:val="clear" w:color="auto" w:fill="auto"/>
                <w:lang w:val="en-US" w:eastAsia="zh-CN"/>
              </w:rPr>
            </w:pPr>
            <w:r>
              <w:rPr>
                <w:rFonts w:hint="eastAsia" w:cs="Times New Roman"/>
                <w:b/>
                <w:bCs/>
                <w:color w:val="auto"/>
                <w:highlight w:val="none"/>
                <w:shd w:val="clear" w:color="auto" w:fill="auto"/>
                <w:lang w:val="en-US" w:eastAsia="zh-CN"/>
              </w:rPr>
              <w:t>13</w:t>
            </w:r>
            <w:r>
              <w:rPr>
                <w:rFonts w:hint="eastAsia" w:ascii="Times New Roman" w:hAnsi="Times New Roman" w:cs="Times New Roman"/>
                <w:b/>
                <w:bCs/>
                <w:color w:val="auto"/>
                <w:highlight w:val="none"/>
                <w:shd w:val="clear" w:color="auto" w:fill="auto"/>
                <w:lang w:val="en-US" w:eastAsia="zh-CN"/>
              </w:rPr>
              <w:t>、项目与</w:t>
            </w:r>
            <w:r>
              <w:rPr>
                <w:rFonts w:hint="default" w:ascii="Times New Roman" w:hAnsi="Times New Roman" w:eastAsia="宋体" w:cs="Times New Roman"/>
                <w:b/>
                <w:bCs/>
                <w:color w:val="auto"/>
                <w:highlight w:val="none"/>
                <w:shd w:val="clear" w:color="auto" w:fill="auto"/>
                <w:lang w:val="en-US" w:eastAsia="zh-CN"/>
              </w:rPr>
              <w:t>《长江经济带发展负面清单指南（试行，2022年版）》符合性分析</w:t>
            </w:r>
          </w:p>
          <w:p w14:paraId="3C930DC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推动长江经济带发展领导小组办公室于2022年1月19日印发《长江经济带发展负面清单指南（试行，2022年版）》的通知（长江办〔2022〕7号），本项目与《长江经济带发展负面清单指南（试行，2022年版）》符合性判定分析见下表</w:t>
            </w:r>
            <w:r>
              <w:rPr>
                <w:rFonts w:hint="eastAsia" w:ascii="Times New Roman" w:hAnsi="Times New Roman" w:cs="Times New Roman"/>
                <w:color w:val="auto"/>
                <w:lang w:val="en-US" w:eastAsia="zh-CN"/>
              </w:rPr>
              <w:t>。</w:t>
            </w:r>
          </w:p>
          <w:p w14:paraId="7CCC3F54">
            <w:pPr>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snapToGrid/>
                <w:color w:val="auto"/>
                <w:kern w:val="2"/>
                <w:sz w:val="24"/>
                <w:szCs w:val="24"/>
                <w:highlight w:val="none"/>
                <w:shd w:val="clear" w:color="auto" w:fill="auto"/>
              </w:rPr>
            </w:pPr>
            <w:r>
              <w:rPr>
                <w:rFonts w:hint="default" w:ascii="Times New Roman" w:hAnsi="Times New Roman" w:eastAsia="宋体" w:cs="Times New Roman"/>
                <w:b/>
                <w:bCs/>
                <w:snapToGrid/>
                <w:color w:val="auto"/>
                <w:kern w:val="2"/>
                <w:sz w:val="24"/>
                <w:szCs w:val="24"/>
                <w:highlight w:val="none"/>
                <w:shd w:val="clear" w:color="auto" w:fill="auto"/>
              </w:rPr>
              <w:t>表</w:t>
            </w:r>
            <w:r>
              <w:rPr>
                <w:rFonts w:hint="eastAsia" w:cs="Times New Roman"/>
                <w:b/>
                <w:bCs/>
                <w:snapToGrid/>
                <w:color w:val="auto"/>
                <w:kern w:val="2"/>
                <w:sz w:val="24"/>
                <w:szCs w:val="24"/>
                <w:highlight w:val="none"/>
                <w:shd w:val="clear" w:color="auto" w:fill="auto"/>
                <w:lang w:val="en-US" w:eastAsia="zh-CN"/>
              </w:rPr>
              <w:t>7</w:t>
            </w:r>
            <w:r>
              <w:rPr>
                <w:rFonts w:hint="eastAsia" w:ascii="Times New Roman" w:hAnsi="Times New Roman" w:eastAsia="宋体" w:cs="Times New Roman"/>
                <w:b/>
                <w:bCs/>
                <w:snapToGrid/>
                <w:color w:val="auto"/>
                <w:kern w:val="2"/>
                <w:sz w:val="24"/>
                <w:szCs w:val="24"/>
                <w:highlight w:val="none"/>
                <w:shd w:val="clear" w:color="auto" w:fill="auto"/>
                <w:lang w:val="en-US" w:eastAsia="zh-CN"/>
              </w:rPr>
              <w:t xml:space="preserve">  项目</w:t>
            </w:r>
            <w:r>
              <w:rPr>
                <w:rFonts w:hint="default" w:ascii="Times New Roman" w:hAnsi="Times New Roman" w:eastAsia="宋体" w:cs="Times New Roman"/>
                <w:b/>
                <w:bCs/>
                <w:snapToGrid/>
                <w:color w:val="auto"/>
                <w:kern w:val="2"/>
                <w:sz w:val="24"/>
                <w:szCs w:val="24"/>
                <w:highlight w:val="none"/>
                <w:shd w:val="clear" w:color="auto" w:fill="auto"/>
              </w:rPr>
              <w:t>与《长江经济带发展负面清单指南</w:t>
            </w:r>
          </w:p>
          <w:p w14:paraId="7CA777AA">
            <w:pPr>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snapToGrid/>
                <w:color w:val="auto"/>
                <w:kern w:val="2"/>
                <w:sz w:val="24"/>
                <w:szCs w:val="24"/>
                <w:highlight w:val="none"/>
                <w:shd w:val="clear" w:color="auto" w:fill="auto"/>
              </w:rPr>
            </w:pPr>
            <w:r>
              <w:rPr>
                <w:rFonts w:hint="default" w:ascii="Times New Roman" w:hAnsi="Times New Roman" w:eastAsia="宋体" w:cs="Times New Roman"/>
                <w:b/>
                <w:bCs/>
                <w:snapToGrid/>
                <w:color w:val="auto"/>
                <w:kern w:val="2"/>
                <w:sz w:val="24"/>
                <w:szCs w:val="24"/>
                <w:highlight w:val="none"/>
                <w:shd w:val="clear" w:color="auto" w:fill="auto"/>
              </w:rPr>
              <w:t>（试行，2022年版）》符合性分析</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3690"/>
              <w:gridCol w:w="2010"/>
              <w:gridCol w:w="729"/>
            </w:tblGrid>
            <w:tr w14:paraId="63D8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69" w:type="dxa"/>
                  <w:vAlign w:val="center"/>
                </w:tcPr>
                <w:p w14:paraId="37218980">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690" w:type="dxa"/>
                  <w:shd w:val="clear" w:color="auto" w:fill="auto"/>
                  <w:vAlign w:val="center"/>
                </w:tcPr>
                <w:p w14:paraId="48B2D6D9">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rPr>
                    <w:t>长江经济带发展负面清单指南</w:t>
                  </w:r>
                </w:p>
              </w:tc>
              <w:tc>
                <w:tcPr>
                  <w:tcW w:w="2010" w:type="dxa"/>
                  <w:shd w:val="clear" w:color="auto" w:fill="auto"/>
                  <w:vAlign w:val="center"/>
                </w:tcPr>
                <w:p w14:paraId="64657E12">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本项目</w:t>
                  </w:r>
                </w:p>
              </w:tc>
              <w:tc>
                <w:tcPr>
                  <w:tcW w:w="729" w:type="dxa"/>
                  <w:shd w:val="clear" w:color="auto" w:fill="auto"/>
                  <w:vAlign w:val="center"/>
                </w:tcPr>
                <w:p w14:paraId="62E8403D">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rPr>
                    <w:t>符合性</w:t>
                  </w:r>
                </w:p>
              </w:tc>
            </w:tr>
            <w:tr w14:paraId="1DF6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469" w:type="dxa"/>
                  <w:vAlign w:val="center"/>
                </w:tcPr>
                <w:p w14:paraId="39D8A6F8">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3690" w:type="dxa"/>
                  <w:vAlign w:val="center"/>
                </w:tcPr>
                <w:p w14:paraId="2647EFDD">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禁止建设不符合全国和省级港口布局规划以及港口总体规划的码头，禁止建设不符合《长江干线过江通道布局规划》的过长江通道项目。</w:t>
                  </w:r>
                </w:p>
              </w:tc>
              <w:tc>
                <w:tcPr>
                  <w:tcW w:w="2010" w:type="dxa"/>
                  <w:vAlign w:val="center"/>
                </w:tcPr>
                <w:p w14:paraId="5ED5CEB3">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本项目属于配煤项目，不新增占地，位于峨山县化念镇，属于配煤项目，不属于码头及长江通道禁止建设项目。</w:t>
                  </w:r>
                </w:p>
              </w:tc>
              <w:tc>
                <w:tcPr>
                  <w:tcW w:w="729" w:type="dxa"/>
                  <w:vAlign w:val="center"/>
                </w:tcPr>
                <w:p w14:paraId="307A6331">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358A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469" w:type="dxa"/>
                  <w:vAlign w:val="center"/>
                </w:tcPr>
                <w:p w14:paraId="6B5A5014">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3690" w:type="dxa"/>
                  <w:vAlign w:val="center"/>
                </w:tcPr>
                <w:p w14:paraId="217D4343">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010" w:type="dxa"/>
                  <w:vAlign w:val="center"/>
                </w:tcPr>
                <w:p w14:paraId="5AC6C376">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本项目用地范围不涉及自然保护区、风景名胜区，不属于禁止建设的区域</w:t>
                  </w:r>
                </w:p>
              </w:tc>
              <w:tc>
                <w:tcPr>
                  <w:tcW w:w="729" w:type="dxa"/>
                  <w:vAlign w:val="center"/>
                </w:tcPr>
                <w:p w14:paraId="3F16D4E4">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3E0F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469" w:type="dxa"/>
                  <w:vAlign w:val="center"/>
                </w:tcPr>
                <w:p w14:paraId="5C8CBEE6">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3690" w:type="dxa"/>
                  <w:vAlign w:val="center"/>
                </w:tcPr>
                <w:p w14:paraId="21347418">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010" w:type="dxa"/>
                  <w:vAlign w:val="center"/>
                </w:tcPr>
                <w:p w14:paraId="1FF3615E">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本项目不属于禁止建设的区域</w:t>
                  </w:r>
                </w:p>
              </w:tc>
              <w:tc>
                <w:tcPr>
                  <w:tcW w:w="729" w:type="dxa"/>
                  <w:vAlign w:val="center"/>
                </w:tcPr>
                <w:p w14:paraId="3C75009E">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符合</w:t>
                  </w:r>
                </w:p>
              </w:tc>
            </w:tr>
            <w:tr w14:paraId="2FDC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469" w:type="dxa"/>
                  <w:vAlign w:val="center"/>
                </w:tcPr>
                <w:p w14:paraId="69CFB7C7">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w:t>
                  </w:r>
                </w:p>
              </w:tc>
              <w:tc>
                <w:tcPr>
                  <w:tcW w:w="3690" w:type="dxa"/>
                  <w:vAlign w:val="center"/>
                </w:tcPr>
                <w:p w14:paraId="53D2AC0F">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010" w:type="dxa"/>
                  <w:vAlign w:val="center"/>
                </w:tcPr>
                <w:p w14:paraId="33ABF1CA">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本项目不属于该禁止类范畴</w:t>
                  </w:r>
                </w:p>
              </w:tc>
              <w:tc>
                <w:tcPr>
                  <w:tcW w:w="729" w:type="dxa"/>
                  <w:vAlign w:val="center"/>
                </w:tcPr>
                <w:p w14:paraId="2E545740">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符合</w:t>
                  </w:r>
                </w:p>
              </w:tc>
            </w:tr>
            <w:tr w14:paraId="51DB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69" w:type="dxa"/>
                  <w:vAlign w:val="center"/>
                </w:tcPr>
                <w:p w14:paraId="19E93863">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w:t>
                  </w:r>
                </w:p>
              </w:tc>
              <w:tc>
                <w:tcPr>
                  <w:tcW w:w="3690" w:type="dxa"/>
                  <w:vAlign w:val="center"/>
                </w:tcPr>
                <w:p w14:paraId="5C747E36">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蔡止在《全国重要江河湖泊水功能区划》划定的河段及湖泊保护区、保留区内投资建设不利于水资源及自然生态保护的项目。</w:t>
                  </w:r>
                </w:p>
              </w:tc>
              <w:tc>
                <w:tcPr>
                  <w:tcW w:w="2010" w:type="dxa"/>
                  <w:vAlign w:val="center"/>
                </w:tcPr>
                <w:p w14:paraId="352C0176">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本项目所在区域不属于禁止建设的区域，亦不属于禁止建设的项目</w:t>
                  </w:r>
                </w:p>
              </w:tc>
              <w:tc>
                <w:tcPr>
                  <w:tcW w:w="729" w:type="dxa"/>
                  <w:vAlign w:val="center"/>
                </w:tcPr>
                <w:p w14:paraId="5856BB05">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符合</w:t>
                  </w:r>
                </w:p>
              </w:tc>
            </w:tr>
            <w:tr w14:paraId="5E8C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469" w:type="dxa"/>
                  <w:vAlign w:val="center"/>
                </w:tcPr>
                <w:p w14:paraId="13D5C7B4">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w:t>
                  </w:r>
                </w:p>
              </w:tc>
              <w:tc>
                <w:tcPr>
                  <w:tcW w:w="3690" w:type="dxa"/>
                  <w:vAlign w:val="center"/>
                </w:tcPr>
                <w:p w14:paraId="43C1DED3">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禁止未经许可在长江干支流及湖泊新设、改设或扩大排污口。</w:t>
                  </w:r>
                </w:p>
              </w:tc>
              <w:tc>
                <w:tcPr>
                  <w:tcW w:w="2010" w:type="dxa"/>
                  <w:vAlign w:val="center"/>
                </w:tcPr>
                <w:p w14:paraId="0B6E1C79">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本项目不涉及在长江干支流及湖泊设置排污口</w:t>
                  </w:r>
                </w:p>
              </w:tc>
              <w:tc>
                <w:tcPr>
                  <w:tcW w:w="729" w:type="dxa"/>
                  <w:vAlign w:val="center"/>
                </w:tcPr>
                <w:p w14:paraId="286EF3F9">
                  <w:pPr>
                    <w:pStyle w:val="108"/>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符合</w:t>
                  </w:r>
                </w:p>
              </w:tc>
            </w:tr>
          </w:tbl>
          <w:p w14:paraId="5D97E522">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综上所述，项目与《长江经济带发展负面清单指南（试行，2022年版）》相符。</w:t>
            </w:r>
          </w:p>
          <w:p w14:paraId="4411EB51">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eastAsia" w:cs="Times New Roman"/>
                <w:b/>
                <w:bCs/>
                <w:color w:val="auto"/>
                <w:lang w:val="en-US" w:eastAsia="zh-CN"/>
              </w:rPr>
              <w:t>3</w:t>
            </w:r>
            <w:r>
              <w:rPr>
                <w:rFonts w:hint="default" w:ascii="Times New Roman" w:hAnsi="Times New Roman" w:eastAsia="宋体" w:cs="Times New Roman"/>
                <w:b/>
                <w:bCs/>
                <w:color w:val="auto"/>
                <w:lang w:val="en-US" w:eastAsia="zh-CN"/>
              </w:rPr>
              <w:t>、</w:t>
            </w:r>
            <w:r>
              <w:rPr>
                <w:rFonts w:hint="default" w:ascii="Times New Roman" w:hAnsi="Times New Roman" w:eastAsia="宋体" w:cs="Times New Roman"/>
                <w:b/>
                <w:bCs/>
                <w:color w:val="auto"/>
              </w:rPr>
              <w:t>与《</w:t>
            </w:r>
            <w:r>
              <w:rPr>
                <w:rFonts w:hint="default" w:ascii="Times New Roman" w:hAnsi="Times New Roman" w:eastAsia="宋体" w:cs="Times New Roman"/>
                <w:b/>
                <w:bCs/>
                <w:color w:val="auto"/>
                <w:highlight w:val="none"/>
                <w:shd w:val="clear" w:color="auto" w:fill="auto"/>
                <w:lang w:val="en-US" w:eastAsia="zh-CN"/>
              </w:rPr>
              <w:t>云南省长江经济带发展负面清单指南实施</w:t>
            </w:r>
            <w:r>
              <w:rPr>
                <w:rFonts w:hint="eastAsia" w:cs="Times New Roman"/>
                <w:b/>
                <w:bCs/>
                <w:color w:val="auto"/>
                <w:highlight w:val="none"/>
                <w:shd w:val="clear" w:color="auto" w:fill="auto"/>
                <w:lang w:val="en-US" w:eastAsia="zh-CN"/>
              </w:rPr>
              <w:t>意见</w:t>
            </w:r>
            <w:r>
              <w:rPr>
                <w:rFonts w:hint="default" w:ascii="Times New Roman" w:hAnsi="Times New Roman" w:eastAsia="宋体" w:cs="Times New Roman"/>
                <w:b/>
                <w:bCs/>
                <w:color w:val="auto"/>
                <w:highlight w:val="none"/>
                <w:shd w:val="clear" w:color="auto" w:fill="auto"/>
                <w:lang w:val="en-US" w:eastAsia="zh-CN"/>
              </w:rPr>
              <w:t>（试行，2022年版）</w:t>
            </w:r>
            <w:r>
              <w:rPr>
                <w:rFonts w:hint="default" w:ascii="Times New Roman" w:hAnsi="Times New Roman" w:eastAsia="宋体" w:cs="Times New Roman"/>
                <w:b/>
                <w:bCs/>
                <w:color w:val="auto"/>
              </w:rPr>
              <w:t>符合性分析</w:t>
            </w:r>
          </w:p>
          <w:p w14:paraId="1F3A875B">
            <w:pPr>
              <w:pStyle w:val="27"/>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项目</w:t>
            </w:r>
            <w:r>
              <w:rPr>
                <w:rFonts w:hint="eastAsia"/>
                <w:color w:val="auto"/>
                <w:lang w:val="en-US" w:eastAsia="zh-CN"/>
              </w:rPr>
              <w:t>与</w:t>
            </w:r>
            <w:r>
              <w:rPr>
                <w:rFonts w:hint="default" w:ascii="Times New Roman" w:hAnsi="Times New Roman" w:eastAsia="宋体" w:cs="Times New Roman"/>
                <w:color w:val="auto"/>
                <w:highlight w:val="none"/>
                <w:shd w:val="clear" w:color="auto" w:fill="auto"/>
                <w:lang w:val="en-US" w:eastAsia="zh-CN"/>
              </w:rPr>
              <w:t>《云南省长江经济带发展负面清单指南实施</w:t>
            </w:r>
            <w:r>
              <w:rPr>
                <w:rFonts w:hint="eastAsia" w:cs="Times New Roman"/>
                <w:color w:val="auto"/>
                <w:highlight w:val="none"/>
                <w:shd w:val="clear" w:color="auto" w:fill="auto"/>
                <w:lang w:val="en-US" w:eastAsia="zh-CN"/>
              </w:rPr>
              <w:t>意见</w:t>
            </w:r>
            <w:r>
              <w:rPr>
                <w:rFonts w:hint="default" w:ascii="Times New Roman" w:hAnsi="Times New Roman" w:eastAsia="宋体" w:cs="Times New Roman"/>
                <w:color w:val="auto"/>
                <w:highlight w:val="none"/>
                <w:shd w:val="clear" w:color="auto" w:fill="auto"/>
                <w:lang w:val="en-US" w:eastAsia="zh-CN"/>
              </w:rPr>
              <w:t>（试行</w:t>
            </w:r>
            <w:r>
              <w:rPr>
                <w:rFonts w:hint="eastAsia" w:ascii="Times New Roman" w:hAnsi="Times New Roman"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2022年版）》</w:t>
            </w:r>
            <w:r>
              <w:rPr>
                <w:rFonts w:hint="eastAsia"/>
                <w:color w:val="auto"/>
                <w:lang w:val="en-US" w:eastAsia="zh-CN"/>
              </w:rPr>
              <w:t>的</w:t>
            </w:r>
            <w:r>
              <w:rPr>
                <w:color w:val="auto"/>
              </w:rPr>
              <w:t>符合性分析</w:t>
            </w:r>
            <w:r>
              <w:rPr>
                <w:rFonts w:hint="eastAsia"/>
                <w:color w:val="auto"/>
                <w:lang w:val="en-US" w:eastAsia="zh-CN"/>
              </w:rPr>
              <w:t>详</w:t>
            </w:r>
            <w:r>
              <w:rPr>
                <w:color w:val="auto"/>
              </w:rPr>
              <w:t>见下表。</w:t>
            </w:r>
          </w:p>
          <w:p w14:paraId="7333637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4"/>
                <w:szCs w:val="24"/>
                <w:highlight w:val="none"/>
                <w:shd w:val="clear" w:color="auto" w:fill="auto"/>
                <w:lang w:val="en-US" w:eastAsia="zh-CN"/>
              </w:rPr>
            </w:pPr>
            <w:r>
              <w:rPr>
                <w:rFonts w:hint="default" w:ascii="Times New Roman" w:hAnsi="Times New Roman" w:cs="Times New Roman"/>
                <w:b/>
                <w:bCs/>
                <w:color w:val="auto"/>
                <w:sz w:val="22"/>
                <w:szCs w:val="20"/>
              </w:rPr>
              <w:t>表</w:t>
            </w:r>
            <w:r>
              <w:rPr>
                <w:rFonts w:hint="eastAsia" w:cs="Times New Roman"/>
                <w:b/>
                <w:bCs/>
                <w:color w:val="auto"/>
                <w:sz w:val="22"/>
                <w:szCs w:val="20"/>
                <w:lang w:val="en-US" w:eastAsia="zh-CN"/>
              </w:rPr>
              <w:t xml:space="preserve">8 </w:t>
            </w:r>
            <w:r>
              <w:rPr>
                <w:rFonts w:hint="default" w:ascii="Times New Roman" w:hAnsi="Times New Roman" w:eastAsia="宋体" w:cs="Times New Roman"/>
                <w:b/>
                <w:bCs/>
                <w:color w:val="auto"/>
                <w:sz w:val="24"/>
                <w:szCs w:val="24"/>
              </w:rPr>
              <w:t>项目与《</w:t>
            </w:r>
            <w:r>
              <w:rPr>
                <w:rFonts w:hint="default" w:ascii="Times New Roman" w:hAnsi="Times New Roman" w:eastAsia="宋体" w:cs="Times New Roman"/>
                <w:b/>
                <w:bCs/>
                <w:color w:val="auto"/>
                <w:sz w:val="24"/>
                <w:szCs w:val="24"/>
                <w:highlight w:val="none"/>
                <w:shd w:val="clear" w:color="auto" w:fill="auto"/>
                <w:lang w:val="en-US" w:eastAsia="zh-CN"/>
              </w:rPr>
              <w:t>云南省长江经济带发展负面清单指南实施</w:t>
            </w:r>
            <w:r>
              <w:rPr>
                <w:rFonts w:hint="eastAsia" w:cs="Times New Roman"/>
                <w:b/>
                <w:bCs/>
                <w:color w:val="auto"/>
                <w:sz w:val="24"/>
                <w:szCs w:val="24"/>
                <w:highlight w:val="none"/>
                <w:shd w:val="clear" w:color="auto" w:fill="auto"/>
                <w:lang w:val="en-US" w:eastAsia="zh-CN"/>
              </w:rPr>
              <w:t>意见</w:t>
            </w:r>
          </w:p>
          <w:p w14:paraId="7AD07924">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highlight w:val="none"/>
                <w:shd w:val="clear" w:color="auto" w:fill="auto"/>
                <w:lang w:val="en-US" w:eastAsia="zh-CN"/>
              </w:rPr>
              <w:t>（试行，2022年版）</w:t>
            </w:r>
            <w:r>
              <w:rPr>
                <w:rFonts w:hint="default" w:ascii="Times New Roman" w:hAnsi="Times New Roman" w:eastAsia="宋体" w:cs="Times New Roman"/>
                <w:b/>
                <w:bCs/>
                <w:color w:val="auto"/>
                <w:sz w:val="24"/>
                <w:szCs w:val="24"/>
              </w:rPr>
              <w:t>》符合性分析一览表</w:t>
            </w:r>
          </w:p>
          <w:tbl>
            <w:tblPr>
              <w:tblStyle w:val="103"/>
              <w:tblW w:w="499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80"/>
              <w:gridCol w:w="2058"/>
              <w:gridCol w:w="707"/>
            </w:tblGrid>
            <w:tr w14:paraId="76DD3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009" w:type="pct"/>
                  <w:tcBorders>
                    <w:tl2br w:val="nil"/>
                    <w:tr2bl w:val="nil"/>
                  </w:tcBorders>
                  <w:noWrap w:val="0"/>
                  <w:vAlign w:val="center"/>
                </w:tcPr>
                <w:p w14:paraId="1E2E5A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实施细则要求</w:t>
                  </w:r>
                </w:p>
              </w:tc>
              <w:tc>
                <w:tcPr>
                  <w:tcW w:w="1481" w:type="pct"/>
                  <w:tcBorders>
                    <w:tl2br w:val="nil"/>
                    <w:tr2bl w:val="nil"/>
                  </w:tcBorders>
                  <w:noWrap w:val="0"/>
                  <w:vAlign w:val="center"/>
                </w:tcPr>
                <w:p w14:paraId="4B106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本项目情况</w:t>
                  </w:r>
                </w:p>
              </w:tc>
              <w:tc>
                <w:tcPr>
                  <w:tcW w:w="509" w:type="pct"/>
                  <w:tcBorders>
                    <w:tl2br w:val="nil"/>
                    <w:tr2bl w:val="nil"/>
                  </w:tcBorders>
                  <w:noWrap w:val="0"/>
                  <w:vAlign w:val="center"/>
                </w:tcPr>
                <w:p w14:paraId="3F714B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
                    </w:rPr>
                  </w:pPr>
                  <w:r>
                    <w:rPr>
                      <w:rFonts w:hint="default" w:ascii="Times New Roman" w:hAnsi="Times New Roman" w:eastAsia="宋体" w:cs="Times New Roman"/>
                      <w:b/>
                      <w:bCs/>
                      <w:color w:val="auto"/>
                      <w:kern w:val="2"/>
                      <w:sz w:val="21"/>
                      <w:szCs w:val="21"/>
                      <w:lang w:val="en-US" w:eastAsia="zh-CN" w:bidi="ar"/>
                    </w:rPr>
                    <w:t>符合性</w:t>
                  </w:r>
                </w:p>
              </w:tc>
            </w:tr>
            <w:tr w14:paraId="466BD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3009" w:type="pct"/>
                  <w:tcBorders>
                    <w:tl2br w:val="nil"/>
                    <w:tr2bl w:val="nil"/>
                  </w:tcBorders>
                  <w:noWrap w:val="0"/>
                  <w:vAlign w:val="center"/>
                </w:tcPr>
                <w:p w14:paraId="71788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481" w:type="pct"/>
                  <w:tcBorders>
                    <w:tl2br w:val="nil"/>
                    <w:tr2bl w:val="nil"/>
                  </w:tcBorders>
                  <w:noWrap w:val="0"/>
                  <w:vAlign w:val="center"/>
                </w:tcPr>
                <w:p w14:paraId="1253B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本项目不属于码头建设项目，也不属于过长江通道项目。</w:t>
                  </w:r>
                </w:p>
              </w:tc>
              <w:tc>
                <w:tcPr>
                  <w:tcW w:w="509" w:type="pct"/>
                  <w:tcBorders>
                    <w:tl2br w:val="nil"/>
                    <w:tr2bl w:val="nil"/>
                  </w:tcBorders>
                  <w:noWrap w:val="0"/>
                  <w:vAlign w:val="center"/>
                </w:tcPr>
                <w:p w14:paraId="5F0B5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7A02D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3009" w:type="pct"/>
                  <w:tcBorders>
                    <w:tl2br w:val="nil"/>
                    <w:tr2bl w:val="nil"/>
                  </w:tcBorders>
                  <w:noWrap w:val="0"/>
                  <w:vAlign w:val="center"/>
                </w:tcPr>
                <w:p w14:paraId="39A65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81" w:type="pct"/>
                  <w:tcBorders>
                    <w:tl2br w:val="nil"/>
                    <w:tr2bl w:val="nil"/>
                  </w:tcBorders>
                  <w:noWrap w:val="0"/>
                  <w:vAlign w:val="center"/>
                </w:tcPr>
                <w:p w14:paraId="1DF92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本项目位于峨山县化念镇，不在自然保护区核心区、缓冲区的岸线和河段范围内，不在风景名胜区</w:t>
                  </w:r>
                </w:p>
              </w:tc>
              <w:tc>
                <w:tcPr>
                  <w:tcW w:w="509" w:type="pct"/>
                  <w:tcBorders>
                    <w:tl2br w:val="nil"/>
                    <w:tr2bl w:val="nil"/>
                  </w:tcBorders>
                  <w:noWrap w:val="0"/>
                  <w:vAlign w:val="center"/>
                </w:tcPr>
                <w:p w14:paraId="4A2A1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65381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3009" w:type="pct"/>
                  <w:tcBorders>
                    <w:tl2br w:val="nil"/>
                    <w:tr2bl w:val="nil"/>
                  </w:tcBorders>
                  <w:noWrap w:val="0"/>
                  <w:vAlign w:val="center"/>
                </w:tcPr>
                <w:p w14:paraId="187A8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81" w:type="pct"/>
                  <w:tcBorders>
                    <w:tl2br w:val="nil"/>
                    <w:tr2bl w:val="nil"/>
                  </w:tcBorders>
                  <w:noWrap w:val="0"/>
                  <w:vAlign w:val="center"/>
                </w:tcPr>
                <w:p w14:paraId="6F36F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rPr>
                    <w:t>本项目不新增占地，位于峨山县化念镇</w:t>
                  </w:r>
                  <w:r>
                    <w:rPr>
                      <w:rFonts w:hint="default"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val="0"/>
                      <w:color w:val="auto"/>
                      <w:kern w:val="2"/>
                      <w:sz w:val="21"/>
                      <w:szCs w:val="21"/>
                      <w:lang w:val="en-US" w:eastAsia="zh-CN" w:bidi="ar"/>
                    </w:rPr>
                    <w:t>用地性质为建设用地，不涉及在风景名胜区进行建设</w:t>
                  </w:r>
                </w:p>
              </w:tc>
              <w:tc>
                <w:tcPr>
                  <w:tcW w:w="509" w:type="pct"/>
                  <w:tcBorders>
                    <w:tl2br w:val="nil"/>
                    <w:tr2bl w:val="nil"/>
                  </w:tcBorders>
                  <w:noWrap w:val="0"/>
                  <w:vAlign w:val="center"/>
                </w:tcPr>
                <w:p w14:paraId="59522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268B0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3009" w:type="pct"/>
                  <w:tcBorders>
                    <w:tl2br w:val="nil"/>
                    <w:tr2bl w:val="nil"/>
                  </w:tcBorders>
                  <w:noWrap w:val="0"/>
                  <w:vAlign w:val="center"/>
                </w:tcPr>
                <w:p w14:paraId="7800C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81" w:type="pct"/>
                  <w:tcBorders>
                    <w:tl2br w:val="nil"/>
                    <w:tr2bl w:val="nil"/>
                  </w:tcBorders>
                  <w:noWrap w:val="0"/>
                  <w:vAlign w:val="center"/>
                </w:tcPr>
                <w:p w14:paraId="42847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本项目位于峨山县化念镇，不新增占地，不涉及饮用水水源一级保护区和二级保护区的岸线和河段范围内</w:t>
                  </w:r>
                </w:p>
              </w:tc>
              <w:tc>
                <w:tcPr>
                  <w:tcW w:w="509" w:type="pct"/>
                  <w:tcBorders>
                    <w:tl2br w:val="nil"/>
                    <w:tr2bl w:val="nil"/>
                  </w:tcBorders>
                  <w:noWrap w:val="0"/>
                  <w:vAlign w:val="center"/>
                </w:tcPr>
                <w:p w14:paraId="60D0F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17E82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009" w:type="pct"/>
                  <w:tcBorders>
                    <w:tl2br w:val="nil"/>
                    <w:tr2bl w:val="nil"/>
                  </w:tcBorders>
                  <w:noWrap w:val="0"/>
                  <w:vAlign w:val="center"/>
                </w:tcPr>
                <w:p w14:paraId="5DADA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81" w:type="pct"/>
                  <w:tcBorders>
                    <w:tl2br w:val="nil"/>
                    <w:tr2bl w:val="nil"/>
                  </w:tcBorders>
                  <w:noWrap w:val="0"/>
                  <w:vAlign w:val="center"/>
                </w:tcPr>
                <w:p w14:paraId="026F2D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本项目用地范围不涉及水产种质资源保护区，且项目未新增用地</w:t>
                  </w:r>
                </w:p>
              </w:tc>
              <w:tc>
                <w:tcPr>
                  <w:tcW w:w="509" w:type="pct"/>
                  <w:tcBorders>
                    <w:tl2br w:val="nil"/>
                    <w:tr2bl w:val="nil"/>
                  </w:tcBorders>
                  <w:noWrap w:val="0"/>
                  <w:vAlign w:val="center"/>
                </w:tcPr>
                <w:p w14:paraId="5377A2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54417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3009" w:type="pct"/>
                  <w:tcBorders>
                    <w:tl2br w:val="nil"/>
                    <w:tr2bl w:val="nil"/>
                  </w:tcBorders>
                  <w:noWrap w:val="0"/>
                  <w:vAlign w:val="center"/>
                </w:tcPr>
                <w:p w14:paraId="69AB0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81" w:type="pct"/>
                  <w:tcBorders>
                    <w:tl2br w:val="nil"/>
                    <w:tr2bl w:val="nil"/>
                  </w:tcBorders>
                  <w:noWrap w:val="0"/>
                  <w:vAlign w:val="center"/>
                </w:tcPr>
                <w:p w14:paraId="7D02F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本项目不涉及占用长江流域河湖岸线，不在金沙江岸线保护区和保留区内，本项目不涉及在金沙江干流、九大高原湖泊保护区、保留区内建设项目</w:t>
                  </w:r>
                </w:p>
              </w:tc>
              <w:tc>
                <w:tcPr>
                  <w:tcW w:w="509" w:type="pct"/>
                  <w:tcBorders>
                    <w:tl2br w:val="nil"/>
                    <w:tr2bl w:val="nil"/>
                  </w:tcBorders>
                  <w:noWrap w:val="0"/>
                  <w:vAlign w:val="center"/>
                </w:tcPr>
                <w:p w14:paraId="6B65B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1F494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3009" w:type="pct"/>
                  <w:tcBorders>
                    <w:tl2br w:val="nil"/>
                    <w:tr2bl w:val="nil"/>
                  </w:tcBorders>
                  <w:noWrap w:val="0"/>
                  <w:vAlign w:val="center"/>
                </w:tcPr>
                <w:p w14:paraId="3E002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81" w:type="pct"/>
                  <w:tcBorders>
                    <w:tl2br w:val="nil"/>
                    <w:tr2bl w:val="nil"/>
                  </w:tcBorders>
                  <w:noWrap w:val="0"/>
                  <w:vAlign w:val="center"/>
                </w:tcPr>
                <w:p w14:paraId="20E00F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本项目不属于在金沙江干流、长江一级支流建设的过江基础设施项目，不涉及新建、改设或扩大排污口</w:t>
                  </w:r>
                </w:p>
              </w:tc>
              <w:tc>
                <w:tcPr>
                  <w:tcW w:w="509" w:type="pct"/>
                  <w:tcBorders>
                    <w:tl2br w:val="nil"/>
                    <w:tr2bl w:val="nil"/>
                  </w:tcBorders>
                  <w:noWrap w:val="0"/>
                  <w:vAlign w:val="center"/>
                </w:tcPr>
                <w:p w14:paraId="0E3D9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2887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3009" w:type="pct"/>
                  <w:tcBorders>
                    <w:tl2br w:val="nil"/>
                    <w:tr2bl w:val="nil"/>
                  </w:tcBorders>
                  <w:noWrap w:val="0"/>
                  <w:vAlign w:val="center"/>
                </w:tcPr>
                <w:p w14:paraId="45135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禁止在金沙江干流、长江一级支流、水生生物保护区和长江流域禁捕水域开展天然渔业资源生产性捕捞。</w:t>
                  </w:r>
                </w:p>
              </w:tc>
              <w:tc>
                <w:tcPr>
                  <w:tcW w:w="1481" w:type="pct"/>
                  <w:tcBorders>
                    <w:tl2br w:val="nil"/>
                    <w:tr2bl w:val="nil"/>
                  </w:tcBorders>
                  <w:noWrap w:val="0"/>
                  <w:vAlign w:val="center"/>
                </w:tcPr>
                <w:p w14:paraId="645C1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本项目不涉及天然渔业资源的捕捞</w:t>
                  </w:r>
                </w:p>
              </w:tc>
              <w:tc>
                <w:tcPr>
                  <w:tcW w:w="509" w:type="pct"/>
                  <w:tcBorders>
                    <w:tl2br w:val="nil"/>
                    <w:tr2bl w:val="nil"/>
                  </w:tcBorders>
                  <w:noWrap w:val="0"/>
                  <w:vAlign w:val="center"/>
                </w:tcPr>
                <w:p w14:paraId="24BD6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4EB05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3009" w:type="pct"/>
                  <w:tcBorders>
                    <w:tl2br w:val="nil"/>
                    <w:tr2bl w:val="nil"/>
                  </w:tcBorders>
                  <w:noWrap w:val="0"/>
                  <w:vAlign w:val="center"/>
                </w:tcPr>
                <w:p w14:paraId="6FABA9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81" w:type="pct"/>
                  <w:tcBorders>
                    <w:tl2br w:val="nil"/>
                    <w:tr2bl w:val="nil"/>
                  </w:tcBorders>
                  <w:noWrap w:val="0"/>
                  <w:vAlign w:val="center"/>
                </w:tcPr>
                <w:p w14:paraId="0A164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本项目不属于化工项目，不属于新建、改建、扩建尾矿库、冶炼渣库和磷石膏库</w:t>
                  </w:r>
                </w:p>
              </w:tc>
              <w:tc>
                <w:tcPr>
                  <w:tcW w:w="509" w:type="pct"/>
                  <w:tcBorders>
                    <w:tl2br w:val="nil"/>
                    <w:tr2bl w:val="nil"/>
                  </w:tcBorders>
                  <w:noWrap w:val="0"/>
                  <w:vAlign w:val="center"/>
                </w:tcPr>
                <w:p w14:paraId="23C84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42E58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3009" w:type="pct"/>
                  <w:tcBorders>
                    <w:tl2br w:val="nil"/>
                    <w:tr2bl w:val="nil"/>
                  </w:tcBorders>
                  <w:noWrap w:val="0"/>
                  <w:vAlign w:val="center"/>
                </w:tcPr>
                <w:p w14:paraId="78E54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禁止在合规园区外新建、扩建钢铁、石化、化工、焦化、建材、有色、制浆造纸行业中的高污染项目</w:t>
                  </w:r>
                </w:p>
              </w:tc>
              <w:tc>
                <w:tcPr>
                  <w:tcW w:w="1481" w:type="pct"/>
                  <w:tcBorders>
                    <w:tl2br w:val="nil"/>
                    <w:tr2bl w:val="nil"/>
                  </w:tcBorders>
                  <w:noWrap w:val="0"/>
                  <w:vAlign w:val="center"/>
                </w:tcPr>
                <w:p w14:paraId="48DCF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本项目不属于钢铁、石化、化工、焦化、建材、有色、制浆造纸的高污染项目</w:t>
                  </w:r>
                </w:p>
              </w:tc>
              <w:tc>
                <w:tcPr>
                  <w:tcW w:w="509" w:type="pct"/>
                  <w:tcBorders>
                    <w:tl2br w:val="nil"/>
                    <w:tr2bl w:val="nil"/>
                  </w:tcBorders>
                  <w:noWrap w:val="0"/>
                  <w:vAlign w:val="center"/>
                </w:tcPr>
                <w:p w14:paraId="23CC19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39B99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3009" w:type="pct"/>
                  <w:tcBorders>
                    <w:tl2br w:val="nil"/>
                    <w:tr2bl w:val="nil"/>
                  </w:tcBorders>
                  <w:noWrap w:val="0"/>
                  <w:vAlign w:val="center"/>
                </w:tcPr>
                <w:p w14:paraId="259EE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1481" w:type="pct"/>
                  <w:tcBorders>
                    <w:tl2br w:val="nil"/>
                    <w:tr2bl w:val="nil"/>
                  </w:tcBorders>
                  <w:noWrap w:val="0"/>
                  <w:vAlign w:val="center"/>
                </w:tcPr>
                <w:p w14:paraId="2C015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本项目不属于危险化学品生产项目</w:t>
                  </w:r>
                </w:p>
              </w:tc>
              <w:tc>
                <w:tcPr>
                  <w:tcW w:w="509" w:type="pct"/>
                  <w:tcBorders>
                    <w:tl2br w:val="nil"/>
                    <w:tr2bl w:val="nil"/>
                  </w:tcBorders>
                  <w:noWrap w:val="0"/>
                  <w:vAlign w:val="center"/>
                </w:tcPr>
                <w:p w14:paraId="6F5A4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r w14:paraId="5CE0D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09" w:type="pct"/>
                  <w:tcBorders>
                    <w:tl2br w:val="nil"/>
                    <w:tr2bl w:val="nil"/>
                  </w:tcBorders>
                  <w:noWrap w:val="0"/>
                  <w:vAlign w:val="center"/>
                </w:tcPr>
                <w:p w14:paraId="49AF6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81" w:type="pct"/>
                  <w:tcBorders>
                    <w:tl2br w:val="nil"/>
                    <w:tr2bl w:val="nil"/>
                  </w:tcBorders>
                  <w:noWrap w:val="0"/>
                  <w:vAlign w:val="center"/>
                </w:tcPr>
                <w:p w14:paraId="361B7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项目符合产业政策，不属于高耗能、高排放、落后产能的项目</w:t>
                  </w:r>
                </w:p>
              </w:tc>
              <w:tc>
                <w:tcPr>
                  <w:tcW w:w="509" w:type="pct"/>
                  <w:tcBorders>
                    <w:tl2br w:val="nil"/>
                    <w:tr2bl w:val="nil"/>
                  </w:tcBorders>
                  <w:noWrap w:val="0"/>
                  <w:vAlign w:val="center"/>
                </w:tcPr>
                <w:p w14:paraId="11268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符合</w:t>
                  </w:r>
                </w:p>
              </w:tc>
            </w:tr>
          </w:tbl>
          <w:p w14:paraId="1DFFC2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0"/>
                <w:szCs w:val="20"/>
              </w:rPr>
            </w:pPr>
            <w:r>
              <w:rPr>
                <w:rFonts w:hint="eastAsia" w:ascii="Times New Roman" w:hAnsi="Times New Roman" w:eastAsia="宋体" w:cs="Times New Roman"/>
                <w:bCs/>
                <w:color w:val="auto"/>
                <w:sz w:val="24"/>
                <w:lang w:val="en-US" w:eastAsia="zh-CN"/>
              </w:rPr>
              <w:t>综上，</w:t>
            </w:r>
            <w:r>
              <w:rPr>
                <w:rFonts w:hint="default" w:ascii="Times New Roman" w:hAnsi="Times New Roman" w:eastAsia="宋体" w:cs="Times New Roman"/>
                <w:bCs/>
                <w:color w:val="auto"/>
                <w:sz w:val="24"/>
              </w:rPr>
              <w:t>项目与</w:t>
            </w:r>
            <w:r>
              <w:rPr>
                <w:rFonts w:hint="default" w:ascii="Times New Roman" w:hAnsi="Times New Roman" w:eastAsia="宋体" w:cs="Times New Roman"/>
                <w:color w:val="auto"/>
                <w:highlight w:val="none"/>
                <w:shd w:val="clear" w:color="auto" w:fill="auto"/>
                <w:lang w:val="en-US" w:eastAsia="zh-CN"/>
              </w:rPr>
              <w:t>《云南省长江经济带发展负面清单指南实施</w:t>
            </w:r>
            <w:r>
              <w:rPr>
                <w:rFonts w:hint="eastAsia" w:cs="Times New Roman"/>
                <w:color w:val="auto"/>
                <w:highlight w:val="none"/>
                <w:shd w:val="clear" w:color="auto" w:fill="auto"/>
                <w:lang w:val="en-US" w:eastAsia="zh-CN"/>
              </w:rPr>
              <w:t>意见</w:t>
            </w:r>
            <w:r>
              <w:rPr>
                <w:rFonts w:hint="default" w:ascii="Times New Roman" w:hAnsi="Times New Roman" w:eastAsia="宋体" w:cs="Times New Roman"/>
                <w:color w:val="auto"/>
                <w:highlight w:val="none"/>
                <w:shd w:val="clear" w:color="auto" w:fill="auto"/>
                <w:lang w:val="en-US" w:eastAsia="zh-CN"/>
              </w:rPr>
              <w:t>（试行</w:t>
            </w:r>
            <w:r>
              <w:rPr>
                <w:rFonts w:hint="eastAsia" w:ascii="Times New Roman" w:hAnsi="Times New Roman"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2022年版）》</w:t>
            </w:r>
            <w:r>
              <w:rPr>
                <w:rFonts w:hint="default" w:ascii="Times New Roman" w:hAnsi="Times New Roman" w:eastAsia="宋体" w:cs="Times New Roman"/>
                <w:bCs/>
                <w:color w:val="auto"/>
                <w:sz w:val="24"/>
              </w:rPr>
              <w:t>相符。</w:t>
            </w:r>
          </w:p>
        </w:tc>
      </w:tr>
    </w:tbl>
    <w:p w14:paraId="2E3902FE">
      <w:pPr>
        <w:pStyle w:val="2"/>
        <w:numPr>
          <w:ilvl w:val="0"/>
          <w:numId w:val="0"/>
        </w:numPr>
        <w:ind w:firstLine="0" w:firstLineChars="0"/>
        <w:jc w:val="center"/>
        <w:rPr>
          <w:rFonts w:hint="default" w:ascii="Times New Roman" w:hAnsi="Times New Roman" w:eastAsia="黑体" w:cs="Times New Roman"/>
          <w:b/>
          <w:color w:val="auto"/>
          <w:kern w:val="44"/>
          <w:sz w:val="32"/>
          <w:szCs w:val="32"/>
          <w:lang w:val="en-US" w:eastAsia="zh-CN" w:bidi="ar-SA"/>
        </w:rPr>
      </w:pPr>
      <w:bookmarkStart w:id="9" w:name="_Toc309"/>
      <w:r>
        <w:rPr>
          <w:rFonts w:hint="default" w:ascii="Times New Roman" w:hAnsi="Times New Roman" w:eastAsia="黑体" w:cs="Times New Roman"/>
          <w:b/>
          <w:color w:val="auto"/>
          <w:kern w:val="44"/>
          <w:sz w:val="32"/>
          <w:szCs w:val="32"/>
          <w:lang w:val="en-US" w:eastAsia="zh-CN" w:bidi="ar-SA"/>
        </w:rPr>
        <w:t>二、建设项目工程分析</w:t>
      </w:r>
      <w:bookmarkEnd w:id="9"/>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070"/>
      </w:tblGrid>
      <w:tr w14:paraId="2CF9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265" w:type="pct"/>
            <w:vAlign w:val="center"/>
          </w:tcPr>
          <w:p w14:paraId="5AFE70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0"/>
                <w:szCs w:val="20"/>
              </w:rPr>
            </w:pPr>
            <w:r>
              <w:rPr>
                <w:rFonts w:hint="default" w:ascii="Times New Roman" w:hAnsi="Times New Roman" w:cs="Times New Roman"/>
                <w:b w:val="0"/>
                <w:bCs w:val="0"/>
                <w:color w:val="auto"/>
                <w:sz w:val="24"/>
                <w:szCs w:val="24"/>
              </w:rPr>
              <w:t>建设内容</w:t>
            </w:r>
          </w:p>
        </w:tc>
        <w:tc>
          <w:tcPr>
            <w:tcW w:w="4734" w:type="pct"/>
          </w:tcPr>
          <w:p w14:paraId="49D99ECD">
            <w:pPr>
              <w:tabs>
                <w:tab w:val="left" w:pos="4830"/>
              </w:tabs>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bCs/>
                <w:color w:val="auto"/>
                <w:sz w:val="24"/>
              </w:rPr>
              <w:t>1、项目由来</w:t>
            </w:r>
          </w:p>
          <w:p w14:paraId="72C9039A">
            <w:pPr>
              <w:keepNext w:val="0"/>
              <w:keepLines/>
              <w:pageBreakBefore w:val="0"/>
              <w:widowControl w:val="0"/>
              <w:kinsoku/>
              <w:wordWrap w:val="0"/>
              <w:overflowPunct/>
              <w:topLinePunct/>
              <w:autoSpaceDE/>
              <w:autoSpaceDN/>
              <w:bidi w:val="0"/>
              <w:adjustRightInd/>
              <w:snapToGrid/>
              <w:ind w:firstLine="480"/>
              <w:textAlignment w:val="auto"/>
              <w:rPr>
                <w:rFonts w:hint="eastAsia"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玉溪利东商贸有限公司</w:t>
            </w:r>
            <w:r>
              <w:rPr>
                <w:rFonts w:hint="eastAsia" w:cs="Times New Roman"/>
                <w:color w:val="auto"/>
                <w:kern w:val="2"/>
                <w:sz w:val="24"/>
                <w:szCs w:val="24"/>
                <w:lang w:val="en-US" w:eastAsia="zh-CN" w:bidi="ar-SA"/>
              </w:rPr>
              <w:t>利用公司已建设完成的封闭式厂房（</w:t>
            </w:r>
            <w:r>
              <w:rPr>
                <w:rFonts w:hint="eastAsia" w:ascii="Times New Roman" w:hAnsi="Times New Roman" w:eastAsia="宋体" w:cs="Times New Roman"/>
                <w:color w:val="auto"/>
                <w:kern w:val="2"/>
                <w:sz w:val="24"/>
                <w:szCs w:val="24"/>
                <w:lang w:val="en-US" w:eastAsia="zh-CN" w:bidi="ar-SA"/>
              </w:rPr>
              <w:t>1</w:t>
            </w:r>
            <w:r>
              <w:rPr>
                <w:rFonts w:hint="eastAsia" w:ascii="Times New Roman" w:hAnsi="Times New Roman" w:cs="Times New Roman"/>
                <w:color w:val="auto"/>
                <w:kern w:val="2"/>
                <w:sz w:val="24"/>
                <w:szCs w:val="24"/>
                <w:lang w:val="en-US" w:eastAsia="zh-CN" w:bidi="ar-SA"/>
              </w:rPr>
              <w:t>9</w:t>
            </w:r>
            <w:r>
              <w:rPr>
                <w:rFonts w:hint="eastAsia" w:ascii="Times New Roman" w:hAnsi="Times New Roman" w:eastAsia="宋体" w:cs="Times New Roman"/>
                <w:color w:val="auto"/>
                <w:kern w:val="2"/>
                <w:sz w:val="24"/>
                <w:szCs w:val="24"/>
                <w:lang w:val="en-US" w:eastAsia="zh-CN" w:bidi="ar-SA"/>
              </w:rPr>
              <w:t>00m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cs="Times New Roman"/>
                <w:color w:val="auto"/>
                <w:kern w:val="2"/>
                <w:sz w:val="24"/>
                <w:szCs w:val="24"/>
                <w:lang w:val="en-US" w:eastAsia="zh-CN" w:bidi="ar-SA"/>
              </w:rPr>
              <w:t>）进行建设，原计划建设1条</w:t>
            </w:r>
            <w:r>
              <w:rPr>
                <w:rFonts w:hint="eastAsia" w:ascii="Times New Roman" w:hAnsi="Times New Roman" w:eastAsia="宋体" w:cs="Times New Roman"/>
                <w:color w:val="auto"/>
                <w:lang w:val="en-US" w:eastAsia="zh-CN"/>
              </w:rPr>
              <w:t>年产12万吨铁矿的</w:t>
            </w:r>
            <w:r>
              <w:rPr>
                <w:rFonts w:hint="eastAsia" w:ascii="Times New Roman" w:hAnsi="Times New Roman" w:cs="Times New Roman"/>
                <w:color w:val="auto"/>
                <w:lang w:val="en-US" w:eastAsia="zh-CN"/>
              </w:rPr>
              <w:t>生产线，实际建设过程中，由于市场原因，铁矿生产线</w:t>
            </w:r>
            <w:r>
              <w:rPr>
                <w:rFonts w:hint="eastAsia" w:cs="Times New Roman"/>
                <w:color w:val="auto"/>
                <w:lang w:val="en-US" w:eastAsia="zh-CN"/>
              </w:rPr>
              <w:t>尚未建成投入运行</w:t>
            </w:r>
            <w:r>
              <w:rPr>
                <w:rFonts w:hint="eastAsia" w:ascii="Times New Roman" w:hAnsi="Times New Roman" w:cs="Times New Roman"/>
                <w:color w:val="auto"/>
                <w:lang w:val="en-US" w:eastAsia="zh-CN"/>
              </w:rPr>
              <w:t>，建设单位拟预留一</w:t>
            </w:r>
            <w:r>
              <w:rPr>
                <w:rFonts w:hint="eastAsia" w:ascii="Times New Roman" w:hAnsi="Times New Roman" w:eastAsia="宋体" w:cs="Times New Roman"/>
                <w:color w:val="auto"/>
                <w:kern w:val="2"/>
                <w:sz w:val="24"/>
                <w:szCs w:val="24"/>
                <w:lang w:val="en-US" w:eastAsia="zh-CN" w:bidi="ar-SA"/>
              </w:rPr>
              <w:t>半生产车间</w:t>
            </w:r>
            <w:r>
              <w:rPr>
                <w:rFonts w:hint="eastAsia" w:ascii="Times New Roman" w:hAnsi="Times New Roman" w:cs="Times New Roman"/>
                <w:color w:val="auto"/>
                <w:kern w:val="2"/>
                <w:sz w:val="24"/>
                <w:szCs w:val="24"/>
                <w:lang w:val="en-US" w:eastAsia="zh-CN" w:bidi="ar-SA"/>
              </w:rPr>
              <w:t>（9</w:t>
            </w:r>
            <w:r>
              <w:rPr>
                <w:rFonts w:hint="eastAsia" w:ascii="Times New Roman" w:hAnsi="Times New Roman" w:eastAsia="宋体" w:cs="Times New Roman"/>
                <w:color w:val="auto"/>
                <w:kern w:val="2"/>
                <w:sz w:val="24"/>
                <w:szCs w:val="24"/>
                <w:lang w:val="en-US" w:eastAsia="zh-CN" w:bidi="ar-SA"/>
              </w:rPr>
              <w:t>00m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cs="Times New Roman"/>
                <w:color w:val="auto"/>
                <w:kern w:val="2"/>
                <w:sz w:val="24"/>
                <w:szCs w:val="24"/>
                <w:lang w:val="en-US" w:eastAsia="zh-CN" w:bidi="ar-SA"/>
              </w:rPr>
              <w:t>）用于铁矿生产线的建设，剩下的一半生产车间（100</w:t>
            </w:r>
            <w:r>
              <w:rPr>
                <w:rFonts w:hint="eastAsia" w:ascii="Times New Roman" w:hAnsi="Times New Roman" w:eastAsia="宋体" w:cs="Times New Roman"/>
                <w:color w:val="auto"/>
                <w:kern w:val="2"/>
                <w:sz w:val="24"/>
                <w:szCs w:val="24"/>
                <w:lang w:val="en-US" w:eastAsia="zh-CN" w:bidi="ar-SA"/>
              </w:rPr>
              <w:t>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cs="Times New Roman"/>
                <w:color w:val="auto"/>
                <w:kern w:val="2"/>
                <w:sz w:val="24"/>
                <w:szCs w:val="24"/>
                <w:lang w:val="en-US" w:eastAsia="zh-CN" w:bidi="ar-SA"/>
              </w:rPr>
              <w:t>）用于本次配煤项目的建设</w:t>
            </w:r>
            <w:r>
              <w:rPr>
                <w:rFonts w:hint="eastAsia" w:cs="Times New Roman"/>
                <w:color w:val="auto"/>
                <w:sz w:val="24"/>
                <w:szCs w:val="24"/>
                <w:lang w:val="en-US" w:eastAsia="zh-CN"/>
              </w:rPr>
              <w:t>。</w:t>
            </w:r>
          </w:p>
          <w:p w14:paraId="33951010">
            <w:pPr>
              <w:keepNext w:val="0"/>
              <w:keepLines/>
              <w:pageBreakBefore w:val="0"/>
              <w:widowControl w:val="0"/>
              <w:kinsoku/>
              <w:wordWrap w:val="0"/>
              <w:overflowPunct/>
              <w:topLinePunct/>
              <w:autoSpaceDE/>
              <w:autoSpaceDN/>
              <w:bidi w:val="0"/>
              <w:adjustRightInd/>
              <w:snapToGrid/>
              <w:ind w:firstLine="48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根据建设单位提供的资料，原有项目</w:t>
            </w:r>
            <w:r>
              <w:rPr>
                <w:rFonts w:hint="default" w:ascii="Times New Roman" w:hAnsi="Times New Roman" w:eastAsia="宋体" w:cs="Times New Roman"/>
                <w:color w:val="auto"/>
                <w:kern w:val="2"/>
                <w:sz w:val="24"/>
                <w:szCs w:val="24"/>
                <w:lang w:val="en-US" w:eastAsia="zh-CN" w:bidi="ar-SA"/>
              </w:rPr>
              <w:t>拟投资500万元</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利用</w:t>
            </w:r>
            <w:r>
              <w:rPr>
                <w:rFonts w:hint="eastAsia" w:ascii="Times New Roman" w:hAnsi="Times New Roman" w:eastAsia="宋体" w:cs="Times New Roman"/>
                <w:color w:val="auto"/>
                <w:kern w:val="2"/>
                <w:sz w:val="24"/>
                <w:szCs w:val="24"/>
                <w:lang w:val="en-US" w:eastAsia="zh-CN" w:bidi="ar-SA"/>
              </w:rPr>
              <w:t>玉溪利东商贸有限公司</w:t>
            </w:r>
            <w:r>
              <w:rPr>
                <w:rFonts w:hint="default" w:ascii="Times New Roman" w:hAnsi="Times New Roman" w:eastAsia="宋体" w:cs="Times New Roman"/>
                <w:color w:val="auto"/>
                <w:kern w:val="2"/>
                <w:sz w:val="24"/>
                <w:szCs w:val="24"/>
                <w:lang w:val="en-US" w:eastAsia="zh-CN" w:bidi="ar-SA"/>
              </w:rPr>
              <w:t>已建设完成的封闭式厂房进行建设，年产12万吨铁矿的生产线主要建设人工分拣区、原料堆场区、生产区、成品堆场区和危废暂存间等，通过购置安装颚式破碎机、锤破机、振动筛以及砂机等设备及配套建设环保设施，进行铁矿的破碎加工，建设完成后，形成1条年产12万吨铁矿的生产规模。该项目于2024年03月12日取得了峨山彝族自治县发展和改革局签发的投资项目备案证，备案文号为峨发改备案〔2024〕0043号，项目名称为玉溪利东商贸有限公司年产12万吨铁矿破碎加工生产线建设项目，项目代码为2403-530426-04-01-843415，2024年03月12日，玉溪利东商贸有限公司委托云南适新环保科技有限公司编制完成了《玉溪利东商贸有限公司年产12万吨铁矿破碎加工生产线建设项目环境影响报告表》 ，并于 2025年05月23日取得玉溪市生态环境局峨山分局《玉溪市生态环境局峨山分局关于玉溪利东商贸有限公司年产12万吨铁矿破碎加工生产线建设项目环境影响报告表的批复》，批文号为峨环审</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2025</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8号</w:t>
            </w:r>
            <w:r>
              <w:rPr>
                <w:rFonts w:hint="eastAsia" w:ascii="Times New Roman" w:hAnsi="Times New Roman" w:eastAsia="宋体" w:cs="Times New Roman"/>
                <w:color w:val="auto"/>
                <w:kern w:val="2"/>
                <w:sz w:val="24"/>
                <w:szCs w:val="24"/>
                <w:lang w:val="en-US" w:eastAsia="zh-CN" w:bidi="ar-SA"/>
              </w:rPr>
              <w:t>。</w:t>
            </w:r>
          </w:p>
          <w:p w14:paraId="32C6095C">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根据现场踏勘</w:t>
            </w:r>
            <w:r>
              <w:rPr>
                <w:rFonts w:hint="default" w:ascii="Times New Roman" w:hAnsi="Times New Roman" w:eastAsia="宋体" w:cs="Times New Roman"/>
                <w:color w:val="auto"/>
                <w:kern w:val="2"/>
                <w:sz w:val="24"/>
                <w:szCs w:val="24"/>
                <w:lang w:val="en-US" w:eastAsia="zh-CN" w:bidi="ar-SA"/>
              </w:rPr>
              <w:t>，原有项目（铁矿石破碎加工项目）</w:t>
            </w:r>
            <w:r>
              <w:rPr>
                <w:rFonts w:hint="eastAsia" w:cs="Times New Roman"/>
                <w:color w:val="auto"/>
                <w:lang w:val="en-US" w:eastAsia="zh-CN"/>
              </w:rPr>
              <w:t>尚未建成投入运行</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仅建设了封闭式厂房（1900m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），其余生产设备和环保工程等均未进行建设。本次配煤项目拟利用原有项目空闲的生产车间（1000m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）进行建设，主要建设</w:t>
            </w:r>
            <w:r>
              <w:rPr>
                <w:rFonts w:hint="default" w:ascii="Times New Roman" w:hAnsi="Times New Roman" w:eastAsia="宋体" w:cs="Times New Roman"/>
                <w:color w:val="auto"/>
                <w:kern w:val="2"/>
                <w:sz w:val="24"/>
                <w:szCs w:val="24"/>
                <w:lang w:val="en-US" w:eastAsia="zh-CN" w:bidi="ar-SA"/>
              </w:rPr>
              <w:t>配煤车间</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原煤堆场</w:t>
            </w:r>
            <w:r>
              <w:rPr>
                <w:rFonts w:hint="eastAsia" w:ascii="Times New Roman" w:hAnsi="Times New Roman" w:eastAsia="宋体" w:cs="Times New Roman"/>
                <w:color w:val="auto"/>
                <w:kern w:val="2"/>
                <w:sz w:val="24"/>
                <w:szCs w:val="24"/>
                <w:lang w:val="en-US" w:eastAsia="zh-CN" w:bidi="ar-SA"/>
              </w:rPr>
              <w:t>和</w:t>
            </w:r>
            <w:r>
              <w:rPr>
                <w:rFonts w:hint="default" w:ascii="Times New Roman" w:hAnsi="Times New Roman" w:eastAsia="宋体" w:cs="Times New Roman"/>
                <w:color w:val="auto"/>
                <w:kern w:val="2"/>
                <w:sz w:val="24"/>
                <w:szCs w:val="24"/>
                <w:lang w:val="en-US" w:eastAsia="zh-CN" w:bidi="ar-SA"/>
              </w:rPr>
              <w:t>成品堆场</w:t>
            </w:r>
            <w:r>
              <w:rPr>
                <w:rFonts w:hint="eastAsia" w:ascii="Times New Roman" w:hAnsi="Times New Roman" w:eastAsia="宋体" w:cs="Times New Roman"/>
                <w:color w:val="auto"/>
                <w:kern w:val="2"/>
                <w:sz w:val="24"/>
                <w:szCs w:val="24"/>
                <w:lang w:val="en-US" w:eastAsia="zh-CN" w:bidi="ar-SA"/>
              </w:rPr>
              <w:t>等，原有项目拟设计</w:t>
            </w:r>
            <w:r>
              <w:rPr>
                <w:rFonts w:hint="eastAsia" w:cs="Times New Roman"/>
                <w:color w:val="auto"/>
                <w:kern w:val="2"/>
                <w:sz w:val="24"/>
                <w:szCs w:val="24"/>
                <w:lang w:val="en-US" w:eastAsia="zh-CN" w:bidi="ar-SA"/>
              </w:rPr>
              <w:t>配套</w:t>
            </w:r>
            <w:r>
              <w:rPr>
                <w:rFonts w:hint="eastAsia" w:ascii="Times New Roman" w:hAnsi="Times New Roman" w:eastAsia="宋体" w:cs="Times New Roman"/>
                <w:color w:val="auto"/>
                <w:kern w:val="2"/>
                <w:sz w:val="24"/>
                <w:szCs w:val="24"/>
                <w:lang w:val="en-US" w:eastAsia="zh-CN" w:bidi="ar-SA"/>
              </w:rPr>
              <w:t>建设的相关环保设施（</w:t>
            </w:r>
            <w:r>
              <w:rPr>
                <w:rFonts w:hint="default" w:ascii="Times New Roman" w:hAnsi="Times New Roman" w:eastAsia="宋体" w:cs="Times New Roman"/>
                <w:color w:val="auto"/>
                <w:kern w:val="2"/>
                <w:sz w:val="24"/>
                <w:szCs w:val="24"/>
                <w:lang w:val="en-US" w:eastAsia="zh-CN" w:bidi="ar-SA"/>
              </w:rPr>
              <w:t>初期雨水收集池</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/d的一体化污水处理设施</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中水池</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危废暂存间</w:t>
            </w:r>
            <w:r>
              <w:rPr>
                <w:rFonts w:hint="eastAsia" w:ascii="Times New Roman" w:hAnsi="Times New Roman" w:eastAsia="宋体" w:cs="Times New Roman"/>
                <w:color w:val="auto"/>
                <w:kern w:val="2"/>
                <w:sz w:val="24"/>
                <w:szCs w:val="24"/>
                <w:lang w:val="en-US" w:eastAsia="zh-CN" w:bidi="ar-SA"/>
              </w:rPr>
              <w:t>等）一并纳入本次配煤项目进行建设评价，本项目建设完成后，</w:t>
            </w:r>
            <w:r>
              <w:rPr>
                <w:rFonts w:hint="default" w:ascii="Times New Roman" w:hAnsi="Times New Roman" w:eastAsia="宋体" w:cs="Times New Roman"/>
                <w:color w:val="auto"/>
                <w:kern w:val="2"/>
                <w:sz w:val="24"/>
                <w:szCs w:val="24"/>
                <w:lang w:val="en-US" w:eastAsia="zh-CN" w:bidi="ar-SA"/>
              </w:rPr>
              <w:t>形成</w:t>
            </w:r>
            <w:r>
              <w:rPr>
                <w:rFonts w:hint="eastAsia"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zh-CN" w:eastAsia="zh-CN" w:bidi="ar-SA"/>
              </w:rPr>
              <w:t>配煤12万吨</w:t>
            </w:r>
            <w:r>
              <w:rPr>
                <w:rFonts w:hint="eastAsia" w:ascii="Times New Roman" w:hAnsi="Times New Roman" w:eastAsia="宋体" w:cs="Times New Roman"/>
                <w:color w:val="auto"/>
                <w:kern w:val="2"/>
                <w:sz w:val="24"/>
                <w:szCs w:val="24"/>
                <w:lang w:val="en-US" w:eastAsia="zh-CN" w:bidi="ar-SA"/>
              </w:rPr>
              <w:t>的生产规模。</w:t>
            </w:r>
            <w:r>
              <w:rPr>
                <w:rFonts w:hint="default" w:ascii="Times New Roman" w:hAnsi="Times New Roman" w:eastAsia="宋体" w:cs="Times New Roman"/>
                <w:color w:val="auto"/>
                <w:kern w:val="2"/>
                <w:sz w:val="24"/>
                <w:szCs w:val="24"/>
                <w:lang w:val="en-US" w:eastAsia="zh-CN" w:bidi="ar-SA"/>
              </w:rPr>
              <w:t>该项目于</w:t>
            </w:r>
            <w:r>
              <w:rPr>
                <w:rFonts w:hint="eastAsia" w:ascii="Times New Roman" w:hAnsi="Times New Roman" w:eastAsia="宋体" w:cs="Times New Roman"/>
                <w:color w:val="auto"/>
                <w:kern w:val="2"/>
                <w:sz w:val="24"/>
                <w:szCs w:val="24"/>
                <w:lang w:val="en-US" w:eastAsia="zh-CN" w:bidi="ar-SA"/>
              </w:rPr>
              <w:t>2026年</w:t>
            </w:r>
            <w:r>
              <w:rPr>
                <w:rFonts w:hint="eastAsia" w:cs="Times New Roman"/>
                <w:color w:val="auto"/>
                <w:kern w:val="2"/>
                <w:sz w:val="24"/>
                <w:szCs w:val="24"/>
                <w:lang w:val="en-US" w:eastAsia="zh-CN" w:bidi="ar-SA"/>
              </w:rPr>
              <w:t>02月06日</w:t>
            </w:r>
            <w:r>
              <w:rPr>
                <w:rFonts w:hint="default" w:ascii="Times New Roman" w:hAnsi="Times New Roman" w:eastAsia="宋体" w:cs="Times New Roman"/>
                <w:color w:val="auto"/>
                <w:kern w:val="2"/>
                <w:sz w:val="24"/>
                <w:szCs w:val="24"/>
                <w:lang w:val="en-US" w:eastAsia="zh-CN" w:bidi="ar-SA"/>
              </w:rPr>
              <w:t>取得了</w:t>
            </w:r>
            <w:r>
              <w:rPr>
                <w:rFonts w:hint="eastAsia" w:ascii="Times New Roman" w:hAnsi="Times New Roman" w:eastAsia="宋体" w:cs="Times New Roman"/>
                <w:color w:val="auto"/>
                <w:kern w:val="2"/>
                <w:sz w:val="24"/>
                <w:szCs w:val="24"/>
                <w:lang w:val="en-US" w:eastAsia="zh-CN" w:bidi="ar-SA"/>
              </w:rPr>
              <w:t>峨山县发展和改革局</w:t>
            </w:r>
            <w:r>
              <w:rPr>
                <w:rFonts w:hint="default" w:ascii="Times New Roman" w:hAnsi="Times New Roman" w:eastAsia="宋体" w:cs="Times New Roman"/>
                <w:color w:val="auto"/>
                <w:kern w:val="2"/>
                <w:sz w:val="24"/>
                <w:szCs w:val="24"/>
                <w:lang w:val="en-US" w:eastAsia="zh-CN" w:bidi="ar-SA"/>
              </w:rPr>
              <w:t>签发的投资项目备案证（详见附件</w:t>
            </w: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），项目名称为</w:t>
            </w:r>
            <w:r>
              <w:rPr>
                <w:rFonts w:hint="eastAsia" w:ascii="Times New Roman" w:hAnsi="Times New Roman" w:eastAsia="宋体" w:cs="Times New Roman"/>
                <w:color w:val="auto"/>
                <w:kern w:val="2"/>
                <w:sz w:val="24"/>
                <w:szCs w:val="24"/>
                <w:lang w:val="en-US" w:eastAsia="zh-CN" w:bidi="ar-SA"/>
              </w:rPr>
              <w:t>年配煤12万吨加工生产线建设项目</w:t>
            </w:r>
            <w:r>
              <w:rPr>
                <w:rFonts w:hint="default" w:ascii="Times New Roman" w:hAnsi="Times New Roman" w:eastAsia="宋体" w:cs="Times New Roman"/>
                <w:color w:val="auto"/>
                <w:kern w:val="2"/>
                <w:sz w:val="24"/>
                <w:szCs w:val="24"/>
                <w:lang w:val="en-US" w:eastAsia="zh-CN" w:bidi="ar-SA"/>
              </w:rPr>
              <w:t>，项目代码为</w:t>
            </w:r>
            <w:r>
              <w:rPr>
                <w:rFonts w:hint="eastAsia" w:ascii="Times New Roman" w:hAnsi="Times New Roman" w:eastAsia="宋体" w:cs="Times New Roman"/>
                <w:color w:val="auto"/>
                <w:kern w:val="2"/>
                <w:sz w:val="24"/>
                <w:szCs w:val="24"/>
                <w:lang w:val="en-US" w:eastAsia="zh-CN" w:bidi="ar-SA"/>
              </w:rPr>
              <w:t>2602-530426-04-05-404367</w:t>
            </w:r>
            <w:r>
              <w:rPr>
                <w:rFonts w:hint="default" w:ascii="Times New Roman" w:hAnsi="Times New Roman" w:eastAsia="宋体" w:cs="Times New Roman"/>
                <w:color w:val="auto"/>
                <w:kern w:val="2"/>
                <w:sz w:val="24"/>
                <w:szCs w:val="24"/>
                <w:lang w:val="en-US" w:eastAsia="zh-CN" w:bidi="ar-SA"/>
              </w:rPr>
              <w:t>，同意项目建设。</w:t>
            </w:r>
          </w:p>
          <w:p w14:paraId="4C52F05C">
            <w:pPr>
              <w:pStyle w:val="104"/>
              <w:spacing w:before="67" w:line="360" w:lineRule="auto"/>
              <w:ind w:left="93"/>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根据《中华人民共和国环境保护法》和《建设项目环境保护管理条例》等国家有关建设项目环境管理的要求</w:t>
            </w:r>
            <w:r>
              <w:rPr>
                <w:rFonts w:hint="eastAsia" w:ascii="Times New Roman" w:hAnsi="Times New Roman" w:eastAsia="宋体" w:cs="Times New Roman"/>
                <w:b w:val="0"/>
                <w:bCs/>
                <w:color w:val="auto"/>
                <w:kern w:val="2"/>
                <w:sz w:val="24"/>
                <w:szCs w:val="24"/>
                <w:lang w:val="en-US" w:eastAsia="zh-CN" w:bidi="ar-SA"/>
              </w:rPr>
              <w:t>，玉溪利东商贸有限公司</w:t>
            </w:r>
            <w:r>
              <w:rPr>
                <w:rFonts w:hint="default" w:ascii="Times New Roman" w:hAnsi="Times New Roman" w:eastAsia="宋体" w:cs="Times New Roman"/>
                <w:b w:val="0"/>
                <w:bCs/>
                <w:color w:val="auto"/>
                <w:kern w:val="2"/>
                <w:sz w:val="24"/>
                <w:szCs w:val="24"/>
                <w:lang w:val="en-US" w:eastAsia="zh-CN" w:bidi="ar-SA"/>
              </w:rPr>
              <w:t>委托我单位对该公司</w:t>
            </w:r>
            <w:r>
              <w:rPr>
                <w:rFonts w:hint="eastAsia" w:ascii="Times New Roman" w:hAnsi="Times New Roman" w:eastAsia="宋体" w:cs="Times New Roman"/>
                <w:b w:val="0"/>
                <w:bCs/>
                <w:color w:val="auto"/>
                <w:kern w:val="2"/>
                <w:sz w:val="24"/>
                <w:szCs w:val="24"/>
                <w:lang w:val="en-US" w:eastAsia="zh-CN" w:bidi="ar-SA"/>
              </w:rPr>
              <w:t>建设</w:t>
            </w:r>
            <w:r>
              <w:rPr>
                <w:rFonts w:hint="default" w:ascii="Times New Roman" w:hAnsi="Times New Roman" w:eastAsia="宋体" w:cs="Times New Roman"/>
                <w:b w:val="0"/>
                <w:bCs/>
                <w:color w:val="auto"/>
                <w:kern w:val="2"/>
                <w:sz w:val="24"/>
                <w:szCs w:val="24"/>
                <w:lang w:val="en-US" w:eastAsia="zh-CN" w:bidi="ar-SA"/>
              </w:rPr>
              <w:t>的</w:t>
            </w:r>
            <w:r>
              <w:rPr>
                <w:rFonts w:hint="eastAsia" w:ascii="Times New Roman" w:hAnsi="Times New Roman" w:eastAsia="宋体" w:cs="Times New Roman"/>
                <w:b w:val="0"/>
                <w:bCs/>
                <w:color w:val="auto"/>
                <w:kern w:val="2"/>
                <w:sz w:val="24"/>
                <w:szCs w:val="24"/>
                <w:lang w:val="en-US" w:eastAsia="zh-CN" w:bidi="ar-SA"/>
              </w:rPr>
              <w:t>“</w:t>
            </w:r>
            <w:r>
              <w:rPr>
                <w:rFonts w:hint="eastAsia" w:ascii="Times New Roman" w:hAnsi="Times New Roman" w:cs="Times New Roman"/>
                <w:b w:val="0"/>
                <w:bCs/>
                <w:color w:val="auto"/>
                <w:kern w:val="2"/>
                <w:sz w:val="24"/>
                <w:szCs w:val="24"/>
                <w:lang w:val="en-US" w:eastAsia="zh-CN" w:bidi="ar-SA"/>
              </w:rPr>
              <w:t>年配煤12万吨加工生产线建设项目</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进行环境影响评价</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根据《国民经济行业分类》（GB/T4754-2017）及第1号修改单的通知（国统字〔2019〕66号），本项目属于</w:t>
            </w:r>
            <w:r>
              <w:rPr>
                <w:rFonts w:hint="eastAsia" w:ascii="Times New Roman" w:hAnsi="Times New Roman" w:eastAsia="宋体" w:cs="Times New Roman"/>
                <w:b w:val="0"/>
                <w:bCs/>
                <w:color w:val="auto"/>
                <w:kern w:val="2"/>
                <w:sz w:val="24"/>
                <w:szCs w:val="24"/>
                <w:lang w:val="en-US" w:eastAsia="zh-CN" w:bidi="ar-SA"/>
              </w:rPr>
              <w:t>B0610 烟煤和无烟煤开采洗选，</w:t>
            </w:r>
            <w:r>
              <w:rPr>
                <w:rFonts w:hint="default" w:ascii="Times New Roman" w:hAnsi="Times New Roman" w:eastAsia="宋体" w:cs="Times New Roman"/>
                <w:b w:val="0"/>
                <w:bCs/>
                <w:color w:val="auto"/>
                <w:kern w:val="2"/>
                <w:sz w:val="24"/>
                <w:szCs w:val="24"/>
                <w:lang w:val="en-US" w:eastAsia="zh-CN" w:bidi="ar-SA"/>
              </w:rPr>
              <w:t>根据《建设项目环境影响评价分类管理名录》（2021年1月1日）</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本项目属于</w:t>
            </w:r>
            <w:r>
              <w:rPr>
                <w:rFonts w:hint="eastAsia" w:ascii="Times New Roman" w:hAnsi="Times New Roman" w:eastAsia="宋体" w:cs="Times New Roman"/>
                <w:b w:val="0"/>
                <w:bCs/>
                <w:color w:val="auto"/>
                <w:kern w:val="2"/>
                <w:sz w:val="24"/>
                <w:szCs w:val="24"/>
                <w:lang w:val="en-US" w:eastAsia="zh-CN" w:bidi="ar-SA"/>
              </w:rPr>
              <w:t>“四、煤炭开采和洗选业 06 烟煤和无烟煤开采洗选</w:t>
            </w:r>
            <w:r>
              <w:rPr>
                <w:rFonts w:hint="eastAsia" w:ascii="Times New Roman" w:hAnsi="Times New Roman" w:cs="Times New Roman"/>
                <w:b w:val="0"/>
                <w:bCs/>
                <w:color w:val="auto"/>
                <w:kern w:val="2"/>
                <w:sz w:val="24"/>
                <w:szCs w:val="24"/>
                <w:lang w:val="en-US" w:eastAsia="zh-CN" w:bidi="ar-SA"/>
              </w:rPr>
              <w:t xml:space="preserve"> </w:t>
            </w:r>
            <w:r>
              <w:rPr>
                <w:rFonts w:hint="eastAsia" w:ascii="Times New Roman" w:hAnsi="Times New Roman" w:eastAsia="宋体" w:cs="Times New Roman"/>
                <w:b w:val="0"/>
                <w:bCs/>
                <w:color w:val="auto"/>
                <w:kern w:val="2"/>
                <w:sz w:val="24"/>
                <w:szCs w:val="24"/>
                <w:lang w:val="en-US" w:eastAsia="zh-CN" w:bidi="ar-SA"/>
              </w:rPr>
              <w:t>061 中煤炭洗选、配煤”，因此</w:t>
            </w:r>
            <w:r>
              <w:rPr>
                <w:rFonts w:hint="default" w:ascii="Times New Roman" w:hAnsi="Times New Roman" w:eastAsia="宋体" w:cs="Times New Roman"/>
                <w:b w:val="0"/>
                <w:bCs/>
                <w:color w:val="auto"/>
                <w:kern w:val="2"/>
                <w:sz w:val="24"/>
                <w:szCs w:val="24"/>
                <w:lang w:val="en-US" w:eastAsia="zh-CN" w:bidi="ar-SA"/>
              </w:rPr>
              <w:t>应编制环境影响报告表。</w:t>
            </w:r>
          </w:p>
          <w:p w14:paraId="3F519CBB">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eastAsia="宋体" w:cs="Times New Roman"/>
                <w:b w:val="0"/>
                <w:bCs/>
                <w:color w:val="auto"/>
                <w:sz w:val="24"/>
                <w:szCs w:val="24"/>
              </w:rPr>
              <w:t>我单位在</w:t>
            </w:r>
            <w:r>
              <w:rPr>
                <w:rFonts w:hint="default" w:ascii="Times New Roman" w:hAnsi="Times New Roman" w:eastAsia="宋体" w:cs="Times New Roman"/>
                <w:b w:val="0"/>
                <w:bCs/>
                <w:color w:val="auto"/>
                <w:sz w:val="24"/>
                <w:szCs w:val="24"/>
                <w:lang w:val="en-US" w:eastAsia="zh-CN"/>
              </w:rPr>
              <w:t>接受</w:t>
            </w:r>
            <w:r>
              <w:rPr>
                <w:rFonts w:hint="default" w:ascii="Times New Roman" w:hAnsi="Times New Roman" w:eastAsia="宋体" w:cs="Times New Roman"/>
                <w:b w:val="0"/>
                <w:bCs/>
                <w:color w:val="auto"/>
                <w:sz w:val="24"/>
                <w:szCs w:val="24"/>
              </w:rPr>
              <w:t>委托后</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及时组织人员对该项目开展了相关的环评工作，</w:t>
            </w:r>
            <w:r>
              <w:rPr>
                <w:rFonts w:hint="eastAsia" w:cs="Times New Roman"/>
                <w:b w:val="0"/>
                <w:bCs/>
                <w:color w:val="auto"/>
                <w:sz w:val="24"/>
                <w:szCs w:val="24"/>
                <w:lang w:val="en-US" w:eastAsia="zh-CN"/>
              </w:rPr>
              <w:t>现场踏勘</w:t>
            </w:r>
            <w:r>
              <w:rPr>
                <w:rFonts w:hint="default" w:ascii="Times New Roman" w:hAnsi="Times New Roman" w:eastAsia="宋体" w:cs="Times New Roman"/>
                <w:b w:val="0"/>
                <w:bCs/>
                <w:color w:val="auto"/>
                <w:sz w:val="24"/>
                <w:szCs w:val="24"/>
              </w:rPr>
              <w:t>该项目场址周边环境，收集和查阅了该项目的有关资料，在此基础上完成了该项目的环境影响报告表的编制工作，</w:t>
            </w:r>
            <w:r>
              <w:rPr>
                <w:rFonts w:hint="default" w:ascii="Times New Roman" w:hAnsi="Times New Roman" w:eastAsia="宋体" w:cs="Times New Roman"/>
                <w:b w:val="0"/>
                <w:bCs/>
                <w:color w:val="auto"/>
                <w:kern w:val="0"/>
                <w:sz w:val="24"/>
                <w:szCs w:val="24"/>
                <w:lang w:val="en-US" w:eastAsia="zh-CN" w:bidi="ar"/>
              </w:rPr>
              <w:t>提交给建设单位上报主管部门审批</w:t>
            </w:r>
            <w:r>
              <w:rPr>
                <w:rFonts w:hint="default" w:ascii="Times New Roman" w:hAnsi="Times New Roman" w:cs="Times New Roman"/>
                <w:color w:val="auto"/>
                <w:sz w:val="24"/>
              </w:rPr>
              <w:t>。</w:t>
            </w:r>
          </w:p>
          <w:p w14:paraId="0C1A67F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eastAsia" w:ascii="Times New Roman" w:hAnsi="Times New Roman" w:eastAsia="宋体" w:cs="Times New Roman"/>
                <w:b/>
                <w:bCs/>
                <w:color w:val="auto"/>
                <w:sz w:val="24"/>
                <w:szCs w:val="24"/>
                <w:lang w:val="en-US" w:eastAsia="zh-CN"/>
              </w:rPr>
              <w:t>建设项目基本概况</w:t>
            </w:r>
          </w:p>
          <w:p w14:paraId="18476937">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项目名称：</w:t>
            </w:r>
            <w:r>
              <w:rPr>
                <w:rFonts w:hint="eastAsia" w:ascii="Times New Roman" w:hAnsi="Times New Roman" w:cs="Times New Roman"/>
                <w:color w:val="auto"/>
                <w:kern w:val="2"/>
                <w:sz w:val="24"/>
                <w:szCs w:val="24"/>
                <w:lang w:val="en-US" w:eastAsia="zh-CN" w:bidi="ar-SA"/>
              </w:rPr>
              <w:t>年配煤12万吨加工生产线建设项目</w:t>
            </w:r>
          </w:p>
          <w:p w14:paraId="3B8E3061">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项目建设单位：</w:t>
            </w:r>
            <w:r>
              <w:rPr>
                <w:rFonts w:hint="eastAsia" w:ascii="Times New Roman" w:hAnsi="Times New Roman" w:cs="Times New Roman"/>
                <w:color w:val="auto"/>
                <w:kern w:val="2"/>
                <w:sz w:val="24"/>
                <w:szCs w:val="24"/>
                <w:lang w:val="en-US" w:eastAsia="zh-CN" w:bidi="ar-SA"/>
              </w:rPr>
              <w:t>玉溪利东商贸有限公司</w:t>
            </w:r>
          </w:p>
          <w:p w14:paraId="16CEDE2B">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项目建设性质：</w:t>
            </w:r>
            <w:r>
              <w:rPr>
                <w:rFonts w:hint="eastAsia" w:ascii="Times New Roman" w:hAnsi="Times New Roman" w:cs="Times New Roman"/>
                <w:color w:val="auto"/>
                <w:kern w:val="2"/>
                <w:sz w:val="24"/>
                <w:szCs w:val="24"/>
                <w:lang w:val="en-US" w:eastAsia="zh-CN" w:bidi="ar-SA"/>
              </w:rPr>
              <w:t>新建</w:t>
            </w:r>
          </w:p>
          <w:p w14:paraId="65BF9C90">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项目建设地点：</w:t>
            </w:r>
            <w:r>
              <w:rPr>
                <w:rFonts w:hint="eastAsia" w:ascii="Times New Roman" w:hAnsi="Times New Roman" w:cs="Times New Roman"/>
                <w:color w:val="auto"/>
                <w:kern w:val="2"/>
                <w:sz w:val="24"/>
                <w:szCs w:val="24"/>
                <w:lang w:val="en-US" w:eastAsia="zh-CN" w:bidi="ar-SA"/>
              </w:rPr>
              <w:t>云南省玉溪市峨山彝族自治县化念镇化念社区居民委员会（玉溪利东商贸有限公司厂区内）</w:t>
            </w:r>
            <w:r>
              <w:rPr>
                <w:rFonts w:hint="default" w:ascii="Times New Roman" w:hAnsi="Times New Roman" w:eastAsia="宋体" w:cs="Times New Roman"/>
                <w:color w:val="auto"/>
                <w:kern w:val="2"/>
                <w:sz w:val="24"/>
                <w:szCs w:val="24"/>
                <w:lang w:val="en-US" w:eastAsia="zh-CN" w:bidi="ar-SA"/>
              </w:rPr>
              <w:t>，中心地理坐标为</w:t>
            </w:r>
            <w:r>
              <w:rPr>
                <w:rFonts w:hint="eastAsia" w:ascii="Times New Roman" w:hAnsi="Times New Roman" w:eastAsia="宋体" w:cs="Times New Roman"/>
                <w:color w:val="auto"/>
                <w:kern w:val="2"/>
                <w:sz w:val="24"/>
                <w:szCs w:val="24"/>
                <w:lang w:val="en-US" w:eastAsia="zh-CN" w:bidi="ar-SA"/>
              </w:rPr>
              <w:t>东经</w:t>
            </w:r>
            <w:r>
              <w:rPr>
                <w:rFonts w:hint="eastAsia" w:ascii="Times New Roman" w:hAnsi="Times New Roman" w:cs="Times New Roman"/>
                <w:color w:val="auto"/>
                <w:kern w:val="2"/>
                <w:sz w:val="24"/>
                <w:szCs w:val="24"/>
                <w:lang w:val="en-US" w:eastAsia="zh-CN" w:bidi="ar-SA"/>
              </w:rPr>
              <w:t>102°12′37.443″</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北纬</w:t>
            </w:r>
            <w:r>
              <w:rPr>
                <w:rFonts w:hint="eastAsia" w:ascii="Times New Roman" w:hAnsi="Times New Roman" w:cs="Times New Roman"/>
                <w:color w:val="auto"/>
                <w:kern w:val="2"/>
                <w:sz w:val="24"/>
                <w:szCs w:val="24"/>
                <w:lang w:val="en-US" w:eastAsia="zh-CN" w:bidi="ar-SA"/>
              </w:rPr>
              <w:t>24°5′9.753″</w:t>
            </w:r>
            <w:r>
              <w:rPr>
                <w:rFonts w:hint="default" w:ascii="Times New Roman" w:hAnsi="Times New Roman" w:eastAsia="宋体" w:cs="Times New Roman"/>
                <w:color w:val="auto"/>
                <w:kern w:val="2"/>
                <w:sz w:val="24"/>
                <w:szCs w:val="24"/>
                <w:lang w:val="en-US" w:eastAsia="zh-CN" w:bidi="ar-SA"/>
              </w:rPr>
              <w:t>。</w:t>
            </w:r>
          </w:p>
          <w:p w14:paraId="09F7E4EA">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项目投资：总投资为</w:t>
            </w:r>
            <w:r>
              <w:rPr>
                <w:rFonts w:hint="eastAsia" w:ascii="Times New Roman" w:hAnsi="Times New Roman" w:cs="Times New Roman"/>
                <w:color w:val="auto"/>
                <w:kern w:val="2"/>
                <w:sz w:val="24"/>
                <w:szCs w:val="24"/>
                <w:lang w:val="en-US" w:eastAsia="zh-CN" w:bidi="ar-SA"/>
              </w:rPr>
              <w:t>60</w:t>
            </w:r>
            <w:r>
              <w:rPr>
                <w:rFonts w:hint="default" w:ascii="Times New Roman" w:hAnsi="Times New Roman" w:eastAsia="宋体" w:cs="Times New Roman"/>
                <w:color w:val="auto"/>
                <w:kern w:val="2"/>
                <w:sz w:val="24"/>
                <w:szCs w:val="24"/>
                <w:lang w:val="en-US" w:eastAsia="zh-CN" w:bidi="ar-SA"/>
              </w:rPr>
              <w:t>万元，其中，环保投资</w:t>
            </w:r>
            <w:r>
              <w:rPr>
                <w:rFonts w:hint="eastAsia" w:ascii="Times New Roman" w:hAnsi="Times New Roman" w:cs="Times New Roman"/>
                <w:color w:val="auto"/>
                <w:kern w:val="2"/>
                <w:sz w:val="24"/>
                <w:szCs w:val="24"/>
                <w:lang w:val="en-US" w:eastAsia="zh-CN" w:bidi="ar-SA"/>
              </w:rPr>
              <w:t>22.8</w:t>
            </w:r>
            <w:r>
              <w:rPr>
                <w:rFonts w:hint="default" w:ascii="Times New Roman" w:hAnsi="Times New Roman" w:eastAsia="宋体" w:cs="Times New Roman"/>
                <w:color w:val="auto"/>
                <w:kern w:val="2"/>
                <w:sz w:val="24"/>
                <w:szCs w:val="24"/>
                <w:lang w:val="en-US" w:eastAsia="zh-CN" w:bidi="ar-SA"/>
              </w:rPr>
              <w:t>万元，</w:t>
            </w:r>
            <w:r>
              <w:rPr>
                <w:rFonts w:hint="eastAsia" w:ascii="Times New Roman" w:hAnsi="Times New Roman" w:eastAsia="宋体" w:cs="Times New Roman"/>
                <w:color w:val="auto"/>
                <w:kern w:val="2"/>
                <w:sz w:val="24"/>
                <w:szCs w:val="24"/>
                <w:lang w:val="en-US" w:eastAsia="zh-CN" w:bidi="ar-SA"/>
              </w:rPr>
              <w:t>环保投资占总投资的</w:t>
            </w:r>
            <w:r>
              <w:rPr>
                <w:rFonts w:hint="eastAsia" w:ascii="Times New Roman" w:hAnsi="Times New Roman" w:cs="Times New Roman"/>
                <w:color w:val="auto"/>
                <w:kern w:val="2"/>
                <w:sz w:val="24"/>
                <w:szCs w:val="24"/>
                <w:lang w:val="en-US" w:eastAsia="zh-CN" w:bidi="ar-SA"/>
              </w:rPr>
              <w:t>38</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zh-CN" w:eastAsia="zh-CN" w:bidi="ar-SA"/>
              </w:rPr>
              <w:t>项目建设资金全部由建设单位自筹解决。</w:t>
            </w:r>
          </w:p>
          <w:p w14:paraId="160BA23A">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劳动定员：</w:t>
            </w:r>
            <w:r>
              <w:rPr>
                <w:rFonts w:hint="eastAsia" w:ascii="Times New Roman" w:hAnsi="Times New Roman" w:eastAsia="宋体" w:cs="Times New Roman"/>
                <w:color w:val="auto"/>
                <w:kern w:val="2"/>
                <w:sz w:val="24"/>
                <w:szCs w:val="24"/>
                <w:lang w:val="en-US" w:eastAsia="zh-CN" w:bidi="ar-SA"/>
              </w:rPr>
              <w:t>本项目</w:t>
            </w:r>
            <w:r>
              <w:rPr>
                <w:rFonts w:hint="eastAsia" w:ascii="Times New Roman" w:hAnsi="Times New Roman" w:cs="Times New Roman"/>
                <w:color w:val="auto"/>
                <w:kern w:val="2"/>
                <w:sz w:val="24"/>
                <w:szCs w:val="24"/>
                <w:lang w:val="en-US" w:eastAsia="zh-CN" w:bidi="ar-SA"/>
              </w:rPr>
              <w:t>劳动定员为10人</w:t>
            </w:r>
            <w:r>
              <w:rPr>
                <w:rFonts w:hint="default" w:ascii="Times New Roman" w:hAnsi="Times New Roman" w:eastAsia="宋体" w:cs="Times New Roman"/>
                <w:color w:val="auto"/>
                <w:kern w:val="2"/>
                <w:sz w:val="24"/>
                <w:szCs w:val="24"/>
                <w:lang w:val="en-US" w:eastAsia="zh-CN" w:bidi="ar-SA"/>
              </w:rPr>
              <w:t>，年工作300d，实行</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班制，每班8小时，总工作时间为</w:t>
            </w:r>
            <w:r>
              <w:rPr>
                <w:rFonts w:hint="eastAsia" w:ascii="Times New Roman" w:hAnsi="Times New Roman" w:cs="Times New Roman"/>
                <w:color w:val="auto"/>
                <w:kern w:val="2"/>
                <w:sz w:val="24"/>
                <w:szCs w:val="24"/>
                <w:lang w:val="en-US" w:eastAsia="zh-CN" w:bidi="ar-SA"/>
              </w:rPr>
              <w:t>24</w:t>
            </w:r>
            <w:r>
              <w:rPr>
                <w:rFonts w:hint="default" w:ascii="Times New Roman" w:hAnsi="Times New Roman" w:eastAsia="宋体" w:cs="Times New Roman"/>
                <w:color w:val="auto"/>
                <w:kern w:val="2"/>
                <w:sz w:val="24"/>
                <w:szCs w:val="24"/>
                <w:lang w:val="en-US" w:eastAsia="zh-CN" w:bidi="ar-SA"/>
              </w:rPr>
              <w:t>00小时。</w:t>
            </w:r>
          </w:p>
          <w:p w14:paraId="6781FCD6">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项目地理位置图见附图1，项目周边保护目标分布图见附图</w:t>
            </w:r>
            <w:r>
              <w:rPr>
                <w:rFonts w:hint="eastAsia" w:ascii="Times New Roman" w:hAnsi="Times New Roman"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w:t>
            </w:r>
          </w:p>
          <w:p w14:paraId="04F3AB3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eastAsia" w:ascii="Times New Roman" w:hAnsi="Times New Roman" w:eastAsia="宋体" w:cs="Times New Roman"/>
                <w:b/>
                <w:bCs/>
                <w:color w:val="auto"/>
                <w:sz w:val="24"/>
                <w:szCs w:val="24"/>
                <w:lang w:val="en-US" w:eastAsia="zh-CN"/>
              </w:rPr>
              <w:t>3、建设内容及规模</w:t>
            </w:r>
          </w:p>
          <w:p w14:paraId="02C946AB">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w:t>
            </w:r>
            <w:r>
              <w:rPr>
                <w:rFonts w:hint="eastAsia" w:cs="Times New Roman"/>
                <w:color w:val="auto"/>
                <w:kern w:val="2"/>
                <w:sz w:val="24"/>
                <w:szCs w:val="24"/>
                <w:lang w:val="en-US" w:eastAsia="zh-CN" w:bidi="ar-SA"/>
              </w:rPr>
              <w:t>利用</w:t>
            </w:r>
            <w:r>
              <w:rPr>
                <w:rFonts w:hint="eastAsia" w:ascii="Times New Roman" w:hAnsi="Times New Roman" w:eastAsia="宋体" w:cs="Times New Roman"/>
                <w:color w:val="auto"/>
                <w:kern w:val="2"/>
                <w:sz w:val="24"/>
                <w:szCs w:val="24"/>
                <w:lang w:val="en-US" w:eastAsia="zh-CN" w:bidi="ar-SA"/>
              </w:rPr>
              <w:t>玉溪利东商贸有限公司</w:t>
            </w:r>
            <w:r>
              <w:rPr>
                <w:rFonts w:hint="default" w:ascii="Times New Roman" w:hAnsi="Times New Roman" w:eastAsia="宋体" w:cs="Times New Roman"/>
                <w:color w:val="auto"/>
                <w:kern w:val="2"/>
                <w:sz w:val="24"/>
                <w:szCs w:val="24"/>
                <w:lang w:val="en-US" w:eastAsia="zh-CN" w:bidi="ar-SA"/>
              </w:rPr>
              <w:t>已建设完成的封闭式厂房进行建设</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占地面积为1</w:t>
            </w:r>
            <w:r>
              <w:rPr>
                <w:rFonts w:hint="eastAsia" w:ascii="Times New Roman" w:hAnsi="Times New Roman" w:eastAsia="宋体" w:cs="Times New Roman"/>
                <w:color w:val="auto"/>
                <w:kern w:val="2"/>
                <w:sz w:val="24"/>
                <w:szCs w:val="24"/>
                <w:lang w:val="en-US" w:eastAsia="zh-CN" w:bidi="ar-SA"/>
              </w:rPr>
              <w:t>0</w:t>
            </w:r>
            <w:r>
              <w:rPr>
                <w:rFonts w:hint="default" w:ascii="Times New Roman" w:hAnsi="Times New Roman" w:eastAsia="宋体" w:cs="Times New Roman"/>
                <w:color w:val="auto"/>
                <w:kern w:val="2"/>
                <w:sz w:val="24"/>
                <w:szCs w:val="24"/>
                <w:lang w:val="en-US" w:eastAsia="zh-CN" w:bidi="ar-SA"/>
              </w:rPr>
              <w:t>00</w:t>
            </w:r>
            <w:r>
              <w:rPr>
                <w:rFonts w:hint="eastAsia" w:ascii="Times New Roman" w:hAnsi="Times New Roman" w:cs="Times New Roman"/>
                <w:color w:val="auto"/>
                <w:kern w:val="2"/>
                <w:sz w:val="24"/>
                <w:szCs w:val="24"/>
                <w:lang w:val="en-US" w:eastAsia="zh-CN" w:bidi="ar-SA"/>
              </w:rPr>
              <w:t>m</w:t>
            </w:r>
            <w:r>
              <w:rPr>
                <w:rFonts w:hint="eastAsia" w:ascii="Times New Roman" w:hAnsi="Times New Roman"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，内设</w:t>
            </w:r>
            <w:r>
              <w:rPr>
                <w:rFonts w:hint="eastAsia" w:ascii="Times New Roman" w:hAnsi="Times New Roman" w:eastAsia="宋体" w:cs="Times New Roman"/>
                <w:color w:val="auto"/>
                <w:kern w:val="2"/>
                <w:sz w:val="24"/>
                <w:szCs w:val="24"/>
                <w:lang w:val="en-US" w:eastAsia="zh-CN" w:bidi="ar-SA"/>
              </w:rPr>
              <w:t>原煤</w:t>
            </w:r>
            <w:r>
              <w:rPr>
                <w:rFonts w:hint="default" w:ascii="Times New Roman" w:hAnsi="Times New Roman" w:eastAsia="宋体" w:cs="Times New Roman"/>
                <w:color w:val="auto"/>
                <w:kern w:val="2"/>
                <w:sz w:val="24"/>
                <w:szCs w:val="24"/>
                <w:lang w:val="en-US" w:eastAsia="zh-CN" w:bidi="ar-SA"/>
              </w:rPr>
              <w:t>堆场、成品堆场、生产</w:t>
            </w:r>
            <w:r>
              <w:rPr>
                <w:rFonts w:hint="eastAsia" w:ascii="Times New Roman" w:hAnsi="Times New Roman" w:eastAsia="宋体" w:cs="Times New Roman"/>
                <w:color w:val="auto"/>
                <w:kern w:val="2"/>
                <w:sz w:val="24"/>
                <w:szCs w:val="24"/>
                <w:lang w:val="en-US" w:eastAsia="zh-CN" w:bidi="ar-SA"/>
              </w:rPr>
              <w:t>加工区</w:t>
            </w:r>
            <w:r>
              <w:rPr>
                <w:rFonts w:hint="default" w:ascii="Times New Roman" w:hAnsi="Times New Roman" w:eastAsia="宋体" w:cs="Times New Roman"/>
                <w:color w:val="auto"/>
                <w:kern w:val="2"/>
                <w:sz w:val="24"/>
                <w:szCs w:val="24"/>
                <w:lang w:val="en-US" w:eastAsia="zh-CN" w:bidi="ar-SA"/>
              </w:rPr>
              <w:t>等，通过购置</w:t>
            </w:r>
            <w:r>
              <w:rPr>
                <w:rFonts w:hint="eastAsia" w:ascii="Times New Roman" w:hAnsi="Times New Roman" w:eastAsia="宋体" w:cs="Times New Roman"/>
                <w:color w:val="auto"/>
                <w:kern w:val="2"/>
                <w:sz w:val="24"/>
                <w:szCs w:val="24"/>
                <w:lang w:val="en-US" w:eastAsia="zh-CN" w:bidi="ar-SA"/>
              </w:rPr>
              <w:t>配煤机、装载机</w:t>
            </w:r>
            <w:r>
              <w:rPr>
                <w:rFonts w:hint="default" w:ascii="Times New Roman" w:hAnsi="Times New Roman" w:eastAsia="宋体" w:cs="Times New Roman"/>
                <w:color w:val="auto"/>
                <w:kern w:val="2"/>
                <w:sz w:val="24"/>
                <w:szCs w:val="24"/>
                <w:lang w:val="en-US" w:eastAsia="zh-CN" w:bidi="ar-SA"/>
              </w:rPr>
              <w:t>以及</w:t>
            </w:r>
            <w:r>
              <w:rPr>
                <w:rFonts w:hint="eastAsia" w:ascii="Times New Roman" w:hAnsi="Times New Roman" w:eastAsia="宋体" w:cs="Times New Roman"/>
                <w:color w:val="auto"/>
                <w:kern w:val="2"/>
                <w:sz w:val="24"/>
                <w:szCs w:val="24"/>
                <w:lang w:val="en-US" w:eastAsia="zh-CN" w:bidi="ar-SA"/>
              </w:rPr>
              <w:t>煤质检验设备</w:t>
            </w:r>
            <w:r>
              <w:rPr>
                <w:rFonts w:hint="default" w:ascii="Times New Roman" w:hAnsi="Times New Roman" w:eastAsia="宋体" w:cs="Times New Roman"/>
                <w:color w:val="auto"/>
                <w:kern w:val="2"/>
                <w:sz w:val="24"/>
                <w:szCs w:val="24"/>
                <w:lang w:val="en-US" w:eastAsia="zh-CN" w:bidi="ar-SA"/>
              </w:rPr>
              <w:t>等设施，进行</w:t>
            </w:r>
            <w:r>
              <w:rPr>
                <w:rFonts w:hint="eastAsia" w:ascii="Times New Roman" w:hAnsi="Times New Roman" w:eastAsia="宋体" w:cs="Times New Roman"/>
                <w:color w:val="auto"/>
                <w:kern w:val="2"/>
                <w:sz w:val="24"/>
                <w:szCs w:val="24"/>
                <w:lang w:val="en-US" w:eastAsia="zh-CN" w:bidi="ar-SA"/>
              </w:rPr>
              <w:t>不同品质的原煤的混配，不涉及洗选和破碎工段，本项目建设完成后，</w:t>
            </w:r>
            <w:r>
              <w:rPr>
                <w:rFonts w:hint="default" w:ascii="Times New Roman" w:hAnsi="Times New Roman" w:eastAsia="宋体" w:cs="Times New Roman"/>
                <w:color w:val="auto"/>
                <w:kern w:val="2"/>
                <w:sz w:val="24"/>
                <w:szCs w:val="24"/>
                <w:lang w:val="en-US" w:eastAsia="zh-CN" w:bidi="ar-SA"/>
              </w:rPr>
              <w:t>形成</w:t>
            </w:r>
            <w:r>
              <w:rPr>
                <w:rFonts w:hint="eastAsia" w:ascii="Times New Roman" w:hAnsi="Times New Roman" w:eastAsia="宋体" w:cs="Times New Roman"/>
                <w:color w:val="auto"/>
                <w:kern w:val="2"/>
                <w:sz w:val="24"/>
                <w:szCs w:val="24"/>
                <w:lang w:val="en-US" w:eastAsia="zh-CN" w:bidi="ar-SA"/>
              </w:rPr>
              <w:t>年</w:t>
            </w:r>
            <w:r>
              <w:rPr>
                <w:rFonts w:hint="eastAsia" w:ascii="Times New Roman" w:hAnsi="Times New Roman" w:eastAsia="宋体" w:cs="Times New Roman"/>
                <w:color w:val="auto"/>
                <w:kern w:val="2"/>
                <w:sz w:val="24"/>
                <w:szCs w:val="24"/>
                <w:lang w:val="zh-CN" w:eastAsia="zh-CN" w:bidi="ar-SA"/>
              </w:rPr>
              <w:t>配煤12万吨</w:t>
            </w:r>
            <w:r>
              <w:rPr>
                <w:rFonts w:hint="eastAsia" w:ascii="Times New Roman" w:hAnsi="Times New Roman" w:eastAsia="宋体" w:cs="Times New Roman"/>
                <w:color w:val="auto"/>
                <w:kern w:val="2"/>
                <w:sz w:val="24"/>
                <w:szCs w:val="24"/>
                <w:lang w:val="en-US" w:eastAsia="zh-CN" w:bidi="ar-SA"/>
              </w:rPr>
              <w:t>的生产规模</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项目工程内容见表2-1所示</w:t>
            </w:r>
            <w:r>
              <w:rPr>
                <w:rFonts w:hint="eastAsia" w:ascii="Times New Roman" w:hAnsi="Times New Roman" w:eastAsia="宋体" w:cs="Times New Roman"/>
                <w:color w:val="auto"/>
                <w:kern w:val="2"/>
                <w:sz w:val="24"/>
                <w:szCs w:val="24"/>
                <w:lang w:val="en-US" w:eastAsia="zh-CN" w:bidi="ar-SA"/>
              </w:rPr>
              <w:t>。</w:t>
            </w:r>
          </w:p>
          <w:p w14:paraId="38F7AD71">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表2-1 项目工程内容一览表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637"/>
              <w:gridCol w:w="1215"/>
              <w:gridCol w:w="4260"/>
              <w:gridCol w:w="976"/>
            </w:tblGrid>
            <w:tr w14:paraId="5F26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0" w:type="pct"/>
                  <w:vAlign w:val="center"/>
                </w:tcPr>
                <w:p w14:paraId="287C862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工程内容</w:t>
                  </w:r>
                </w:p>
              </w:tc>
              <w:tc>
                <w:tcPr>
                  <w:tcW w:w="1180" w:type="pct"/>
                  <w:gridSpan w:val="2"/>
                  <w:vAlign w:val="center"/>
                </w:tcPr>
                <w:p w14:paraId="0FC155E1">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716" w:type="pct"/>
                  <w:vAlign w:val="center"/>
                </w:tcPr>
                <w:p w14:paraId="04EC4ABB">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建设内容及规模</w:t>
                  </w:r>
                </w:p>
              </w:tc>
              <w:tc>
                <w:tcPr>
                  <w:tcW w:w="622" w:type="pct"/>
                  <w:vAlign w:val="center"/>
                </w:tcPr>
                <w:p w14:paraId="1E35E65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50DA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80" w:type="pct"/>
                  <w:vAlign w:val="center"/>
                </w:tcPr>
                <w:p w14:paraId="5029B2C5">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180" w:type="pct"/>
                  <w:gridSpan w:val="2"/>
                  <w:vAlign w:val="center"/>
                </w:tcPr>
                <w:p w14:paraId="33C400D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配煤车间</w:t>
                  </w:r>
                  <w:r>
                    <w:rPr>
                      <w:rFonts w:hint="eastAsia" w:cs="Times New Roman"/>
                      <w:color w:val="auto"/>
                      <w:sz w:val="21"/>
                      <w:szCs w:val="21"/>
                      <w:lang w:val="en-US" w:eastAsia="zh-CN"/>
                    </w:rPr>
                    <w:t>（从左往右依次为原煤堆场、配煤生产区、成品堆场）</w:t>
                  </w:r>
                </w:p>
              </w:tc>
              <w:tc>
                <w:tcPr>
                  <w:tcW w:w="2716" w:type="pct"/>
                  <w:vAlign w:val="center"/>
                </w:tcPr>
                <w:p w14:paraId="6CC9785B">
                  <w:pPr>
                    <w:pStyle w:val="4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布设于生产车间内，依托</w:t>
                  </w:r>
                  <w:r>
                    <w:rPr>
                      <w:rFonts w:hint="eastAsia" w:ascii="Times New Roman" w:hAnsi="Times New Roman" w:eastAsia="宋体" w:cs="Times New Roman"/>
                      <w:color w:val="auto"/>
                      <w:sz w:val="21"/>
                      <w:szCs w:val="21"/>
                      <w:lang w:val="en-US" w:eastAsia="zh-CN"/>
                    </w:rPr>
                    <w:t>玉溪利东商贸有限公司</w:t>
                  </w:r>
                  <w:r>
                    <w:rPr>
                      <w:rFonts w:hint="default" w:ascii="Times New Roman" w:hAnsi="Times New Roman" w:eastAsia="宋体" w:cs="Times New Roman"/>
                      <w:color w:val="auto"/>
                      <w:sz w:val="21"/>
                      <w:szCs w:val="21"/>
                      <w:lang w:val="en-US" w:eastAsia="zh-CN"/>
                    </w:rPr>
                    <w:t>已建设完成的封闭式厂房进行建设</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占地面积为1000m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，长50m、宽20m、高12m，</w:t>
                  </w:r>
                  <w:r>
                    <w:rPr>
                      <w:rFonts w:hint="eastAsia" w:cs="Times New Roman"/>
                      <w:color w:val="auto"/>
                      <w:sz w:val="21"/>
                      <w:szCs w:val="21"/>
                      <w:lang w:val="en-US" w:eastAsia="zh-CN"/>
                    </w:rPr>
                    <w:t>为</w:t>
                  </w:r>
                  <w:r>
                    <w:rPr>
                      <w:rFonts w:hint="default" w:ascii="Times New Roman" w:hAnsi="Times New Roman" w:eastAsia="宋体" w:cs="Times New Roman"/>
                      <w:color w:val="auto"/>
                      <w:sz w:val="21"/>
                      <w:szCs w:val="21"/>
                      <w:lang w:val="en-US" w:eastAsia="zh-CN"/>
                    </w:rPr>
                    <w:t>封闭式彩钢结构</w:t>
                  </w:r>
                  <w:r>
                    <w:rPr>
                      <w:rFonts w:hint="eastAsia" w:cs="Times New Roman"/>
                      <w:color w:val="auto"/>
                      <w:sz w:val="21"/>
                      <w:szCs w:val="21"/>
                      <w:lang w:val="en-US" w:eastAsia="zh-CN"/>
                    </w:rPr>
                    <w:t>，内设1个占地面积为400m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的</w:t>
                  </w:r>
                  <w:r>
                    <w:rPr>
                      <w:rFonts w:hint="default" w:ascii="Times New Roman" w:hAnsi="Times New Roman" w:eastAsia="宋体" w:cs="Times New Roman"/>
                      <w:color w:val="auto"/>
                      <w:sz w:val="21"/>
                      <w:szCs w:val="21"/>
                      <w:lang w:val="en-US" w:eastAsia="zh-CN"/>
                    </w:rPr>
                    <w:t>原煤堆场</w:t>
                  </w:r>
                  <w:r>
                    <w:rPr>
                      <w:rFonts w:hint="eastAsia" w:cs="Times New Roman"/>
                      <w:color w:val="auto"/>
                      <w:sz w:val="21"/>
                      <w:szCs w:val="21"/>
                      <w:lang w:val="en-US" w:eastAsia="zh-CN"/>
                    </w:rPr>
                    <w:t>、1个占地面积为100m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的配煤生产区和1个占地面积为500m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的成品堆场，</w:t>
                  </w:r>
                  <w:r>
                    <w:rPr>
                      <w:rFonts w:hint="default" w:ascii="Times New Roman" w:hAnsi="Times New Roman" w:eastAsia="宋体" w:cs="Times New Roman"/>
                      <w:color w:val="auto"/>
                      <w:sz w:val="21"/>
                      <w:szCs w:val="21"/>
                      <w:lang w:val="en-US" w:eastAsia="zh-CN"/>
                    </w:rPr>
                    <w:t>原煤</w:t>
                  </w:r>
                  <w:r>
                    <w:rPr>
                      <w:rFonts w:hint="eastAsia" w:cs="Times New Roman"/>
                      <w:color w:val="auto"/>
                      <w:sz w:val="21"/>
                      <w:szCs w:val="21"/>
                      <w:lang w:val="en-US" w:eastAsia="zh-CN"/>
                    </w:rPr>
                    <w:t>和</w:t>
                  </w:r>
                  <w:r>
                    <w:rPr>
                      <w:rFonts w:hint="default" w:ascii="Times New Roman" w:hAnsi="Times New Roman" w:eastAsia="宋体" w:cs="Times New Roman"/>
                      <w:color w:val="auto"/>
                      <w:sz w:val="21"/>
                      <w:szCs w:val="21"/>
                      <w:lang w:val="en-US" w:eastAsia="zh-CN"/>
                    </w:rPr>
                    <w:t>成品</w:t>
                  </w:r>
                  <w:r>
                    <w:rPr>
                      <w:rFonts w:hint="eastAsia" w:cs="Times New Roman"/>
                      <w:color w:val="auto"/>
                      <w:sz w:val="21"/>
                      <w:szCs w:val="21"/>
                      <w:lang w:val="en-US" w:eastAsia="zh-CN"/>
                    </w:rPr>
                    <w:t>煤</w:t>
                  </w:r>
                  <w:r>
                    <w:rPr>
                      <w:rFonts w:hint="default" w:ascii="Times New Roman" w:hAnsi="Times New Roman" w:eastAsia="宋体" w:cs="Times New Roman"/>
                      <w:color w:val="auto"/>
                      <w:sz w:val="21"/>
                      <w:szCs w:val="21"/>
                      <w:lang w:val="en-US" w:eastAsia="zh-CN"/>
                    </w:rPr>
                    <w:t>暂存于配煤车间</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随配随运，不</w:t>
                  </w:r>
                  <w:r>
                    <w:rPr>
                      <w:rFonts w:hint="eastAsia" w:cs="Times New Roman"/>
                      <w:color w:val="auto"/>
                      <w:sz w:val="21"/>
                      <w:szCs w:val="21"/>
                      <w:lang w:val="en-US" w:eastAsia="zh-CN"/>
                    </w:rPr>
                    <w:t>在车间</w:t>
                  </w:r>
                  <w:r>
                    <w:rPr>
                      <w:rFonts w:hint="default" w:ascii="Times New Roman" w:hAnsi="Times New Roman" w:eastAsia="宋体" w:cs="Times New Roman"/>
                      <w:color w:val="auto"/>
                      <w:sz w:val="21"/>
                      <w:szCs w:val="21"/>
                      <w:lang w:val="en-US" w:eastAsia="zh-CN"/>
                    </w:rPr>
                    <w:t>长期暂存</w:t>
                  </w:r>
                </w:p>
              </w:tc>
              <w:tc>
                <w:tcPr>
                  <w:tcW w:w="622" w:type="pct"/>
                  <w:vAlign w:val="center"/>
                </w:tcPr>
                <w:p w14:paraId="6BB807D8">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利用原有</w:t>
                  </w:r>
                </w:p>
              </w:tc>
            </w:tr>
            <w:tr w14:paraId="2FFA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480" w:type="pct"/>
                  <w:vMerge w:val="restart"/>
                  <w:vAlign w:val="center"/>
                </w:tcPr>
                <w:p w14:paraId="675BD1C2">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180" w:type="pct"/>
                  <w:gridSpan w:val="2"/>
                  <w:vAlign w:val="center"/>
                </w:tcPr>
                <w:p w14:paraId="5F86ACBD">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2716" w:type="pct"/>
                  <w:vMerge w:val="restart"/>
                  <w:vAlign w:val="center"/>
                </w:tcPr>
                <w:p w14:paraId="046B80C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本项目供水、供电、办公区等均依托玉溪鑫东运输有限公司现有的设施，办公区为简易的临时搭建房，占地面积为100m</w:t>
                  </w:r>
                  <w:r>
                    <w:rPr>
                      <w:rFonts w:hint="default" w:ascii="Times New Roman" w:hAnsi="Times New Roman" w:eastAsia="宋体" w:cs="Times New Roman"/>
                      <w:color w:val="auto"/>
                      <w:sz w:val="21"/>
                      <w:szCs w:val="21"/>
                      <w:vertAlign w:val="superscript"/>
                      <w:lang w:val="en-US" w:eastAsia="zh-CN"/>
                    </w:rPr>
                    <w:t>2</w:t>
                  </w:r>
                </w:p>
              </w:tc>
              <w:tc>
                <w:tcPr>
                  <w:tcW w:w="622" w:type="pct"/>
                  <w:vAlign w:val="center"/>
                </w:tcPr>
                <w:p w14:paraId="2CAA73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依托</w:t>
                  </w:r>
                </w:p>
              </w:tc>
            </w:tr>
            <w:tr w14:paraId="6289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0" w:type="pct"/>
                  <w:vMerge w:val="continue"/>
                  <w:vAlign w:val="center"/>
                </w:tcPr>
                <w:p w14:paraId="13C5CCAB">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0" w:type="pct"/>
                  <w:gridSpan w:val="2"/>
                  <w:vAlign w:val="center"/>
                </w:tcPr>
                <w:p w14:paraId="0C95EDF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办公区</w:t>
                  </w:r>
                </w:p>
              </w:tc>
              <w:tc>
                <w:tcPr>
                  <w:tcW w:w="2716" w:type="pct"/>
                  <w:vMerge w:val="continue"/>
                  <w:vAlign w:val="center"/>
                </w:tcPr>
                <w:p w14:paraId="1A4BD9A3">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2" w:type="pct"/>
                  <w:vAlign w:val="center"/>
                </w:tcPr>
                <w:p w14:paraId="71DB4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依托</w:t>
                  </w:r>
                </w:p>
              </w:tc>
            </w:tr>
            <w:tr w14:paraId="7AC1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480" w:type="pct"/>
                  <w:vMerge w:val="continue"/>
                  <w:vAlign w:val="center"/>
                </w:tcPr>
                <w:p w14:paraId="554CD67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0" w:type="pct"/>
                  <w:gridSpan w:val="2"/>
                  <w:vAlign w:val="center"/>
                </w:tcPr>
                <w:p w14:paraId="419D6A2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2716" w:type="pct"/>
                  <w:vMerge w:val="continue"/>
                  <w:vAlign w:val="center"/>
                </w:tcPr>
                <w:p w14:paraId="6F53B42F">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22" w:type="pct"/>
                  <w:vAlign w:val="center"/>
                </w:tcPr>
                <w:p w14:paraId="44BB7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依托</w:t>
                  </w:r>
                </w:p>
              </w:tc>
            </w:tr>
            <w:tr w14:paraId="6D7C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0" w:type="pct"/>
                  <w:vMerge w:val="continue"/>
                  <w:vAlign w:val="center"/>
                </w:tcPr>
                <w:p w14:paraId="5F2A895A">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0" w:type="pct"/>
                  <w:gridSpan w:val="2"/>
                  <w:vAlign w:val="center"/>
                </w:tcPr>
                <w:p w14:paraId="7A919A5B">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2716" w:type="pct"/>
                  <w:vAlign w:val="center"/>
                </w:tcPr>
                <w:p w14:paraId="79CCA373">
                  <w:pPr>
                    <w:pStyle w:val="4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本项目</w:t>
                  </w:r>
                  <w:r>
                    <w:rPr>
                      <w:rFonts w:hint="default" w:ascii="Times New Roman" w:hAnsi="Times New Roman" w:eastAsia="宋体" w:cs="Times New Roman"/>
                      <w:color w:val="auto"/>
                      <w:sz w:val="21"/>
                      <w:szCs w:val="21"/>
                      <w:lang w:val="en-US" w:eastAsia="zh-CN"/>
                    </w:rPr>
                    <w:t>采取雨污分流，雨水经雨水管网收集后，汇入初期雨水收集池</w:t>
                  </w:r>
                  <w:r>
                    <w:rPr>
                      <w:rFonts w:hint="eastAsia" w:cs="Times New Roman"/>
                      <w:color w:val="auto"/>
                      <w:sz w:val="21"/>
                      <w:szCs w:val="21"/>
                      <w:lang w:val="en-US" w:eastAsia="zh-CN"/>
                    </w:rPr>
                    <w:t>（60m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，经沉淀后回用于厂区洒水降尘，不外排</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本项目生活污水</w:t>
                  </w:r>
                  <w:r>
                    <w:rPr>
                      <w:rFonts w:hint="eastAsia"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/d的一体化污水处理设施处理达标后回用于厂区绿化，不外排；</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车辆清洗用水经配套建设的</w:t>
                  </w:r>
                  <w:r>
                    <w:rPr>
                      <w:rFonts w:hint="eastAsia" w:cs="Times New Roman"/>
                      <w:color w:val="auto"/>
                      <w:sz w:val="21"/>
                      <w:szCs w:val="21"/>
                      <w:lang w:val="en-US" w:eastAsia="zh-CN"/>
                    </w:rPr>
                    <w:t>三</w:t>
                  </w:r>
                  <w:r>
                    <w:rPr>
                      <w:rFonts w:hint="default" w:ascii="Times New Roman" w:hAnsi="Times New Roman" w:eastAsia="宋体" w:cs="Times New Roman"/>
                      <w:color w:val="auto"/>
                      <w:sz w:val="21"/>
                      <w:szCs w:val="21"/>
                      <w:lang w:val="en-US" w:eastAsia="zh-CN"/>
                    </w:rPr>
                    <w:t>级沉淀池（</w:t>
                  </w:r>
                  <w:r>
                    <w:rPr>
                      <w:rFonts w:hint="eastAsia"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）沉淀处理后循环使用，不外排</w:t>
                  </w:r>
                </w:p>
              </w:tc>
              <w:tc>
                <w:tcPr>
                  <w:tcW w:w="622" w:type="pct"/>
                  <w:vAlign w:val="center"/>
                </w:tcPr>
                <w:p w14:paraId="766D1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cs="Times New Roman"/>
                      <w:b w:val="0"/>
                      <w:color w:val="auto"/>
                      <w:kern w:val="2"/>
                      <w:sz w:val="21"/>
                      <w:szCs w:val="21"/>
                      <w:lang w:val="en-US" w:eastAsia="zh-CN" w:bidi="ar-SA"/>
                    </w:rPr>
                    <w:t>本项目（配煤项目）和在建项目（配矿项目）共用</w:t>
                  </w:r>
                </w:p>
              </w:tc>
            </w:tr>
            <w:tr w14:paraId="03DF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80" w:type="pct"/>
                  <w:vMerge w:val="continue"/>
                  <w:vAlign w:val="center"/>
                </w:tcPr>
                <w:p w14:paraId="4B32DA45">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0" w:type="pct"/>
                  <w:gridSpan w:val="2"/>
                  <w:shd w:val="clear" w:color="auto" w:fill="auto"/>
                  <w:vAlign w:val="center"/>
                </w:tcPr>
                <w:p w14:paraId="7763851D">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rPr>
                    <w:t>检验室</w:t>
                  </w:r>
                </w:p>
              </w:tc>
              <w:tc>
                <w:tcPr>
                  <w:tcW w:w="2716" w:type="pct"/>
                  <w:shd w:val="clear" w:color="auto" w:fill="auto"/>
                  <w:vAlign w:val="center"/>
                </w:tcPr>
                <w:p w14:paraId="082295FC">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布设于办公区，占地面积为20m</w:t>
                  </w:r>
                  <w:r>
                    <w:rPr>
                      <w:rFonts w:hint="default" w:ascii="Times New Roman" w:hAnsi="Times New Roman" w:eastAsia="宋体" w:cs="Times New Roman"/>
                      <w:b w:val="0"/>
                      <w:color w:val="auto"/>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1"/>
                      <w:lang w:val="en-US" w:eastAsia="zh-CN" w:bidi="ar-SA"/>
                    </w:rPr>
                    <w:t>，仅进行简单的检测，不涉及化学药品的使用</w:t>
                  </w:r>
                </w:p>
              </w:tc>
              <w:tc>
                <w:tcPr>
                  <w:tcW w:w="622" w:type="pct"/>
                  <w:shd w:val="clear" w:color="auto" w:fill="auto"/>
                  <w:vAlign w:val="center"/>
                </w:tcPr>
                <w:p w14:paraId="3777C3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新建</w:t>
                  </w:r>
                </w:p>
              </w:tc>
            </w:tr>
            <w:tr w14:paraId="37C2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480" w:type="pct"/>
                  <w:vMerge w:val="restart"/>
                  <w:vAlign w:val="center"/>
                </w:tcPr>
                <w:p w14:paraId="0FEB1E1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406" w:type="pct"/>
                  <w:vAlign w:val="center"/>
                </w:tcPr>
                <w:p w14:paraId="470F752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74" w:type="pct"/>
                  <w:vAlign w:val="center"/>
                </w:tcPr>
                <w:p w14:paraId="5FC8F44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原煤堆存装卸废气、成品堆存装卸废气、配煤</w:t>
                  </w:r>
                  <w:r>
                    <w:rPr>
                      <w:rFonts w:hint="default" w:ascii="Times New Roman" w:hAnsi="Times New Roman" w:eastAsia="宋体" w:cs="Times New Roman"/>
                      <w:color w:val="auto"/>
                      <w:sz w:val="21"/>
                      <w:szCs w:val="21"/>
                      <w:lang w:eastAsia="zh-CN"/>
                    </w:rPr>
                    <w:t>废气</w:t>
                  </w:r>
                </w:p>
              </w:tc>
              <w:tc>
                <w:tcPr>
                  <w:tcW w:w="2716" w:type="pct"/>
                  <w:vAlign w:val="center"/>
                </w:tcPr>
                <w:p w14:paraId="2589D9F2">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封闭车间、洒水降尘设施</w:t>
                  </w:r>
                  <w:r>
                    <w:rPr>
                      <w:rFonts w:hint="eastAsia" w:cs="Times New Roman"/>
                      <w:bCs/>
                      <w:color w:val="auto"/>
                      <w:sz w:val="21"/>
                      <w:szCs w:val="21"/>
                      <w:highlight w:val="none"/>
                      <w:lang w:val="en-US" w:eastAsia="zh-CN"/>
                    </w:rPr>
                    <w:t>（主要在车间上方布设洒水喷头，</w:t>
                  </w:r>
                  <w:r>
                    <w:rPr>
                      <w:rFonts w:hint="default" w:ascii="Times New Roman" w:hAnsi="Times New Roman" w:eastAsia="宋体" w:cs="Times New Roman"/>
                      <w:bCs/>
                      <w:color w:val="auto"/>
                      <w:sz w:val="21"/>
                      <w:szCs w:val="21"/>
                      <w:highlight w:val="none"/>
                      <w:lang w:val="en-US" w:eastAsia="zh-CN"/>
                    </w:rPr>
                    <w:t>每10米设置一个喷头，共布设10个洒水喷头</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、人工及时清扫</w:t>
                  </w:r>
                </w:p>
              </w:tc>
              <w:tc>
                <w:tcPr>
                  <w:tcW w:w="622" w:type="pct"/>
                  <w:vAlign w:val="center"/>
                </w:tcPr>
                <w:p w14:paraId="544ED090">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封闭车间除外</w:t>
                  </w:r>
                  <w:r>
                    <w:rPr>
                      <w:rFonts w:hint="default" w:ascii="Times New Roman" w:hAnsi="Times New Roman" w:eastAsia="宋体" w:cs="Times New Roman"/>
                      <w:color w:val="auto"/>
                      <w:sz w:val="21"/>
                      <w:szCs w:val="21"/>
                      <w:lang w:eastAsia="zh-CN"/>
                    </w:rPr>
                    <w:t>）</w:t>
                  </w:r>
                </w:p>
              </w:tc>
            </w:tr>
            <w:tr w14:paraId="387B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80" w:type="pct"/>
                  <w:vMerge w:val="continue"/>
                  <w:vAlign w:val="center"/>
                </w:tcPr>
                <w:p w14:paraId="278104C3">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06" w:type="pct"/>
                  <w:vMerge w:val="restart"/>
                  <w:vAlign w:val="center"/>
                </w:tcPr>
                <w:p w14:paraId="74863E9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74" w:type="pct"/>
                  <w:vAlign w:val="center"/>
                </w:tcPr>
                <w:p w14:paraId="240CB601">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2716" w:type="pct"/>
                  <w:vAlign w:val="center"/>
                </w:tcPr>
                <w:p w14:paraId="29BFD3B9">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项目</w:t>
                  </w:r>
                  <w:r>
                    <w:rPr>
                      <w:rFonts w:hint="default" w:ascii="Times New Roman" w:hAnsi="Times New Roman" w:eastAsia="宋体" w:cs="Times New Roman"/>
                      <w:color w:val="auto"/>
                      <w:sz w:val="21"/>
                      <w:szCs w:val="21"/>
                      <w:lang w:val="en-US" w:eastAsia="zh-CN"/>
                    </w:rPr>
                    <w:t>车辆清洗</w:t>
                  </w:r>
                  <w:r>
                    <w:rPr>
                      <w:rFonts w:hint="eastAsia" w:cs="Times New Roman"/>
                      <w:color w:val="auto"/>
                      <w:sz w:val="21"/>
                      <w:szCs w:val="21"/>
                      <w:lang w:val="en-US" w:eastAsia="zh-CN"/>
                    </w:rPr>
                    <w:t>废水</w:t>
                  </w:r>
                  <w:r>
                    <w:rPr>
                      <w:rFonts w:hint="default" w:ascii="Times New Roman" w:hAnsi="Times New Roman" w:eastAsia="宋体" w:cs="Times New Roman"/>
                      <w:color w:val="auto"/>
                      <w:sz w:val="21"/>
                      <w:szCs w:val="21"/>
                      <w:lang w:val="en-US" w:eastAsia="zh-CN"/>
                    </w:rPr>
                    <w:t>经配套建设的</w:t>
                  </w:r>
                  <w:r>
                    <w:rPr>
                      <w:rFonts w:hint="eastAsia" w:cs="Times New Roman"/>
                      <w:color w:val="auto"/>
                      <w:sz w:val="21"/>
                      <w:szCs w:val="21"/>
                      <w:lang w:val="en-US" w:eastAsia="zh-CN"/>
                    </w:rPr>
                    <w:t>1个容积为6</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的三</w:t>
                  </w:r>
                  <w:r>
                    <w:rPr>
                      <w:rFonts w:hint="default" w:ascii="Times New Roman" w:hAnsi="Times New Roman" w:eastAsia="宋体" w:cs="Times New Roman"/>
                      <w:color w:val="auto"/>
                      <w:sz w:val="21"/>
                      <w:szCs w:val="21"/>
                      <w:lang w:val="en-US" w:eastAsia="zh-CN"/>
                    </w:rPr>
                    <w:t>级沉淀池沉淀处理后循环使用，不外排</w:t>
                  </w:r>
                </w:p>
              </w:tc>
              <w:tc>
                <w:tcPr>
                  <w:tcW w:w="622" w:type="pct"/>
                  <w:vAlign w:val="center"/>
                </w:tcPr>
                <w:p w14:paraId="13014D6F">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211C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0" w:type="pct"/>
                  <w:vMerge w:val="continue"/>
                  <w:vAlign w:val="center"/>
                </w:tcPr>
                <w:p w14:paraId="14D9FB7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06" w:type="pct"/>
                  <w:vMerge w:val="continue"/>
                  <w:vAlign w:val="center"/>
                </w:tcPr>
                <w:p w14:paraId="45D6192B">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74" w:type="pct"/>
                  <w:shd w:val="clear" w:color="auto" w:fill="auto"/>
                  <w:vAlign w:val="center"/>
                </w:tcPr>
                <w:p w14:paraId="65E2C97F">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rPr>
                    <w:t>生活污水</w:t>
                  </w:r>
                </w:p>
              </w:tc>
              <w:tc>
                <w:tcPr>
                  <w:tcW w:w="2716" w:type="pct"/>
                  <w:shd w:val="clear" w:color="auto" w:fill="auto"/>
                  <w:vAlign w:val="center"/>
                </w:tcPr>
                <w:p w14:paraId="3D8B4094">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/d的一体化污水处理设施</w:t>
                  </w:r>
                </w:p>
              </w:tc>
              <w:tc>
                <w:tcPr>
                  <w:tcW w:w="622" w:type="pct"/>
                  <w:vMerge w:val="restart"/>
                  <w:shd w:val="clear" w:color="auto" w:fill="auto"/>
                  <w:vAlign w:val="center"/>
                </w:tcPr>
                <w:p w14:paraId="466F5B2E">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r>
                    <w:rPr>
                      <w:rFonts w:hint="default" w:ascii="Times New Roman" w:hAnsi="Times New Roman" w:eastAsia="宋体" w:cs="Times New Roman"/>
                      <w:color w:val="auto"/>
                      <w:sz w:val="21"/>
                      <w:szCs w:val="21"/>
                      <w:lang w:val="en-US" w:eastAsia="zh-CN"/>
                    </w:rPr>
                    <w:br w:type="textWrapping"/>
                  </w:r>
                  <w:r>
                    <w:rPr>
                      <w:rFonts w:hint="eastAsia" w:ascii="Times New Roman" w:hAnsi="Times New Roman" w:eastAsia="宋体" w:cs="Times New Roman"/>
                      <w:color w:val="auto"/>
                      <w:sz w:val="21"/>
                      <w:szCs w:val="21"/>
                      <w:lang w:val="en-US" w:eastAsia="zh-CN"/>
                    </w:rPr>
                    <w:t>（本项目和在建项目共用）</w:t>
                  </w:r>
                </w:p>
              </w:tc>
            </w:tr>
            <w:tr w14:paraId="36F8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0" w:type="pct"/>
                  <w:vMerge w:val="continue"/>
                  <w:vAlign w:val="center"/>
                </w:tcPr>
                <w:p w14:paraId="79458AD0">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06" w:type="pct"/>
                  <w:vMerge w:val="continue"/>
                  <w:vAlign w:val="center"/>
                </w:tcPr>
                <w:p w14:paraId="07B3D88F">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74" w:type="pct"/>
                  <w:shd w:val="clear" w:color="auto" w:fill="auto"/>
                  <w:vAlign w:val="center"/>
                </w:tcPr>
                <w:p w14:paraId="37FFF601">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cs="Times New Roman"/>
                      <w:color w:val="auto"/>
                      <w:sz w:val="21"/>
                      <w:szCs w:val="21"/>
                      <w:lang w:val="en-US" w:eastAsia="zh-CN"/>
                    </w:rPr>
                    <w:t>化粪池</w:t>
                  </w:r>
                </w:p>
              </w:tc>
              <w:tc>
                <w:tcPr>
                  <w:tcW w:w="2716" w:type="pct"/>
                  <w:shd w:val="clear" w:color="auto" w:fill="auto"/>
                  <w:vAlign w:val="center"/>
                </w:tcPr>
                <w:p w14:paraId="1AE65B2C">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cs="Times New Roman"/>
                      <w:color w:val="auto"/>
                      <w:sz w:val="21"/>
                      <w:szCs w:val="21"/>
                      <w:lang w:val="en-US" w:eastAsia="zh-CN"/>
                    </w:rPr>
                    <w:t>1个容积为10m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的化粪池</w:t>
                  </w:r>
                </w:p>
              </w:tc>
              <w:tc>
                <w:tcPr>
                  <w:tcW w:w="622" w:type="pct"/>
                  <w:vMerge w:val="continue"/>
                  <w:shd w:val="clear" w:color="auto" w:fill="auto"/>
                  <w:vAlign w:val="center"/>
                </w:tcPr>
                <w:p w14:paraId="5ACF646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1006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0" w:type="pct"/>
                  <w:vMerge w:val="continue"/>
                  <w:vAlign w:val="center"/>
                </w:tcPr>
                <w:p w14:paraId="28B8D2D9">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06" w:type="pct"/>
                  <w:vMerge w:val="continue"/>
                  <w:vAlign w:val="center"/>
                </w:tcPr>
                <w:p w14:paraId="7BFF066D">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74" w:type="pct"/>
                  <w:shd w:val="clear" w:color="auto" w:fill="auto"/>
                  <w:vAlign w:val="center"/>
                </w:tcPr>
                <w:p w14:paraId="43528118">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中水池</w:t>
                  </w:r>
                </w:p>
              </w:tc>
              <w:tc>
                <w:tcPr>
                  <w:tcW w:w="2716" w:type="pct"/>
                  <w:shd w:val="clear" w:color="auto" w:fill="auto"/>
                  <w:vAlign w:val="center"/>
                </w:tcPr>
                <w:p w14:paraId="75E41343">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容积为5m</w:t>
                  </w:r>
                  <w:r>
                    <w:rPr>
                      <w:rFonts w:hint="default" w:ascii="Times New Roman" w:hAnsi="Times New Roman" w:eastAsia="宋体" w:cs="Times New Roman"/>
                      <w:b w:val="0"/>
                      <w:color w:val="auto"/>
                      <w:kern w:val="2"/>
                      <w:sz w:val="21"/>
                      <w:szCs w:val="21"/>
                      <w:vertAlign w:val="superscript"/>
                      <w:lang w:val="en-US" w:eastAsia="zh-CN" w:bidi="ar-SA"/>
                    </w:rPr>
                    <w:t>3</w:t>
                  </w:r>
                  <w:r>
                    <w:rPr>
                      <w:rFonts w:hint="default" w:ascii="Times New Roman" w:hAnsi="Times New Roman" w:eastAsia="宋体" w:cs="Times New Roman"/>
                      <w:b w:val="0"/>
                      <w:color w:val="auto"/>
                      <w:kern w:val="2"/>
                      <w:sz w:val="21"/>
                      <w:szCs w:val="21"/>
                      <w:lang w:val="en-US" w:eastAsia="zh-CN" w:bidi="ar-SA"/>
                    </w:rPr>
                    <w:t>的中水池，</w:t>
                  </w:r>
                  <w:r>
                    <w:rPr>
                      <w:rFonts w:hint="default" w:ascii="Times New Roman" w:hAnsi="Times New Roman" w:eastAsia="宋体" w:cs="Times New Roman"/>
                      <w:color w:val="auto"/>
                      <w:sz w:val="21"/>
                      <w:szCs w:val="21"/>
                      <w:lang w:val="en-US" w:eastAsia="zh-CN"/>
                    </w:rPr>
                    <w:t>配套建设于一体化污水处理设施末端</w:t>
                  </w:r>
                </w:p>
              </w:tc>
              <w:tc>
                <w:tcPr>
                  <w:tcW w:w="622" w:type="pct"/>
                  <w:vMerge w:val="continue"/>
                  <w:shd w:val="clear" w:color="auto" w:fill="auto"/>
                  <w:vAlign w:val="center"/>
                </w:tcPr>
                <w:p w14:paraId="7EAF318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0C26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80" w:type="pct"/>
                  <w:vMerge w:val="continue"/>
                  <w:vAlign w:val="center"/>
                </w:tcPr>
                <w:p w14:paraId="038D56F0">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06" w:type="pct"/>
                  <w:vMerge w:val="continue"/>
                  <w:vAlign w:val="center"/>
                </w:tcPr>
                <w:p w14:paraId="6677D7D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774" w:type="pct"/>
                  <w:shd w:val="clear" w:color="auto" w:fill="auto"/>
                  <w:vAlign w:val="center"/>
                </w:tcPr>
                <w:p w14:paraId="4FC0E140">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初期雨水</w:t>
                  </w:r>
                </w:p>
              </w:tc>
              <w:tc>
                <w:tcPr>
                  <w:tcW w:w="2716" w:type="pct"/>
                  <w:shd w:val="clear" w:color="auto" w:fill="auto"/>
                  <w:vAlign w:val="center"/>
                </w:tcPr>
                <w:p w14:paraId="7491E147">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容积为60m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的初期雨水收集池</w:t>
                  </w:r>
                </w:p>
              </w:tc>
              <w:tc>
                <w:tcPr>
                  <w:tcW w:w="622" w:type="pct"/>
                  <w:vMerge w:val="continue"/>
                  <w:vAlign w:val="center"/>
                </w:tcPr>
                <w:p w14:paraId="7F2A650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77F6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80" w:type="pct"/>
                  <w:vMerge w:val="continue"/>
                  <w:vAlign w:val="center"/>
                </w:tcPr>
                <w:p w14:paraId="2A13DBFA">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06" w:type="pct"/>
                  <w:vAlign w:val="center"/>
                </w:tcPr>
                <w:p w14:paraId="7A3B243E">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74" w:type="pct"/>
                  <w:vAlign w:val="center"/>
                </w:tcPr>
                <w:p w14:paraId="240E4BF9">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生产设备</w:t>
                  </w:r>
                </w:p>
              </w:tc>
              <w:tc>
                <w:tcPr>
                  <w:tcW w:w="2716" w:type="pct"/>
                  <w:vAlign w:val="center"/>
                </w:tcPr>
                <w:p w14:paraId="6621009F">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选用低噪声设备、厂房隔声</w:t>
                  </w:r>
                </w:p>
              </w:tc>
              <w:tc>
                <w:tcPr>
                  <w:tcW w:w="622" w:type="pct"/>
                  <w:vAlign w:val="center"/>
                </w:tcPr>
                <w:p w14:paraId="334F84B2">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5377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480" w:type="pct"/>
                  <w:vMerge w:val="continue"/>
                  <w:vAlign w:val="center"/>
                </w:tcPr>
                <w:p w14:paraId="1C9CB71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06" w:type="pct"/>
                  <w:vAlign w:val="center"/>
                </w:tcPr>
                <w:p w14:paraId="513992F5">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774" w:type="pct"/>
                  <w:vAlign w:val="center"/>
                </w:tcPr>
                <w:p w14:paraId="044E346A">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危废暂存间</w:t>
                  </w:r>
                </w:p>
              </w:tc>
              <w:tc>
                <w:tcPr>
                  <w:tcW w:w="2716" w:type="pct"/>
                  <w:vAlign w:val="center"/>
                </w:tcPr>
                <w:p w14:paraId="2AE2584F">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rPr>
                    <w:t>布设于生产车间，</w:t>
                  </w:r>
                  <w:r>
                    <w:rPr>
                      <w:rFonts w:hint="default" w:ascii="Times New Roman" w:hAnsi="Times New Roman" w:eastAsia="宋体" w:cs="Times New Roman"/>
                      <w:bCs/>
                      <w:color w:val="auto"/>
                      <w:sz w:val="21"/>
                      <w:szCs w:val="21"/>
                      <w:lang w:val="en-US" w:eastAsia="zh-CN"/>
                    </w:rPr>
                    <w:t>1间</w:t>
                  </w:r>
                  <w:r>
                    <w:rPr>
                      <w:rFonts w:hint="default" w:ascii="Times New Roman" w:hAnsi="Times New Roman" w:eastAsia="宋体" w:cs="Times New Roman"/>
                      <w:color w:val="auto"/>
                      <w:sz w:val="21"/>
                      <w:szCs w:val="21"/>
                    </w:rPr>
                    <w:t>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危险废物暂存间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Cs/>
                      <w:color w:val="auto"/>
                      <w:sz w:val="21"/>
                      <w:szCs w:val="21"/>
                    </w:rPr>
                    <w:t>按GB18597-2023《危险废物贮存污染控制标准》的相关要求建设，</w:t>
                  </w:r>
                  <w:r>
                    <w:rPr>
                      <w:rFonts w:hint="default" w:ascii="Times New Roman" w:hAnsi="Times New Roman" w:eastAsia="宋体" w:cs="Times New Roman"/>
                      <w:color w:val="auto"/>
                      <w:sz w:val="21"/>
                      <w:szCs w:val="21"/>
                      <w:lang w:val="en-US" w:eastAsia="zh-CN"/>
                    </w:rPr>
                    <w:t>具体为：</w:t>
                  </w:r>
                  <w:r>
                    <w:rPr>
                      <w:rFonts w:hint="default" w:ascii="Times New Roman" w:hAnsi="Times New Roman" w:eastAsia="宋体" w:cs="Times New Roman"/>
                      <w:color w:val="auto"/>
                      <w:kern w:val="0"/>
                      <w:sz w:val="21"/>
                      <w:szCs w:val="21"/>
                      <w:lang w:bidi="ar"/>
                    </w:rPr>
                    <w:t>基础必须防渗，防渗层为至少1m厚粘土层（渗透系数≤10</w:t>
                  </w:r>
                  <w:r>
                    <w:rPr>
                      <w:rFonts w:hint="default" w:ascii="Times New Roman" w:hAnsi="Times New Roman" w:eastAsia="宋体" w:cs="Times New Roman"/>
                      <w:color w:val="auto"/>
                      <w:kern w:val="0"/>
                      <w:sz w:val="21"/>
                      <w:szCs w:val="21"/>
                      <w:vertAlign w:val="superscript"/>
                      <w:lang w:bidi="ar"/>
                    </w:rPr>
                    <w:t>-7</w:t>
                  </w:r>
                  <w:r>
                    <w:rPr>
                      <w:rFonts w:hint="default" w:ascii="Times New Roman" w:hAnsi="Times New Roman" w:eastAsia="宋体" w:cs="Times New Roman"/>
                      <w:color w:val="auto"/>
                      <w:kern w:val="0"/>
                      <w:sz w:val="21"/>
                      <w:szCs w:val="21"/>
                      <w:lang w:bidi="ar"/>
                    </w:rPr>
                    <w:t>cm/s），或2mm厚高密度聚乙烯，或至少2mm厚的其它人工材料，渗透系数≤10</w:t>
                  </w:r>
                  <w:r>
                    <w:rPr>
                      <w:rFonts w:hint="default" w:ascii="Times New Roman" w:hAnsi="Times New Roman" w:eastAsia="宋体" w:cs="Times New Roman"/>
                      <w:color w:val="auto"/>
                      <w:kern w:val="0"/>
                      <w:sz w:val="21"/>
                      <w:szCs w:val="21"/>
                      <w:vertAlign w:val="superscript"/>
                      <w:lang w:bidi="ar"/>
                    </w:rPr>
                    <w:t>-10</w:t>
                  </w:r>
                  <w:r>
                    <w:rPr>
                      <w:rFonts w:hint="default" w:ascii="Times New Roman" w:hAnsi="Times New Roman" w:eastAsia="宋体" w:cs="Times New Roman"/>
                      <w:color w:val="auto"/>
                      <w:kern w:val="0"/>
                      <w:sz w:val="21"/>
                      <w:szCs w:val="21"/>
                      <w:lang w:bidi="ar"/>
                    </w:rPr>
                    <w:t>cm/s</w:t>
                  </w:r>
                  <w:r>
                    <w:rPr>
                      <w:rFonts w:hint="default"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bCs/>
                      <w:color w:val="auto"/>
                      <w:sz w:val="21"/>
                      <w:szCs w:val="21"/>
                    </w:rPr>
                    <w:t>做好防扬散、防流失、防渗漏等措施</w:t>
                  </w:r>
                </w:p>
              </w:tc>
              <w:tc>
                <w:tcPr>
                  <w:tcW w:w="622" w:type="pct"/>
                  <w:vAlign w:val="center"/>
                </w:tcPr>
                <w:p w14:paraId="264A39B4">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6C6C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000" w:type="pct"/>
                  <w:gridSpan w:val="5"/>
                  <w:vAlign w:val="center"/>
                </w:tcPr>
                <w:p w14:paraId="5E984C58">
                  <w:pPr>
                    <w:pStyle w:val="4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color w:val="auto"/>
                      <w:sz w:val="21"/>
                      <w:szCs w:val="21"/>
                      <w:lang w:val="en-US" w:eastAsia="zh-CN"/>
                    </w:rPr>
                  </w:pPr>
                  <w:bookmarkStart w:id="10" w:name="_Toc8687"/>
                  <w:r>
                    <w:rPr>
                      <w:rFonts w:hint="eastAsia" w:cs="Times New Roman"/>
                      <w:b/>
                      <w:bCs/>
                      <w:color w:val="auto"/>
                      <w:sz w:val="21"/>
                      <w:szCs w:val="21"/>
                      <w:lang w:val="en-US" w:eastAsia="zh-CN"/>
                    </w:rPr>
                    <w:t>备注：</w:t>
                  </w:r>
                  <w:r>
                    <w:rPr>
                      <w:rFonts w:hint="default" w:ascii="Times New Roman" w:hAnsi="Times New Roman" w:eastAsia="宋体" w:cs="Times New Roman"/>
                      <w:color w:val="auto"/>
                      <w:sz w:val="21"/>
                      <w:szCs w:val="21"/>
                      <w:lang w:val="en-US" w:eastAsia="zh-CN"/>
                    </w:rPr>
                    <w:t>①</w:t>
                  </w:r>
                  <w:r>
                    <w:rPr>
                      <w:rFonts w:hint="eastAsia" w:ascii="Times New Roman" w:hAnsi="Times New Roman" w:eastAsia="宋体" w:cs="Times New Roman"/>
                      <w:color w:val="auto"/>
                      <w:sz w:val="21"/>
                      <w:szCs w:val="21"/>
                      <w:lang w:val="en-US" w:eastAsia="zh-CN"/>
                    </w:rPr>
                    <w:t>由</w:t>
                  </w:r>
                  <w:r>
                    <w:rPr>
                      <w:rFonts w:hint="eastAsia" w:cs="Times New Roman"/>
                      <w:color w:val="auto"/>
                      <w:sz w:val="21"/>
                      <w:szCs w:val="21"/>
                      <w:lang w:val="en-US" w:eastAsia="zh-CN"/>
                    </w:rPr>
                    <w:t>于在建项目（</w:t>
                  </w:r>
                  <w:r>
                    <w:rPr>
                      <w:rFonts w:hint="eastAsia" w:ascii="Times New Roman" w:hAnsi="Times New Roman" w:eastAsia="宋体" w:cs="Times New Roman"/>
                      <w:color w:val="auto"/>
                      <w:lang w:val="en-US" w:eastAsia="zh-CN"/>
                    </w:rPr>
                    <w:t>年产12万吨铁矿的</w:t>
                  </w:r>
                  <w:r>
                    <w:rPr>
                      <w:rFonts w:hint="eastAsia" w:ascii="Times New Roman" w:hAnsi="Times New Roman" w:cs="Times New Roman"/>
                      <w:color w:val="auto"/>
                      <w:lang w:val="en-US" w:eastAsia="zh-CN"/>
                    </w:rPr>
                    <w:t>生产线</w:t>
                  </w:r>
                  <w:r>
                    <w:rPr>
                      <w:rFonts w:hint="eastAsia" w:cs="Times New Roman"/>
                      <w:color w:val="auto"/>
                      <w:sz w:val="21"/>
                      <w:szCs w:val="21"/>
                      <w:lang w:val="en-US" w:eastAsia="zh-CN"/>
                    </w:rPr>
                    <w:t>）尚未建成投入运行，以之配套的环保工程（</w:t>
                  </w: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/d的一体化污水处理设施</w:t>
                  </w:r>
                  <w:r>
                    <w:rPr>
                      <w:rFonts w:hint="eastAsia" w:cs="Times New Roman"/>
                      <w:color w:val="auto"/>
                      <w:sz w:val="21"/>
                      <w:szCs w:val="21"/>
                      <w:lang w:val="en-US" w:eastAsia="zh-CN"/>
                    </w:rPr>
                    <w:t>、</w:t>
                  </w:r>
                  <w:r>
                    <w:rPr>
                      <w:rFonts w:hint="default" w:ascii="Times New Roman" w:hAnsi="Times New Roman" w:eastAsia="宋体" w:cs="Times New Roman"/>
                      <w:b w:val="0"/>
                      <w:color w:val="auto"/>
                      <w:kern w:val="2"/>
                      <w:sz w:val="21"/>
                      <w:szCs w:val="21"/>
                      <w:lang w:val="en-US" w:eastAsia="zh-CN" w:bidi="ar-SA"/>
                    </w:rPr>
                    <w:t>中水池</w:t>
                  </w:r>
                  <w:r>
                    <w:rPr>
                      <w:rFonts w:hint="eastAsia" w:cs="Times New Roman"/>
                      <w:b w:val="0"/>
                      <w:color w:val="auto"/>
                      <w:kern w:val="2"/>
                      <w:sz w:val="21"/>
                      <w:szCs w:val="21"/>
                      <w:lang w:val="en-US" w:eastAsia="zh-CN" w:bidi="ar-SA"/>
                    </w:rPr>
                    <w:t>、化粪池、</w:t>
                  </w:r>
                  <w:r>
                    <w:rPr>
                      <w:rFonts w:hint="default" w:ascii="Times New Roman" w:hAnsi="Times New Roman" w:eastAsia="宋体" w:cs="Times New Roman"/>
                      <w:color w:val="auto"/>
                      <w:sz w:val="21"/>
                      <w:szCs w:val="21"/>
                      <w:lang w:val="en-US" w:eastAsia="zh-CN"/>
                    </w:rPr>
                    <w:t>初期雨水</w:t>
                  </w:r>
                  <w:r>
                    <w:rPr>
                      <w:rFonts w:hint="eastAsia" w:cs="Times New Roman"/>
                      <w:color w:val="auto"/>
                      <w:sz w:val="21"/>
                      <w:szCs w:val="21"/>
                      <w:lang w:val="en-US" w:eastAsia="zh-CN"/>
                    </w:rPr>
                    <w:t>收集池、</w:t>
                  </w:r>
                  <w:r>
                    <w:rPr>
                      <w:rFonts w:hint="default" w:ascii="Times New Roman" w:hAnsi="Times New Roman" w:eastAsia="宋体" w:cs="Times New Roman"/>
                      <w:color w:val="auto"/>
                      <w:sz w:val="21"/>
                      <w:szCs w:val="21"/>
                      <w:lang w:eastAsia="zh-CN"/>
                    </w:rPr>
                    <w:t>危废暂存间</w:t>
                  </w:r>
                  <w:r>
                    <w:rPr>
                      <w:rFonts w:hint="eastAsia" w:cs="Times New Roman"/>
                      <w:color w:val="auto"/>
                      <w:sz w:val="21"/>
                      <w:szCs w:val="21"/>
                      <w:lang w:val="en-US" w:eastAsia="zh-CN"/>
                    </w:rPr>
                    <w:t>等）一并纳入本次配煤项目进行评价；</w:t>
                  </w:r>
                </w:p>
                <w:p w14:paraId="48129B31">
                  <w:pPr>
                    <w:pStyle w:val="48"/>
                    <w:keepNext w:val="0"/>
                    <w:keepLines w:val="0"/>
                    <w:pageBreakBefore w:val="0"/>
                    <w:widowControl w:val="0"/>
                    <w:kinsoku/>
                    <w:wordWrap/>
                    <w:overflowPunct/>
                    <w:topLinePunct w:val="0"/>
                    <w:autoSpaceDE/>
                    <w:autoSpaceDN/>
                    <w:bidi w:val="0"/>
                    <w:adjustRightInd/>
                    <w:snapToGrid/>
                    <w:spacing w:line="240" w:lineRule="auto"/>
                    <w:ind w:firstLine="630" w:firstLineChars="300"/>
                    <w:jc w:val="both"/>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②项目供水、供电、办公区依托玉溪鑫东运输有限公司现有的设施</w:t>
                  </w:r>
                </w:p>
              </w:tc>
            </w:tr>
          </w:tbl>
          <w:p w14:paraId="6AFBC0B3">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、产品方案及规模</w:t>
            </w:r>
            <w:bookmarkEnd w:id="10"/>
          </w:p>
          <w:p w14:paraId="20BC8C06">
            <w:pPr>
              <w:pStyle w:val="10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spacing w:val="-6"/>
                <w:kern w:val="2"/>
                <w:sz w:val="24"/>
                <w:szCs w:val="24"/>
                <w:lang w:val="en-US" w:eastAsia="zh-CN" w:bidi="ar-SA"/>
              </w:rPr>
            </w:pPr>
            <w:r>
              <w:rPr>
                <w:rFonts w:hint="default" w:ascii="Times New Roman" w:hAnsi="Times New Roman" w:cs="Times New Roman" w:eastAsiaTheme="minorEastAsia"/>
                <w:color w:val="auto"/>
                <w:spacing w:val="-6"/>
                <w:kern w:val="2"/>
                <w:sz w:val="24"/>
                <w:szCs w:val="24"/>
                <w:lang w:val="en-US" w:eastAsia="zh-CN" w:bidi="ar-SA"/>
              </w:rPr>
              <w:t>本项目建成后</w:t>
            </w:r>
            <w:r>
              <w:rPr>
                <w:rFonts w:hint="eastAsia" w:ascii="Times New Roman" w:hAnsi="Times New Roman" w:cs="Times New Roman" w:eastAsiaTheme="minorEastAsia"/>
                <w:color w:val="auto"/>
                <w:spacing w:val="-6"/>
                <w:kern w:val="2"/>
                <w:sz w:val="24"/>
                <w:szCs w:val="24"/>
                <w:lang w:val="en-US" w:eastAsia="zh-CN" w:bidi="ar-SA"/>
              </w:rPr>
              <w:t>年配煤12万吨</w:t>
            </w:r>
            <w:r>
              <w:rPr>
                <w:rFonts w:hint="default" w:ascii="Times New Roman" w:hAnsi="Times New Roman" w:cs="Times New Roman" w:eastAsiaTheme="minorEastAsia"/>
                <w:color w:val="auto"/>
                <w:spacing w:val="-6"/>
                <w:kern w:val="2"/>
                <w:sz w:val="24"/>
                <w:szCs w:val="24"/>
                <w:lang w:val="en-US" w:eastAsia="zh-CN" w:bidi="ar-SA"/>
              </w:rPr>
              <w:t>，该产品主要外售给钢铁企业作为炼钢原料使用，项目产品规模见表2-2所示。</w:t>
            </w:r>
          </w:p>
          <w:p w14:paraId="64621F03">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default" w:ascii="Times New Roman" w:hAnsi="Times New Roman" w:cs="Times New Roman"/>
                <w:color w:val="auto"/>
                <w:sz w:val="24"/>
                <w:szCs w:val="32"/>
                <w:lang w:val="en-US" w:eastAsia="zh-CN"/>
              </w:rPr>
              <w:t>2</w:t>
            </w:r>
            <w:r>
              <w:rPr>
                <w:rFonts w:hint="eastAsia" w:cs="Times New Roman"/>
                <w:color w:val="auto"/>
                <w:sz w:val="24"/>
                <w:szCs w:val="32"/>
                <w:lang w:val="en-US" w:eastAsia="zh-CN"/>
              </w:rPr>
              <w:t xml:space="preserve">  </w:t>
            </w:r>
            <w:r>
              <w:rPr>
                <w:rFonts w:hint="default" w:ascii="Times New Roman" w:hAnsi="Times New Roman" w:cs="Times New Roman"/>
                <w:color w:val="auto"/>
                <w:sz w:val="24"/>
                <w:szCs w:val="32"/>
              </w:rPr>
              <w:t>项目产品规模一览表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203"/>
              <w:gridCol w:w="1019"/>
              <w:gridCol w:w="1365"/>
              <w:gridCol w:w="3590"/>
            </w:tblGrid>
            <w:tr w14:paraId="032F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23" w:type="pct"/>
                  <w:vAlign w:val="center"/>
                </w:tcPr>
                <w:p w14:paraId="7A23CFB8">
                  <w:pPr>
                    <w:pStyle w:val="5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序号</w:t>
                  </w:r>
                </w:p>
              </w:tc>
              <w:tc>
                <w:tcPr>
                  <w:tcW w:w="767" w:type="pct"/>
                  <w:vAlign w:val="center"/>
                </w:tcPr>
                <w:p w14:paraId="14781C1E">
                  <w:pPr>
                    <w:pStyle w:val="5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产品名称</w:t>
                  </w:r>
                </w:p>
              </w:tc>
              <w:tc>
                <w:tcPr>
                  <w:tcW w:w="650" w:type="pct"/>
                  <w:vAlign w:val="center"/>
                </w:tcPr>
                <w:p w14:paraId="23AB80CB">
                  <w:pPr>
                    <w:pStyle w:val="5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rPr>
                  </w:pPr>
                  <w:r>
                    <w:rPr>
                      <w:rFonts w:hint="eastAsia" w:cs="Times New Roman"/>
                      <w:b/>
                      <w:bCs w:val="0"/>
                      <w:color w:val="auto"/>
                      <w:sz w:val="21"/>
                      <w:szCs w:val="21"/>
                      <w:lang w:val="en-US" w:eastAsia="zh-CN"/>
                    </w:rPr>
                    <w:t>规格</w:t>
                  </w:r>
                </w:p>
              </w:tc>
              <w:tc>
                <w:tcPr>
                  <w:tcW w:w="870" w:type="pct"/>
                  <w:vAlign w:val="center"/>
                </w:tcPr>
                <w:p w14:paraId="22AB80C5">
                  <w:pPr>
                    <w:pStyle w:val="5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rPr>
                    <w:t>年产量</w:t>
                  </w:r>
                </w:p>
              </w:tc>
              <w:tc>
                <w:tcPr>
                  <w:tcW w:w="2288" w:type="pct"/>
                  <w:vAlign w:val="center"/>
                </w:tcPr>
                <w:p w14:paraId="1799FACC">
                  <w:pPr>
                    <w:pStyle w:val="5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备注</w:t>
                  </w:r>
                </w:p>
              </w:tc>
            </w:tr>
            <w:tr w14:paraId="6A8F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23" w:type="pct"/>
                  <w:vAlign w:val="center"/>
                </w:tcPr>
                <w:p w14:paraId="64FDCA16">
                  <w:pPr>
                    <w:pStyle w:val="5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rPr>
                  </w:pPr>
                  <w:bookmarkStart w:id="11" w:name="_Toc31682"/>
                  <w:r>
                    <w:rPr>
                      <w:rFonts w:hint="eastAsia" w:cs="Times New Roman"/>
                      <w:bCs/>
                      <w:color w:val="auto"/>
                      <w:sz w:val="21"/>
                      <w:szCs w:val="21"/>
                      <w:lang w:val="en-US" w:eastAsia="zh-CN"/>
                    </w:rPr>
                    <w:t>1</w:t>
                  </w:r>
                </w:p>
              </w:tc>
              <w:tc>
                <w:tcPr>
                  <w:tcW w:w="767" w:type="pct"/>
                  <w:vAlign w:val="center"/>
                </w:tcPr>
                <w:p w14:paraId="6E4B1EB5">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混煤</w:t>
                  </w:r>
                </w:p>
              </w:tc>
              <w:tc>
                <w:tcPr>
                  <w:tcW w:w="650" w:type="pct"/>
                  <w:vAlign w:val="center"/>
                </w:tcPr>
                <w:p w14:paraId="4C9801B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870" w:type="pct"/>
                  <w:vAlign w:val="center"/>
                </w:tcPr>
                <w:p w14:paraId="472B897E">
                  <w:pPr>
                    <w:pStyle w:val="58"/>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pacing w:val="-1"/>
                      <w:lang w:val="en-US" w:eastAsia="zh-CN"/>
                    </w:rPr>
                  </w:pPr>
                  <w:r>
                    <w:rPr>
                      <w:rFonts w:hint="eastAsia" w:cs="Times New Roman"/>
                      <w:color w:val="auto"/>
                      <w:spacing w:val="-1"/>
                      <w:lang w:val="en-US" w:eastAsia="zh-CN"/>
                    </w:rPr>
                    <w:t>12万吨/a</w:t>
                  </w:r>
                </w:p>
              </w:tc>
              <w:tc>
                <w:tcPr>
                  <w:tcW w:w="2288" w:type="pct"/>
                  <w:vAlign w:val="center"/>
                </w:tcPr>
                <w:p w14:paraId="66C744EF">
                  <w:pPr>
                    <w:pStyle w:val="58"/>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外售钢铁厂等企业</w:t>
                  </w:r>
                </w:p>
              </w:tc>
            </w:tr>
          </w:tbl>
          <w:p w14:paraId="2606FFB6">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5</w:t>
            </w:r>
            <w:r>
              <w:rPr>
                <w:rFonts w:hint="default" w:cs="Times New Roman"/>
                <w:b/>
                <w:bCs/>
                <w:color w:val="auto"/>
                <w:sz w:val="24"/>
                <w:szCs w:val="24"/>
                <w:lang w:val="en-US" w:eastAsia="zh-CN"/>
              </w:rPr>
              <w:t>、主要生产设施及设施参数</w:t>
            </w:r>
            <w:bookmarkEnd w:id="11"/>
          </w:p>
          <w:p w14:paraId="24E4B6BA">
            <w:pPr>
              <w:tabs>
                <w:tab w:val="center" w:pos="3885"/>
              </w:tabs>
              <w:ind w:firstLine="480"/>
              <w:rPr>
                <w:rFonts w:hint="default" w:ascii="Times New Roman" w:hAnsi="Times New Roman" w:cs="Times New Roman"/>
                <w:color w:val="auto"/>
              </w:rPr>
            </w:pPr>
            <w:r>
              <w:rPr>
                <w:rFonts w:hint="eastAsia" w:cs="Times New Roman"/>
                <w:color w:val="auto"/>
                <w:lang w:val="en-US" w:eastAsia="zh-CN"/>
              </w:rPr>
              <w:t>本</w:t>
            </w:r>
            <w:r>
              <w:rPr>
                <w:rFonts w:hint="default" w:ascii="Times New Roman" w:hAnsi="Times New Roman" w:cs="Times New Roman"/>
                <w:color w:val="auto"/>
              </w:rPr>
              <w:t>项目主要运行设备见表2-</w:t>
            </w:r>
            <w:r>
              <w:rPr>
                <w:rFonts w:hint="eastAsia"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rPr>
              <w:tab/>
            </w:r>
          </w:p>
          <w:p w14:paraId="2C24C176">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eastAsia" w:cs="Times New Roman"/>
                <w:color w:val="auto"/>
                <w:sz w:val="24"/>
                <w:szCs w:val="32"/>
                <w:lang w:val="en-US" w:eastAsia="zh-CN"/>
              </w:rPr>
              <w:t>3</w:t>
            </w:r>
            <w:r>
              <w:rPr>
                <w:rFonts w:hint="default" w:ascii="Times New Roman" w:hAnsi="Times New Roman" w:cs="Times New Roman"/>
                <w:color w:val="auto"/>
                <w:sz w:val="24"/>
                <w:szCs w:val="32"/>
              </w:rPr>
              <w:t xml:space="preserve"> </w:t>
            </w:r>
            <w:r>
              <w:rPr>
                <w:rFonts w:hint="eastAsia" w:cs="Times New Roman"/>
                <w:color w:val="auto"/>
                <w:sz w:val="24"/>
                <w:szCs w:val="32"/>
                <w:lang w:val="en-US" w:eastAsia="zh-CN"/>
              </w:rPr>
              <w:t xml:space="preserve"> </w:t>
            </w:r>
            <w:r>
              <w:rPr>
                <w:rFonts w:hint="default" w:ascii="Times New Roman" w:hAnsi="Times New Roman" w:cs="Times New Roman"/>
                <w:color w:val="auto"/>
                <w:sz w:val="24"/>
                <w:szCs w:val="32"/>
              </w:rPr>
              <w:t>主要运行设备一览表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04"/>
              <w:gridCol w:w="1786"/>
              <w:gridCol w:w="1005"/>
              <w:gridCol w:w="1000"/>
              <w:gridCol w:w="1387"/>
            </w:tblGrid>
            <w:tr w14:paraId="3FC1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83" w:type="pct"/>
                  <w:tcBorders>
                    <w:tl2br w:val="nil"/>
                    <w:tr2bl w:val="nil"/>
                  </w:tcBorders>
                  <w:noWrap w:val="0"/>
                  <w:vAlign w:val="center"/>
                </w:tcPr>
                <w:p w14:paraId="4D878C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序号</w:t>
                  </w:r>
                </w:p>
              </w:tc>
              <w:tc>
                <w:tcPr>
                  <w:tcW w:w="1213" w:type="pct"/>
                  <w:tcBorders>
                    <w:tl2br w:val="nil"/>
                    <w:tr2bl w:val="nil"/>
                  </w:tcBorders>
                  <w:noWrap w:val="0"/>
                  <w:vAlign w:val="center"/>
                </w:tcPr>
                <w:p w14:paraId="58C231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名称</w:t>
                  </w:r>
                </w:p>
              </w:tc>
              <w:tc>
                <w:tcPr>
                  <w:tcW w:w="1138" w:type="pct"/>
                  <w:tcBorders>
                    <w:tl2br w:val="nil"/>
                    <w:tr2bl w:val="nil"/>
                  </w:tcBorders>
                  <w:noWrap w:val="0"/>
                  <w:vAlign w:val="center"/>
                </w:tcPr>
                <w:p w14:paraId="72C514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型号/功率</w:t>
                  </w:r>
                </w:p>
              </w:tc>
              <w:tc>
                <w:tcPr>
                  <w:tcW w:w="640" w:type="pct"/>
                  <w:tcBorders>
                    <w:tl2br w:val="nil"/>
                    <w:tr2bl w:val="nil"/>
                  </w:tcBorders>
                  <w:noWrap w:val="0"/>
                  <w:vAlign w:val="center"/>
                </w:tcPr>
                <w:p w14:paraId="57321B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单位</w:t>
                  </w:r>
                </w:p>
              </w:tc>
              <w:tc>
                <w:tcPr>
                  <w:tcW w:w="637" w:type="pct"/>
                  <w:tcBorders>
                    <w:tl2br w:val="nil"/>
                    <w:tr2bl w:val="nil"/>
                  </w:tcBorders>
                  <w:noWrap w:val="0"/>
                  <w:vAlign w:val="center"/>
                </w:tcPr>
                <w:p w14:paraId="65B414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数量</w:t>
                  </w:r>
                </w:p>
              </w:tc>
              <w:tc>
                <w:tcPr>
                  <w:tcW w:w="884" w:type="pct"/>
                  <w:tcBorders>
                    <w:tl2br w:val="nil"/>
                    <w:tr2bl w:val="nil"/>
                  </w:tcBorders>
                  <w:noWrap w:val="0"/>
                  <w:vAlign w:val="center"/>
                </w:tcPr>
                <w:p w14:paraId="696469C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用途</w:t>
                  </w:r>
                </w:p>
              </w:tc>
            </w:tr>
            <w:tr w14:paraId="45D5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tcBorders>
                    <w:tl2br w:val="nil"/>
                    <w:tr2bl w:val="nil"/>
                  </w:tcBorders>
                  <w:shd w:val="clear" w:color="auto" w:fill="auto"/>
                  <w:noWrap w:val="0"/>
                  <w:vAlign w:val="center"/>
                </w:tcPr>
                <w:p w14:paraId="7C26BF0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1</w:t>
                  </w:r>
                </w:p>
              </w:tc>
              <w:tc>
                <w:tcPr>
                  <w:tcW w:w="1213" w:type="pct"/>
                  <w:tcBorders>
                    <w:tl2br w:val="nil"/>
                    <w:tr2bl w:val="nil"/>
                  </w:tcBorders>
                  <w:shd w:val="clear" w:color="auto" w:fill="auto"/>
                  <w:noWrap w:val="0"/>
                  <w:vAlign w:val="center"/>
                </w:tcPr>
                <w:p w14:paraId="55B6D64C">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配煤机</w:t>
                  </w:r>
                </w:p>
              </w:tc>
              <w:tc>
                <w:tcPr>
                  <w:tcW w:w="1138" w:type="pct"/>
                  <w:tcBorders>
                    <w:tl2br w:val="nil"/>
                    <w:tr2bl w:val="nil"/>
                  </w:tcBorders>
                  <w:shd w:val="clear" w:color="auto" w:fill="auto"/>
                  <w:noWrap w:val="0"/>
                  <w:vAlign w:val="center"/>
                </w:tcPr>
                <w:p w14:paraId="03778FB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r>
                    <w:rPr>
                      <w:rFonts w:hint="default" w:cs="Times New Roman"/>
                      <w:color w:val="auto"/>
                      <w:sz w:val="21"/>
                      <w:szCs w:val="21"/>
                      <w:highlight w:val="none"/>
                      <w:lang w:val="en-US" w:eastAsia="zh-CN"/>
                    </w:rPr>
                    <w:t>kw/h</w:t>
                  </w:r>
                </w:p>
              </w:tc>
              <w:tc>
                <w:tcPr>
                  <w:tcW w:w="640" w:type="pct"/>
                  <w:tcBorders>
                    <w:tl2br w:val="nil"/>
                    <w:tr2bl w:val="nil"/>
                  </w:tcBorders>
                  <w:shd w:val="clear" w:color="auto" w:fill="auto"/>
                  <w:noWrap w:val="0"/>
                  <w:vAlign w:val="center"/>
                </w:tcPr>
                <w:p w14:paraId="1CB3A9E5">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台</w:t>
                  </w:r>
                </w:p>
              </w:tc>
              <w:tc>
                <w:tcPr>
                  <w:tcW w:w="637" w:type="pct"/>
                  <w:tcBorders>
                    <w:tl2br w:val="nil"/>
                    <w:tr2bl w:val="nil"/>
                  </w:tcBorders>
                  <w:shd w:val="clear" w:color="auto" w:fill="auto"/>
                  <w:noWrap w:val="0"/>
                  <w:vAlign w:val="center"/>
                </w:tcPr>
                <w:p w14:paraId="1453C5B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1</w:t>
                  </w:r>
                </w:p>
              </w:tc>
              <w:tc>
                <w:tcPr>
                  <w:tcW w:w="884" w:type="pct"/>
                  <w:tcBorders>
                    <w:tl2br w:val="nil"/>
                    <w:tr2bl w:val="nil"/>
                  </w:tcBorders>
                  <w:shd w:val="clear" w:color="auto" w:fill="auto"/>
                  <w:noWrap w:val="0"/>
                  <w:vAlign w:val="center"/>
                </w:tcPr>
                <w:p w14:paraId="5BC1ADD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配煤</w:t>
                  </w:r>
                </w:p>
              </w:tc>
            </w:tr>
            <w:tr w14:paraId="5280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83" w:type="pct"/>
                  <w:tcBorders>
                    <w:tl2br w:val="nil"/>
                    <w:tr2bl w:val="nil"/>
                  </w:tcBorders>
                  <w:shd w:val="clear" w:color="auto" w:fill="auto"/>
                  <w:noWrap w:val="0"/>
                  <w:vAlign w:val="center"/>
                </w:tcPr>
                <w:p w14:paraId="5DB58B4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2</w:t>
                  </w:r>
                </w:p>
              </w:tc>
              <w:tc>
                <w:tcPr>
                  <w:tcW w:w="1213" w:type="pct"/>
                  <w:tcBorders>
                    <w:tl2br w:val="nil"/>
                    <w:tr2bl w:val="nil"/>
                  </w:tcBorders>
                  <w:shd w:val="clear" w:color="auto" w:fill="auto"/>
                  <w:noWrap w:val="0"/>
                  <w:vAlign w:val="center"/>
                </w:tcPr>
                <w:p w14:paraId="51670BD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装载机</w:t>
                  </w:r>
                </w:p>
              </w:tc>
              <w:tc>
                <w:tcPr>
                  <w:tcW w:w="1138" w:type="pct"/>
                  <w:tcBorders>
                    <w:tl2br w:val="nil"/>
                    <w:tr2bl w:val="nil"/>
                  </w:tcBorders>
                  <w:shd w:val="clear" w:color="auto" w:fill="auto"/>
                  <w:noWrap w:val="0"/>
                  <w:vAlign w:val="center"/>
                </w:tcPr>
                <w:p w14:paraId="4532C36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640" w:type="pct"/>
                  <w:tcBorders>
                    <w:tl2br w:val="nil"/>
                    <w:tr2bl w:val="nil"/>
                  </w:tcBorders>
                  <w:shd w:val="clear" w:color="auto" w:fill="auto"/>
                  <w:noWrap w:val="0"/>
                  <w:vAlign w:val="center"/>
                </w:tcPr>
                <w:p w14:paraId="5EA61023">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台</w:t>
                  </w:r>
                </w:p>
              </w:tc>
              <w:tc>
                <w:tcPr>
                  <w:tcW w:w="637" w:type="pct"/>
                  <w:tcBorders>
                    <w:tl2br w:val="nil"/>
                    <w:tr2bl w:val="nil"/>
                  </w:tcBorders>
                  <w:shd w:val="clear" w:color="auto" w:fill="auto"/>
                  <w:noWrap w:val="0"/>
                  <w:vAlign w:val="center"/>
                </w:tcPr>
                <w:p w14:paraId="121C280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884" w:type="pct"/>
                  <w:tcBorders>
                    <w:tl2br w:val="nil"/>
                    <w:tr2bl w:val="nil"/>
                  </w:tcBorders>
                  <w:shd w:val="clear" w:color="auto" w:fill="auto"/>
                  <w:noWrap w:val="0"/>
                  <w:vAlign w:val="center"/>
                </w:tcPr>
                <w:p w14:paraId="77FBDAE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转运物料</w:t>
                  </w:r>
                </w:p>
              </w:tc>
            </w:tr>
            <w:tr w14:paraId="4584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83" w:type="pct"/>
                  <w:tcBorders>
                    <w:tl2br w:val="nil"/>
                    <w:tr2bl w:val="nil"/>
                  </w:tcBorders>
                  <w:shd w:val="clear" w:color="auto" w:fill="auto"/>
                  <w:noWrap w:val="0"/>
                  <w:vAlign w:val="center"/>
                </w:tcPr>
                <w:p w14:paraId="3CCE5A94">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3</w:t>
                  </w:r>
                </w:p>
              </w:tc>
              <w:tc>
                <w:tcPr>
                  <w:tcW w:w="1213" w:type="pct"/>
                  <w:tcBorders>
                    <w:tl2br w:val="nil"/>
                    <w:tr2bl w:val="nil"/>
                  </w:tcBorders>
                  <w:shd w:val="clear" w:color="auto" w:fill="auto"/>
                  <w:noWrap w:val="0"/>
                  <w:vAlign w:val="center"/>
                </w:tcPr>
                <w:p w14:paraId="2B3DD73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煤质检验设备</w:t>
                  </w:r>
                </w:p>
              </w:tc>
              <w:tc>
                <w:tcPr>
                  <w:tcW w:w="1138" w:type="pct"/>
                  <w:tcBorders>
                    <w:tl2br w:val="nil"/>
                    <w:tr2bl w:val="nil"/>
                  </w:tcBorders>
                  <w:shd w:val="clear" w:color="auto" w:fill="auto"/>
                  <w:noWrap w:val="0"/>
                  <w:vAlign w:val="center"/>
                </w:tcPr>
                <w:p w14:paraId="7F33717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640" w:type="pct"/>
                  <w:tcBorders>
                    <w:tl2br w:val="nil"/>
                    <w:tr2bl w:val="nil"/>
                  </w:tcBorders>
                  <w:shd w:val="clear" w:color="auto" w:fill="auto"/>
                  <w:noWrap w:val="0"/>
                  <w:vAlign w:val="center"/>
                </w:tcPr>
                <w:p w14:paraId="23FE314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套</w:t>
                  </w:r>
                </w:p>
              </w:tc>
              <w:tc>
                <w:tcPr>
                  <w:tcW w:w="637" w:type="pct"/>
                  <w:tcBorders>
                    <w:tl2br w:val="nil"/>
                    <w:tr2bl w:val="nil"/>
                  </w:tcBorders>
                  <w:shd w:val="clear" w:color="auto" w:fill="auto"/>
                  <w:noWrap w:val="0"/>
                  <w:vAlign w:val="center"/>
                </w:tcPr>
                <w:p w14:paraId="575208F1">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s="Times New Roman"/>
                      <w:color w:val="auto"/>
                      <w:sz w:val="21"/>
                      <w:szCs w:val="21"/>
                      <w:highlight w:val="none"/>
                      <w:lang w:val="en-US" w:eastAsia="zh-CN"/>
                    </w:rPr>
                    <w:t>1</w:t>
                  </w:r>
                </w:p>
              </w:tc>
              <w:tc>
                <w:tcPr>
                  <w:tcW w:w="884" w:type="pct"/>
                  <w:tcBorders>
                    <w:tl2br w:val="nil"/>
                    <w:tr2bl w:val="nil"/>
                  </w:tcBorders>
                  <w:shd w:val="clear" w:color="auto" w:fill="auto"/>
                  <w:noWrap w:val="0"/>
                  <w:vAlign w:val="center"/>
                </w:tcPr>
                <w:p w14:paraId="61C0347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煤质检测</w:t>
                  </w:r>
                </w:p>
              </w:tc>
            </w:tr>
          </w:tbl>
          <w:p w14:paraId="05CB497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b/>
                <w:bCs/>
                <w:color w:val="auto"/>
                <w:sz w:val="24"/>
                <w:szCs w:val="24"/>
                <w:lang w:val="en-US" w:eastAsia="zh-CN"/>
              </w:rPr>
            </w:pPr>
            <w:bookmarkStart w:id="12" w:name="_Toc22776"/>
            <w:r>
              <w:rPr>
                <w:rFonts w:hint="eastAsia" w:cs="Times New Roman"/>
                <w:b/>
                <w:bCs/>
                <w:color w:val="auto"/>
                <w:sz w:val="24"/>
                <w:szCs w:val="24"/>
                <w:lang w:val="en-US" w:eastAsia="zh-CN"/>
              </w:rPr>
              <w:t>6</w:t>
            </w:r>
            <w:r>
              <w:rPr>
                <w:rFonts w:hint="default" w:cs="Times New Roman"/>
                <w:b/>
                <w:bCs/>
                <w:color w:val="auto"/>
                <w:sz w:val="24"/>
                <w:szCs w:val="24"/>
                <w:lang w:val="en-US" w:eastAsia="zh-CN"/>
              </w:rPr>
              <w:t>、主要原辅材料及用量</w:t>
            </w:r>
            <w:bookmarkEnd w:id="12"/>
          </w:p>
          <w:p w14:paraId="39180F4F">
            <w:pPr>
              <w:ind w:firstLine="480"/>
              <w:rPr>
                <w:rFonts w:hint="eastAsia" w:ascii="Times New Roman" w:hAnsi="Times New Roman" w:eastAsia="宋体" w:cs="Times New Roman"/>
                <w:b/>
                <w:bCs/>
                <w:color w:val="auto"/>
                <w:lang w:eastAsia="zh-CN"/>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）原</w:t>
            </w:r>
            <w:r>
              <w:rPr>
                <w:rFonts w:hint="eastAsia" w:cs="Times New Roman"/>
                <w:b/>
                <w:bCs/>
                <w:color w:val="auto"/>
                <w:lang w:val="en-US" w:eastAsia="zh-CN"/>
              </w:rPr>
              <w:t>煤</w:t>
            </w:r>
          </w:p>
          <w:p w14:paraId="0580F25C">
            <w:pPr>
              <w:tabs>
                <w:tab w:val="center" w:pos="3885"/>
              </w:tabs>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本项目原</w:t>
            </w:r>
            <w:r>
              <w:rPr>
                <w:rFonts w:hint="eastAsia" w:cs="Times New Roman"/>
                <w:color w:val="auto"/>
                <w:lang w:val="en-US" w:eastAsia="zh-CN"/>
              </w:rPr>
              <w:t>煤主要为外购的不同品质的无烟煤，煤质化验结果（详见附件8）</w:t>
            </w:r>
            <w:r>
              <w:rPr>
                <w:rFonts w:hint="default" w:ascii="Times New Roman" w:hAnsi="Times New Roman" w:cs="Times New Roman"/>
                <w:color w:val="auto"/>
              </w:rPr>
              <w:t>见</w:t>
            </w:r>
            <w:r>
              <w:rPr>
                <w:rFonts w:hint="eastAsia" w:cs="Times New Roman"/>
                <w:color w:val="auto"/>
                <w:lang w:val="en-US" w:eastAsia="zh-CN"/>
              </w:rPr>
              <w:t>下</w:t>
            </w:r>
            <w:r>
              <w:rPr>
                <w:rFonts w:hint="default" w:ascii="Times New Roman" w:hAnsi="Times New Roman" w:cs="Times New Roman"/>
                <w:color w:val="auto"/>
              </w:rPr>
              <w:t>表</w:t>
            </w:r>
            <w:r>
              <w:rPr>
                <w:rFonts w:hint="eastAsia" w:ascii="Times New Roman" w:hAnsi="Times New Roman" w:cs="Times New Roman"/>
                <w:color w:val="auto"/>
                <w:lang w:val="en-US" w:eastAsia="zh-CN"/>
              </w:rPr>
              <w:t>。</w:t>
            </w:r>
          </w:p>
          <w:p w14:paraId="0FBDA9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表</w:t>
            </w:r>
            <w:r>
              <w:rPr>
                <w:rFonts w:hint="eastAsia" w:ascii="Times New Roman" w:hAnsi="Times New Roman" w:eastAsia="宋体" w:cs="Times New Roman"/>
                <w:b/>
                <w:color w:val="auto"/>
                <w:kern w:val="0"/>
                <w:sz w:val="24"/>
                <w:szCs w:val="24"/>
              </w:rPr>
              <w:t>2</w:t>
            </w:r>
            <w:r>
              <w:rPr>
                <w:rFonts w:hint="eastAsia" w:cs="Times New Roman"/>
                <w:b/>
                <w:color w:val="auto"/>
                <w:kern w:val="0"/>
                <w:sz w:val="24"/>
                <w:szCs w:val="24"/>
                <w:lang w:val="en-US" w:eastAsia="zh-CN"/>
              </w:rPr>
              <w:t>-4</w:t>
            </w:r>
            <w:r>
              <w:rPr>
                <w:rFonts w:ascii="Times New Roman" w:hAnsi="Times New Roman" w:eastAsia="宋体" w:cs="Times New Roman"/>
                <w:b/>
                <w:color w:val="auto"/>
                <w:kern w:val="0"/>
                <w:sz w:val="24"/>
                <w:szCs w:val="24"/>
              </w:rPr>
              <w:t xml:space="preserve">  原</w:t>
            </w:r>
            <w:r>
              <w:rPr>
                <w:rFonts w:hint="eastAsia" w:cs="Times New Roman"/>
                <w:b/>
                <w:color w:val="auto"/>
                <w:kern w:val="0"/>
                <w:sz w:val="24"/>
                <w:szCs w:val="24"/>
                <w:lang w:val="en-US" w:eastAsia="zh-CN"/>
              </w:rPr>
              <w:t>煤煤质化验</w:t>
            </w:r>
            <w:r>
              <w:rPr>
                <w:rFonts w:hint="eastAsia" w:ascii="Times New Roman" w:hAnsi="Times New Roman" w:eastAsia="宋体" w:cs="Times New Roman"/>
                <w:b/>
                <w:color w:val="auto"/>
                <w:kern w:val="0"/>
                <w:sz w:val="24"/>
                <w:szCs w:val="24"/>
                <w:lang w:val="en-US" w:eastAsia="zh-CN"/>
              </w:rPr>
              <w:t>结果</w:t>
            </w:r>
            <w:r>
              <w:rPr>
                <w:rFonts w:ascii="Times New Roman" w:hAnsi="Times New Roman" w:eastAsia="宋体" w:cs="Times New Roman"/>
                <w:b/>
                <w:color w:val="auto"/>
                <w:kern w:val="0"/>
                <w:sz w:val="24"/>
                <w:szCs w:val="24"/>
              </w:rPr>
              <w:t>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987"/>
              <w:gridCol w:w="2182"/>
              <w:gridCol w:w="2190"/>
              <w:gridCol w:w="1653"/>
            </w:tblGrid>
            <w:tr w14:paraId="10DF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29" w:type="dxa"/>
                  <w:vAlign w:val="center"/>
                </w:tcPr>
                <w:p w14:paraId="1189E7F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序号</w:t>
                  </w:r>
                </w:p>
              </w:tc>
              <w:tc>
                <w:tcPr>
                  <w:tcW w:w="987" w:type="dxa"/>
                  <w:vAlign w:val="center"/>
                </w:tcPr>
                <w:p w14:paraId="6B794A7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煤种</w:t>
                  </w:r>
                </w:p>
              </w:tc>
              <w:tc>
                <w:tcPr>
                  <w:tcW w:w="2182" w:type="dxa"/>
                  <w:vAlign w:val="center"/>
                </w:tcPr>
                <w:p w14:paraId="53CD09E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检测项目</w:t>
                  </w:r>
                </w:p>
              </w:tc>
              <w:tc>
                <w:tcPr>
                  <w:tcW w:w="2190" w:type="dxa"/>
                  <w:vAlign w:val="center"/>
                </w:tcPr>
                <w:p w14:paraId="0A5BC51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检测结果</w:t>
                  </w:r>
                </w:p>
              </w:tc>
              <w:tc>
                <w:tcPr>
                  <w:tcW w:w="1653" w:type="dxa"/>
                  <w:vAlign w:val="center"/>
                </w:tcPr>
                <w:p w14:paraId="50278AC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检测依据</w:t>
                  </w:r>
                </w:p>
              </w:tc>
            </w:tr>
            <w:tr w14:paraId="0671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29" w:type="dxa"/>
                  <w:vMerge w:val="restart"/>
                  <w:vAlign w:val="center"/>
                </w:tcPr>
                <w:p w14:paraId="2708C9E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w:t>
                  </w:r>
                </w:p>
              </w:tc>
              <w:tc>
                <w:tcPr>
                  <w:tcW w:w="987" w:type="dxa"/>
                  <w:vMerge w:val="restart"/>
                  <w:vAlign w:val="center"/>
                </w:tcPr>
                <w:p w14:paraId="097D7C3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焱坤精煤</w:t>
                  </w:r>
                </w:p>
              </w:tc>
              <w:tc>
                <w:tcPr>
                  <w:tcW w:w="2182" w:type="dxa"/>
                  <w:shd w:val="clear" w:color="auto" w:fill="auto"/>
                  <w:vAlign w:val="center"/>
                </w:tcPr>
                <w:p w14:paraId="0271BDE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全水分(Mt)</w:t>
                  </w:r>
                </w:p>
              </w:tc>
              <w:tc>
                <w:tcPr>
                  <w:tcW w:w="2190" w:type="dxa"/>
                  <w:shd w:val="clear" w:color="auto" w:fill="auto"/>
                  <w:vAlign w:val="center"/>
                </w:tcPr>
                <w:p w14:paraId="2F58002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8.50</w:t>
                  </w:r>
                  <w:r>
                    <w:rPr>
                      <w:rFonts w:hint="eastAsia" w:ascii="Times New Roman" w:hAnsi="Times New Roman" w:cs="Times New Roman" w:eastAsiaTheme="minorEastAsia"/>
                      <w:b w:val="0"/>
                      <w:bCs w:val="0"/>
                      <w:color w:val="auto"/>
                      <w:sz w:val="21"/>
                      <w:szCs w:val="21"/>
                      <w:lang w:val="en-US" w:eastAsia="zh-CN"/>
                    </w:rPr>
                    <w:t>%</w:t>
                  </w:r>
                </w:p>
              </w:tc>
              <w:tc>
                <w:tcPr>
                  <w:tcW w:w="1653" w:type="dxa"/>
                  <w:vAlign w:val="center"/>
                </w:tcPr>
                <w:p w14:paraId="7A99785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GB/T211-2007</w:t>
                  </w:r>
                </w:p>
              </w:tc>
            </w:tr>
            <w:tr w14:paraId="263D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29" w:type="dxa"/>
                  <w:vMerge w:val="continue"/>
                  <w:vAlign w:val="center"/>
                </w:tcPr>
                <w:p w14:paraId="45EAB14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1B75968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4847537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内水分(Mad)</w:t>
                  </w:r>
                </w:p>
              </w:tc>
              <w:tc>
                <w:tcPr>
                  <w:tcW w:w="2190" w:type="dxa"/>
                  <w:shd w:val="clear" w:color="auto" w:fill="auto"/>
                  <w:vAlign w:val="center"/>
                </w:tcPr>
                <w:p w14:paraId="317F168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0.60</w:t>
                  </w:r>
                  <w:r>
                    <w:rPr>
                      <w:rFonts w:hint="eastAsia" w:ascii="Times New Roman" w:hAnsi="Times New Roman" w:cs="Times New Roman" w:eastAsiaTheme="minorEastAsia"/>
                      <w:b w:val="0"/>
                      <w:bCs w:val="0"/>
                      <w:color w:val="auto"/>
                      <w:sz w:val="21"/>
                      <w:szCs w:val="21"/>
                      <w:lang w:val="en-US" w:eastAsia="zh-CN"/>
                    </w:rPr>
                    <w:t>%</w:t>
                  </w:r>
                </w:p>
              </w:tc>
              <w:tc>
                <w:tcPr>
                  <w:tcW w:w="1653" w:type="dxa"/>
                  <w:vMerge w:val="restart"/>
                  <w:shd w:val="clear" w:color="auto" w:fill="auto"/>
                  <w:vAlign w:val="center"/>
                </w:tcPr>
                <w:p w14:paraId="6EF8B4F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4362F82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55AC032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GB/T212-2008</w:t>
                  </w:r>
                </w:p>
                <w:p w14:paraId="647DA40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4E31C06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GB/T214-2007</w:t>
                  </w:r>
                </w:p>
              </w:tc>
            </w:tr>
            <w:tr w14:paraId="2554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14E29FD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4CA1060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04DFEED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灰分(Aad)</w:t>
                  </w:r>
                </w:p>
              </w:tc>
              <w:tc>
                <w:tcPr>
                  <w:tcW w:w="2190" w:type="dxa"/>
                  <w:shd w:val="clear" w:color="auto" w:fill="auto"/>
                  <w:vAlign w:val="center"/>
                </w:tcPr>
                <w:p w14:paraId="2216ABE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15.05</w:t>
                  </w:r>
                  <w:r>
                    <w:rPr>
                      <w:rFonts w:hint="eastAsia" w:ascii="Times New Roman" w:hAnsi="Times New Roman" w:cs="Times New Roman" w:eastAsiaTheme="minorEastAsia"/>
                      <w:b w:val="0"/>
                      <w:bCs w:val="0"/>
                      <w:color w:val="auto"/>
                      <w:sz w:val="21"/>
                      <w:szCs w:val="21"/>
                      <w:lang w:val="en-US" w:eastAsia="zh-CN"/>
                    </w:rPr>
                    <w:t>%</w:t>
                  </w:r>
                </w:p>
              </w:tc>
              <w:tc>
                <w:tcPr>
                  <w:tcW w:w="1653" w:type="dxa"/>
                  <w:vMerge w:val="continue"/>
                  <w:vAlign w:val="center"/>
                </w:tcPr>
                <w:p w14:paraId="03F342B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1270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569D2D9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15CF0F8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385010C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挥发分(Vad)</w:t>
                  </w:r>
                </w:p>
              </w:tc>
              <w:tc>
                <w:tcPr>
                  <w:tcW w:w="2190" w:type="dxa"/>
                  <w:shd w:val="clear" w:color="auto" w:fill="auto"/>
                  <w:vAlign w:val="center"/>
                </w:tcPr>
                <w:p w14:paraId="1E7FAFB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7.67</w:t>
                  </w:r>
                  <w:r>
                    <w:rPr>
                      <w:rFonts w:hint="eastAsia" w:ascii="Times New Roman" w:hAnsi="Times New Roman" w:cs="Times New Roman" w:eastAsiaTheme="minorEastAsia"/>
                      <w:b w:val="0"/>
                      <w:bCs w:val="0"/>
                      <w:color w:val="auto"/>
                      <w:sz w:val="21"/>
                      <w:szCs w:val="21"/>
                      <w:lang w:val="en-US" w:eastAsia="zh-CN"/>
                    </w:rPr>
                    <w:t>%</w:t>
                  </w:r>
                </w:p>
              </w:tc>
              <w:tc>
                <w:tcPr>
                  <w:tcW w:w="1653" w:type="dxa"/>
                  <w:vMerge w:val="continue"/>
                  <w:vAlign w:val="center"/>
                </w:tcPr>
                <w:p w14:paraId="5DB3F7F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7253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Merge w:val="continue"/>
                  <w:vAlign w:val="center"/>
                </w:tcPr>
                <w:p w14:paraId="5B848FC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34080A5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354AB58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固定碳(Fcad)</w:t>
                  </w:r>
                </w:p>
              </w:tc>
              <w:tc>
                <w:tcPr>
                  <w:tcW w:w="2190" w:type="dxa"/>
                  <w:shd w:val="clear" w:color="auto" w:fill="auto"/>
                  <w:vAlign w:val="center"/>
                </w:tcPr>
                <w:p w14:paraId="196EA9B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76.68</w:t>
                  </w:r>
                  <w:r>
                    <w:rPr>
                      <w:rFonts w:hint="eastAsia" w:cs="Times New Roman" w:eastAsiaTheme="minorEastAsia"/>
                      <w:b w:val="0"/>
                      <w:bCs w:val="0"/>
                      <w:color w:val="auto"/>
                      <w:sz w:val="21"/>
                      <w:szCs w:val="21"/>
                      <w:lang w:val="en-US" w:eastAsia="zh-CN"/>
                    </w:rPr>
                    <w:t>%</w:t>
                  </w:r>
                </w:p>
              </w:tc>
              <w:tc>
                <w:tcPr>
                  <w:tcW w:w="1653" w:type="dxa"/>
                  <w:vMerge w:val="continue"/>
                  <w:shd w:val="clear" w:color="auto" w:fill="auto"/>
                  <w:vAlign w:val="center"/>
                </w:tcPr>
                <w:p w14:paraId="589E473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p>
              </w:tc>
            </w:tr>
            <w:tr w14:paraId="299E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29" w:type="dxa"/>
                  <w:vMerge w:val="continue"/>
                  <w:vAlign w:val="center"/>
                </w:tcPr>
                <w:p w14:paraId="06739B4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37B9D5D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3E32082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空干基低位发热量(Qnet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ad)</w:t>
                  </w:r>
                </w:p>
              </w:tc>
              <w:tc>
                <w:tcPr>
                  <w:tcW w:w="2190" w:type="dxa"/>
                  <w:shd w:val="clear" w:color="auto" w:fill="auto"/>
                  <w:vAlign w:val="center"/>
                </w:tcPr>
                <w:p w14:paraId="0DC8E1C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67</w:t>
                  </w:r>
                  <w:r>
                    <w:rPr>
                      <w:rFonts w:hint="eastAsia" w:ascii="Times New Roman" w:hAnsi="Times New Roman" w:cs="Times New Roman" w:eastAsiaTheme="minorEastAsia"/>
                      <w:b w:val="0"/>
                      <w:bCs w:val="0"/>
                      <w:color w:val="auto"/>
                      <w:sz w:val="21"/>
                      <w:szCs w:val="21"/>
                      <w:lang w:val="en-US" w:eastAsia="zh-CN"/>
                    </w:rPr>
                    <w:t>80</w:t>
                  </w:r>
                  <w:r>
                    <w:rPr>
                      <w:rFonts w:hint="default" w:ascii="Times New Roman" w:hAnsi="Times New Roman" w:cs="Times New Roman" w:eastAsiaTheme="minorEastAsia"/>
                      <w:b w:val="0"/>
                      <w:bCs w:val="0"/>
                      <w:color w:val="auto"/>
                      <w:sz w:val="21"/>
                      <w:szCs w:val="21"/>
                      <w:lang w:val="en-US" w:eastAsia="zh-CN"/>
                    </w:rPr>
                    <w:t>千卡/千克</w:t>
                  </w:r>
                </w:p>
                <w:p w14:paraId="1187EAB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2</w:t>
                  </w:r>
                  <w:r>
                    <w:rPr>
                      <w:rFonts w:hint="eastAsia" w:ascii="Times New Roman" w:hAnsi="Times New Roman" w:cs="Times New Roman" w:eastAsiaTheme="minorEastAsia"/>
                      <w:b w:val="0"/>
                      <w:bCs w:val="0"/>
                      <w:color w:val="auto"/>
                      <w:sz w:val="21"/>
                      <w:szCs w:val="21"/>
                      <w:lang w:val="en-US" w:eastAsia="zh-CN"/>
                    </w:rPr>
                    <w:t>8.</w:t>
                  </w:r>
                  <w:r>
                    <w:rPr>
                      <w:rFonts w:hint="default" w:ascii="Times New Roman" w:hAnsi="Times New Roman" w:cs="Times New Roman" w:eastAsiaTheme="minorEastAsia"/>
                      <w:b w:val="0"/>
                      <w:bCs w:val="0"/>
                      <w:color w:val="auto"/>
                      <w:sz w:val="21"/>
                      <w:szCs w:val="21"/>
                      <w:lang w:val="en-US" w:eastAsia="zh-CN"/>
                    </w:rPr>
                    <w:t>35兆焦/千克</w:t>
                  </w:r>
                  <w:r>
                    <w:rPr>
                      <w:rFonts w:hint="eastAsia" w:ascii="Times New Roman" w:hAnsi="Times New Roman" w:cs="Times New Roman" w:eastAsiaTheme="minorEastAsia"/>
                      <w:b w:val="0"/>
                      <w:bCs w:val="0"/>
                      <w:color w:val="auto"/>
                      <w:sz w:val="21"/>
                      <w:szCs w:val="21"/>
                      <w:lang w:val="en-US" w:eastAsia="zh-CN"/>
                    </w:rPr>
                    <w:t>）</w:t>
                  </w:r>
                </w:p>
              </w:tc>
              <w:tc>
                <w:tcPr>
                  <w:tcW w:w="1653" w:type="dxa"/>
                  <w:vMerge w:val="restart"/>
                  <w:vAlign w:val="center"/>
                </w:tcPr>
                <w:p w14:paraId="034A27B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GB/T213-2008</w:t>
                  </w:r>
                </w:p>
              </w:tc>
            </w:tr>
            <w:tr w14:paraId="3F4D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29" w:type="dxa"/>
                  <w:vMerge w:val="continue"/>
                  <w:vAlign w:val="center"/>
                </w:tcPr>
                <w:p w14:paraId="4B381CA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55EC80F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6DF81FB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收到基低位发热量(Qnet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ar)</w:t>
                  </w:r>
                </w:p>
              </w:tc>
              <w:tc>
                <w:tcPr>
                  <w:tcW w:w="2190" w:type="dxa"/>
                  <w:shd w:val="clear" w:color="auto" w:fill="auto"/>
                  <w:vAlign w:val="center"/>
                </w:tcPr>
                <w:p w14:paraId="79555C1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6194千卡/千克</w:t>
                  </w:r>
                </w:p>
                <w:p w14:paraId="2BCD6BE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25</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90兆焦/千克</w:t>
                  </w:r>
                  <w:r>
                    <w:rPr>
                      <w:rFonts w:hint="eastAsia" w:ascii="Times New Roman" w:hAnsi="Times New Roman" w:cs="Times New Roman" w:eastAsiaTheme="minorEastAsia"/>
                      <w:b w:val="0"/>
                      <w:bCs w:val="0"/>
                      <w:color w:val="auto"/>
                      <w:sz w:val="21"/>
                      <w:szCs w:val="21"/>
                      <w:lang w:val="en-US" w:eastAsia="zh-CN"/>
                    </w:rPr>
                    <w:t>）</w:t>
                  </w:r>
                </w:p>
              </w:tc>
              <w:tc>
                <w:tcPr>
                  <w:tcW w:w="1653" w:type="dxa"/>
                  <w:vMerge w:val="continue"/>
                  <w:vAlign w:val="center"/>
                </w:tcPr>
                <w:p w14:paraId="0699FC1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406D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2B8231A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1EA5A2C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74F10AA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全硫(St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ad)</w:t>
                  </w:r>
                </w:p>
              </w:tc>
              <w:tc>
                <w:tcPr>
                  <w:tcW w:w="2190" w:type="dxa"/>
                  <w:vAlign w:val="center"/>
                </w:tcPr>
                <w:p w14:paraId="531A860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0.40</w:t>
                  </w:r>
                  <w:r>
                    <w:rPr>
                      <w:rFonts w:hint="eastAsia" w:ascii="Times New Roman" w:hAnsi="Times New Roman" w:cs="Times New Roman" w:eastAsiaTheme="minorEastAsia"/>
                      <w:b w:val="0"/>
                      <w:bCs w:val="0"/>
                      <w:color w:val="auto"/>
                      <w:sz w:val="21"/>
                      <w:szCs w:val="21"/>
                      <w:lang w:val="en-US" w:eastAsia="zh-CN"/>
                    </w:rPr>
                    <w:t>%</w:t>
                  </w:r>
                </w:p>
              </w:tc>
              <w:tc>
                <w:tcPr>
                  <w:tcW w:w="1653" w:type="dxa"/>
                  <w:shd w:val="clear" w:color="auto" w:fill="auto"/>
                  <w:vAlign w:val="center"/>
                </w:tcPr>
                <w:p w14:paraId="2CE671A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GB/T214-2007</w:t>
                  </w:r>
                </w:p>
              </w:tc>
            </w:tr>
            <w:tr w14:paraId="4253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restart"/>
                  <w:vAlign w:val="center"/>
                </w:tcPr>
                <w:p w14:paraId="17F4BEF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2</w:t>
                  </w:r>
                </w:p>
              </w:tc>
              <w:tc>
                <w:tcPr>
                  <w:tcW w:w="987" w:type="dxa"/>
                  <w:vMerge w:val="restart"/>
                  <w:vAlign w:val="center"/>
                </w:tcPr>
                <w:p w14:paraId="387C0C1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焱坤</w:t>
                  </w:r>
                  <w:r>
                    <w:rPr>
                      <w:rFonts w:hint="eastAsia" w:ascii="Times New Roman" w:hAnsi="Times New Roman" w:cs="Times New Roman" w:eastAsiaTheme="minorEastAsia"/>
                      <w:b w:val="0"/>
                      <w:bCs w:val="0"/>
                      <w:color w:val="auto"/>
                      <w:sz w:val="21"/>
                      <w:szCs w:val="21"/>
                      <w:lang w:val="en-US" w:eastAsia="zh-CN"/>
                    </w:rPr>
                    <w:t>公司</w:t>
                  </w:r>
                  <w:r>
                    <w:rPr>
                      <w:rFonts w:hint="default" w:ascii="Times New Roman" w:hAnsi="Times New Roman" w:cs="Times New Roman" w:eastAsiaTheme="minorEastAsia"/>
                      <w:b w:val="0"/>
                      <w:bCs w:val="0"/>
                      <w:color w:val="auto"/>
                      <w:sz w:val="21"/>
                      <w:szCs w:val="21"/>
                      <w:lang w:val="en-US" w:eastAsia="zh-CN"/>
                    </w:rPr>
                    <w:t>精煤</w:t>
                  </w:r>
                </w:p>
              </w:tc>
              <w:tc>
                <w:tcPr>
                  <w:tcW w:w="2182" w:type="dxa"/>
                  <w:shd w:val="clear" w:color="auto" w:fill="auto"/>
                  <w:vAlign w:val="center"/>
                </w:tcPr>
                <w:p w14:paraId="5CBA100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全水分(Mt)</w:t>
                  </w:r>
                </w:p>
              </w:tc>
              <w:tc>
                <w:tcPr>
                  <w:tcW w:w="2190" w:type="dxa"/>
                  <w:shd w:val="clear" w:color="auto" w:fill="auto"/>
                  <w:vAlign w:val="center"/>
                </w:tcPr>
                <w:p w14:paraId="41251C6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10.4</w:t>
                  </w:r>
                  <w:r>
                    <w:rPr>
                      <w:rFonts w:hint="default" w:ascii="Times New Roman" w:hAnsi="Times New Roman" w:cs="Times New Roman" w:eastAsiaTheme="minorEastAsia"/>
                      <w:b w:val="0"/>
                      <w:bCs w:val="0"/>
                      <w:color w:val="auto"/>
                      <w:sz w:val="21"/>
                      <w:szCs w:val="21"/>
                      <w:lang w:val="en-US" w:eastAsia="zh-CN"/>
                    </w:rPr>
                    <w:t>0</w:t>
                  </w:r>
                  <w:r>
                    <w:rPr>
                      <w:rFonts w:hint="eastAsia" w:ascii="Times New Roman" w:hAnsi="Times New Roman" w:cs="Times New Roman" w:eastAsiaTheme="minorEastAsia"/>
                      <w:b w:val="0"/>
                      <w:bCs w:val="0"/>
                      <w:color w:val="auto"/>
                      <w:sz w:val="21"/>
                      <w:szCs w:val="21"/>
                      <w:lang w:val="en-US" w:eastAsia="zh-CN"/>
                    </w:rPr>
                    <w:t>%</w:t>
                  </w:r>
                </w:p>
              </w:tc>
              <w:tc>
                <w:tcPr>
                  <w:tcW w:w="1653" w:type="dxa"/>
                  <w:shd w:val="clear" w:color="auto" w:fill="auto"/>
                  <w:vAlign w:val="center"/>
                </w:tcPr>
                <w:p w14:paraId="1D416F9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GB/T211-2007</w:t>
                  </w:r>
                </w:p>
              </w:tc>
            </w:tr>
            <w:tr w14:paraId="335E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5CBCC9A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65723E2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0AF4648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内水分(Mad)</w:t>
                  </w:r>
                </w:p>
              </w:tc>
              <w:tc>
                <w:tcPr>
                  <w:tcW w:w="2190" w:type="dxa"/>
                  <w:shd w:val="clear" w:color="auto" w:fill="auto"/>
                  <w:vAlign w:val="center"/>
                </w:tcPr>
                <w:p w14:paraId="0F67460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0.60</w:t>
                  </w:r>
                  <w:r>
                    <w:rPr>
                      <w:rFonts w:hint="eastAsia" w:ascii="Times New Roman" w:hAnsi="Times New Roman" w:cs="Times New Roman" w:eastAsiaTheme="minorEastAsia"/>
                      <w:b w:val="0"/>
                      <w:bCs w:val="0"/>
                      <w:color w:val="auto"/>
                      <w:sz w:val="21"/>
                      <w:szCs w:val="21"/>
                      <w:lang w:val="en-US" w:eastAsia="zh-CN"/>
                    </w:rPr>
                    <w:t>%</w:t>
                  </w:r>
                </w:p>
              </w:tc>
              <w:tc>
                <w:tcPr>
                  <w:tcW w:w="1653" w:type="dxa"/>
                  <w:vMerge w:val="restart"/>
                  <w:shd w:val="clear" w:color="auto" w:fill="auto"/>
                  <w:vAlign w:val="center"/>
                </w:tcPr>
                <w:p w14:paraId="73CC018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24EACE3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19D90CE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GB/T212-2008</w:t>
                  </w:r>
                </w:p>
                <w:p w14:paraId="5AC25B1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079B458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p>
              </w:tc>
            </w:tr>
            <w:tr w14:paraId="79B8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40CF20C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371D319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646C6A8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灰分(Aad)</w:t>
                  </w:r>
                </w:p>
              </w:tc>
              <w:tc>
                <w:tcPr>
                  <w:tcW w:w="2190" w:type="dxa"/>
                  <w:shd w:val="clear" w:color="auto" w:fill="auto"/>
                  <w:vAlign w:val="center"/>
                </w:tcPr>
                <w:p w14:paraId="154B3CC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10.22%</w:t>
                  </w:r>
                </w:p>
              </w:tc>
              <w:tc>
                <w:tcPr>
                  <w:tcW w:w="1653" w:type="dxa"/>
                  <w:vMerge w:val="continue"/>
                  <w:shd w:val="clear" w:color="auto" w:fill="auto"/>
                  <w:vAlign w:val="center"/>
                </w:tcPr>
                <w:p w14:paraId="199363A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3500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5AA2901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6AFA26B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7A54F8E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挥发分(Vad)</w:t>
                  </w:r>
                </w:p>
              </w:tc>
              <w:tc>
                <w:tcPr>
                  <w:tcW w:w="2190" w:type="dxa"/>
                  <w:shd w:val="clear" w:color="auto" w:fill="auto"/>
                  <w:vAlign w:val="center"/>
                </w:tcPr>
                <w:p w14:paraId="73068B7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5.79%</w:t>
                  </w:r>
                </w:p>
              </w:tc>
              <w:tc>
                <w:tcPr>
                  <w:tcW w:w="1653" w:type="dxa"/>
                  <w:vMerge w:val="continue"/>
                  <w:shd w:val="clear" w:color="auto" w:fill="auto"/>
                  <w:vAlign w:val="center"/>
                </w:tcPr>
                <w:p w14:paraId="71944B9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7553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00EC7C9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02E619F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64C9680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固定碳(Fcad)</w:t>
                  </w:r>
                </w:p>
              </w:tc>
              <w:tc>
                <w:tcPr>
                  <w:tcW w:w="2190" w:type="dxa"/>
                  <w:shd w:val="clear" w:color="auto" w:fill="auto"/>
                  <w:vAlign w:val="center"/>
                </w:tcPr>
                <w:p w14:paraId="2872917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83.39%</w:t>
                  </w:r>
                </w:p>
              </w:tc>
              <w:tc>
                <w:tcPr>
                  <w:tcW w:w="1653" w:type="dxa"/>
                  <w:vMerge w:val="restart"/>
                  <w:shd w:val="clear" w:color="auto" w:fill="auto"/>
                  <w:vAlign w:val="center"/>
                </w:tcPr>
                <w:p w14:paraId="7874CED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GB/T213-2008</w:t>
                  </w:r>
                </w:p>
                <w:p w14:paraId="41206BB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5103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62F81E2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516076A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3869006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空干基低位发热量(Qnet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ad)</w:t>
                  </w:r>
                </w:p>
              </w:tc>
              <w:tc>
                <w:tcPr>
                  <w:tcW w:w="2190" w:type="dxa"/>
                  <w:shd w:val="clear" w:color="auto" w:fill="auto"/>
                  <w:vAlign w:val="center"/>
                </w:tcPr>
                <w:p w14:paraId="253628F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7269</w:t>
                  </w:r>
                  <w:r>
                    <w:rPr>
                      <w:rFonts w:hint="default" w:ascii="Times New Roman" w:hAnsi="Times New Roman" w:cs="Times New Roman" w:eastAsiaTheme="minorEastAsia"/>
                      <w:b w:val="0"/>
                      <w:bCs w:val="0"/>
                      <w:color w:val="auto"/>
                      <w:sz w:val="21"/>
                      <w:szCs w:val="21"/>
                      <w:lang w:val="en-US" w:eastAsia="zh-CN"/>
                    </w:rPr>
                    <w:t>千卡/千克</w:t>
                  </w:r>
                </w:p>
                <w:p w14:paraId="21426D6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（30.40</w:t>
                  </w:r>
                  <w:r>
                    <w:rPr>
                      <w:rFonts w:hint="default" w:ascii="Times New Roman" w:hAnsi="Times New Roman" w:cs="Times New Roman" w:eastAsiaTheme="minorEastAsia"/>
                      <w:b w:val="0"/>
                      <w:bCs w:val="0"/>
                      <w:color w:val="auto"/>
                      <w:sz w:val="21"/>
                      <w:szCs w:val="21"/>
                      <w:lang w:val="en-US" w:eastAsia="zh-CN"/>
                    </w:rPr>
                    <w:t>兆焦/千克</w:t>
                  </w:r>
                  <w:r>
                    <w:rPr>
                      <w:rFonts w:hint="eastAsia" w:ascii="Times New Roman" w:hAnsi="Times New Roman" w:cs="Times New Roman" w:eastAsiaTheme="minorEastAsia"/>
                      <w:b w:val="0"/>
                      <w:bCs w:val="0"/>
                      <w:color w:val="auto"/>
                      <w:sz w:val="21"/>
                      <w:szCs w:val="21"/>
                      <w:lang w:val="en-US" w:eastAsia="zh-CN"/>
                    </w:rPr>
                    <w:t>）</w:t>
                  </w:r>
                </w:p>
              </w:tc>
              <w:tc>
                <w:tcPr>
                  <w:tcW w:w="1653" w:type="dxa"/>
                  <w:vMerge w:val="continue"/>
                  <w:shd w:val="clear" w:color="auto" w:fill="auto"/>
                  <w:vAlign w:val="center"/>
                </w:tcPr>
                <w:p w14:paraId="4802291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6177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1A83E94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570AB46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7AEDF40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收到基低位发热量(Qnet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ar)</w:t>
                  </w:r>
                </w:p>
              </w:tc>
              <w:tc>
                <w:tcPr>
                  <w:tcW w:w="2190" w:type="dxa"/>
                  <w:shd w:val="clear" w:color="auto" w:fill="auto"/>
                  <w:vAlign w:val="center"/>
                </w:tcPr>
                <w:p w14:paraId="1DC0E47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6503</w:t>
                  </w:r>
                  <w:r>
                    <w:rPr>
                      <w:rFonts w:hint="default" w:ascii="Times New Roman" w:hAnsi="Times New Roman" w:cs="Times New Roman" w:eastAsiaTheme="minorEastAsia"/>
                      <w:b w:val="0"/>
                      <w:bCs w:val="0"/>
                      <w:color w:val="auto"/>
                      <w:sz w:val="21"/>
                      <w:szCs w:val="21"/>
                      <w:lang w:val="en-US" w:eastAsia="zh-CN"/>
                    </w:rPr>
                    <w:t>千卡/千克</w:t>
                  </w:r>
                </w:p>
                <w:p w14:paraId="1FD67B5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（27.19</w:t>
                  </w:r>
                  <w:r>
                    <w:rPr>
                      <w:rFonts w:hint="default" w:ascii="Times New Roman" w:hAnsi="Times New Roman" w:cs="Times New Roman" w:eastAsiaTheme="minorEastAsia"/>
                      <w:b w:val="0"/>
                      <w:bCs w:val="0"/>
                      <w:color w:val="auto"/>
                      <w:sz w:val="21"/>
                      <w:szCs w:val="21"/>
                      <w:lang w:val="en-US" w:eastAsia="zh-CN"/>
                    </w:rPr>
                    <w:t>兆焦/千克</w:t>
                  </w:r>
                  <w:r>
                    <w:rPr>
                      <w:rFonts w:hint="eastAsia" w:ascii="Times New Roman" w:hAnsi="Times New Roman" w:cs="Times New Roman" w:eastAsiaTheme="minorEastAsia"/>
                      <w:b w:val="0"/>
                      <w:bCs w:val="0"/>
                      <w:color w:val="auto"/>
                      <w:sz w:val="21"/>
                      <w:szCs w:val="21"/>
                      <w:lang w:val="en-US" w:eastAsia="zh-CN"/>
                    </w:rPr>
                    <w:t>）</w:t>
                  </w:r>
                </w:p>
              </w:tc>
              <w:tc>
                <w:tcPr>
                  <w:tcW w:w="1653" w:type="dxa"/>
                  <w:vMerge w:val="continue"/>
                  <w:shd w:val="clear" w:color="auto" w:fill="auto"/>
                  <w:vAlign w:val="center"/>
                </w:tcPr>
                <w:p w14:paraId="2FCF699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p>
              </w:tc>
            </w:tr>
            <w:tr w14:paraId="4D7D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07701DF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343BBAA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473A0E3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全硫(St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ad)</w:t>
                  </w:r>
                </w:p>
              </w:tc>
              <w:tc>
                <w:tcPr>
                  <w:tcW w:w="2190" w:type="dxa"/>
                  <w:shd w:val="clear" w:color="auto" w:fill="auto"/>
                  <w:vAlign w:val="center"/>
                </w:tcPr>
                <w:p w14:paraId="2EC676F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0.40</w:t>
                  </w:r>
                  <w:r>
                    <w:rPr>
                      <w:rFonts w:hint="eastAsia" w:ascii="Times New Roman" w:hAnsi="Times New Roman" w:cs="Times New Roman" w:eastAsiaTheme="minorEastAsia"/>
                      <w:b w:val="0"/>
                      <w:bCs w:val="0"/>
                      <w:color w:val="auto"/>
                      <w:sz w:val="21"/>
                      <w:szCs w:val="21"/>
                      <w:lang w:val="en-US" w:eastAsia="zh-CN"/>
                    </w:rPr>
                    <w:t>%</w:t>
                  </w:r>
                </w:p>
              </w:tc>
              <w:tc>
                <w:tcPr>
                  <w:tcW w:w="1653" w:type="dxa"/>
                  <w:shd w:val="clear" w:color="auto" w:fill="auto"/>
                  <w:vAlign w:val="center"/>
                </w:tcPr>
                <w:p w14:paraId="5F7DE4F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GB/T214-2007</w:t>
                  </w:r>
                </w:p>
              </w:tc>
            </w:tr>
            <w:tr w14:paraId="1AD1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restart"/>
                  <w:vAlign w:val="center"/>
                </w:tcPr>
                <w:p w14:paraId="7839920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3</w:t>
                  </w:r>
                </w:p>
              </w:tc>
              <w:tc>
                <w:tcPr>
                  <w:tcW w:w="987" w:type="dxa"/>
                  <w:vMerge w:val="restart"/>
                  <w:vAlign w:val="center"/>
                </w:tcPr>
                <w:p w14:paraId="440EC8A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一号井精煤</w:t>
                  </w:r>
                </w:p>
              </w:tc>
              <w:tc>
                <w:tcPr>
                  <w:tcW w:w="2182" w:type="dxa"/>
                  <w:shd w:val="clear" w:color="auto" w:fill="auto"/>
                  <w:vAlign w:val="center"/>
                </w:tcPr>
                <w:p w14:paraId="7AF25E8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全水分(Mt)</w:t>
                  </w:r>
                </w:p>
              </w:tc>
              <w:tc>
                <w:tcPr>
                  <w:tcW w:w="2190" w:type="dxa"/>
                  <w:shd w:val="clear" w:color="auto" w:fill="auto"/>
                  <w:vAlign w:val="center"/>
                </w:tcPr>
                <w:p w14:paraId="07EC0B1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7.40%</w:t>
                  </w:r>
                </w:p>
              </w:tc>
              <w:tc>
                <w:tcPr>
                  <w:tcW w:w="1653" w:type="dxa"/>
                  <w:shd w:val="clear" w:color="auto" w:fill="auto"/>
                  <w:vAlign w:val="center"/>
                </w:tcPr>
                <w:p w14:paraId="7DEDE2A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GB/T211-2007</w:t>
                  </w:r>
                </w:p>
              </w:tc>
            </w:tr>
            <w:tr w14:paraId="3B54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3BF12DB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0DA5A90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082715A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内水分(Mad)</w:t>
                  </w:r>
                </w:p>
              </w:tc>
              <w:tc>
                <w:tcPr>
                  <w:tcW w:w="2190" w:type="dxa"/>
                  <w:shd w:val="clear" w:color="auto" w:fill="auto"/>
                  <w:vAlign w:val="center"/>
                </w:tcPr>
                <w:p w14:paraId="38EE889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0.60</w:t>
                  </w:r>
                  <w:r>
                    <w:rPr>
                      <w:rFonts w:hint="eastAsia" w:ascii="Times New Roman" w:hAnsi="Times New Roman" w:cs="Times New Roman" w:eastAsiaTheme="minorEastAsia"/>
                      <w:b w:val="0"/>
                      <w:bCs w:val="0"/>
                      <w:color w:val="auto"/>
                      <w:sz w:val="21"/>
                      <w:szCs w:val="21"/>
                      <w:lang w:val="en-US" w:eastAsia="zh-CN"/>
                    </w:rPr>
                    <w:t>%</w:t>
                  </w:r>
                </w:p>
              </w:tc>
              <w:tc>
                <w:tcPr>
                  <w:tcW w:w="1653" w:type="dxa"/>
                  <w:vMerge w:val="restart"/>
                  <w:shd w:val="clear" w:color="auto" w:fill="auto"/>
                  <w:vAlign w:val="center"/>
                </w:tcPr>
                <w:p w14:paraId="488AF33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7ACB115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37E1BC8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en-US"/>
                    </w:rPr>
                  </w:pPr>
                  <w:r>
                    <w:rPr>
                      <w:rFonts w:hint="default" w:ascii="Times New Roman" w:hAnsi="Times New Roman" w:cs="Times New Roman" w:eastAsiaTheme="minorEastAsia"/>
                      <w:b w:val="0"/>
                      <w:bCs w:val="0"/>
                      <w:color w:val="auto"/>
                      <w:sz w:val="21"/>
                      <w:szCs w:val="21"/>
                      <w:lang w:val="en-US" w:eastAsia="zh-CN"/>
                    </w:rPr>
                    <w:t>GB/T212-2008</w:t>
                  </w:r>
                </w:p>
                <w:p w14:paraId="5B28C03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p w14:paraId="041601B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21DB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4903BF14">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1109E97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42E01C6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灰分(Aad)</w:t>
                  </w:r>
                </w:p>
              </w:tc>
              <w:tc>
                <w:tcPr>
                  <w:tcW w:w="2190" w:type="dxa"/>
                  <w:shd w:val="clear" w:color="auto" w:fill="auto"/>
                  <w:vAlign w:val="center"/>
                </w:tcPr>
                <w:p w14:paraId="329AA8C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13.35%</w:t>
                  </w:r>
                </w:p>
              </w:tc>
              <w:tc>
                <w:tcPr>
                  <w:tcW w:w="1653" w:type="dxa"/>
                  <w:vMerge w:val="continue"/>
                  <w:shd w:val="clear" w:color="auto" w:fill="auto"/>
                  <w:vAlign w:val="center"/>
                </w:tcPr>
                <w:p w14:paraId="1D75392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5FFF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657030AA">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54868A1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389663B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挥发分(Vad)</w:t>
                  </w:r>
                </w:p>
              </w:tc>
              <w:tc>
                <w:tcPr>
                  <w:tcW w:w="2190" w:type="dxa"/>
                  <w:shd w:val="clear" w:color="auto" w:fill="auto"/>
                  <w:vAlign w:val="center"/>
                </w:tcPr>
                <w:p w14:paraId="58078E9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6.48%</w:t>
                  </w:r>
                </w:p>
              </w:tc>
              <w:tc>
                <w:tcPr>
                  <w:tcW w:w="1653" w:type="dxa"/>
                  <w:vMerge w:val="continue"/>
                  <w:shd w:val="clear" w:color="auto" w:fill="auto"/>
                  <w:vAlign w:val="center"/>
                </w:tcPr>
                <w:p w14:paraId="2D5EFE8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77FB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19A1B55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0EC6905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292DDB0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固定碳(Fcad)</w:t>
                  </w:r>
                </w:p>
              </w:tc>
              <w:tc>
                <w:tcPr>
                  <w:tcW w:w="2190" w:type="dxa"/>
                  <w:shd w:val="clear" w:color="auto" w:fill="auto"/>
                  <w:vAlign w:val="center"/>
                </w:tcPr>
                <w:p w14:paraId="5B8CAD4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79.57%</w:t>
                  </w:r>
                </w:p>
              </w:tc>
              <w:tc>
                <w:tcPr>
                  <w:tcW w:w="1653" w:type="dxa"/>
                  <w:vMerge w:val="restart"/>
                  <w:shd w:val="clear" w:color="auto" w:fill="auto"/>
                  <w:vAlign w:val="center"/>
                </w:tcPr>
                <w:p w14:paraId="73C10BF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GB/T213-2008</w:t>
                  </w:r>
                </w:p>
              </w:tc>
            </w:tr>
            <w:tr w14:paraId="5F78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1E6CCA9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62575D8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4472EA5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空干基低位发热量(Qnet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ad)</w:t>
                  </w:r>
                </w:p>
              </w:tc>
              <w:tc>
                <w:tcPr>
                  <w:tcW w:w="2190" w:type="dxa"/>
                  <w:shd w:val="clear" w:color="auto" w:fill="auto"/>
                  <w:vAlign w:val="center"/>
                </w:tcPr>
                <w:p w14:paraId="236E7BF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6965</w:t>
                  </w:r>
                  <w:r>
                    <w:rPr>
                      <w:rFonts w:hint="default" w:ascii="Times New Roman" w:hAnsi="Times New Roman" w:cs="Times New Roman" w:eastAsiaTheme="minorEastAsia"/>
                      <w:b w:val="0"/>
                      <w:bCs w:val="0"/>
                      <w:color w:val="auto"/>
                      <w:sz w:val="21"/>
                      <w:szCs w:val="21"/>
                      <w:lang w:val="en-US" w:eastAsia="zh-CN"/>
                    </w:rPr>
                    <w:t>千卡/千克</w:t>
                  </w:r>
                </w:p>
                <w:p w14:paraId="36563B25">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（29.22</w:t>
                  </w:r>
                  <w:r>
                    <w:rPr>
                      <w:rFonts w:hint="default" w:ascii="Times New Roman" w:hAnsi="Times New Roman" w:cs="Times New Roman" w:eastAsiaTheme="minorEastAsia"/>
                      <w:b w:val="0"/>
                      <w:bCs w:val="0"/>
                      <w:color w:val="auto"/>
                      <w:sz w:val="21"/>
                      <w:szCs w:val="21"/>
                      <w:lang w:val="en-US" w:eastAsia="zh-CN"/>
                    </w:rPr>
                    <w:t>兆焦/千克</w:t>
                  </w:r>
                  <w:r>
                    <w:rPr>
                      <w:rFonts w:hint="eastAsia" w:ascii="Times New Roman" w:hAnsi="Times New Roman" w:cs="Times New Roman" w:eastAsiaTheme="minorEastAsia"/>
                      <w:b w:val="0"/>
                      <w:bCs w:val="0"/>
                      <w:color w:val="auto"/>
                      <w:sz w:val="21"/>
                      <w:szCs w:val="21"/>
                      <w:lang w:val="en-US" w:eastAsia="zh-CN"/>
                    </w:rPr>
                    <w:t>）</w:t>
                  </w:r>
                </w:p>
              </w:tc>
              <w:tc>
                <w:tcPr>
                  <w:tcW w:w="1653" w:type="dxa"/>
                  <w:vMerge w:val="continue"/>
                  <w:shd w:val="clear" w:color="auto" w:fill="auto"/>
                  <w:vAlign w:val="center"/>
                </w:tcPr>
                <w:p w14:paraId="5626355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5715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2AE44A3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4618EEA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59AE9B0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收到基低位发热量(Qnet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ar)</w:t>
                  </w:r>
                </w:p>
              </w:tc>
              <w:tc>
                <w:tcPr>
                  <w:tcW w:w="2190" w:type="dxa"/>
                  <w:shd w:val="clear" w:color="auto" w:fill="auto"/>
                  <w:vAlign w:val="center"/>
                </w:tcPr>
                <w:p w14:paraId="14E8C24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6448</w:t>
                  </w:r>
                  <w:r>
                    <w:rPr>
                      <w:rFonts w:hint="default" w:ascii="Times New Roman" w:hAnsi="Times New Roman" w:cs="Times New Roman" w:eastAsiaTheme="minorEastAsia"/>
                      <w:b w:val="0"/>
                      <w:bCs w:val="0"/>
                      <w:color w:val="auto"/>
                      <w:sz w:val="21"/>
                      <w:szCs w:val="21"/>
                      <w:lang w:val="en-US" w:eastAsia="zh-CN"/>
                    </w:rPr>
                    <w:t>千卡/千克</w:t>
                  </w:r>
                </w:p>
                <w:p w14:paraId="67244D2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（27.05</w:t>
                  </w:r>
                  <w:r>
                    <w:rPr>
                      <w:rFonts w:hint="default" w:ascii="Times New Roman" w:hAnsi="Times New Roman" w:cs="Times New Roman" w:eastAsiaTheme="minorEastAsia"/>
                      <w:b w:val="0"/>
                      <w:bCs w:val="0"/>
                      <w:color w:val="auto"/>
                      <w:sz w:val="21"/>
                      <w:szCs w:val="21"/>
                      <w:lang w:val="en-US" w:eastAsia="zh-CN"/>
                    </w:rPr>
                    <w:t>兆焦/千克</w:t>
                  </w:r>
                  <w:r>
                    <w:rPr>
                      <w:rFonts w:hint="eastAsia" w:ascii="Times New Roman" w:hAnsi="Times New Roman" w:cs="Times New Roman" w:eastAsiaTheme="minorEastAsia"/>
                      <w:b w:val="0"/>
                      <w:bCs w:val="0"/>
                      <w:color w:val="auto"/>
                      <w:sz w:val="21"/>
                      <w:szCs w:val="21"/>
                      <w:lang w:val="en-US" w:eastAsia="zh-CN"/>
                    </w:rPr>
                    <w:t>）</w:t>
                  </w:r>
                </w:p>
              </w:tc>
              <w:tc>
                <w:tcPr>
                  <w:tcW w:w="1653" w:type="dxa"/>
                  <w:vMerge w:val="continue"/>
                  <w:shd w:val="clear" w:color="auto" w:fill="auto"/>
                  <w:vAlign w:val="center"/>
                </w:tcPr>
                <w:p w14:paraId="1BE8676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r>
            <w:tr w14:paraId="2BFE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9" w:type="dxa"/>
                  <w:vMerge w:val="continue"/>
                  <w:vAlign w:val="center"/>
                </w:tcPr>
                <w:p w14:paraId="1FB4698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987" w:type="dxa"/>
                  <w:vMerge w:val="continue"/>
                  <w:vAlign w:val="center"/>
                </w:tcPr>
                <w:p w14:paraId="1FE597A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sz w:val="21"/>
                      <w:szCs w:val="21"/>
                      <w:lang w:val="en-US" w:eastAsia="zh-CN"/>
                    </w:rPr>
                  </w:pPr>
                </w:p>
              </w:tc>
              <w:tc>
                <w:tcPr>
                  <w:tcW w:w="2182" w:type="dxa"/>
                  <w:shd w:val="clear" w:color="auto" w:fill="auto"/>
                  <w:vAlign w:val="center"/>
                </w:tcPr>
                <w:p w14:paraId="535310A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全硫(St</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ad)</w:t>
                  </w:r>
                </w:p>
              </w:tc>
              <w:tc>
                <w:tcPr>
                  <w:tcW w:w="2190" w:type="dxa"/>
                  <w:shd w:val="clear" w:color="auto" w:fill="auto"/>
                  <w:vAlign w:val="center"/>
                </w:tcPr>
                <w:p w14:paraId="033B244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0.</w:t>
                  </w:r>
                  <w:r>
                    <w:rPr>
                      <w:rFonts w:hint="eastAsia" w:ascii="Times New Roman" w:hAnsi="Times New Roman" w:cs="Times New Roman" w:eastAsiaTheme="minorEastAsia"/>
                      <w:b w:val="0"/>
                      <w:bCs w:val="0"/>
                      <w:color w:val="auto"/>
                      <w:sz w:val="21"/>
                      <w:szCs w:val="21"/>
                      <w:lang w:val="en-US" w:eastAsia="zh-CN"/>
                    </w:rPr>
                    <w:t>56%</w:t>
                  </w:r>
                </w:p>
              </w:tc>
              <w:tc>
                <w:tcPr>
                  <w:tcW w:w="1653" w:type="dxa"/>
                  <w:shd w:val="clear" w:color="auto" w:fill="auto"/>
                  <w:vAlign w:val="center"/>
                </w:tcPr>
                <w:p w14:paraId="20DC67B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GB/T214-2007</w:t>
                  </w:r>
                </w:p>
              </w:tc>
            </w:tr>
          </w:tbl>
          <w:p w14:paraId="7FB295EF">
            <w:pPr>
              <w:pStyle w:val="10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本项目煤炭产品执行《商品煤质量评价与控制技术指南》（GB/T 31356-2014）表5 冶金用煤质量控制指标与控制值，结合项目煤炭原料成分及生产工艺特点，具体达标分析如下：</w:t>
            </w:r>
          </w:p>
          <w:p w14:paraId="1EDE04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表2-</w:t>
            </w:r>
            <w:r>
              <w:rPr>
                <w:rFonts w:hint="eastAsia" w:ascii="Times New Roman" w:hAnsi="Times New Roman" w:eastAsia="宋体" w:cs="Times New Roman"/>
                <w:b/>
                <w:color w:val="auto"/>
                <w:kern w:val="0"/>
                <w:sz w:val="24"/>
                <w:szCs w:val="24"/>
                <w:lang w:val="en-US" w:eastAsia="zh-CN"/>
              </w:rPr>
              <w:t xml:space="preserve">5 </w:t>
            </w:r>
            <w:r>
              <w:rPr>
                <w:rFonts w:hint="eastAsia" w:ascii="Times New Roman" w:hAnsi="Times New Roman" w:eastAsia="宋体" w:cs="Times New Roman"/>
                <w:b/>
                <w:color w:val="auto"/>
                <w:kern w:val="0"/>
                <w:sz w:val="24"/>
                <w:szCs w:val="24"/>
              </w:rPr>
              <w:t>煤炭原料与</w:t>
            </w:r>
            <w:r>
              <w:rPr>
                <w:rFonts w:ascii="Times New Roman" w:hAnsi="Times New Roman" w:eastAsia="宋体" w:cs="Times New Roman"/>
                <w:b/>
                <w:color w:val="auto"/>
                <w:kern w:val="0"/>
                <w:sz w:val="24"/>
                <w:szCs w:val="24"/>
              </w:rPr>
              <w:t>冶金用煤质量控制指标</w:t>
            </w:r>
            <w:r>
              <w:rPr>
                <w:rFonts w:hint="eastAsia" w:ascii="Times New Roman" w:hAnsi="Times New Roman" w:eastAsia="宋体" w:cs="Times New Roman"/>
                <w:b/>
                <w:color w:val="auto"/>
                <w:kern w:val="0"/>
                <w:sz w:val="24"/>
                <w:szCs w:val="24"/>
              </w:rPr>
              <w:t>及</w:t>
            </w:r>
            <w:r>
              <w:rPr>
                <w:rFonts w:ascii="Times New Roman" w:hAnsi="Times New Roman" w:eastAsia="宋体" w:cs="Times New Roman"/>
                <w:b/>
                <w:color w:val="auto"/>
                <w:kern w:val="0"/>
                <w:sz w:val="24"/>
                <w:szCs w:val="24"/>
              </w:rPr>
              <w:t>控制值</w:t>
            </w:r>
            <w:r>
              <w:rPr>
                <w:rFonts w:hint="eastAsia" w:ascii="Times New Roman" w:hAnsi="Times New Roman" w:eastAsia="宋体" w:cs="Times New Roman"/>
                <w:b/>
                <w:color w:val="auto"/>
                <w:kern w:val="0"/>
                <w:sz w:val="24"/>
                <w:szCs w:val="24"/>
              </w:rPr>
              <w:t>达标分析</w:t>
            </w:r>
          </w:p>
          <w:tbl>
            <w:tblPr>
              <w:tblStyle w:val="28"/>
              <w:tblW w:w="79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
            <w:tblGrid>
              <w:gridCol w:w="1529"/>
              <w:gridCol w:w="795"/>
              <w:gridCol w:w="1680"/>
              <w:gridCol w:w="3109"/>
              <w:gridCol w:w="806"/>
            </w:tblGrid>
            <w:tr w14:paraId="026F9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90" w:hRule="atLeast"/>
                <w:jc w:val="center"/>
              </w:trPr>
              <w:tc>
                <w:tcPr>
                  <w:tcW w:w="1529" w:type="dxa"/>
                  <w:noWrap w:val="0"/>
                  <w:tcMar>
                    <w:top w:w="60" w:type="dxa"/>
                    <w:left w:w="120" w:type="dxa"/>
                    <w:bottom w:w="30" w:type="dxa"/>
                    <w:right w:w="120" w:type="dxa"/>
                  </w:tcMar>
                  <w:vAlign w:val="center"/>
                </w:tcPr>
                <w:p w14:paraId="220250D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控制指标</w:t>
                  </w:r>
                </w:p>
              </w:tc>
              <w:tc>
                <w:tcPr>
                  <w:tcW w:w="795" w:type="dxa"/>
                  <w:noWrap w:val="0"/>
                  <w:tcMar>
                    <w:top w:w="60" w:type="dxa"/>
                    <w:left w:w="120" w:type="dxa"/>
                    <w:bottom w:w="30" w:type="dxa"/>
                    <w:right w:w="120" w:type="dxa"/>
                  </w:tcMar>
                  <w:vAlign w:val="center"/>
                </w:tcPr>
                <w:p w14:paraId="5D72E7C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单位</w:t>
                  </w:r>
                </w:p>
              </w:tc>
              <w:tc>
                <w:tcPr>
                  <w:tcW w:w="1680" w:type="dxa"/>
                  <w:noWrap w:val="0"/>
                  <w:tcMar>
                    <w:top w:w="60" w:type="dxa"/>
                    <w:left w:w="120" w:type="dxa"/>
                    <w:bottom w:w="30" w:type="dxa"/>
                    <w:right w:w="120" w:type="dxa"/>
                  </w:tcMar>
                  <w:vAlign w:val="center"/>
                </w:tcPr>
                <w:p w14:paraId="0B8B3E0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标准要求（冶金用无烟煤）</w:t>
                  </w:r>
                </w:p>
              </w:tc>
              <w:tc>
                <w:tcPr>
                  <w:tcW w:w="3109" w:type="dxa"/>
                  <w:noWrap w:val="0"/>
                  <w:tcMar>
                    <w:top w:w="60" w:type="dxa"/>
                    <w:left w:w="120" w:type="dxa"/>
                    <w:bottom w:w="30" w:type="dxa"/>
                    <w:right w:w="120" w:type="dxa"/>
                  </w:tcMar>
                  <w:vAlign w:val="center"/>
                </w:tcPr>
                <w:p w14:paraId="08F6951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煤炭原料检测值</w:t>
                  </w:r>
                </w:p>
              </w:tc>
              <w:tc>
                <w:tcPr>
                  <w:tcW w:w="806" w:type="dxa"/>
                  <w:noWrap w:val="0"/>
                  <w:tcMar>
                    <w:top w:w="60" w:type="dxa"/>
                    <w:left w:w="120" w:type="dxa"/>
                    <w:bottom w:w="30" w:type="dxa"/>
                    <w:right w:w="120" w:type="dxa"/>
                  </w:tcMar>
                  <w:vAlign w:val="center"/>
                </w:tcPr>
                <w:p w14:paraId="2F4E8D3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达标情况</w:t>
                  </w:r>
                </w:p>
              </w:tc>
            </w:tr>
            <w:tr w14:paraId="3C82D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26" w:hRule="atLeast"/>
                <w:jc w:val="center"/>
              </w:trPr>
              <w:tc>
                <w:tcPr>
                  <w:tcW w:w="1529" w:type="dxa"/>
                  <w:noWrap w:val="0"/>
                  <w:tcMar>
                    <w:top w:w="60" w:type="dxa"/>
                    <w:left w:w="120" w:type="dxa"/>
                    <w:bottom w:w="30" w:type="dxa"/>
                    <w:right w:w="120" w:type="dxa"/>
                  </w:tcMar>
                  <w:vAlign w:val="center"/>
                </w:tcPr>
                <w:p w14:paraId="0870FEB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灰分（Ad）</w:t>
                  </w:r>
                </w:p>
              </w:tc>
              <w:tc>
                <w:tcPr>
                  <w:tcW w:w="795" w:type="dxa"/>
                  <w:noWrap w:val="0"/>
                  <w:tcMar>
                    <w:top w:w="60" w:type="dxa"/>
                    <w:left w:w="120" w:type="dxa"/>
                    <w:bottom w:w="30" w:type="dxa"/>
                    <w:right w:w="120" w:type="dxa"/>
                  </w:tcMar>
                  <w:vAlign w:val="center"/>
                </w:tcPr>
                <w:p w14:paraId="237DAE5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680" w:type="dxa"/>
                  <w:noWrap w:val="0"/>
                  <w:tcMar>
                    <w:top w:w="60" w:type="dxa"/>
                    <w:left w:w="120" w:type="dxa"/>
                    <w:bottom w:w="30" w:type="dxa"/>
                    <w:right w:w="120" w:type="dxa"/>
                  </w:tcMar>
                  <w:vAlign w:val="center"/>
                </w:tcPr>
                <w:p w14:paraId="103C477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≤12.50</w:t>
                  </w:r>
                  <w:r>
                    <w:rPr>
                      <w:rFonts w:hint="eastAsia" w:ascii="Times New Roman" w:hAnsi="Times New Roman" w:cs="Times New Roman" w:eastAsiaTheme="minorEastAsia"/>
                      <w:b w:val="0"/>
                      <w:bCs w:val="0"/>
                      <w:color w:val="auto"/>
                      <w:sz w:val="21"/>
                      <w:szCs w:val="21"/>
                      <w:vertAlign w:val="superscript"/>
                      <w:lang w:val="en-US" w:eastAsia="zh-CN"/>
                    </w:rPr>
                    <w:t>a</w:t>
                  </w:r>
                </w:p>
              </w:tc>
              <w:tc>
                <w:tcPr>
                  <w:tcW w:w="3109" w:type="dxa"/>
                  <w:noWrap w:val="0"/>
                  <w:tcMar>
                    <w:top w:w="60" w:type="dxa"/>
                    <w:left w:w="120" w:type="dxa"/>
                    <w:bottom w:w="30" w:type="dxa"/>
                    <w:right w:w="120" w:type="dxa"/>
                  </w:tcMar>
                  <w:vAlign w:val="center"/>
                </w:tcPr>
                <w:p w14:paraId="77B8A0D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10.22%、15.05%、13.35%（Aad），配煤混合后，</w:t>
                  </w:r>
                  <w:r>
                    <w:rPr>
                      <w:rFonts w:hint="eastAsia" w:cs="Times New Roman" w:eastAsiaTheme="minorEastAsia"/>
                      <w:b w:val="0"/>
                      <w:bCs w:val="0"/>
                      <w:color w:val="auto"/>
                      <w:sz w:val="21"/>
                      <w:szCs w:val="21"/>
                      <w:lang w:val="en-US" w:eastAsia="zh-CN"/>
                    </w:rPr>
                    <w:t>经煤质检测结果后，</w:t>
                  </w:r>
                  <w:r>
                    <w:rPr>
                      <w:rFonts w:hint="eastAsia" w:ascii="Times New Roman" w:hAnsi="Times New Roman" w:cs="Times New Roman" w:eastAsiaTheme="minorEastAsia"/>
                      <w:b w:val="0"/>
                      <w:bCs w:val="0"/>
                      <w:color w:val="auto"/>
                      <w:sz w:val="21"/>
                      <w:szCs w:val="21"/>
                      <w:lang w:val="en-US" w:eastAsia="zh-CN"/>
                    </w:rPr>
                    <w:t>应满足标准要求</w:t>
                  </w:r>
                </w:p>
              </w:tc>
              <w:tc>
                <w:tcPr>
                  <w:tcW w:w="806" w:type="dxa"/>
                  <w:noWrap w:val="0"/>
                  <w:tcMar>
                    <w:top w:w="60" w:type="dxa"/>
                    <w:left w:w="120" w:type="dxa"/>
                    <w:bottom w:w="30" w:type="dxa"/>
                    <w:right w:w="120" w:type="dxa"/>
                  </w:tcMar>
                  <w:vAlign w:val="center"/>
                </w:tcPr>
                <w:p w14:paraId="4C04683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满足</w:t>
                  </w:r>
                </w:p>
              </w:tc>
            </w:tr>
            <w:tr w14:paraId="7F95E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90" w:hRule="atLeast"/>
                <w:jc w:val="center"/>
              </w:trPr>
              <w:tc>
                <w:tcPr>
                  <w:tcW w:w="1529" w:type="dxa"/>
                  <w:noWrap w:val="0"/>
                  <w:tcMar>
                    <w:top w:w="60" w:type="dxa"/>
                    <w:left w:w="120" w:type="dxa"/>
                    <w:bottom w:w="30" w:type="dxa"/>
                    <w:right w:w="120" w:type="dxa"/>
                  </w:tcMar>
                  <w:vAlign w:val="center"/>
                </w:tcPr>
                <w:p w14:paraId="0B97722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全硫（St，d）</w:t>
                  </w:r>
                </w:p>
              </w:tc>
              <w:tc>
                <w:tcPr>
                  <w:tcW w:w="795" w:type="dxa"/>
                  <w:noWrap w:val="0"/>
                  <w:tcMar>
                    <w:top w:w="60" w:type="dxa"/>
                    <w:left w:w="120" w:type="dxa"/>
                    <w:bottom w:w="30" w:type="dxa"/>
                    <w:right w:w="120" w:type="dxa"/>
                  </w:tcMar>
                  <w:vAlign w:val="center"/>
                </w:tcPr>
                <w:p w14:paraId="6264A88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680" w:type="dxa"/>
                  <w:noWrap w:val="0"/>
                  <w:tcMar>
                    <w:top w:w="60" w:type="dxa"/>
                    <w:left w:w="120" w:type="dxa"/>
                    <w:bottom w:w="30" w:type="dxa"/>
                    <w:right w:w="120" w:type="dxa"/>
                  </w:tcMar>
                  <w:vAlign w:val="center"/>
                </w:tcPr>
                <w:p w14:paraId="3795174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≤1.50</w:t>
                  </w:r>
                  <w:r>
                    <w:rPr>
                      <w:rFonts w:hint="eastAsia" w:ascii="Times New Roman" w:hAnsi="Times New Roman" w:cs="Times New Roman" w:eastAsiaTheme="minorEastAsia"/>
                      <w:b w:val="0"/>
                      <w:bCs w:val="0"/>
                      <w:color w:val="auto"/>
                      <w:sz w:val="21"/>
                      <w:szCs w:val="21"/>
                      <w:vertAlign w:val="superscript"/>
                      <w:lang w:val="en-US" w:eastAsia="zh-CN"/>
                    </w:rPr>
                    <w:t>b</w:t>
                  </w:r>
                </w:p>
              </w:tc>
              <w:tc>
                <w:tcPr>
                  <w:tcW w:w="3109" w:type="dxa"/>
                  <w:noWrap w:val="0"/>
                  <w:tcMar>
                    <w:top w:w="60" w:type="dxa"/>
                    <w:left w:w="120" w:type="dxa"/>
                    <w:bottom w:w="30" w:type="dxa"/>
                    <w:right w:w="120" w:type="dxa"/>
                  </w:tcMar>
                  <w:vAlign w:val="center"/>
                </w:tcPr>
                <w:p w14:paraId="5586511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0.40</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lang w:val="en-US" w:eastAsia="zh-CN"/>
                    </w:rPr>
                    <w:t>0.</w:t>
                  </w:r>
                  <w:r>
                    <w:rPr>
                      <w:rFonts w:hint="eastAsia" w:ascii="Times New Roman" w:hAnsi="Times New Roman" w:cs="Times New Roman" w:eastAsiaTheme="minorEastAsia"/>
                      <w:b w:val="0"/>
                      <w:bCs w:val="0"/>
                      <w:color w:val="auto"/>
                      <w:sz w:val="21"/>
                      <w:szCs w:val="21"/>
                      <w:lang w:val="en-US" w:eastAsia="zh-CN"/>
                    </w:rPr>
                    <w:t>56%（St）</w:t>
                  </w:r>
                </w:p>
              </w:tc>
              <w:tc>
                <w:tcPr>
                  <w:tcW w:w="806" w:type="dxa"/>
                  <w:noWrap w:val="0"/>
                  <w:tcMar>
                    <w:top w:w="60" w:type="dxa"/>
                    <w:left w:w="120" w:type="dxa"/>
                    <w:bottom w:w="30" w:type="dxa"/>
                    <w:right w:w="120" w:type="dxa"/>
                  </w:tcMar>
                  <w:vAlign w:val="center"/>
                </w:tcPr>
                <w:p w14:paraId="134445E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满足</w:t>
                  </w:r>
                </w:p>
              </w:tc>
            </w:tr>
            <w:tr w14:paraId="6DA17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90" w:hRule="atLeast"/>
                <w:jc w:val="center"/>
              </w:trPr>
              <w:tc>
                <w:tcPr>
                  <w:tcW w:w="1529" w:type="dxa"/>
                  <w:noWrap w:val="0"/>
                  <w:tcMar>
                    <w:top w:w="60" w:type="dxa"/>
                    <w:left w:w="120" w:type="dxa"/>
                    <w:bottom w:w="30" w:type="dxa"/>
                    <w:right w:w="120" w:type="dxa"/>
                  </w:tcMar>
                  <w:vAlign w:val="center"/>
                </w:tcPr>
                <w:p w14:paraId="55D4B7A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磷含量（Pd）</w:t>
                  </w:r>
                </w:p>
              </w:tc>
              <w:tc>
                <w:tcPr>
                  <w:tcW w:w="795" w:type="dxa"/>
                  <w:noWrap w:val="0"/>
                  <w:tcMar>
                    <w:top w:w="60" w:type="dxa"/>
                    <w:left w:w="120" w:type="dxa"/>
                    <w:bottom w:w="30" w:type="dxa"/>
                    <w:right w:w="120" w:type="dxa"/>
                  </w:tcMar>
                  <w:vAlign w:val="center"/>
                </w:tcPr>
                <w:p w14:paraId="111A2E2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680" w:type="dxa"/>
                  <w:noWrap w:val="0"/>
                  <w:tcMar>
                    <w:top w:w="60" w:type="dxa"/>
                    <w:left w:w="120" w:type="dxa"/>
                    <w:bottom w:w="30" w:type="dxa"/>
                    <w:right w:w="120" w:type="dxa"/>
                  </w:tcMar>
                  <w:vAlign w:val="center"/>
                </w:tcPr>
                <w:p w14:paraId="1967260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≤0.100</w:t>
                  </w:r>
                </w:p>
              </w:tc>
              <w:tc>
                <w:tcPr>
                  <w:tcW w:w="3109" w:type="dxa"/>
                  <w:vMerge w:val="restart"/>
                  <w:noWrap w:val="0"/>
                  <w:tcMar>
                    <w:top w:w="60" w:type="dxa"/>
                    <w:left w:w="120" w:type="dxa"/>
                    <w:bottom w:w="30" w:type="dxa"/>
                    <w:right w:w="120" w:type="dxa"/>
                  </w:tcMar>
                  <w:vAlign w:val="center"/>
                </w:tcPr>
                <w:p w14:paraId="0736957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/（原料未检测，但产品仅配比混合，无新增污染）</w:t>
                  </w:r>
                </w:p>
                <w:p w14:paraId="78C8CFC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p>
              </w:tc>
              <w:tc>
                <w:tcPr>
                  <w:tcW w:w="806" w:type="dxa"/>
                  <w:noWrap w:val="0"/>
                  <w:tcMar>
                    <w:top w:w="60" w:type="dxa"/>
                    <w:left w:w="120" w:type="dxa"/>
                    <w:bottom w:w="30" w:type="dxa"/>
                    <w:right w:w="120" w:type="dxa"/>
                  </w:tcMar>
                  <w:vAlign w:val="center"/>
                </w:tcPr>
                <w:p w14:paraId="5AD07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r>
            <w:tr w14:paraId="08054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90" w:hRule="atLeast"/>
                <w:jc w:val="center"/>
              </w:trPr>
              <w:tc>
                <w:tcPr>
                  <w:tcW w:w="1529" w:type="dxa"/>
                  <w:noWrap w:val="0"/>
                  <w:tcMar>
                    <w:top w:w="60" w:type="dxa"/>
                    <w:left w:w="120" w:type="dxa"/>
                    <w:bottom w:w="30" w:type="dxa"/>
                    <w:right w:w="120" w:type="dxa"/>
                  </w:tcMar>
                  <w:vAlign w:val="center"/>
                </w:tcPr>
                <w:p w14:paraId="5ABF78A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氯含量（Cld）</w:t>
                  </w:r>
                </w:p>
              </w:tc>
              <w:tc>
                <w:tcPr>
                  <w:tcW w:w="795" w:type="dxa"/>
                  <w:noWrap w:val="0"/>
                  <w:tcMar>
                    <w:top w:w="60" w:type="dxa"/>
                    <w:left w:w="120" w:type="dxa"/>
                    <w:bottom w:w="30" w:type="dxa"/>
                    <w:right w:w="120" w:type="dxa"/>
                  </w:tcMar>
                  <w:vAlign w:val="center"/>
                </w:tcPr>
                <w:p w14:paraId="7D43B76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680" w:type="dxa"/>
                  <w:noWrap w:val="0"/>
                  <w:tcMar>
                    <w:top w:w="60" w:type="dxa"/>
                    <w:left w:w="120" w:type="dxa"/>
                    <w:bottom w:w="30" w:type="dxa"/>
                    <w:right w:w="120" w:type="dxa"/>
                  </w:tcMar>
                  <w:vAlign w:val="center"/>
                </w:tcPr>
                <w:p w14:paraId="006099B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≤0.150</w:t>
                  </w:r>
                </w:p>
              </w:tc>
              <w:tc>
                <w:tcPr>
                  <w:tcW w:w="3109" w:type="dxa"/>
                  <w:vMerge w:val="continue"/>
                  <w:noWrap w:val="0"/>
                  <w:tcMar>
                    <w:top w:w="60" w:type="dxa"/>
                    <w:left w:w="120" w:type="dxa"/>
                    <w:bottom w:w="30" w:type="dxa"/>
                    <w:right w:w="120" w:type="dxa"/>
                  </w:tcMar>
                  <w:vAlign w:val="center"/>
                </w:tcPr>
                <w:p w14:paraId="7184884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p>
              </w:tc>
              <w:tc>
                <w:tcPr>
                  <w:tcW w:w="806" w:type="dxa"/>
                  <w:noWrap w:val="0"/>
                  <w:tcMar>
                    <w:top w:w="60" w:type="dxa"/>
                    <w:left w:w="120" w:type="dxa"/>
                    <w:bottom w:w="30" w:type="dxa"/>
                    <w:right w:w="120" w:type="dxa"/>
                  </w:tcMar>
                  <w:vAlign w:val="center"/>
                </w:tcPr>
                <w:p w14:paraId="17FFE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r>
            <w:tr w14:paraId="492AE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90" w:hRule="atLeast"/>
                <w:jc w:val="center"/>
              </w:trPr>
              <w:tc>
                <w:tcPr>
                  <w:tcW w:w="1529" w:type="dxa"/>
                  <w:noWrap w:val="0"/>
                  <w:tcMar>
                    <w:top w:w="60" w:type="dxa"/>
                    <w:left w:w="120" w:type="dxa"/>
                    <w:bottom w:w="30" w:type="dxa"/>
                    <w:right w:w="120" w:type="dxa"/>
                  </w:tcMar>
                  <w:vAlign w:val="center"/>
                </w:tcPr>
                <w:p w14:paraId="4467334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砷含量（Asd）</w:t>
                  </w:r>
                </w:p>
              </w:tc>
              <w:tc>
                <w:tcPr>
                  <w:tcW w:w="795" w:type="dxa"/>
                  <w:noWrap w:val="0"/>
                  <w:tcMar>
                    <w:top w:w="60" w:type="dxa"/>
                    <w:left w:w="120" w:type="dxa"/>
                    <w:bottom w:w="30" w:type="dxa"/>
                    <w:right w:w="120" w:type="dxa"/>
                  </w:tcMar>
                  <w:vAlign w:val="center"/>
                </w:tcPr>
                <w:p w14:paraId="37364CA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ug/g</w:t>
                  </w:r>
                </w:p>
              </w:tc>
              <w:tc>
                <w:tcPr>
                  <w:tcW w:w="1680" w:type="dxa"/>
                  <w:noWrap w:val="0"/>
                  <w:tcMar>
                    <w:top w:w="60" w:type="dxa"/>
                    <w:left w:w="120" w:type="dxa"/>
                    <w:bottom w:w="30" w:type="dxa"/>
                    <w:right w:w="120" w:type="dxa"/>
                  </w:tcMar>
                  <w:vAlign w:val="center"/>
                </w:tcPr>
                <w:p w14:paraId="289C6D9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≤20</w:t>
                  </w:r>
                </w:p>
              </w:tc>
              <w:tc>
                <w:tcPr>
                  <w:tcW w:w="3109" w:type="dxa"/>
                  <w:vMerge w:val="continue"/>
                  <w:noWrap w:val="0"/>
                  <w:tcMar>
                    <w:top w:w="60" w:type="dxa"/>
                    <w:left w:w="120" w:type="dxa"/>
                    <w:bottom w:w="30" w:type="dxa"/>
                    <w:right w:w="120" w:type="dxa"/>
                  </w:tcMar>
                  <w:vAlign w:val="center"/>
                </w:tcPr>
                <w:p w14:paraId="3A8D333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p>
              </w:tc>
              <w:tc>
                <w:tcPr>
                  <w:tcW w:w="806" w:type="dxa"/>
                  <w:noWrap w:val="0"/>
                  <w:tcMar>
                    <w:top w:w="60" w:type="dxa"/>
                    <w:left w:w="120" w:type="dxa"/>
                    <w:bottom w:w="30" w:type="dxa"/>
                    <w:right w:w="120" w:type="dxa"/>
                  </w:tcMar>
                  <w:vAlign w:val="center"/>
                </w:tcPr>
                <w:p w14:paraId="26E3A0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r>
            <w:tr w14:paraId="2E2AE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90" w:hRule="atLeast"/>
                <w:jc w:val="center"/>
              </w:trPr>
              <w:tc>
                <w:tcPr>
                  <w:tcW w:w="1529" w:type="dxa"/>
                  <w:noWrap w:val="0"/>
                  <w:tcMar>
                    <w:top w:w="60" w:type="dxa"/>
                    <w:left w:w="120" w:type="dxa"/>
                    <w:bottom w:w="30" w:type="dxa"/>
                    <w:right w:w="120" w:type="dxa"/>
                  </w:tcMar>
                  <w:vAlign w:val="center"/>
                </w:tcPr>
                <w:p w14:paraId="7923FE8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汞含量（Hgd）</w:t>
                  </w:r>
                </w:p>
              </w:tc>
              <w:tc>
                <w:tcPr>
                  <w:tcW w:w="795" w:type="dxa"/>
                  <w:noWrap w:val="0"/>
                  <w:tcMar>
                    <w:top w:w="60" w:type="dxa"/>
                    <w:left w:w="120" w:type="dxa"/>
                    <w:bottom w:w="30" w:type="dxa"/>
                    <w:right w:w="120" w:type="dxa"/>
                  </w:tcMar>
                  <w:vAlign w:val="center"/>
                </w:tcPr>
                <w:p w14:paraId="5235606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ug/g</w:t>
                  </w:r>
                </w:p>
              </w:tc>
              <w:tc>
                <w:tcPr>
                  <w:tcW w:w="1680" w:type="dxa"/>
                  <w:noWrap w:val="0"/>
                  <w:tcMar>
                    <w:top w:w="60" w:type="dxa"/>
                    <w:left w:w="120" w:type="dxa"/>
                    <w:bottom w:w="30" w:type="dxa"/>
                    <w:right w:w="120" w:type="dxa"/>
                  </w:tcMar>
                  <w:vAlign w:val="center"/>
                </w:tcPr>
                <w:p w14:paraId="3D02B4D7">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≤0.250</w:t>
                  </w:r>
                </w:p>
              </w:tc>
              <w:tc>
                <w:tcPr>
                  <w:tcW w:w="3109" w:type="dxa"/>
                  <w:vMerge w:val="continue"/>
                  <w:noWrap w:val="0"/>
                  <w:tcMar>
                    <w:top w:w="60" w:type="dxa"/>
                    <w:left w:w="120" w:type="dxa"/>
                    <w:bottom w:w="30" w:type="dxa"/>
                    <w:right w:w="120" w:type="dxa"/>
                  </w:tcMar>
                  <w:vAlign w:val="center"/>
                </w:tcPr>
                <w:p w14:paraId="0645F54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p>
              </w:tc>
              <w:tc>
                <w:tcPr>
                  <w:tcW w:w="806" w:type="dxa"/>
                  <w:noWrap w:val="0"/>
                  <w:tcMar>
                    <w:top w:w="60" w:type="dxa"/>
                    <w:left w:w="120" w:type="dxa"/>
                    <w:bottom w:w="30" w:type="dxa"/>
                    <w:right w:w="120" w:type="dxa"/>
                  </w:tcMar>
                  <w:vAlign w:val="center"/>
                </w:tcPr>
                <w:p w14:paraId="0A84F0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r>
            <w:tr w14:paraId="51E0F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90" w:hRule="atLeast"/>
                <w:jc w:val="center"/>
              </w:trPr>
              <w:tc>
                <w:tcPr>
                  <w:tcW w:w="1529" w:type="dxa"/>
                  <w:noWrap w:val="0"/>
                  <w:tcMar>
                    <w:top w:w="60" w:type="dxa"/>
                    <w:left w:w="120" w:type="dxa"/>
                    <w:bottom w:w="30" w:type="dxa"/>
                    <w:right w:w="120" w:type="dxa"/>
                  </w:tcMar>
                  <w:vAlign w:val="center"/>
                </w:tcPr>
                <w:p w14:paraId="1FE8257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钾和钠总量</w:t>
                  </w:r>
                </w:p>
              </w:tc>
              <w:tc>
                <w:tcPr>
                  <w:tcW w:w="795" w:type="dxa"/>
                  <w:noWrap w:val="0"/>
                  <w:tcMar>
                    <w:top w:w="60" w:type="dxa"/>
                    <w:left w:w="120" w:type="dxa"/>
                    <w:bottom w:w="30" w:type="dxa"/>
                    <w:right w:w="120" w:type="dxa"/>
                  </w:tcMar>
                  <w:vAlign w:val="center"/>
                </w:tcPr>
                <w:p w14:paraId="58E2F1E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c>
                <w:tcPr>
                  <w:tcW w:w="1680" w:type="dxa"/>
                  <w:noWrap w:val="0"/>
                  <w:tcMar>
                    <w:top w:w="60" w:type="dxa"/>
                    <w:left w:w="120" w:type="dxa"/>
                    <w:bottom w:w="30" w:type="dxa"/>
                    <w:right w:w="120" w:type="dxa"/>
                  </w:tcMar>
                  <w:vAlign w:val="center"/>
                </w:tcPr>
                <w:p w14:paraId="585CB6AD">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≤0.25</w:t>
                  </w:r>
                </w:p>
              </w:tc>
              <w:tc>
                <w:tcPr>
                  <w:tcW w:w="3109" w:type="dxa"/>
                  <w:vMerge w:val="continue"/>
                  <w:noWrap w:val="0"/>
                  <w:tcMar>
                    <w:top w:w="60" w:type="dxa"/>
                    <w:left w:w="120" w:type="dxa"/>
                    <w:bottom w:w="30" w:type="dxa"/>
                    <w:right w:w="120" w:type="dxa"/>
                  </w:tcMar>
                  <w:vAlign w:val="center"/>
                </w:tcPr>
                <w:p w14:paraId="20FF711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p>
              </w:tc>
              <w:tc>
                <w:tcPr>
                  <w:tcW w:w="806" w:type="dxa"/>
                  <w:noWrap w:val="0"/>
                  <w:tcMar>
                    <w:top w:w="60" w:type="dxa"/>
                    <w:left w:w="120" w:type="dxa"/>
                    <w:bottom w:w="30" w:type="dxa"/>
                    <w:right w:w="120" w:type="dxa"/>
                  </w:tcMar>
                  <w:vAlign w:val="center"/>
                </w:tcPr>
                <w:p w14:paraId="6E6C6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w:t>
                  </w:r>
                </w:p>
              </w:tc>
            </w:tr>
            <w:tr w14:paraId="4A727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831" w:hRule="atLeast"/>
                <w:jc w:val="center"/>
              </w:trPr>
              <w:tc>
                <w:tcPr>
                  <w:tcW w:w="7919" w:type="dxa"/>
                  <w:gridSpan w:val="5"/>
                  <w:noWrap w:val="0"/>
                  <w:tcMar>
                    <w:top w:w="60" w:type="dxa"/>
                    <w:left w:w="120" w:type="dxa"/>
                    <w:bottom w:w="30" w:type="dxa"/>
                    <w:right w:w="120" w:type="dxa"/>
                  </w:tcMar>
                  <w:vAlign w:val="center"/>
                </w:tcPr>
                <w:p w14:paraId="65E90CE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a  炼焦用肥煤、焦煤、瘦煤以及用于喷吹的无烟煤，其灰分控制要求为：Ad≤14.00%。肥煤、焦煤、瘦煤及无烟煤的煤类判别按GB/T 5751执行。</w:t>
                  </w:r>
                </w:p>
                <w:p w14:paraId="077BA9F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b  炼焦用肥煤、焦煤、瘦煤的干基全硫控制要求为：St，d≤2.50%</w:t>
                  </w:r>
                </w:p>
              </w:tc>
            </w:tr>
          </w:tbl>
          <w:p w14:paraId="0E4E0CA4">
            <w:pPr>
              <w:pStyle w:val="10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由上表对比可知，项目煤炭原料核心控制指标（灰分、全硫</w:t>
            </w:r>
            <w:r>
              <w:rPr>
                <w:rFonts w:hint="eastAsia" w:ascii="Times New Roman" w:hAnsi="Times New Roman" w:eastAsia="宋体" w:cs="Times New Roman"/>
                <w:color w:val="auto"/>
                <w:kern w:val="2"/>
                <w:sz w:val="24"/>
                <w:szCs w:val="24"/>
                <w:lang w:val="en-US" w:eastAsia="zh-CN" w:bidi="ar-SA"/>
              </w:rPr>
              <w:t>）满足</w:t>
            </w:r>
            <w:r>
              <w:rPr>
                <w:rFonts w:hint="default" w:ascii="Times New Roman" w:hAnsi="Times New Roman" w:eastAsia="宋体" w:cs="Times New Roman"/>
                <w:color w:val="auto"/>
                <w:kern w:val="2"/>
                <w:sz w:val="24"/>
                <w:szCs w:val="24"/>
                <w:lang w:val="en-US" w:eastAsia="zh-CN" w:bidi="ar-SA"/>
              </w:rPr>
              <w:t>《商品煤质量评价与控制技术指南》（GB/T 31356-2014）中冶金用无烟煤的质量要求；项目生产过程仅根据客户需求对不同等级煤炭进行配比混合，不涉及水洗等可能改变原料成分的加工环节，原料中无磷、氯、砷、汞、钾钠总量</w:t>
            </w:r>
            <w:r>
              <w:rPr>
                <w:rFonts w:hint="eastAsia" w:ascii="Times New Roman" w:hAnsi="Times New Roman" w:eastAsia="宋体" w:cs="Times New Roman"/>
                <w:color w:val="auto"/>
                <w:kern w:val="2"/>
                <w:sz w:val="24"/>
                <w:szCs w:val="24"/>
                <w:lang w:val="en-US" w:eastAsia="zh-CN" w:bidi="ar-SA"/>
              </w:rPr>
              <w:t>等</w:t>
            </w:r>
            <w:r>
              <w:rPr>
                <w:rFonts w:hint="default" w:ascii="Times New Roman" w:hAnsi="Times New Roman" w:eastAsia="宋体" w:cs="Times New Roman"/>
                <w:color w:val="auto"/>
                <w:kern w:val="2"/>
                <w:sz w:val="24"/>
                <w:szCs w:val="24"/>
                <w:lang w:val="en-US" w:eastAsia="zh-CN" w:bidi="ar-SA"/>
              </w:rPr>
              <w:t>污染物新增或富集的途径，因此最终煤炭产品可满足上述标准中各项技术指标要求</w:t>
            </w:r>
            <w:r>
              <w:rPr>
                <w:rFonts w:hint="eastAsia" w:ascii="Times New Roman" w:hAnsi="Times New Roman" w:eastAsia="宋体" w:cs="Times New Roman"/>
                <w:color w:val="auto"/>
                <w:kern w:val="2"/>
                <w:sz w:val="24"/>
                <w:szCs w:val="24"/>
                <w:lang w:val="en-US" w:eastAsia="zh-CN" w:bidi="ar-SA"/>
              </w:rPr>
              <w:t>。</w:t>
            </w:r>
          </w:p>
          <w:p w14:paraId="51F667CC">
            <w:pPr>
              <w:keepNext w:val="0"/>
              <w:keepLines w:val="0"/>
              <w:pageBreakBefore w:val="0"/>
              <w:widowControl w:val="0"/>
              <w:kinsoku/>
              <w:wordWrap/>
              <w:overflowPunct/>
              <w:topLinePunct w:val="0"/>
              <w:autoSpaceDE/>
              <w:autoSpaceDN/>
              <w:bidi w:val="0"/>
              <w:adjustRightInd/>
              <w:snapToGrid/>
              <w:ind w:firstLine="480"/>
              <w:textAlignment w:val="auto"/>
              <w:rPr>
                <w:rFonts w:hint="eastAsia" w:cs="Times New Roman"/>
                <w:b/>
                <w:bCs/>
                <w:color w:val="auto"/>
                <w:lang w:eastAsia="zh-CN"/>
              </w:rPr>
            </w:pPr>
            <w:r>
              <w:rPr>
                <w:rFonts w:hint="eastAsia" w:cs="Times New Roman"/>
                <w:b/>
                <w:bCs/>
                <w:color w:val="auto"/>
                <w:lang w:eastAsia="zh-CN"/>
              </w:rPr>
              <w:t>（</w:t>
            </w:r>
            <w:r>
              <w:rPr>
                <w:rFonts w:hint="eastAsia" w:cs="Times New Roman"/>
                <w:b/>
                <w:bCs/>
                <w:color w:val="auto"/>
                <w:lang w:val="en-US" w:eastAsia="zh-CN"/>
              </w:rPr>
              <w:t>2</w:t>
            </w:r>
            <w:r>
              <w:rPr>
                <w:rFonts w:hint="eastAsia" w:cs="Times New Roman"/>
                <w:b/>
                <w:bCs/>
                <w:color w:val="auto"/>
                <w:lang w:eastAsia="zh-CN"/>
              </w:rPr>
              <w:t>）主要能耗</w:t>
            </w:r>
          </w:p>
          <w:p w14:paraId="63922B2A">
            <w:pPr>
              <w:pStyle w:val="10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项目原辅料及能源情况详见下表。</w:t>
            </w:r>
          </w:p>
          <w:p w14:paraId="000B025F">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32"/>
                <w:lang w:eastAsia="zh-CN"/>
              </w:rPr>
            </w:pPr>
            <w:r>
              <w:rPr>
                <w:rFonts w:hint="default" w:ascii="Times New Roman" w:hAnsi="Times New Roman" w:cs="Times New Roman"/>
                <w:color w:val="auto"/>
                <w:sz w:val="24"/>
                <w:szCs w:val="32"/>
              </w:rPr>
              <w:t>表2-</w:t>
            </w:r>
            <w:r>
              <w:rPr>
                <w:rFonts w:hint="eastAsia" w:cs="Times New Roman"/>
                <w:color w:val="auto"/>
                <w:sz w:val="24"/>
                <w:szCs w:val="32"/>
                <w:lang w:val="en-US" w:eastAsia="zh-CN"/>
              </w:rPr>
              <w:t>6</w:t>
            </w:r>
            <w:r>
              <w:rPr>
                <w:rFonts w:hint="default" w:ascii="Times New Roman" w:hAnsi="Times New Roman" w:cs="Times New Roman"/>
                <w:color w:val="auto"/>
                <w:sz w:val="24"/>
                <w:szCs w:val="32"/>
              </w:rPr>
              <w:t xml:space="preserve"> 主要原辅材料一览表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52"/>
              <w:gridCol w:w="815"/>
              <w:gridCol w:w="1424"/>
              <w:gridCol w:w="975"/>
              <w:gridCol w:w="767"/>
              <w:gridCol w:w="855"/>
              <w:gridCol w:w="1355"/>
            </w:tblGrid>
            <w:tr w14:paraId="6936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79" w:type="pct"/>
                  <w:vAlign w:val="center"/>
                </w:tcPr>
                <w:p w14:paraId="28E9B6C9">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序号</w:t>
                  </w:r>
                </w:p>
              </w:tc>
              <w:tc>
                <w:tcPr>
                  <w:tcW w:w="671" w:type="pct"/>
                  <w:vAlign w:val="center"/>
                </w:tcPr>
                <w:p w14:paraId="4E89B3BC">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名称</w:t>
                  </w:r>
                </w:p>
              </w:tc>
              <w:tc>
                <w:tcPr>
                  <w:tcW w:w="519" w:type="pct"/>
                  <w:vAlign w:val="center"/>
                </w:tcPr>
                <w:p w14:paraId="70F28595">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形态</w:t>
                  </w:r>
                </w:p>
              </w:tc>
              <w:tc>
                <w:tcPr>
                  <w:tcW w:w="908" w:type="pct"/>
                  <w:vAlign w:val="center"/>
                </w:tcPr>
                <w:p w14:paraId="530B9042">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rPr>
                    <w:t>消耗量</w:t>
                  </w:r>
                </w:p>
              </w:tc>
              <w:tc>
                <w:tcPr>
                  <w:tcW w:w="621" w:type="pct"/>
                  <w:vAlign w:val="center"/>
                </w:tcPr>
                <w:p w14:paraId="08415339">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lang w:val="en-US" w:eastAsia="zh-CN"/>
                    </w:rPr>
                    <w:t>最大储存量</w:t>
                  </w:r>
                </w:p>
              </w:tc>
              <w:tc>
                <w:tcPr>
                  <w:tcW w:w="489" w:type="pct"/>
                  <w:vAlign w:val="center"/>
                </w:tcPr>
                <w:p w14:paraId="43B6EF8B">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val="en-US" w:eastAsia="zh-CN"/>
                    </w:rPr>
                    <w:t>来源</w:t>
                  </w:r>
                </w:p>
              </w:tc>
              <w:tc>
                <w:tcPr>
                  <w:tcW w:w="545" w:type="pct"/>
                  <w:vAlign w:val="center"/>
                </w:tcPr>
                <w:p w14:paraId="7BE387E0">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运输</w:t>
                  </w:r>
                  <w:r>
                    <w:rPr>
                      <w:rFonts w:hint="default" w:ascii="Times New Roman" w:hAnsi="Times New Roman" w:cs="Times New Roman" w:eastAsiaTheme="minorEastAsia"/>
                      <w:b/>
                      <w:bCs w:val="0"/>
                      <w:color w:val="auto"/>
                      <w:sz w:val="21"/>
                      <w:szCs w:val="21"/>
                      <w:lang w:val="en-US" w:eastAsia="zh-CN"/>
                    </w:rPr>
                    <w:t>方式</w:t>
                  </w:r>
                </w:p>
              </w:tc>
              <w:tc>
                <w:tcPr>
                  <w:tcW w:w="864" w:type="pct"/>
                  <w:vAlign w:val="center"/>
                </w:tcPr>
                <w:p w14:paraId="736361AF">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lang w:val="en-US" w:eastAsia="zh-CN"/>
                    </w:rPr>
                  </w:pPr>
                  <w:r>
                    <w:rPr>
                      <w:rFonts w:hint="default" w:ascii="Times New Roman" w:hAnsi="Times New Roman" w:cs="Times New Roman" w:eastAsiaTheme="minorEastAsia"/>
                      <w:b/>
                      <w:bCs w:val="0"/>
                      <w:color w:val="auto"/>
                      <w:sz w:val="21"/>
                      <w:szCs w:val="21"/>
                      <w:lang w:val="en-US" w:eastAsia="zh-CN"/>
                    </w:rPr>
                    <w:t>备注</w:t>
                  </w:r>
                </w:p>
              </w:tc>
            </w:tr>
            <w:tr w14:paraId="5F3F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79" w:type="pct"/>
                  <w:shd w:val="clear" w:color="auto" w:fill="auto"/>
                  <w:vAlign w:val="center"/>
                </w:tcPr>
                <w:p w14:paraId="7B106C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1</w:t>
                  </w:r>
                </w:p>
              </w:tc>
              <w:tc>
                <w:tcPr>
                  <w:tcW w:w="671" w:type="pct"/>
                  <w:shd w:val="clear" w:color="auto" w:fill="auto"/>
                  <w:vAlign w:val="center"/>
                </w:tcPr>
                <w:p w14:paraId="19DCA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sz w:val="21"/>
                      <w:szCs w:val="21"/>
                      <w:vertAlign w:val="baseline"/>
                      <w:lang w:val="en-US" w:eastAsia="zh-CN"/>
                    </w:rPr>
                    <w:t>无烟煤</w:t>
                  </w:r>
                </w:p>
              </w:tc>
              <w:tc>
                <w:tcPr>
                  <w:tcW w:w="519" w:type="pct"/>
                  <w:vAlign w:val="center"/>
                </w:tcPr>
                <w:p w14:paraId="1B7701A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固态</w:t>
                  </w:r>
                </w:p>
              </w:tc>
              <w:tc>
                <w:tcPr>
                  <w:tcW w:w="908" w:type="pct"/>
                  <w:shd w:val="clear" w:color="auto" w:fill="auto"/>
                  <w:vAlign w:val="center"/>
                </w:tcPr>
                <w:p w14:paraId="47068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120011.498</w:t>
                  </w:r>
                  <w:r>
                    <w:rPr>
                      <w:rFonts w:hint="default" w:ascii="Times New Roman" w:hAnsi="Times New Roman" w:cs="Times New Roman" w:eastAsiaTheme="minorEastAsia"/>
                      <w:color w:val="auto"/>
                      <w:sz w:val="21"/>
                      <w:szCs w:val="21"/>
                      <w:vertAlign w:val="baseline"/>
                      <w:lang w:val="en-US" w:eastAsia="zh-CN"/>
                    </w:rPr>
                    <w:t>t/a</w:t>
                  </w:r>
                </w:p>
              </w:tc>
              <w:tc>
                <w:tcPr>
                  <w:tcW w:w="621" w:type="pct"/>
                  <w:vAlign w:val="center"/>
                </w:tcPr>
                <w:p w14:paraId="451C9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2</w:t>
                  </w:r>
                  <w:r>
                    <w:rPr>
                      <w:rFonts w:hint="eastAsia" w:ascii="Times New Roman" w:hAnsi="Times New Roman" w:cs="Times New Roman" w:eastAsiaTheme="minorEastAsia"/>
                      <w:color w:val="auto"/>
                      <w:sz w:val="21"/>
                      <w:szCs w:val="21"/>
                      <w:vertAlign w:val="baseline"/>
                      <w:lang w:val="en-US" w:eastAsia="zh-CN"/>
                    </w:rPr>
                    <w:t>000</w:t>
                  </w:r>
                  <w:r>
                    <w:rPr>
                      <w:rFonts w:hint="default" w:ascii="Times New Roman" w:hAnsi="Times New Roman" w:cs="Times New Roman" w:eastAsiaTheme="minorEastAsia"/>
                      <w:color w:val="auto"/>
                      <w:sz w:val="21"/>
                      <w:szCs w:val="21"/>
                      <w:vertAlign w:val="baseline"/>
                      <w:lang w:val="en-US" w:eastAsia="zh-CN"/>
                    </w:rPr>
                    <w:t>t/a</w:t>
                  </w:r>
                </w:p>
              </w:tc>
              <w:tc>
                <w:tcPr>
                  <w:tcW w:w="489" w:type="pct"/>
                  <w:vAlign w:val="center"/>
                </w:tcPr>
                <w:p w14:paraId="0534264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外购</w:t>
                  </w:r>
                </w:p>
              </w:tc>
              <w:tc>
                <w:tcPr>
                  <w:tcW w:w="545" w:type="pct"/>
                  <w:vAlign w:val="center"/>
                </w:tcPr>
                <w:p w14:paraId="522AD248">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汽车</w:t>
                  </w:r>
                </w:p>
              </w:tc>
              <w:tc>
                <w:tcPr>
                  <w:tcW w:w="864" w:type="pct"/>
                  <w:vAlign w:val="center"/>
                </w:tcPr>
                <w:p w14:paraId="4309ABEA">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 w:val="0"/>
                      <w:bCs w:val="0"/>
                      <w:color w:val="auto"/>
                      <w:sz w:val="21"/>
                      <w:szCs w:val="21"/>
                      <w:lang w:val="en-US" w:eastAsia="zh-CN"/>
                    </w:rPr>
                    <w:t>外购不同品质的煤</w:t>
                  </w:r>
                </w:p>
              </w:tc>
            </w:tr>
            <w:tr w14:paraId="4B5A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79" w:type="pct"/>
                  <w:vAlign w:val="center"/>
                </w:tcPr>
                <w:p w14:paraId="6E4B28F4">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2</w:t>
                  </w:r>
                </w:p>
              </w:tc>
              <w:tc>
                <w:tcPr>
                  <w:tcW w:w="671" w:type="pct"/>
                  <w:shd w:val="clear" w:color="auto" w:fill="auto"/>
                  <w:vAlign w:val="center"/>
                </w:tcPr>
                <w:p w14:paraId="11BA7737">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水</w:t>
                  </w:r>
                </w:p>
              </w:tc>
              <w:tc>
                <w:tcPr>
                  <w:tcW w:w="519" w:type="pct"/>
                  <w:shd w:val="clear" w:color="auto" w:fill="auto"/>
                  <w:vAlign w:val="center"/>
                </w:tcPr>
                <w:p w14:paraId="23B4E8EA">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908" w:type="pct"/>
                  <w:shd w:val="clear" w:color="auto" w:fill="auto"/>
                  <w:vAlign w:val="center"/>
                </w:tcPr>
                <w:p w14:paraId="5FBF0F05">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1932</w:t>
                  </w:r>
                  <w:r>
                    <w:rPr>
                      <w:rFonts w:hint="default" w:ascii="Times New Roman" w:hAnsi="Times New Roman" w:cs="Times New Roman" w:eastAsiaTheme="minorEastAsia"/>
                      <w:bCs/>
                      <w:color w:val="auto"/>
                      <w:sz w:val="21"/>
                      <w:szCs w:val="21"/>
                      <w:lang w:val="en-US" w:eastAsia="zh-CN"/>
                    </w:rPr>
                    <w:t>m</w:t>
                  </w:r>
                  <w:r>
                    <w:rPr>
                      <w:rFonts w:hint="eastAsia" w:ascii="Times New Roman" w:hAnsi="Times New Roman" w:cs="Times New Roman" w:eastAsiaTheme="minorEastAsia"/>
                      <w:bCs/>
                      <w:color w:val="auto"/>
                      <w:sz w:val="21"/>
                      <w:szCs w:val="21"/>
                      <w:vertAlign w:val="superscript"/>
                      <w:lang w:val="en-US" w:eastAsia="zh-CN"/>
                    </w:rPr>
                    <w:t>3</w:t>
                  </w:r>
                  <w:r>
                    <w:rPr>
                      <w:rFonts w:hint="default" w:ascii="Times New Roman" w:hAnsi="Times New Roman" w:cs="Times New Roman" w:eastAsiaTheme="minorEastAsia"/>
                      <w:bCs/>
                      <w:color w:val="auto"/>
                      <w:sz w:val="21"/>
                      <w:szCs w:val="21"/>
                      <w:lang w:val="en-US" w:eastAsia="zh-CN"/>
                    </w:rPr>
                    <w:t>/a</w:t>
                  </w:r>
                </w:p>
              </w:tc>
              <w:tc>
                <w:tcPr>
                  <w:tcW w:w="621" w:type="pct"/>
                  <w:vAlign w:val="center"/>
                </w:tcPr>
                <w:p w14:paraId="6F0AD170">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489" w:type="pct"/>
                  <w:vAlign w:val="center"/>
                </w:tcPr>
                <w:p w14:paraId="2A5DE561">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45" w:type="pct"/>
                  <w:vAlign w:val="center"/>
                </w:tcPr>
                <w:p w14:paraId="5D14B76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864" w:type="pct"/>
                  <w:vMerge w:val="restart"/>
                  <w:vAlign w:val="center"/>
                </w:tcPr>
                <w:p w14:paraId="34DD70AB">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周边市政供应</w:t>
                  </w:r>
                </w:p>
              </w:tc>
            </w:tr>
            <w:tr w14:paraId="0295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vAlign w:val="center"/>
                </w:tcPr>
                <w:p w14:paraId="56416CED">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3</w:t>
                  </w:r>
                </w:p>
              </w:tc>
              <w:tc>
                <w:tcPr>
                  <w:tcW w:w="671" w:type="pct"/>
                  <w:shd w:val="clear" w:color="auto" w:fill="auto"/>
                  <w:vAlign w:val="center"/>
                </w:tcPr>
                <w:p w14:paraId="7DC3052C">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电</w:t>
                  </w:r>
                </w:p>
              </w:tc>
              <w:tc>
                <w:tcPr>
                  <w:tcW w:w="519" w:type="pct"/>
                  <w:shd w:val="clear" w:color="auto" w:fill="auto"/>
                  <w:vAlign w:val="center"/>
                </w:tcPr>
                <w:p w14:paraId="1B04F7FD">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w:t>
                  </w:r>
                </w:p>
              </w:tc>
              <w:tc>
                <w:tcPr>
                  <w:tcW w:w="908" w:type="pct"/>
                  <w:shd w:val="clear" w:color="auto" w:fill="auto"/>
                  <w:vAlign w:val="center"/>
                </w:tcPr>
                <w:p w14:paraId="11BEDC6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60</w:t>
                  </w:r>
                  <w:r>
                    <w:rPr>
                      <w:rFonts w:hint="default" w:ascii="Times New Roman" w:hAnsi="Times New Roman" w:cs="Times New Roman" w:eastAsiaTheme="minorEastAsia"/>
                      <w:color w:val="auto"/>
                      <w:sz w:val="21"/>
                      <w:szCs w:val="21"/>
                      <w:highlight w:val="none"/>
                    </w:rPr>
                    <w:t>万</w:t>
                  </w:r>
                  <w:r>
                    <w:rPr>
                      <w:rFonts w:hint="default" w:ascii="Times New Roman" w:hAnsi="Times New Roman" w:cs="Times New Roman" w:eastAsiaTheme="minorEastAsia"/>
                      <w:color w:val="auto"/>
                      <w:sz w:val="21"/>
                      <w:szCs w:val="21"/>
                      <w:highlight w:val="none"/>
                      <w:lang w:val="en-US" w:eastAsia="zh-CN"/>
                    </w:rPr>
                    <w:t>kW</w:t>
                  </w:r>
                  <w:r>
                    <w:rPr>
                      <w:rFonts w:hint="default" w:ascii="Times New Roman" w:hAnsi="Times New Roman" w:cs="Times New Roman" w:eastAsiaTheme="minorEastAsia"/>
                      <w:color w:val="auto"/>
                      <w:sz w:val="21"/>
                      <w:szCs w:val="21"/>
                      <w:highlight w:val="none"/>
                    </w:rPr>
                    <w:t>h/a</w:t>
                  </w:r>
                </w:p>
              </w:tc>
              <w:tc>
                <w:tcPr>
                  <w:tcW w:w="621" w:type="pct"/>
                  <w:vAlign w:val="center"/>
                </w:tcPr>
                <w:p w14:paraId="75903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489" w:type="pct"/>
                  <w:vAlign w:val="center"/>
                </w:tcPr>
                <w:p w14:paraId="7DF2E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45" w:type="pct"/>
                  <w:vAlign w:val="center"/>
                </w:tcPr>
                <w:p w14:paraId="305535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864" w:type="pct"/>
                  <w:vMerge w:val="continue"/>
                  <w:vAlign w:val="center"/>
                </w:tcPr>
                <w:p w14:paraId="588BB0D3">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p>
              </w:tc>
            </w:tr>
            <w:tr w14:paraId="320F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79" w:type="pct"/>
                  <w:vAlign w:val="center"/>
                </w:tcPr>
                <w:p w14:paraId="7A7FF6C7">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bookmarkStart w:id="13" w:name="_Toc22720"/>
                  <w:r>
                    <w:rPr>
                      <w:rFonts w:hint="eastAsia" w:cs="Times New Roman" w:eastAsiaTheme="minorEastAsia"/>
                      <w:bCs/>
                      <w:color w:val="auto"/>
                      <w:sz w:val="21"/>
                      <w:szCs w:val="21"/>
                      <w:lang w:val="en-US" w:eastAsia="zh-CN"/>
                    </w:rPr>
                    <w:t>4</w:t>
                  </w:r>
                </w:p>
              </w:tc>
              <w:tc>
                <w:tcPr>
                  <w:tcW w:w="671" w:type="pct"/>
                  <w:shd w:val="clear" w:color="auto" w:fill="auto"/>
                  <w:vAlign w:val="center"/>
                </w:tcPr>
                <w:p w14:paraId="3D9A962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柴油</w:t>
                  </w:r>
                </w:p>
              </w:tc>
              <w:tc>
                <w:tcPr>
                  <w:tcW w:w="519" w:type="pct"/>
                  <w:shd w:val="clear" w:color="auto" w:fill="auto"/>
                  <w:vAlign w:val="center"/>
                </w:tcPr>
                <w:p w14:paraId="448CCC97">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液态</w:t>
                  </w:r>
                </w:p>
              </w:tc>
              <w:tc>
                <w:tcPr>
                  <w:tcW w:w="908" w:type="pct"/>
                  <w:shd w:val="clear" w:color="auto" w:fill="auto"/>
                  <w:vAlign w:val="center"/>
                </w:tcPr>
                <w:p w14:paraId="5A6A390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25t/a</w:t>
                  </w:r>
                </w:p>
              </w:tc>
              <w:tc>
                <w:tcPr>
                  <w:tcW w:w="621" w:type="pct"/>
                  <w:vAlign w:val="center"/>
                </w:tcPr>
                <w:p w14:paraId="58904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489" w:type="pct"/>
                  <w:vAlign w:val="center"/>
                </w:tcPr>
                <w:p w14:paraId="72C4E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545" w:type="pct"/>
                  <w:vAlign w:val="center"/>
                </w:tcPr>
                <w:p w14:paraId="18EBC4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864" w:type="pct"/>
                  <w:vAlign w:val="center"/>
                </w:tcPr>
                <w:p w14:paraId="33F865BA">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附近加油站补给</w:t>
                  </w:r>
                </w:p>
              </w:tc>
            </w:tr>
            <w:tr w14:paraId="3030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0E789A9A">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
                      <w:bCs w:val="0"/>
                      <w:i w:val="0"/>
                      <w:iCs w:val="0"/>
                      <w:color w:val="auto"/>
                      <w:sz w:val="21"/>
                      <w:szCs w:val="21"/>
                      <w:lang w:val="en-US" w:eastAsia="zh-CN"/>
                    </w:rPr>
                    <w:t>备注：</w:t>
                  </w:r>
                  <w:r>
                    <w:rPr>
                      <w:rFonts w:hint="eastAsia" w:cs="Times New Roman" w:eastAsiaTheme="minorEastAsia"/>
                      <w:bCs/>
                      <w:color w:val="auto"/>
                      <w:sz w:val="21"/>
                      <w:szCs w:val="21"/>
                      <w:lang w:val="en-US" w:eastAsia="zh-CN"/>
                    </w:rPr>
                    <w:t>本项目装载机使用柴油作为主要燃料，根据建设单位提供的资料，本项目不设柴油储罐，装载机需要的柴油依托附近的加油站进行补给，不在厂区内暂存柴油</w:t>
                  </w:r>
                </w:p>
              </w:tc>
            </w:tr>
          </w:tbl>
          <w:p w14:paraId="3E9D4C5E">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cs="Times New Roman"/>
                <w:b/>
                <w:bCs/>
                <w:color w:val="auto"/>
                <w:lang w:eastAsia="zh-CN"/>
              </w:rPr>
            </w:pPr>
            <w:r>
              <w:rPr>
                <w:rFonts w:hint="default" w:cs="Times New Roman"/>
                <w:b/>
                <w:bCs/>
                <w:color w:val="auto"/>
                <w:lang w:eastAsia="zh-CN"/>
              </w:rPr>
              <w:t>（</w:t>
            </w:r>
            <w:r>
              <w:rPr>
                <w:rFonts w:hint="eastAsia" w:cs="Times New Roman"/>
                <w:b/>
                <w:bCs/>
                <w:color w:val="auto"/>
                <w:lang w:val="en-US" w:eastAsia="zh-CN"/>
              </w:rPr>
              <w:t>3</w:t>
            </w:r>
            <w:r>
              <w:rPr>
                <w:rFonts w:hint="default" w:cs="Times New Roman"/>
                <w:b/>
                <w:bCs/>
                <w:color w:val="auto"/>
                <w:lang w:eastAsia="zh-CN"/>
              </w:rPr>
              <w:t>）物料平衡</w:t>
            </w:r>
          </w:p>
          <w:p w14:paraId="57BF25C4">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lang w:eastAsia="zh-CN"/>
              </w:rPr>
              <w:t>营运期</w:t>
            </w:r>
            <w:r>
              <w:rPr>
                <w:rFonts w:hint="default" w:ascii="Times New Roman" w:hAnsi="Times New Roman" w:eastAsia="宋体" w:cs="Times New Roman"/>
                <w:color w:val="auto"/>
                <w:lang w:val="en-US" w:eastAsia="zh-CN"/>
              </w:rPr>
              <w:t>原料物料</w:t>
            </w:r>
            <w:r>
              <w:rPr>
                <w:rFonts w:hint="default" w:ascii="Times New Roman" w:hAnsi="Times New Roman" w:eastAsia="宋体" w:cs="Times New Roman"/>
                <w:color w:val="auto"/>
                <w:lang w:eastAsia="zh-CN"/>
              </w:rPr>
              <w:t>平衡表见表 2-</w:t>
            </w:r>
            <w:r>
              <w:rPr>
                <w:rFonts w:hint="eastAsia" w:cs="Times New Roman"/>
                <w:color w:val="auto"/>
                <w:lang w:val="en-US" w:eastAsia="zh-CN"/>
              </w:rPr>
              <w:t>7</w:t>
            </w:r>
            <w:r>
              <w:rPr>
                <w:rFonts w:hint="default" w:ascii="Times New Roman" w:hAnsi="Times New Roman" w:eastAsia="宋体" w:cs="Times New Roman"/>
                <w:color w:val="auto"/>
                <w:lang w:val="en-US" w:eastAsia="zh-CN"/>
              </w:rPr>
              <w:t>，物料平衡图详见下图2-1</w:t>
            </w:r>
            <w:r>
              <w:rPr>
                <w:rFonts w:hint="default" w:ascii="Times New Roman" w:hAnsi="Times New Roman" w:eastAsia="宋体" w:cs="Times New Roman"/>
                <w:color w:val="auto"/>
                <w:lang w:eastAsia="zh-CN"/>
              </w:rPr>
              <w:t xml:space="preserve"> 。</w:t>
            </w:r>
          </w:p>
          <w:p w14:paraId="4372D1E8">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表2-</w:t>
            </w:r>
            <w:r>
              <w:rPr>
                <w:rFonts w:hint="eastAsia" w:cs="Times New Roman"/>
                <w:color w:val="auto"/>
                <w:sz w:val="24"/>
                <w:szCs w:val="32"/>
                <w:lang w:val="en-US" w:eastAsia="zh-CN"/>
              </w:rPr>
              <w:t>7</w:t>
            </w:r>
            <w:r>
              <w:rPr>
                <w:rFonts w:hint="default" w:ascii="Times New Roman" w:hAnsi="Times New Roman" w:eastAsia="宋体" w:cs="Times New Roman"/>
                <w:color w:val="auto"/>
                <w:sz w:val="24"/>
                <w:szCs w:val="32"/>
              </w:rPr>
              <w:t xml:space="preserve"> </w:t>
            </w:r>
            <w:r>
              <w:rPr>
                <w:rFonts w:hint="eastAsia" w:cs="Times New Roman"/>
                <w:color w:val="auto"/>
                <w:sz w:val="24"/>
                <w:szCs w:val="32"/>
                <w:lang w:val="en-US" w:eastAsia="zh-CN"/>
              </w:rPr>
              <w:t xml:space="preserve"> </w:t>
            </w:r>
            <w:r>
              <w:rPr>
                <w:rFonts w:hint="default" w:ascii="Times New Roman" w:hAnsi="Times New Roman" w:eastAsia="宋体" w:cs="Times New Roman"/>
                <w:color w:val="auto"/>
                <w:sz w:val="24"/>
                <w:szCs w:val="32"/>
              </w:rPr>
              <w:t>物料平衡表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933"/>
              <w:gridCol w:w="1311"/>
              <w:gridCol w:w="952"/>
              <w:gridCol w:w="1702"/>
              <w:gridCol w:w="1516"/>
            </w:tblGrid>
            <w:tr w14:paraId="4B27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72" w:type="pct"/>
                  <w:vMerge w:val="restart"/>
                  <w:vAlign w:val="center"/>
                </w:tcPr>
                <w:p w14:paraId="5F752F10">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车间</w:t>
                  </w:r>
                </w:p>
              </w:tc>
              <w:tc>
                <w:tcPr>
                  <w:tcW w:w="2068" w:type="pct"/>
                  <w:gridSpan w:val="2"/>
                  <w:vAlign w:val="center"/>
                </w:tcPr>
                <w:p w14:paraId="78E81A7A">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投入</w:t>
                  </w:r>
                </w:p>
              </w:tc>
              <w:tc>
                <w:tcPr>
                  <w:tcW w:w="2659" w:type="pct"/>
                  <w:gridSpan w:val="3"/>
                  <w:vAlign w:val="center"/>
                </w:tcPr>
                <w:p w14:paraId="3903CE9E">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产出</w:t>
                  </w:r>
                </w:p>
              </w:tc>
            </w:tr>
            <w:tr w14:paraId="5A97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72" w:type="pct"/>
                  <w:vMerge w:val="continue"/>
                  <w:vAlign w:val="center"/>
                </w:tcPr>
                <w:p w14:paraId="643DADBB">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p>
              </w:tc>
              <w:tc>
                <w:tcPr>
                  <w:tcW w:w="1232" w:type="pct"/>
                  <w:vAlign w:val="center"/>
                </w:tcPr>
                <w:p w14:paraId="22559DE6">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原料名称</w:t>
                  </w:r>
                </w:p>
              </w:tc>
              <w:tc>
                <w:tcPr>
                  <w:tcW w:w="835" w:type="pct"/>
                  <w:vAlign w:val="center"/>
                </w:tcPr>
                <w:p w14:paraId="658A6B3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使用量（t/a）</w:t>
                  </w:r>
                </w:p>
              </w:tc>
              <w:tc>
                <w:tcPr>
                  <w:tcW w:w="607" w:type="pct"/>
                  <w:vAlign w:val="center"/>
                </w:tcPr>
                <w:p w14:paraId="158B8C8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类别</w:t>
                  </w:r>
                </w:p>
              </w:tc>
              <w:tc>
                <w:tcPr>
                  <w:tcW w:w="1085" w:type="pct"/>
                  <w:vAlign w:val="center"/>
                </w:tcPr>
                <w:p w14:paraId="740E7739">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名称</w:t>
                  </w:r>
                </w:p>
              </w:tc>
              <w:tc>
                <w:tcPr>
                  <w:tcW w:w="966" w:type="pct"/>
                  <w:vAlign w:val="center"/>
                </w:tcPr>
                <w:p w14:paraId="761E9DAD">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产出量（t/a）</w:t>
                  </w:r>
                </w:p>
              </w:tc>
            </w:tr>
            <w:tr w14:paraId="056F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72" w:type="pct"/>
                  <w:vMerge w:val="restart"/>
                  <w:vAlign w:val="center"/>
                </w:tcPr>
                <w:p w14:paraId="78B38D3F">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生产区</w:t>
                  </w:r>
                </w:p>
              </w:tc>
              <w:tc>
                <w:tcPr>
                  <w:tcW w:w="1232" w:type="pct"/>
                  <w:vMerge w:val="restart"/>
                  <w:vAlign w:val="center"/>
                </w:tcPr>
                <w:p w14:paraId="3D43424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原</w:t>
                  </w:r>
                  <w:r>
                    <w:rPr>
                      <w:rFonts w:hint="eastAsia" w:cs="Times New Roman" w:eastAsiaTheme="minorEastAsia"/>
                      <w:color w:val="auto"/>
                      <w:sz w:val="21"/>
                      <w:szCs w:val="21"/>
                      <w:highlight w:val="none"/>
                      <w:lang w:val="en-US" w:eastAsia="zh-CN"/>
                    </w:rPr>
                    <w:t>煤（主要为</w:t>
                  </w:r>
                  <w:r>
                    <w:rPr>
                      <w:rFonts w:hint="default" w:ascii="Times New Roman" w:hAnsi="Times New Roman" w:cs="Times New Roman" w:eastAsiaTheme="minorEastAsia"/>
                      <w:b w:val="0"/>
                      <w:bCs w:val="0"/>
                      <w:color w:val="auto"/>
                      <w:sz w:val="21"/>
                      <w:szCs w:val="21"/>
                      <w:lang w:val="en-US" w:eastAsia="zh-CN"/>
                    </w:rPr>
                    <w:t>焱坤</w:t>
                  </w:r>
                  <w:r>
                    <w:rPr>
                      <w:rFonts w:hint="eastAsia" w:ascii="Times New Roman" w:hAnsi="Times New Roman" w:cs="Times New Roman" w:eastAsiaTheme="minorEastAsia"/>
                      <w:b w:val="0"/>
                      <w:bCs w:val="0"/>
                      <w:color w:val="auto"/>
                      <w:sz w:val="21"/>
                      <w:szCs w:val="21"/>
                      <w:lang w:val="en-US" w:eastAsia="zh-CN"/>
                    </w:rPr>
                    <w:t>公司不同品质的煤</w:t>
                  </w:r>
                  <w:r>
                    <w:rPr>
                      <w:rFonts w:hint="eastAsia" w:cs="Times New Roman" w:eastAsiaTheme="minorEastAsia"/>
                      <w:color w:val="auto"/>
                      <w:sz w:val="21"/>
                      <w:szCs w:val="21"/>
                      <w:highlight w:val="none"/>
                      <w:lang w:val="en-US" w:eastAsia="zh-CN"/>
                    </w:rPr>
                    <w:t>）</w:t>
                  </w:r>
                </w:p>
              </w:tc>
              <w:tc>
                <w:tcPr>
                  <w:tcW w:w="835" w:type="pct"/>
                  <w:vAlign w:val="center"/>
                </w:tcPr>
                <w:p w14:paraId="57261873">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r>
                    <w:rPr>
                      <w:rFonts w:hint="eastAsia" w:cs="Times New Roman" w:eastAsiaTheme="minorEastAsia"/>
                      <w:bCs/>
                      <w:color w:val="auto"/>
                      <w:sz w:val="21"/>
                      <w:szCs w:val="21"/>
                      <w:lang w:val="en-US" w:eastAsia="zh-CN"/>
                    </w:rPr>
                    <w:t>120011.498</w:t>
                  </w:r>
                </w:p>
              </w:tc>
              <w:tc>
                <w:tcPr>
                  <w:tcW w:w="607" w:type="pct"/>
                  <w:vAlign w:val="center"/>
                </w:tcPr>
                <w:p w14:paraId="3C6174C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产品</w:t>
                  </w:r>
                </w:p>
              </w:tc>
              <w:tc>
                <w:tcPr>
                  <w:tcW w:w="1085" w:type="pct"/>
                  <w:vAlign w:val="center"/>
                </w:tcPr>
                <w:p w14:paraId="7F53967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成品（混煤）</w:t>
                  </w:r>
                </w:p>
              </w:tc>
              <w:tc>
                <w:tcPr>
                  <w:tcW w:w="966" w:type="pct"/>
                  <w:vAlign w:val="center"/>
                </w:tcPr>
                <w:p w14:paraId="4A32EE93">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color w:val="auto"/>
                      <w:sz w:val="21"/>
                      <w:szCs w:val="21"/>
                      <w:lang w:val="en-US" w:eastAsia="zh-CN"/>
                    </w:rPr>
                    <w:t>120000</w:t>
                  </w:r>
                </w:p>
              </w:tc>
            </w:tr>
            <w:tr w14:paraId="3C53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72" w:type="pct"/>
                  <w:vMerge w:val="continue"/>
                  <w:vAlign w:val="center"/>
                </w:tcPr>
                <w:p w14:paraId="0ED7D3DA">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eastAsia="zh-CN"/>
                    </w:rPr>
                  </w:pPr>
                </w:p>
              </w:tc>
              <w:tc>
                <w:tcPr>
                  <w:tcW w:w="1232" w:type="pct"/>
                  <w:vMerge w:val="continue"/>
                  <w:vAlign w:val="center"/>
                </w:tcPr>
                <w:p w14:paraId="16E7A7F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835" w:type="pct"/>
                  <w:vAlign w:val="center"/>
                </w:tcPr>
                <w:p w14:paraId="4AA5BDA8">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Cs/>
                      <w:color w:val="auto"/>
                      <w:sz w:val="21"/>
                      <w:szCs w:val="21"/>
                      <w:lang w:val="en-US" w:eastAsia="zh-CN"/>
                    </w:rPr>
                  </w:pPr>
                </w:p>
              </w:tc>
              <w:tc>
                <w:tcPr>
                  <w:tcW w:w="607" w:type="pct"/>
                  <w:vMerge w:val="restart"/>
                  <w:vAlign w:val="center"/>
                </w:tcPr>
                <w:p w14:paraId="63E345A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其他</w:t>
                  </w:r>
                </w:p>
              </w:tc>
              <w:tc>
                <w:tcPr>
                  <w:tcW w:w="1085" w:type="pct"/>
                  <w:shd w:val="clear" w:color="auto" w:fill="auto"/>
                  <w:vAlign w:val="center"/>
                </w:tcPr>
                <w:p w14:paraId="11D04E41">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无组织颗粒物</w:t>
                  </w:r>
                </w:p>
              </w:tc>
              <w:tc>
                <w:tcPr>
                  <w:tcW w:w="966" w:type="pct"/>
                  <w:shd w:val="clear" w:color="auto" w:fill="auto"/>
                  <w:vAlign w:val="center"/>
                </w:tcPr>
                <w:p w14:paraId="21367B8C">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10.998</w:t>
                  </w:r>
                </w:p>
              </w:tc>
            </w:tr>
            <w:tr w14:paraId="0BC4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72" w:type="pct"/>
                  <w:vMerge w:val="continue"/>
                  <w:vAlign w:val="center"/>
                </w:tcPr>
                <w:p w14:paraId="20D3432D">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eastAsia="zh-CN"/>
                    </w:rPr>
                  </w:pPr>
                </w:p>
              </w:tc>
              <w:tc>
                <w:tcPr>
                  <w:tcW w:w="1232" w:type="pct"/>
                  <w:vMerge w:val="continue"/>
                  <w:vAlign w:val="center"/>
                </w:tcPr>
                <w:p w14:paraId="4D20B393">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p>
              </w:tc>
              <w:tc>
                <w:tcPr>
                  <w:tcW w:w="835" w:type="pct"/>
                  <w:vAlign w:val="center"/>
                </w:tcPr>
                <w:p w14:paraId="283B0FF0">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p>
              </w:tc>
              <w:tc>
                <w:tcPr>
                  <w:tcW w:w="607" w:type="pct"/>
                  <w:vMerge w:val="continue"/>
                  <w:vAlign w:val="center"/>
                </w:tcPr>
                <w:p w14:paraId="31C7A0E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p>
              </w:tc>
              <w:tc>
                <w:tcPr>
                  <w:tcW w:w="1085" w:type="pct"/>
                  <w:vAlign w:val="center"/>
                </w:tcPr>
                <w:p w14:paraId="4297AFAB">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沉淀池煤泥</w:t>
                  </w:r>
                </w:p>
              </w:tc>
              <w:tc>
                <w:tcPr>
                  <w:tcW w:w="966" w:type="pct"/>
                  <w:vAlign w:val="center"/>
                </w:tcPr>
                <w:p w14:paraId="46449B6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0.5</w:t>
                  </w:r>
                </w:p>
              </w:tc>
            </w:tr>
            <w:tr w14:paraId="4F5E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 w:type="pct"/>
                  <w:vMerge w:val="continue"/>
                  <w:vAlign w:val="center"/>
                </w:tcPr>
                <w:p w14:paraId="38E149D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32" w:type="pct"/>
                  <w:vAlign w:val="center"/>
                </w:tcPr>
                <w:p w14:paraId="7B34C93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合计</w:t>
                  </w:r>
                </w:p>
              </w:tc>
              <w:tc>
                <w:tcPr>
                  <w:tcW w:w="835" w:type="pct"/>
                  <w:vAlign w:val="center"/>
                </w:tcPr>
                <w:p w14:paraId="3B7F3A3C">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120011.498</w:t>
                  </w:r>
                </w:p>
              </w:tc>
              <w:tc>
                <w:tcPr>
                  <w:tcW w:w="607" w:type="pct"/>
                  <w:vAlign w:val="center"/>
                </w:tcPr>
                <w:p w14:paraId="4B95352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合计</w:t>
                  </w:r>
                </w:p>
              </w:tc>
              <w:tc>
                <w:tcPr>
                  <w:tcW w:w="1085" w:type="pct"/>
                  <w:vAlign w:val="center"/>
                </w:tcPr>
                <w:p w14:paraId="2F23574E">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w:t>
                  </w:r>
                </w:p>
              </w:tc>
              <w:tc>
                <w:tcPr>
                  <w:tcW w:w="966" w:type="pct"/>
                  <w:vAlign w:val="center"/>
                </w:tcPr>
                <w:p w14:paraId="4DF209A0">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120011.498</w:t>
                  </w:r>
                </w:p>
              </w:tc>
            </w:tr>
            <w:tr w14:paraId="4909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00" w:type="pct"/>
                  <w:gridSpan w:val="6"/>
                  <w:vAlign w:val="center"/>
                </w:tcPr>
                <w:p w14:paraId="2E930C67">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备注：</w:t>
                  </w:r>
                  <w:r>
                    <w:rPr>
                      <w:rFonts w:hint="eastAsia" w:ascii="Times New Roman" w:hAnsi="Times New Roman" w:cs="Times New Roman" w:eastAsiaTheme="minorEastAsia"/>
                      <w:bCs/>
                      <w:color w:val="auto"/>
                      <w:sz w:val="21"/>
                      <w:szCs w:val="21"/>
                      <w:lang w:val="en-US" w:eastAsia="zh-CN"/>
                    </w:rPr>
                    <w:t>沉淀池煤泥</w:t>
                  </w:r>
                  <w:r>
                    <w:rPr>
                      <w:rFonts w:hint="eastAsia" w:ascii="Times New Roman" w:hAnsi="Times New Roman" w:cs="Times New Roman" w:eastAsiaTheme="minorEastAsia"/>
                      <w:bCs/>
                      <w:color w:val="auto"/>
                      <w:sz w:val="21"/>
                      <w:szCs w:val="21"/>
                      <w:lang w:val="zh-CN" w:eastAsia="zh-CN"/>
                    </w:rPr>
                    <w:t>统一收集后作为在建配矿项目的原料进行配矿，</w:t>
                  </w:r>
                  <w:r>
                    <w:rPr>
                      <w:rFonts w:hint="eastAsia" w:cs="Times New Roman" w:eastAsiaTheme="minorEastAsia"/>
                      <w:bCs/>
                      <w:color w:val="auto"/>
                      <w:sz w:val="21"/>
                      <w:szCs w:val="21"/>
                      <w:lang w:val="en-US" w:eastAsia="zh-CN"/>
                    </w:rPr>
                    <w:t>不外排</w:t>
                  </w:r>
                </w:p>
              </w:tc>
            </w:tr>
          </w:tbl>
          <w:p w14:paraId="481C4B2B">
            <w:pPr>
              <w:keepNext w:val="0"/>
              <w:keepLines w:val="0"/>
              <w:pageBreakBefore w:val="0"/>
              <w:widowControl w:val="0"/>
              <w:kinsoku/>
              <w:wordWrap/>
              <w:overflowPunct/>
              <w:topLinePunct w:val="0"/>
              <w:autoSpaceDE/>
              <w:autoSpaceDN/>
              <w:bidi w:val="0"/>
              <w:adjustRightInd/>
              <w:snapToGrid/>
              <w:spacing w:after="157" w:afterLines="50" w:line="360" w:lineRule="auto"/>
              <w:ind w:left="0" w:leftChars="0" w:firstLine="480" w:firstLineChars="200"/>
              <w:jc w:val="left"/>
              <w:textAlignment w:val="auto"/>
              <w:rPr>
                <w:rFonts w:hint="eastAsia" w:cs="Times New Roman"/>
                <w:color w:val="auto"/>
                <w:sz w:val="24"/>
                <w:lang w:val="en-US" w:eastAsia="zh-CN"/>
              </w:rPr>
            </w:pPr>
            <w:r>
              <w:rPr>
                <w:rFonts w:hint="default" w:ascii="Times New Roman" w:hAnsi="Times New Roman" w:eastAsia="宋体" w:cs="Times New Roman"/>
                <w:color w:val="auto"/>
                <w:sz w:val="24"/>
                <w:lang w:val="en-US" w:eastAsia="zh-CN"/>
              </w:rPr>
              <w:t>项目物料平衡图详见下图2-1</w:t>
            </w:r>
            <w:r>
              <w:rPr>
                <w:rFonts w:hint="eastAsia" w:ascii="Times New Roman" w:hAnsi="Times New Roman" w:eastAsia="宋体" w:cs="Times New Roman"/>
                <w:color w:val="auto"/>
                <w:sz w:val="24"/>
                <w:lang w:val="en-US" w:eastAsia="zh-CN"/>
              </w:rPr>
              <w:t>。</w:t>
            </w:r>
          </w:p>
          <w:p w14:paraId="699AAC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4"/>
                <w:lang w:val="en-US" w:eastAsia="zh-CN"/>
              </w:rPr>
            </w:pPr>
            <w:r>
              <w:rPr>
                <w:rFonts w:hint="default" w:cs="Times New Roman"/>
                <w:color w:val="auto"/>
                <w:sz w:val="24"/>
                <w:lang w:val="en-US" w:eastAsia="zh-CN"/>
              </w:rPr>
              <w:object>
                <v:shape id="_x0000_i1025" o:spt="75" type="#_x0000_t75" style="height:197.25pt;width:345.7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05F6C88D">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物料平衡图</w:t>
            </w:r>
          </w:p>
          <w:p w14:paraId="5DE494A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7</w:t>
            </w:r>
            <w:r>
              <w:rPr>
                <w:rFonts w:hint="default" w:ascii="Times New Roman" w:hAnsi="Times New Roman" w:eastAsia="宋体" w:cs="Times New Roman"/>
                <w:b/>
                <w:bCs/>
                <w:color w:val="auto"/>
                <w:lang w:val="en-US" w:eastAsia="zh-CN"/>
              </w:rPr>
              <w:t>、水平衡</w:t>
            </w:r>
            <w:bookmarkEnd w:id="13"/>
          </w:p>
          <w:p w14:paraId="2732D7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本项目用水依托</w:t>
            </w:r>
            <w:r>
              <w:rPr>
                <w:rFonts w:hint="default" w:ascii="Times New Roman" w:hAnsi="Times New Roman" w:cs="Times New Roman" w:eastAsiaTheme="minorEastAsia"/>
                <w:color w:val="auto"/>
                <w:lang w:val="en-US" w:eastAsia="zh-CN"/>
              </w:rPr>
              <w:t>玉溪鑫东运输有限公司现有的设施</w:t>
            </w:r>
            <w:r>
              <w:rPr>
                <w:rFonts w:hint="eastAsia" w:ascii="Times New Roman" w:hAnsi="Times New Roman" w:cs="Times New Roman" w:eastAsiaTheme="minorEastAsia"/>
                <w:color w:val="auto"/>
                <w:lang w:val="en-US" w:eastAsia="zh-CN"/>
              </w:rPr>
              <w:t>，生活和生产用水主要采用新鲜水，厂区初期雨水经</w:t>
            </w:r>
            <w:r>
              <w:rPr>
                <w:rFonts w:hint="default" w:ascii="Times New Roman" w:hAnsi="Times New Roman" w:cs="Times New Roman" w:eastAsiaTheme="minorEastAsia"/>
                <w:color w:val="auto"/>
                <w:lang w:val="en-US" w:eastAsia="zh-CN"/>
              </w:rPr>
              <w:t>初期雨水收集池</w:t>
            </w:r>
            <w:r>
              <w:rPr>
                <w:rFonts w:hint="eastAsia" w:ascii="Times New Roman" w:hAnsi="Times New Roman" w:cs="Times New Roman" w:eastAsiaTheme="minorEastAsia"/>
                <w:color w:val="auto"/>
                <w:lang w:val="en-US" w:eastAsia="zh-CN"/>
              </w:rPr>
              <w:t>收集</w:t>
            </w:r>
            <w:r>
              <w:rPr>
                <w:rFonts w:hint="default" w:ascii="Times New Roman" w:hAnsi="Times New Roman" w:cs="Times New Roman" w:eastAsiaTheme="minorEastAsia"/>
                <w:color w:val="auto"/>
                <w:lang w:val="en-US" w:eastAsia="zh-CN"/>
              </w:rPr>
              <w:t>沉淀后</w:t>
            </w:r>
            <w:r>
              <w:rPr>
                <w:rFonts w:hint="eastAsia"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en-US" w:eastAsia="zh-CN"/>
              </w:rPr>
              <w:t>回用于厂区洒水降尘，不</w:t>
            </w:r>
            <w:r>
              <w:rPr>
                <w:rFonts w:hint="eastAsia" w:ascii="Times New Roman" w:hAnsi="Times New Roman" w:cs="Times New Roman" w:eastAsiaTheme="minorEastAsia"/>
                <w:color w:val="auto"/>
                <w:lang w:val="en-US" w:eastAsia="zh-CN"/>
              </w:rPr>
              <w:t>外排；</w:t>
            </w:r>
            <w:r>
              <w:rPr>
                <w:rFonts w:hint="default" w:ascii="Times New Roman" w:hAnsi="Times New Roman" w:cs="Times New Roman" w:eastAsiaTheme="minorEastAsia"/>
                <w:color w:val="auto"/>
                <w:lang w:val="en-US" w:eastAsia="zh-CN"/>
              </w:rPr>
              <w:t>本项目</w:t>
            </w:r>
            <w:r>
              <w:rPr>
                <w:rFonts w:hint="eastAsia" w:ascii="Times New Roman" w:hAnsi="Times New Roman" w:cs="Times New Roman" w:eastAsiaTheme="minorEastAsia"/>
                <w:color w:val="auto"/>
                <w:lang w:val="en-US" w:eastAsia="zh-CN"/>
              </w:rPr>
              <w:t>劳动定员为10人，</w:t>
            </w:r>
            <w:r>
              <w:rPr>
                <w:rFonts w:hint="default" w:ascii="Times New Roman" w:hAnsi="Times New Roman" w:cs="Times New Roman" w:eastAsiaTheme="minorEastAsia"/>
                <w:color w:val="auto"/>
                <w:lang w:val="en-US" w:eastAsia="zh-CN"/>
              </w:rPr>
              <w:t>生活污水</w:t>
            </w:r>
            <w:r>
              <w:rPr>
                <w:rFonts w:hint="eastAsia" w:ascii="Times New Roman" w:hAnsi="Times New Roman" w:cs="Times New Roman" w:eastAsiaTheme="minorEastAsia"/>
                <w:color w:val="auto"/>
                <w:lang w:val="en-US" w:eastAsia="zh-CN"/>
              </w:rPr>
              <w:t>经</w:t>
            </w:r>
            <w:r>
              <w:rPr>
                <w:rFonts w:hint="default" w:ascii="Times New Roman" w:hAnsi="Times New Roman" w:cs="Times New Roman" w:eastAsiaTheme="minorEastAsia"/>
                <w:color w:val="auto"/>
                <w:lang w:val="en-US" w:eastAsia="zh-CN"/>
              </w:rPr>
              <w:t>2m</w:t>
            </w:r>
            <w:r>
              <w:rPr>
                <w:rFonts w:hint="default" w:ascii="Times New Roman" w:hAnsi="Times New Roman" w:cs="Times New Roman" w:eastAsiaTheme="minorEastAsia"/>
                <w:color w:val="auto"/>
                <w:vertAlign w:val="superscript"/>
                <w:lang w:val="en-US" w:eastAsia="zh-CN"/>
              </w:rPr>
              <w:t>3</w:t>
            </w:r>
            <w:r>
              <w:rPr>
                <w:rFonts w:hint="default" w:ascii="Times New Roman" w:hAnsi="Times New Roman" w:cs="Times New Roman" w:eastAsiaTheme="minorEastAsia"/>
                <w:color w:val="auto"/>
                <w:lang w:val="en-US" w:eastAsia="zh-CN"/>
              </w:rPr>
              <w:t>/d的一体化污水处理设施处理达标后回用于厂区绿化，不外排；项目生产用水主要为洒水降尘和车辆清洗用水，其中，洒水降尘用水全部蒸发损耗，不外排，车辆清洗用水经配套建设的</w:t>
            </w:r>
            <w:r>
              <w:rPr>
                <w:rFonts w:hint="eastAsia" w:ascii="Times New Roman" w:hAnsi="Times New Roman" w:cs="Times New Roman" w:eastAsiaTheme="minorEastAsia"/>
                <w:color w:val="auto"/>
                <w:lang w:val="en-US" w:eastAsia="zh-CN"/>
              </w:rPr>
              <w:t>三</w:t>
            </w:r>
            <w:r>
              <w:rPr>
                <w:rFonts w:hint="default" w:ascii="Times New Roman" w:hAnsi="Times New Roman" w:cs="Times New Roman" w:eastAsiaTheme="minorEastAsia"/>
                <w:color w:val="auto"/>
                <w:lang w:val="en-US" w:eastAsia="zh-CN"/>
              </w:rPr>
              <w:t>级沉淀池（</w:t>
            </w:r>
            <w:r>
              <w:rPr>
                <w:rFonts w:hint="eastAsia" w:ascii="Times New Roman" w:hAnsi="Times New Roman" w:cs="Times New Roman" w:eastAsiaTheme="minorEastAsia"/>
                <w:color w:val="auto"/>
                <w:lang w:val="en-US" w:eastAsia="zh-CN"/>
              </w:rPr>
              <w:t>6</w:t>
            </w:r>
            <w:r>
              <w:rPr>
                <w:rFonts w:hint="default" w:ascii="Times New Roman" w:hAnsi="Times New Roman" w:cs="Times New Roman" w:eastAsiaTheme="minorEastAsia"/>
                <w:color w:val="auto"/>
                <w:lang w:val="en-US" w:eastAsia="zh-CN"/>
              </w:rPr>
              <w:t>0m</w:t>
            </w:r>
            <w:r>
              <w:rPr>
                <w:rFonts w:hint="default" w:ascii="Times New Roman" w:hAnsi="Times New Roman" w:cs="Times New Roman" w:eastAsiaTheme="minorEastAsia"/>
                <w:color w:val="auto"/>
                <w:vertAlign w:val="superscript"/>
                <w:lang w:val="en-US" w:eastAsia="zh-CN"/>
              </w:rPr>
              <w:t>3</w:t>
            </w:r>
            <w:r>
              <w:rPr>
                <w:rFonts w:hint="default" w:ascii="Times New Roman" w:hAnsi="Times New Roman" w:cs="Times New Roman" w:eastAsiaTheme="minorEastAsia"/>
                <w:color w:val="auto"/>
                <w:lang w:val="en-US" w:eastAsia="zh-CN"/>
              </w:rPr>
              <w:t>）沉淀处理后循环使用，不外排</w:t>
            </w:r>
            <w:r>
              <w:rPr>
                <w:rFonts w:hint="eastAsia" w:ascii="Times New Roman" w:hAnsi="Times New Roman" w:cs="Times New Roman" w:eastAsiaTheme="minorEastAsia"/>
                <w:color w:val="auto"/>
                <w:lang w:val="en-US" w:eastAsia="zh-CN"/>
              </w:rPr>
              <w:t>，本项目用排水情况如下：</w:t>
            </w:r>
          </w:p>
          <w:p w14:paraId="3F203E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①生活污水</w:t>
            </w:r>
          </w:p>
          <w:p w14:paraId="62F80B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s="Times New Roman" w:eastAsiaTheme="minorEastAsia"/>
                <w:color w:val="auto"/>
                <w:sz w:val="24"/>
                <w:szCs w:val="24"/>
                <w:lang w:val="en-US" w:eastAsia="zh-CN"/>
              </w:rPr>
            </w:pPr>
            <w:r>
              <w:rPr>
                <w:rFonts w:hint="default" w:ascii="Times New Roman" w:hAnsi="Times New Roman" w:cs="Times New Roman" w:eastAsiaTheme="minorEastAsia"/>
                <w:color w:val="auto"/>
                <w:lang w:val="en-US" w:eastAsia="zh-CN"/>
              </w:rPr>
              <w:t>本项目劳动定员为10人，均不在厂区内食宿，根据</w:t>
            </w:r>
            <w:r>
              <w:rPr>
                <w:rFonts w:hint="eastAsia" w:cs="Times New Roman" w:eastAsiaTheme="minorEastAsia"/>
                <w:color w:val="auto"/>
                <w:lang w:eastAsia="zh-CN"/>
              </w:rPr>
              <w:t>《云南省地方标准 用水定额》</w:t>
            </w:r>
            <w:r>
              <w:rPr>
                <w:rFonts w:hint="default" w:ascii="Times New Roman" w:hAnsi="Times New Roman" w:cs="Times New Roman" w:eastAsiaTheme="minorEastAsia"/>
                <w:color w:val="auto"/>
              </w:rPr>
              <w:t>（DB53/T</w:t>
            </w:r>
            <w:r>
              <w:rPr>
                <w:rFonts w:hint="eastAsia" w:cs="Times New Roman" w:eastAsiaTheme="minorEastAsia"/>
                <w:color w:val="auto"/>
                <w:lang w:val="en-US" w:eastAsia="zh-CN"/>
              </w:rPr>
              <w:t xml:space="preserve"> </w:t>
            </w:r>
            <w:r>
              <w:rPr>
                <w:rFonts w:hint="default" w:ascii="Times New Roman" w:hAnsi="Times New Roman" w:cs="Times New Roman" w:eastAsiaTheme="minorEastAsia"/>
                <w:color w:val="auto"/>
              </w:rPr>
              <w:t>168-</w:t>
            </w:r>
            <w:r>
              <w:rPr>
                <w:rFonts w:hint="eastAsia" w:cs="Times New Roman" w:eastAsiaTheme="minorEastAsia"/>
                <w:color w:val="auto"/>
                <w:lang w:eastAsia="zh-CN"/>
              </w:rPr>
              <w:t>2026</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sz w:val="24"/>
                <w:szCs w:val="24"/>
                <w:lang w:val="en-US" w:eastAsia="zh-CN"/>
              </w:rPr>
              <w:t>本项目生活用水量按</w:t>
            </w:r>
            <w:r>
              <w:rPr>
                <w:rFonts w:hint="eastAsia" w:cs="Times New Roman" w:eastAsiaTheme="minorEastAsia"/>
                <w:color w:val="auto"/>
                <w:sz w:val="24"/>
                <w:szCs w:val="24"/>
                <w:lang w:val="en-US" w:eastAsia="zh-CN"/>
              </w:rPr>
              <w:t>国家行政机构无食堂的用水计，即11m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人•</w:t>
            </w:r>
            <w:r>
              <w:rPr>
                <w:rFonts w:hint="eastAsia"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lang w:val="en-US" w:eastAsia="zh-CN"/>
              </w:rPr>
              <w:t>，则</w:t>
            </w:r>
            <w:r>
              <w:rPr>
                <w:rFonts w:hint="eastAsia" w:cs="Times New Roman" w:eastAsiaTheme="minorEastAsia"/>
                <w:color w:val="auto"/>
                <w:sz w:val="24"/>
                <w:szCs w:val="24"/>
                <w:lang w:val="en-US" w:eastAsia="zh-CN"/>
              </w:rPr>
              <w:t>本项目</w:t>
            </w:r>
            <w:r>
              <w:rPr>
                <w:rFonts w:hint="default" w:ascii="Times New Roman" w:hAnsi="Times New Roman" w:cs="Times New Roman" w:eastAsiaTheme="minorEastAsia"/>
                <w:color w:val="auto"/>
                <w:sz w:val="24"/>
                <w:szCs w:val="24"/>
                <w:lang w:val="en-US" w:eastAsia="zh-CN"/>
              </w:rPr>
              <w:t>用水量为1</w:t>
            </w:r>
            <w:r>
              <w:rPr>
                <w:rFonts w:hint="eastAsia"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0.</w:t>
            </w:r>
            <w:r>
              <w:rPr>
                <w:rFonts w:hint="eastAsia" w:cs="Times New Roman" w:eastAsiaTheme="minorEastAsia"/>
                <w:color w:val="auto"/>
                <w:sz w:val="24"/>
                <w:szCs w:val="24"/>
                <w:lang w:val="en-US" w:eastAsia="zh-CN"/>
              </w:rPr>
              <w:t>37</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/d，污水量按80%计，则生活污水量为</w:t>
            </w:r>
            <w:r>
              <w:rPr>
                <w:rFonts w:hint="eastAsia" w:cs="Times New Roman" w:eastAsiaTheme="minorEastAsia"/>
                <w:color w:val="auto"/>
                <w:sz w:val="24"/>
                <w:szCs w:val="24"/>
                <w:lang w:val="en-US" w:eastAsia="zh-CN"/>
              </w:rPr>
              <w:t>88</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/a，0.</w:t>
            </w:r>
            <w:r>
              <w:rPr>
                <w:rFonts w:hint="eastAsia" w:cs="Times New Roman" w:eastAsiaTheme="minorEastAsia"/>
                <w:color w:val="auto"/>
                <w:sz w:val="24"/>
                <w:szCs w:val="24"/>
                <w:lang w:val="en-US" w:eastAsia="zh-CN"/>
              </w:rPr>
              <w:t>29</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w:t>
            </w:r>
            <w:r>
              <w:rPr>
                <w:rFonts w:hint="eastAsia" w:cs="Times New Roman" w:eastAsiaTheme="minorEastAsia"/>
                <w:color w:val="auto"/>
                <w:sz w:val="24"/>
                <w:szCs w:val="24"/>
                <w:lang w:val="en-US" w:eastAsia="zh-CN"/>
              </w:rPr>
              <w:t>。</w:t>
            </w:r>
          </w:p>
          <w:p w14:paraId="3117B8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根据建设单位提供的资料和现场勘察，</w:t>
            </w:r>
            <w:r>
              <w:rPr>
                <w:rFonts w:hint="default" w:ascii="Times New Roman" w:hAnsi="Times New Roman" w:cs="Times New Roman" w:eastAsiaTheme="minorEastAsia"/>
                <w:color w:val="auto"/>
                <w:kern w:val="2"/>
                <w:sz w:val="24"/>
                <w:szCs w:val="24"/>
                <w:lang w:val="en-US" w:eastAsia="zh-CN" w:bidi="ar-SA"/>
              </w:rPr>
              <w:t>玉溪鑫东运输有限公司现有职工20人，</w:t>
            </w:r>
            <w:r>
              <w:rPr>
                <w:rFonts w:hint="eastAsia" w:cs="Times New Roman" w:eastAsiaTheme="minorEastAsia"/>
                <w:color w:val="auto"/>
                <w:kern w:val="2"/>
                <w:sz w:val="24"/>
                <w:szCs w:val="24"/>
                <w:lang w:val="en-US" w:eastAsia="zh-CN" w:bidi="ar-SA"/>
              </w:rPr>
              <w:t>在建配矿项目劳动定员为10人，所有员工</w:t>
            </w:r>
            <w:r>
              <w:rPr>
                <w:rFonts w:hint="default" w:ascii="Times New Roman" w:hAnsi="Times New Roman" w:cs="Times New Roman" w:eastAsiaTheme="minorEastAsia"/>
                <w:color w:val="auto"/>
                <w:lang w:val="en-US" w:eastAsia="zh-CN"/>
              </w:rPr>
              <w:t>均不在厂区内食宿，根据</w:t>
            </w:r>
            <w:r>
              <w:rPr>
                <w:rFonts w:hint="eastAsia" w:cs="Times New Roman" w:eastAsiaTheme="minorEastAsia"/>
                <w:color w:val="auto"/>
                <w:lang w:eastAsia="zh-CN"/>
              </w:rPr>
              <w:t>《云南省地方标准 用水定额》</w:t>
            </w:r>
            <w:r>
              <w:rPr>
                <w:rFonts w:hint="default" w:ascii="Times New Roman" w:hAnsi="Times New Roman" w:cs="Times New Roman" w:eastAsiaTheme="minorEastAsia"/>
                <w:color w:val="auto"/>
              </w:rPr>
              <w:t>（DB53/T</w:t>
            </w:r>
            <w:r>
              <w:rPr>
                <w:rFonts w:hint="eastAsia" w:cs="Times New Roman" w:eastAsiaTheme="minorEastAsia"/>
                <w:color w:val="auto"/>
                <w:lang w:val="en-US" w:eastAsia="zh-CN"/>
              </w:rPr>
              <w:t xml:space="preserve"> </w:t>
            </w:r>
            <w:r>
              <w:rPr>
                <w:rFonts w:hint="default" w:ascii="Times New Roman" w:hAnsi="Times New Roman" w:cs="Times New Roman" w:eastAsiaTheme="minorEastAsia"/>
                <w:color w:val="auto"/>
              </w:rPr>
              <w:t>168-</w:t>
            </w:r>
            <w:r>
              <w:rPr>
                <w:rFonts w:hint="eastAsia" w:cs="Times New Roman" w:eastAsiaTheme="minorEastAsia"/>
                <w:color w:val="auto"/>
                <w:lang w:eastAsia="zh-CN"/>
              </w:rPr>
              <w:t>2026</w:t>
            </w:r>
            <w:r>
              <w:rPr>
                <w:rFonts w:hint="default" w:ascii="Times New Roman" w:hAnsi="Times New Roman" w:cs="Times New Roman" w:eastAsiaTheme="minorEastAsia"/>
                <w:color w:val="auto"/>
              </w:rPr>
              <w:t>）</w:t>
            </w:r>
            <w:r>
              <w:rPr>
                <w:rFonts w:hint="eastAsia" w:cs="Times New Roman" w:eastAsiaTheme="minorEastAsia"/>
                <w:color w:val="auto"/>
                <w:lang w:eastAsia="zh-CN"/>
              </w:rPr>
              <w:t>，</w:t>
            </w:r>
            <w:r>
              <w:rPr>
                <w:rFonts w:hint="default" w:ascii="Times New Roman" w:hAnsi="Times New Roman" w:cs="Times New Roman" w:eastAsiaTheme="minorEastAsia"/>
                <w:color w:val="auto"/>
                <w:kern w:val="2"/>
                <w:sz w:val="24"/>
                <w:szCs w:val="24"/>
                <w:lang w:val="en-US" w:eastAsia="zh-CN" w:bidi="ar-SA"/>
              </w:rPr>
              <w:t>玉溪鑫东运输有限公司</w:t>
            </w:r>
            <w:r>
              <w:rPr>
                <w:rFonts w:hint="eastAsia" w:cs="Times New Roman" w:eastAsiaTheme="minorEastAsia"/>
                <w:color w:val="auto"/>
                <w:kern w:val="2"/>
                <w:sz w:val="24"/>
                <w:szCs w:val="24"/>
                <w:lang w:val="en-US" w:eastAsia="zh-CN" w:bidi="ar-SA"/>
              </w:rPr>
              <w:t>和在建配矿项目的</w:t>
            </w:r>
            <w:r>
              <w:rPr>
                <w:rFonts w:hint="default" w:ascii="Times New Roman" w:hAnsi="Times New Roman" w:cs="Times New Roman" w:eastAsiaTheme="minorEastAsia"/>
                <w:color w:val="auto"/>
                <w:sz w:val="24"/>
                <w:szCs w:val="24"/>
                <w:lang w:val="en-US" w:eastAsia="zh-CN"/>
              </w:rPr>
              <w:t>生活用水量按</w:t>
            </w:r>
            <w:r>
              <w:rPr>
                <w:rFonts w:hint="eastAsia" w:cs="Times New Roman" w:eastAsiaTheme="minorEastAsia"/>
                <w:color w:val="auto"/>
                <w:sz w:val="24"/>
                <w:szCs w:val="24"/>
                <w:lang w:val="en-US" w:eastAsia="zh-CN"/>
              </w:rPr>
              <w:t>11m</w:t>
            </w:r>
            <w:r>
              <w:rPr>
                <w:rFonts w:hint="eastAsia"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/(人•</w:t>
            </w:r>
            <w:r>
              <w:rPr>
                <w:rFonts w:hint="eastAsia"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lang w:val="en-US" w:eastAsia="zh-CN"/>
              </w:rPr>
              <w:t>)计，则用水量为3</w:t>
            </w: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1.</w:t>
            </w:r>
            <w:r>
              <w:rPr>
                <w:rFonts w:hint="eastAsia"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/d，污水量按80%计，则生活污水量为0.</w:t>
            </w:r>
            <w:r>
              <w:rPr>
                <w:rFonts w:hint="eastAsia" w:cs="Times New Roman" w:eastAsiaTheme="minorEastAsia"/>
                <w:color w:val="auto"/>
                <w:sz w:val="24"/>
                <w:szCs w:val="24"/>
                <w:lang w:val="en-US" w:eastAsia="zh-CN"/>
              </w:rPr>
              <w:t>88</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/d，2</w:t>
            </w:r>
            <w:r>
              <w:rPr>
                <w:rFonts w:hint="eastAsia" w:cs="Times New Roman" w:eastAsiaTheme="minorEastAsia"/>
                <w:color w:val="auto"/>
                <w:sz w:val="24"/>
                <w:szCs w:val="24"/>
                <w:lang w:val="en-US" w:eastAsia="zh-CN"/>
              </w:rPr>
              <w:t>64</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p>
          <w:p w14:paraId="61E572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cs="Times New Roman" w:eastAsiaTheme="minorEastAsia"/>
                <w:color w:val="auto"/>
                <w:sz w:val="24"/>
                <w:szCs w:val="24"/>
                <w:lang w:val="en-US" w:eastAsia="zh-CN"/>
              </w:rPr>
              <w:t>综上，本</w:t>
            </w:r>
            <w:r>
              <w:rPr>
                <w:rFonts w:hint="default" w:ascii="Times New Roman" w:hAnsi="Times New Roman" w:cs="Times New Roman" w:eastAsiaTheme="minorEastAsia"/>
                <w:color w:val="auto"/>
                <w:sz w:val="24"/>
                <w:szCs w:val="24"/>
                <w:lang w:val="en-US" w:eastAsia="zh-CN"/>
              </w:rPr>
              <w:t>项目建设完成后</w:t>
            </w:r>
            <w:r>
              <w:rPr>
                <w:rFonts w:hint="eastAsia" w:cs="Times New Roman" w:eastAsiaTheme="minorEastAsia"/>
                <w:color w:val="auto"/>
                <w:sz w:val="24"/>
                <w:szCs w:val="24"/>
                <w:lang w:val="en-US" w:eastAsia="zh-CN"/>
              </w:rPr>
              <w:t>，</w:t>
            </w:r>
            <w:r>
              <w:rPr>
                <w:rFonts w:hint="eastAsia" w:cs="Times New Roman"/>
                <w:color w:val="auto"/>
                <w:lang w:val="en-US" w:eastAsia="zh-CN"/>
              </w:rPr>
              <w:t>全厂</w:t>
            </w:r>
            <w:r>
              <w:rPr>
                <w:rFonts w:hint="default" w:ascii="Times New Roman" w:hAnsi="Times New Roman" w:eastAsia="宋体" w:cs="Times New Roman"/>
                <w:color w:val="auto"/>
                <w:lang w:val="en-US" w:eastAsia="zh-CN"/>
              </w:rPr>
              <w:t>生活</w:t>
            </w:r>
            <w:r>
              <w:rPr>
                <w:rFonts w:hint="eastAsia" w:cs="Times New Roman"/>
                <w:color w:val="auto"/>
                <w:lang w:val="en-US" w:eastAsia="zh-CN"/>
              </w:rPr>
              <w:t>污水</w:t>
            </w:r>
            <w:r>
              <w:rPr>
                <w:rFonts w:hint="default" w:ascii="Times New Roman" w:hAnsi="Times New Roman" w:eastAsia="宋体" w:cs="Times New Roman"/>
                <w:color w:val="auto"/>
                <w:lang w:val="en-US" w:eastAsia="zh-CN"/>
              </w:rPr>
              <w:t>产生量</w:t>
            </w:r>
            <w:r>
              <w:rPr>
                <w:rFonts w:hint="default" w:ascii="Times New Roman" w:hAnsi="Times New Roman" w:eastAsia="宋体" w:cs="Times New Roman"/>
                <w:color w:val="auto"/>
                <w:sz w:val="24"/>
                <w:szCs w:val="24"/>
                <w:lang w:val="en-US" w:eastAsia="zh-CN"/>
              </w:rPr>
              <w:t>为1.</w:t>
            </w:r>
            <w:r>
              <w:rPr>
                <w:rFonts w:hint="eastAsia"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351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lang w:eastAsia="zh-CN"/>
              </w:rPr>
              <w:t>生活污水</w:t>
            </w:r>
            <w:r>
              <w:rPr>
                <w:rFonts w:hint="eastAsia" w:cs="Times New Roman"/>
                <w:color w:val="auto"/>
                <w:sz w:val="24"/>
                <w:lang w:val="en-US" w:eastAsia="zh-CN"/>
              </w:rPr>
              <w:t>经</w:t>
            </w:r>
            <w:r>
              <w:rPr>
                <w:rFonts w:hint="default" w:ascii="Times New Roman" w:hAnsi="Times New Roman" w:eastAsia="宋体" w:cs="Times New Roman"/>
                <w:color w:val="auto"/>
                <w:sz w:val="24"/>
                <w:lang w:val="en-US" w:eastAsia="zh-CN"/>
              </w:rPr>
              <w:t>2m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/d的一体化污水处理设施处理达标后，晴天回用于厂区绿化，不外排，雨天暂存于中水池（5m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），待晴天后回用于厂区绿化，不外排</w:t>
            </w:r>
            <w:r>
              <w:rPr>
                <w:rFonts w:hint="eastAsia" w:cs="Times New Roman"/>
                <w:color w:val="auto"/>
                <w:sz w:val="24"/>
                <w:lang w:val="en-US" w:eastAsia="zh-CN"/>
              </w:rPr>
              <w:t>。</w:t>
            </w:r>
          </w:p>
          <w:p w14:paraId="53AD1DCD">
            <w:pPr>
              <w:keepNext w:val="0"/>
              <w:keepLines/>
              <w:pageBreakBefore w:val="0"/>
              <w:widowControl w:val="0"/>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②洒水降尘用水</w:t>
            </w:r>
          </w:p>
          <w:p w14:paraId="52519D45">
            <w:pPr>
              <w:keepNext w:val="0"/>
              <w:keepLines/>
              <w:pageBreakBefore w:val="0"/>
              <w:widowControl w:val="0"/>
              <w:kinsoku/>
              <w:wordWrap w:val="0"/>
              <w:overflowPunct/>
              <w:topLinePunct/>
              <w:autoSpaceDE/>
              <w:autoSpaceDN/>
              <w:bidi w:val="0"/>
              <w:adjustRightInd/>
              <w:snapToGrid/>
              <w:spacing w:line="360" w:lineRule="auto"/>
              <w:ind w:firstLine="480" w:firstLineChars="200"/>
              <w:textAlignment w:val="auto"/>
              <w:outlineLvl w:val="9"/>
              <w:rPr>
                <w:rFonts w:hint="eastAsia"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本项目洒水降尘用水全部蒸发，不外排，根据建设单位提供的资料和类比同类项目，本项目在车间上方布设1条100m的喷雾管道，每10米设置一个喷头，共布设10个洒水喷头，</w:t>
            </w:r>
            <w:r>
              <w:rPr>
                <w:rFonts w:hint="default" w:ascii="Times New Roman" w:hAnsi="Times New Roman" w:eastAsia="宋体" w:cs="Times New Roman"/>
                <w:b w:val="0"/>
                <w:bCs/>
                <w:color w:val="auto"/>
                <w:spacing w:val="-1"/>
                <w:sz w:val="24"/>
                <w:szCs w:val="24"/>
              </w:rPr>
              <w:t>每个喷头的流量约为</w:t>
            </w:r>
            <w:r>
              <w:rPr>
                <w:rFonts w:hint="default" w:ascii="Times New Roman" w:hAnsi="Times New Roman" w:eastAsia="宋体" w:cs="Times New Roman"/>
                <w:b w:val="0"/>
                <w:bCs/>
                <w:color w:val="auto"/>
                <w:spacing w:val="-1"/>
                <w:sz w:val="24"/>
                <w:szCs w:val="24"/>
                <w:lang w:val="en-US" w:eastAsia="zh-CN"/>
              </w:rPr>
              <w:t>1</w:t>
            </w:r>
            <w:r>
              <w:rPr>
                <w:rFonts w:hint="default" w:ascii="Times New Roman" w:hAnsi="Times New Roman" w:eastAsia="宋体" w:cs="Times New Roman"/>
                <w:b w:val="0"/>
                <w:bCs/>
                <w:color w:val="auto"/>
                <w:spacing w:val="-1"/>
                <w:sz w:val="24"/>
                <w:szCs w:val="24"/>
              </w:rPr>
              <w:t>0L/h</w:t>
            </w:r>
            <w:r>
              <w:rPr>
                <w:rFonts w:hint="default" w:ascii="Times New Roman" w:hAnsi="Times New Roman" w:eastAsia="宋体" w:cs="Times New Roman"/>
                <w:b w:val="0"/>
                <w:bCs/>
                <w:color w:val="auto"/>
                <w:spacing w:val="-1"/>
                <w:sz w:val="24"/>
                <w:szCs w:val="24"/>
                <w:lang w:eastAsia="zh-CN"/>
              </w:rPr>
              <w:t>，</w:t>
            </w:r>
            <w:r>
              <w:rPr>
                <w:rFonts w:hint="default" w:ascii="Times New Roman" w:hAnsi="Times New Roman" w:eastAsia="宋体" w:cs="Times New Roman"/>
                <w:b w:val="0"/>
                <w:bCs/>
                <w:color w:val="auto"/>
                <w:spacing w:val="-1"/>
                <w:sz w:val="24"/>
                <w:szCs w:val="24"/>
              </w:rPr>
              <w:t>项目每天喷雾时间约</w:t>
            </w:r>
            <w:r>
              <w:rPr>
                <w:rFonts w:hint="default" w:ascii="Times New Roman" w:hAnsi="Times New Roman" w:eastAsia="宋体" w:cs="Times New Roman"/>
                <w:b w:val="0"/>
                <w:bCs/>
                <w:color w:val="auto"/>
                <w:spacing w:val="-1"/>
                <w:sz w:val="24"/>
                <w:szCs w:val="24"/>
                <w:lang w:val="en-US" w:eastAsia="zh-CN"/>
              </w:rPr>
              <w:t>8</w:t>
            </w:r>
            <w:r>
              <w:rPr>
                <w:rFonts w:hint="default" w:ascii="Times New Roman" w:hAnsi="Times New Roman" w:eastAsia="宋体" w:cs="Times New Roman"/>
                <w:b w:val="0"/>
                <w:bCs/>
                <w:color w:val="auto"/>
                <w:spacing w:val="-1"/>
                <w:sz w:val="24"/>
                <w:szCs w:val="24"/>
              </w:rPr>
              <w:t>h，</w:t>
            </w:r>
            <w:r>
              <w:rPr>
                <w:rFonts w:hint="default" w:ascii="Times New Roman" w:hAnsi="Times New Roman" w:eastAsia="宋体" w:cs="Times New Roman"/>
                <w:b w:val="0"/>
                <w:bCs/>
                <w:color w:val="auto"/>
                <w:spacing w:val="-1"/>
                <w:sz w:val="24"/>
                <w:szCs w:val="24"/>
                <w:lang w:val="en-US" w:eastAsia="zh-CN"/>
              </w:rPr>
              <w:t>则项目洒水降尘用水量为0.8</w:t>
            </w:r>
            <w:r>
              <w:rPr>
                <w:rFonts w:hint="default" w:ascii="Times New Roman" w:hAnsi="Times New Roman" w:eastAsia="宋体" w:cs="Times New Roman"/>
                <w:b w:val="0"/>
                <w:bCs/>
                <w:color w:val="auto"/>
                <w:sz w:val="24"/>
                <w:szCs w:val="24"/>
                <w:lang w:val="en-US" w:eastAsia="zh-CN"/>
              </w:rPr>
              <w:t>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/d，240m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/a，该部分用水全部蒸发，不外排</w:t>
            </w:r>
            <w:r>
              <w:rPr>
                <w:rFonts w:hint="eastAsia" w:cs="Times New Roman"/>
                <w:b w:val="0"/>
                <w:bCs/>
                <w:color w:val="auto"/>
                <w:sz w:val="24"/>
                <w:szCs w:val="24"/>
                <w:lang w:val="en-US" w:eastAsia="zh-CN"/>
              </w:rPr>
              <w:t>。</w:t>
            </w:r>
          </w:p>
          <w:p w14:paraId="35703210">
            <w:pPr>
              <w:keepNext w:val="0"/>
              <w:keepLines/>
              <w:pageBreakBefore w:val="0"/>
              <w:widowControl w:val="0"/>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根据建设单位提供的资料，在建配矿项目的洒水降尘用水量为3.2</w:t>
            </w:r>
            <w:r>
              <w:rPr>
                <w:rFonts w:hint="default" w:ascii="Times New Roman" w:hAnsi="Times New Roman" w:eastAsia="宋体" w:cs="Times New Roman"/>
                <w:b w:val="0"/>
                <w:bCs/>
                <w:color w:val="auto"/>
                <w:sz w:val="24"/>
                <w:szCs w:val="24"/>
                <w:lang w:val="en-US" w:eastAsia="zh-CN"/>
              </w:rPr>
              <w:t>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/d</w:t>
            </w:r>
            <w:r>
              <w:rPr>
                <w:rFonts w:hint="eastAsia" w:cs="Times New Roman"/>
                <w:b w:val="0"/>
                <w:bCs/>
                <w:color w:val="auto"/>
                <w:sz w:val="24"/>
                <w:szCs w:val="24"/>
                <w:lang w:val="en-US" w:eastAsia="zh-CN"/>
              </w:rPr>
              <w:t>（来源于已取得批复的在建配矿项目的工程分析），故本项目建设完成后，全厂洒水降尘用水量为4</w:t>
            </w:r>
            <w:r>
              <w:rPr>
                <w:rFonts w:hint="default" w:ascii="Times New Roman" w:hAnsi="Times New Roman" w:eastAsia="宋体" w:cs="Times New Roman"/>
                <w:b w:val="0"/>
                <w:bCs/>
                <w:color w:val="auto"/>
                <w:sz w:val="24"/>
                <w:szCs w:val="24"/>
                <w:lang w:val="en-US" w:eastAsia="zh-CN"/>
              </w:rPr>
              <w:t>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/d</w:t>
            </w:r>
            <w:r>
              <w:rPr>
                <w:rFonts w:hint="eastAsia" w:cs="Times New Roman"/>
                <w:b w:val="0"/>
                <w:bCs/>
                <w:color w:val="auto"/>
                <w:sz w:val="24"/>
                <w:szCs w:val="24"/>
                <w:lang w:val="en-US" w:eastAsia="zh-CN"/>
              </w:rPr>
              <w:t>，1200</w:t>
            </w:r>
            <w:r>
              <w:rPr>
                <w:rFonts w:hint="default" w:ascii="Times New Roman" w:hAnsi="Times New Roman" w:eastAsia="宋体" w:cs="Times New Roman"/>
                <w:b w:val="0"/>
                <w:bCs/>
                <w:color w:val="auto"/>
                <w:sz w:val="24"/>
                <w:szCs w:val="24"/>
                <w:lang w:val="en-US" w:eastAsia="zh-CN"/>
              </w:rPr>
              <w:t>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a</w:t>
            </w:r>
            <w:r>
              <w:rPr>
                <w:rFonts w:hint="default" w:ascii="Times New Roman" w:hAnsi="Times New Roman" w:eastAsia="宋体" w:cs="Times New Roman"/>
                <w:b w:val="0"/>
                <w:bCs/>
                <w:color w:val="auto"/>
                <w:sz w:val="24"/>
                <w:szCs w:val="24"/>
                <w:lang w:val="en-US" w:eastAsia="zh-CN"/>
              </w:rPr>
              <w:t>。</w:t>
            </w:r>
          </w:p>
          <w:p w14:paraId="45003EF5">
            <w:pPr>
              <w:keepNext w:val="0"/>
              <w:keepLines/>
              <w:pageBreakBefore w:val="0"/>
              <w:widowControl w:val="0"/>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③车辆冲洗用水</w:t>
            </w:r>
          </w:p>
          <w:p w14:paraId="6B2873D4">
            <w:pPr>
              <w:keepNext w:val="0"/>
              <w:keepLines/>
              <w:pageBreakBefore w:val="0"/>
              <w:widowControl w:val="0"/>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sz w:val="24"/>
                <w:szCs w:val="24"/>
              </w:rPr>
              <w:t>本项目年运入原料量</w:t>
            </w:r>
            <w:r>
              <w:rPr>
                <w:rFonts w:hint="default" w:ascii="Times New Roman" w:hAnsi="Times New Roman" w:eastAsia="宋体" w:cs="Times New Roman"/>
                <w:color w:val="auto"/>
                <w:sz w:val="24"/>
                <w:szCs w:val="24"/>
                <w:lang w:val="en-US" w:eastAsia="zh-CN"/>
              </w:rPr>
              <w:t>和成品约12</w:t>
            </w:r>
            <w:r>
              <w:rPr>
                <w:rFonts w:hint="default" w:ascii="Times New Roman" w:hAnsi="Times New Roman" w:eastAsia="宋体" w:cs="Times New Roman"/>
                <w:color w:val="auto"/>
                <w:sz w:val="24"/>
                <w:szCs w:val="24"/>
                <w:lang w:eastAsia="zh-CN"/>
              </w:rPr>
              <w:t>万</w:t>
            </w:r>
            <w:r>
              <w:rPr>
                <w:rFonts w:hint="default" w:ascii="Times New Roman" w:hAnsi="Times New Roman" w:eastAsia="宋体" w:cs="Times New Roman"/>
                <w:color w:val="auto"/>
                <w:sz w:val="24"/>
                <w:szCs w:val="24"/>
              </w:rPr>
              <w:t>t，总运输量</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万t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运输量平均约</w:t>
            </w:r>
            <w:r>
              <w:rPr>
                <w:rFonts w:hint="default" w:ascii="Times New Roman" w:hAnsi="Times New Roman" w:eastAsia="宋体" w:cs="Times New Roman"/>
                <w:color w:val="auto"/>
                <w:kern w:val="0"/>
                <w:sz w:val="24"/>
                <w:szCs w:val="24"/>
                <w:lang w:val="en-US" w:eastAsia="zh-CN"/>
              </w:rPr>
              <w:t>800</w:t>
            </w:r>
            <w:r>
              <w:rPr>
                <w:rFonts w:hint="default" w:ascii="Times New Roman" w:hAnsi="Times New Roman" w:eastAsia="宋体" w:cs="Times New Roman"/>
                <w:color w:val="auto"/>
                <w:kern w:val="0"/>
                <w:sz w:val="24"/>
                <w:szCs w:val="24"/>
              </w:rPr>
              <w:t>t/d</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sz w:val="24"/>
                <w:szCs w:val="24"/>
              </w:rPr>
              <w:t>按3</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0d计</w:t>
            </w:r>
            <w:r>
              <w:rPr>
                <w:rFonts w:hint="default" w:ascii="Times New Roman" w:hAnsi="Times New Roman" w:eastAsia="宋体" w:cs="Times New Roman"/>
                <w:bCs/>
                <w:color w:val="auto"/>
                <w:sz w:val="24"/>
                <w:szCs w:val="24"/>
              </w:rPr>
              <w:t>）计算，项目运输车核载运输量约为</w:t>
            </w:r>
            <w:r>
              <w:rPr>
                <w:rFonts w:hint="default"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rPr>
              <w:t>0t，</w:t>
            </w:r>
            <w:r>
              <w:rPr>
                <w:rFonts w:hint="default" w:ascii="Times New Roman" w:hAnsi="Times New Roman" w:eastAsia="宋体" w:cs="Times New Roman"/>
                <w:color w:val="auto"/>
                <w:kern w:val="0"/>
                <w:sz w:val="24"/>
                <w:szCs w:val="24"/>
              </w:rPr>
              <w:t>则平均每天</w:t>
            </w:r>
            <w:r>
              <w:rPr>
                <w:rFonts w:hint="default" w:ascii="Times New Roman" w:hAnsi="Times New Roman" w:eastAsia="宋体" w:cs="Times New Roman"/>
                <w:color w:val="auto"/>
                <w:kern w:val="0"/>
                <w:sz w:val="24"/>
                <w:szCs w:val="24"/>
                <w:lang w:val="en-US" w:eastAsia="zh-CN"/>
              </w:rPr>
              <w:t>运输量为16</w:t>
            </w:r>
            <w:r>
              <w:rPr>
                <w:rFonts w:hint="default" w:ascii="Times New Roman" w:hAnsi="Times New Roman" w:eastAsia="宋体" w:cs="Times New Roman"/>
                <w:color w:val="auto"/>
                <w:kern w:val="0"/>
                <w:sz w:val="24"/>
                <w:szCs w:val="24"/>
              </w:rPr>
              <w:t>辆（次）</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考虑进出车辆均冲洗1次，冲洗量为32次/d，</w:t>
            </w:r>
            <w:r>
              <w:rPr>
                <w:rFonts w:hint="default" w:ascii="Times New Roman" w:hAnsi="Times New Roman" w:eastAsia="宋体" w:cs="Times New Roman"/>
                <w:b w:val="0"/>
                <w:bCs/>
                <w:color w:val="auto"/>
                <w:sz w:val="24"/>
                <w:szCs w:val="24"/>
                <w:lang w:val="en-US" w:eastAsia="zh-CN"/>
              </w:rPr>
              <w:t>车辆冲洗用水按0.6m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/次计 ，则车辆冲洗用水量为19.2m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/d，5760m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/a，</w:t>
            </w:r>
            <w:r>
              <w:rPr>
                <w:rFonts w:hint="default" w:ascii="Times New Roman" w:hAnsi="Times New Roman" w:eastAsia="宋体" w:cs="Times New Roman"/>
                <w:color w:val="auto"/>
                <w:sz w:val="24"/>
                <w:szCs w:val="24"/>
                <w:lang w:val="en-US" w:eastAsia="zh-CN"/>
              </w:rPr>
              <w:t>污水量按80%计，则</w:t>
            </w:r>
            <w:r>
              <w:rPr>
                <w:rFonts w:hint="default" w:ascii="Times New Roman" w:hAnsi="Times New Roman" w:eastAsia="宋体" w:cs="Times New Roman"/>
                <w:b w:val="0"/>
                <w:bCs/>
                <w:color w:val="auto"/>
                <w:sz w:val="24"/>
                <w:szCs w:val="24"/>
                <w:lang w:val="en-US" w:eastAsia="zh-CN"/>
              </w:rPr>
              <w:t>车辆冲洗废水产生量为15.36m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/d，4608m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/a。</w:t>
            </w:r>
          </w:p>
          <w:p w14:paraId="0A8E7D23">
            <w:pPr>
              <w:keepNext w:val="0"/>
              <w:keepLines w:val="0"/>
              <w:pageBreakBefore w:val="0"/>
              <w:widowControl w:val="0"/>
              <w:kinsoku/>
              <w:wordWrap/>
              <w:overflowPunct/>
              <w:topLinePunct w:val="0"/>
              <w:autoSpaceDE/>
              <w:autoSpaceDN/>
              <w:bidi w:val="0"/>
              <w:ind w:left="0" w:firstLine="480" w:firstLineChars="200"/>
              <w:textAlignment w:val="auto"/>
              <w:outlineLvl w:val="9"/>
              <w:rPr>
                <w:rFonts w:hint="default" w:ascii="Times New Roman" w:hAnsi="Times New Roman" w:eastAsia="宋体" w:cs="Times New Roman"/>
                <w:b w:val="0"/>
                <w:bCs/>
                <w:color w:val="auto"/>
                <w:sz w:val="24"/>
                <w:szCs w:val="24"/>
              </w:rPr>
            </w:pPr>
            <w:r>
              <w:rPr>
                <w:rFonts w:hint="default" w:ascii="Times New Roman" w:hAnsi="Times New Roman" w:eastAsia="宋体" w:cs="Times New Roman"/>
                <w:color w:val="auto"/>
                <w:sz w:val="24"/>
                <w:szCs w:val="24"/>
              </w:rPr>
              <w:t>④</w:t>
            </w:r>
            <w:r>
              <w:rPr>
                <w:rFonts w:hint="default" w:ascii="Times New Roman" w:hAnsi="Times New Roman" w:eastAsia="宋体" w:cs="Times New Roman"/>
                <w:b w:val="0"/>
                <w:bCs/>
                <w:color w:val="auto"/>
                <w:sz w:val="24"/>
                <w:szCs w:val="24"/>
              </w:rPr>
              <w:t>初期雨水</w:t>
            </w:r>
          </w:p>
          <w:p w14:paraId="32E8125E">
            <w:pPr>
              <w:keepNext w:val="0"/>
              <w:keepLines w:val="0"/>
              <w:pageBreakBefore w:val="0"/>
              <w:widowControl w:val="0"/>
              <w:kinsoku/>
              <w:wordWrap/>
              <w:overflowPunct/>
              <w:topLinePunct w:val="0"/>
              <w:autoSpaceDE/>
              <w:autoSpaceDN/>
              <w:bidi w:val="0"/>
              <w:ind w:left="0" w:firstLine="480" w:firstLineChars="200"/>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项目</w:t>
            </w:r>
            <w:r>
              <w:rPr>
                <w:rFonts w:hint="default" w:ascii="Times New Roman" w:hAnsi="Times New Roman" w:eastAsia="宋体" w:cs="Times New Roman"/>
                <w:b w:val="0"/>
                <w:bCs/>
                <w:caps w:val="0"/>
                <w:color w:val="auto"/>
                <w:sz w:val="24"/>
                <w:szCs w:val="24"/>
                <w:highlight w:val="none"/>
                <w:lang w:val="en-US" w:eastAsia="zh-CN"/>
              </w:rPr>
              <w:t>厂区</w:t>
            </w:r>
            <w:r>
              <w:rPr>
                <w:rFonts w:hint="default" w:ascii="Times New Roman" w:hAnsi="Times New Roman" w:eastAsia="宋体" w:cs="Times New Roman"/>
                <w:b w:val="0"/>
                <w:bCs/>
                <w:caps w:val="0"/>
                <w:color w:val="auto"/>
                <w:sz w:val="24"/>
                <w:szCs w:val="24"/>
                <w:highlight w:val="none"/>
              </w:rPr>
              <w:t>设置雨水排水沟，在降雨初期项目区内地面冲刷会带走地面及厂房顶部污染物，初期雨水不得直接进入地表水体。</w:t>
            </w:r>
          </w:p>
          <w:p w14:paraId="2BC163E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初期雨水产生量</w:t>
            </w:r>
            <w:r>
              <w:rPr>
                <w:rFonts w:hint="default" w:ascii="Times New Roman" w:hAnsi="Times New Roman" w:eastAsia="宋体" w:cs="Times New Roman"/>
                <w:b w:val="0"/>
                <w:bCs/>
                <w:caps w:val="0"/>
                <w:color w:val="auto"/>
                <w:sz w:val="24"/>
                <w:szCs w:val="24"/>
                <w:highlight w:val="none"/>
                <w:lang w:val="en-US" w:eastAsia="zh-CN"/>
              </w:rPr>
              <w:t>根据暴雨强度</w:t>
            </w:r>
            <w:r>
              <w:rPr>
                <w:rFonts w:hint="default" w:ascii="Times New Roman" w:hAnsi="Times New Roman" w:eastAsia="宋体" w:cs="Times New Roman"/>
                <w:b w:val="0"/>
                <w:bCs/>
                <w:caps w:val="0"/>
                <w:color w:val="auto"/>
                <w:sz w:val="24"/>
                <w:szCs w:val="24"/>
                <w:highlight w:val="none"/>
              </w:rPr>
              <w:t>公式</w:t>
            </w:r>
            <w:r>
              <w:rPr>
                <w:rFonts w:hint="default" w:ascii="Times New Roman" w:hAnsi="Times New Roman" w:eastAsia="宋体" w:cs="Times New Roman"/>
                <w:b w:val="0"/>
                <w:bCs/>
                <w:caps w:val="0"/>
                <w:color w:val="auto"/>
                <w:sz w:val="24"/>
                <w:szCs w:val="24"/>
                <w:highlight w:val="none"/>
                <w:lang w:val="en-US" w:eastAsia="zh-CN"/>
              </w:rPr>
              <w:t>计算</w:t>
            </w:r>
            <w:r>
              <w:rPr>
                <w:rFonts w:hint="default" w:ascii="Times New Roman" w:hAnsi="Times New Roman" w:eastAsia="宋体" w:cs="Times New Roman"/>
                <w:b w:val="0"/>
                <w:bCs/>
                <w:caps w:val="0"/>
                <w:color w:val="auto"/>
                <w:sz w:val="24"/>
                <w:szCs w:val="24"/>
                <w:highlight w:val="none"/>
              </w:rPr>
              <w:t>：</w:t>
            </w:r>
          </w:p>
          <w:p w14:paraId="1C09CBD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olor w:val="auto"/>
                <w:position w:val="-10"/>
                <w:sz w:val="24"/>
                <w:szCs w:val="24"/>
              </w:rPr>
              <w:object>
                <v:shape id="_x0000_i1026" o:spt="75" type="#_x0000_t75" style="height:16pt;width:62.35pt;" o:ole="t" filled="f" o:preferrelative="t" stroked="f" coordsize="21600,21600">
                  <v:path/>
                  <v:fill on="f" focussize="0,0"/>
                  <v:stroke on="f"/>
                  <v:imagedata r:id="rId14" o:title=""/>
                  <o:lock v:ext="edit" aspectratio="t"/>
                  <w10:wrap type="none"/>
                  <w10:anchorlock/>
                </v:shape>
                <o:OLEObject Type="Embed" ProgID="Equation.3" ShapeID="_x0000_i1026" DrawAspect="Content" ObjectID="_1468075726" r:id="rId13">
                  <o:LockedField>false</o:LockedField>
                </o:OLEObject>
              </w:object>
            </w:r>
          </w:p>
          <w:p w14:paraId="215E8F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式中：Q—雨水流量，L/s；</w:t>
            </w:r>
          </w:p>
          <w:p w14:paraId="75C87CD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Ψ—径流系数，</w:t>
            </w:r>
            <w:r>
              <w:rPr>
                <w:rFonts w:hint="default" w:ascii="Times New Roman" w:hAnsi="Times New Roman" w:eastAsia="宋体" w:cs="Times New Roman"/>
                <w:b w:val="0"/>
                <w:bCs/>
                <w:color w:val="auto"/>
                <w:sz w:val="24"/>
                <w:szCs w:val="24"/>
              </w:rPr>
              <w:t>0.4~0.9，取0.</w:t>
            </w:r>
            <w:r>
              <w:rPr>
                <w:rFonts w:hint="default"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aps w:val="0"/>
                <w:color w:val="auto"/>
                <w:sz w:val="24"/>
                <w:szCs w:val="24"/>
                <w:highlight w:val="none"/>
              </w:rPr>
              <w:t>；</w:t>
            </w:r>
          </w:p>
          <w:p w14:paraId="30F10E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q—设计暴雨强度，L/s.hm</w:t>
            </w:r>
            <w:r>
              <w:rPr>
                <w:rFonts w:hint="default" w:ascii="Times New Roman" w:hAnsi="Times New Roman" w:eastAsia="宋体" w:cs="Times New Roman"/>
                <w:b w:val="0"/>
                <w:bCs/>
                <w:caps w:val="0"/>
                <w:color w:val="auto"/>
                <w:sz w:val="24"/>
                <w:szCs w:val="24"/>
                <w:highlight w:val="none"/>
                <w:vertAlign w:val="superscript"/>
              </w:rPr>
              <w:t>2</w:t>
            </w:r>
            <w:r>
              <w:rPr>
                <w:rFonts w:hint="default" w:ascii="Times New Roman" w:hAnsi="Times New Roman" w:eastAsia="宋体" w:cs="Times New Roman"/>
                <w:b w:val="0"/>
                <w:bCs/>
                <w:caps w:val="0"/>
                <w:color w:val="auto"/>
                <w:sz w:val="24"/>
                <w:szCs w:val="24"/>
                <w:highlight w:val="none"/>
              </w:rPr>
              <w:t>；</w:t>
            </w:r>
          </w:p>
          <w:p w14:paraId="0F7698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F—汇水面积，m</w:t>
            </w:r>
            <w:r>
              <w:rPr>
                <w:rFonts w:hint="default" w:ascii="Times New Roman" w:hAnsi="Times New Roman" w:eastAsia="宋体" w:cs="Times New Roman"/>
                <w:b w:val="0"/>
                <w:bCs/>
                <w:caps w:val="0"/>
                <w:color w:val="auto"/>
                <w:sz w:val="24"/>
                <w:szCs w:val="24"/>
                <w:highlight w:val="none"/>
                <w:vertAlign w:val="superscript"/>
              </w:rPr>
              <w:t>2</w:t>
            </w:r>
            <w:r>
              <w:rPr>
                <w:rFonts w:hint="default" w:ascii="Times New Roman" w:hAnsi="Times New Roman" w:eastAsia="宋体" w:cs="Times New Roman"/>
                <w:b w:val="0"/>
                <w:bCs/>
                <w:caps w:val="0"/>
                <w:color w:val="auto"/>
                <w:sz w:val="24"/>
                <w:szCs w:val="24"/>
                <w:highlight w:val="none"/>
              </w:rPr>
              <w:t>；项目</w:t>
            </w:r>
            <w:r>
              <w:rPr>
                <w:rFonts w:hint="default" w:ascii="Times New Roman" w:hAnsi="Times New Roman" w:eastAsia="宋体" w:cs="Times New Roman"/>
                <w:b w:val="0"/>
                <w:bCs/>
                <w:caps w:val="0"/>
                <w:color w:val="auto"/>
                <w:sz w:val="24"/>
                <w:szCs w:val="24"/>
                <w:highlight w:val="none"/>
                <w:lang w:val="en-US" w:eastAsia="zh-CN"/>
              </w:rPr>
              <w:t>汇水面积扣除建筑面积和绿化面积，即为5533</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aps w:val="0"/>
                <w:color w:val="auto"/>
                <w:sz w:val="24"/>
                <w:szCs w:val="24"/>
                <w:highlight w:val="none"/>
                <w:vertAlign w:val="superscript"/>
              </w:rPr>
              <w:t>2</w:t>
            </w:r>
            <w:r>
              <w:rPr>
                <w:rFonts w:hint="default" w:ascii="Times New Roman" w:hAnsi="Times New Roman" w:eastAsia="宋体" w:cs="Times New Roman"/>
                <w:b w:val="0"/>
                <w:bCs/>
                <w:caps w:val="0"/>
                <w:color w:val="auto"/>
                <w:sz w:val="24"/>
                <w:szCs w:val="24"/>
                <w:highlight w:val="none"/>
                <w:lang w:val="en-US" w:eastAsia="zh-CN"/>
              </w:rPr>
              <w:t>，约0.5533h</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aps w:val="0"/>
                <w:color w:val="auto"/>
                <w:sz w:val="24"/>
                <w:szCs w:val="24"/>
                <w:highlight w:val="none"/>
                <w:vertAlign w:val="superscript"/>
              </w:rPr>
              <w:t>2</w:t>
            </w:r>
            <w:r>
              <w:rPr>
                <w:rFonts w:hint="default" w:ascii="Times New Roman" w:hAnsi="Times New Roman" w:eastAsia="宋体" w:cs="Times New Roman"/>
                <w:b w:val="0"/>
                <w:bCs/>
                <w:caps w:val="0"/>
                <w:color w:val="auto"/>
                <w:sz w:val="24"/>
                <w:szCs w:val="24"/>
                <w:highlight w:val="none"/>
                <w:lang w:val="en-US" w:eastAsia="zh-CN"/>
              </w:rPr>
              <w:t>；</w:t>
            </w:r>
          </w:p>
          <w:p w14:paraId="47CE6F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lang w:val="en-US" w:eastAsia="zh-CN"/>
              </w:rPr>
              <w:t>由于峨山无</w:t>
            </w:r>
            <w:r>
              <w:rPr>
                <w:rFonts w:hint="default" w:ascii="Times New Roman" w:hAnsi="Times New Roman" w:eastAsia="宋体" w:cs="Times New Roman"/>
                <w:b w:val="0"/>
                <w:bCs/>
                <w:caps w:val="0"/>
                <w:color w:val="auto"/>
                <w:sz w:val="24"/>
                <w:szCs w:val="24"/>
                <w:highlight w:val="none"/>
              </w:rPr>
              <w:t>降雨强度</w:t>
            </w:r>
            <w:r>
              <w:rPr>
                <w:rFonts w:hint="default" w:ascii="Times New Roman" w:hAnsi="Times New Roman" w:eastAsia="宋体" w:cs="Times New Roman"/>
                <w:b w:val="0"/>
                <w:bCs/>
                <w:caps w:val="0"/>
                <w:color w:val="auto"/>
                <w:sz w:val="24"/>
                <w:szCs w:val="24"/>
                <w:highlight w:val="none"/>
                <w:lang w:val="en-US" w:eastAsia="zh-CN"/>
              </w:rPr>
              <w:t>公式，因此参照距离项目区最近的玉溪市</w:t>
            </w:r>
            <w:r>
              <w:rPr>
                <w:rFonts w:hint="default" w:ascii="Times New Roman" w:hAnsi="Times New Roman" w:eastAsia="宋体" w:cs="Times New Roman"/>
                <w:b w:val="0"/>
                <w:bCs/>
                <w:caps w:val="0"/>
                <w:color w:val="auto"/>
                <w:sz w:val="24"/>
                <w:szCs w:val="24"/>
                <w:highlight w:val="none"/>
              </w:rPr>
              <w:t>暴雨强度公式计算：</w:t>
            </w:r>
          </w:p>
          <w:p w14:paraId="4C8B03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b w:val="0"/>
                <w:bCs/>
                <w:caps w:val="0"/>
                <w:color w:val="auto"/>
                <w:sz w:val="24"/>
                <w:szCs w:val="24"/>
                <w:highlight w:val="none"/>
              </w:rPr>
            </w:pPr>
            <m:oMathPara>
              <m:oMath>
                <m:r>
                  <m:rPr>
                    <m:nor/>
                    <m:sty m:val="p"/>
                  </m:rPr>
                  <w:rPr>
                    <w:rFonts w:hint="default" w:ascii="Times New Roman" w:hAnsi="Times New Roman" w:eastAsia="宋体" w:cs="Times New Roman"/>
                    <w:b w:val="0"/>
                    <w:i w:val="0"/>
                    <w:color w:val="auto"/>
                    <w:kern w:val="2"/>
                    <w:sz w:val="24"/>
                    <w:szCs w:val="24"/>
                    <w:lang w:val="en-US" w:eastAsia="zh-CN" w:bidi="ar-SA"/>
                  </w:rPr>
                  <m:t>q=</m:t>
                </m:r>
                <m:f>
                  <m:fPr>
                    <m:ctrlPr>
                      <w:rPr>
                        <w:rFonts w:hint="default" w:ascii="Cambria Math" w:hAnsi="Cambria Math" w:eastAsia="宋体" w:cs="Times New Roman"/>
                        <w:b w:val="0"/>
                        <w:bCs/>
                        <w:color w:val="auto"/>
                        <w:kern w:val="2"/>
                        <w:sz w:val="24"/>
                        <w:szCs w:val="24"/>
                        <w:lang w:val="en-US" w:eastAsia="zh-CN" w:bidi="ar-SA"/>
                      </w:rPr>
                    </m:ctrlPr>
                  </m:fPr>
                  <m:num>
                    <m:r>
                      <m:rPr>
                        <m:nor/>
                        <m:sty m:val="p"/>
                      </m:rPr>
                      <w:rPr>
                        <w:rFonts w:hint="default" w:ascii="Times New Roman" w:hAnsi="Times New Roman" w:eastAsia="宋体" w:cs="Times New Roman"/>
                        <w:b w:val="0"/>
                        <w:i w:val="0"/>
                        <w:color w:val="auto"/>
                        <w:kern w:val="2"/>
                        <w:sz w:val="24"/>
                        <w:szCs w:val="24"/>
                        <w:lang w:val="en-US" w:eastAsia="zh-CN" w:bidi="ar-SA"/>
                      </w:rPr>
                      <m:t>2870.58</m:t>
                    </m:r>
                    <m:r>
                      <m:rPr>
                        <m:nor/>
                        <m:sty m:val="p"/>
                      </m:rPr>
                      <w:rPr>
                        <w:rFonts w:hint="default" w:ascii="Times New Roman" w:hAnsi="Times New Roman" w:eastAsia="宋体" w:cs="Times New Roman"/>
                        <w:b w:val="0"/>
                        <w:i w:val="0"/>
                        <w:color w:val="auto"/>
                        <w:kern w:val="2"/>
                        <w:sz w:val="24"/>
                        <w:szCs w:val="24"/>
                        <w:lang w:val="en-US" w:bidi="ar-SA"/>
                      </w:rPr>
                      <m:t>×</m:t>
                    </m:r>
                    <m:r>
                      <m:rPr>
                        <m:nor/>
                        <m:sty m:val="p"/>
                      </m:rPr>
                      <w:rPr>
                        <w:rFonts w:hint="default" w:ascii="Times New Roman" w:hAnsi="Times New Roman" w:eastAsia="宋体" w:cs="Times New Roman"/>
                        <w:b w:val="0"/>
                        <w:i w:val="0"/>
                        <w:color w:val="auto"/>
                        <w:kern w:val="2"/>
                        <w:sz w:val="24"/>
                        <w:szCs w:val="24"/>
                        <w:lang w:val="en-US" w:eastAsia="zh-CN" w:bidi="ar-SA"/>
                      </w:rPr>
                      <m:t>(1+0.633lgP)</m:t>
                    </m:r>
                    <m:ctrlPr>
                      <w:rPr>
                        <w:rFonts w:hint="default" w:ascii="Cambria Math" w:hAnsi="Cambria Math" w:eastAsia="宋体" w:cs="Times New Roman"/>
                        <w:b w:val="0"/>
                        <w:bCs/>
                        <w:color w:val="auto"/>
                        <w:kern w:val="2"/>
                        <w:sz w:val="24"/>
                        <w:szCs w:val="24"/>
                        <w:lang w:val="en-US" w:eastAsia="zh-CN" w:bidi="ar-SA"/>
                      </w:rPr>
                    </m:ctrlPr>
                  </m:num>
                  <m:den>
                    <m:sSup>
                      <m:sSupPr>
                        <m:ctrlPr>
                          <w:rPr>
                            <w:rFonts w:hint="default" w:ascii="Cambria Math" w:hAnsi="Cambria Math" w:eastAsia="宋体" w:cs="Times New Roman"/>
                            <w:b w:val="0"/>
                            <w:bCs/>
                            <w:color w:val="auto"/>
                            <w:kern w:val="2"/>
                            <w:sz w:val="24"/>
                            <w:szCs w:val="24"/>
                            <w:lang w:val="en-US" w:eastAsia="zh-CN" w:bidi="ar-SA"/>
                          </w:rPr>
                        </m:ctrlPr>
                      </m:sSupPr>
                      <m:e>
                        <m:r>
                          <m:rPr>
                            <m:nor/>
                            <m:sty m:val="p"/>
                          </m:rPr>
                          <w:rPr>
                            <w:rFonts w:hint="default" w:ascii="Times New Roman" w:hAnsi="Times New Roman" w:eastAsia="宋体" w:cs="Times New Roman"/>
                            <w:b w:val="0"/>
                            <w:i w:val="0"/>
                            <w:color w:val="auto"/>
                            <w:kern w:val="2"/>
                            <w:sz w:val="24"/>
                            <w:szCs w:val="24"/>
                            <w:lang w:val="en-US" w:eastAsia="zh-CN" w:bidi="ar-SA"/>
                          </w:rPr>
                          <m:t>(t+14.742)</m:t>
                        </m:r>
                        <m:ctrlPr>
                          <w:rPr>
                            <w:rFonts w:hint="default" w:ascii="Cambria Math" w:hAnsi="Cambria Math" w:eastAsia="宋体" w:cs="Times New Roman"/>
                            <w:b w:val="0"/>
                            <w:bCs/>
                            <w:color w:val="auto"/>
                            <w:kern w:val="2"/>
                            <w:sz w:val="24"/>
                            <w:szCs w:val="24"/>
                            <w:lang w:val="en-US" w:eastAsia="zh-CN" w:bidi="ar-SA"/>
                          </w:rPr>
                        </m:ctrlPr>
                      </m:e>
                      <m:sup>
                        <m:r>
                          <m:rPr>
                            <m:nor/>
                            <m:sty m:val="p"/>
                          </m:rPr>
                          <w:rPr>
                            <w:rFonts w:hint="default" w:ascii="Times New Roman" w:hAnsi="Times New Roman" w:eastAsia="宋体" w:cs="Times New Roman"/>
                            <w:b w:val="0"/>
                            <w:i w:val="0"/>
                            <w:color w:val="auto"/>
                            <w:kern w:val="2"/>
                            <w:sz w:val="24"/>
                            <w:szCs w:val="24"/>
                            <w:lang w:val="en-US" w:eastAsia="zh-CN" w:bidi="ar-SA"/>
                          </w:rPr>
                          <m:t>0.818</m:t>
                        </m:r>
                        <m:ctrlPr>
                          <w:rPr>
                            <w:rFonts w:hint="default" w:ascii="Cambria Math" w:hAnsi="Cambria Math" w:eastAsia="宋体" w:cs="Times New Roman"/>
                            <w:b w:val="0"/>
                            <w:bCs/>
                            <w:color w:val="auto"/>
                            <w:kern w:val="2"/>
                            <w:sz w:val="24"/>
                            <w:szCs w:val="24"/>
                            <w:lang w:val="en-US" w:eastAsia="zh-CN" w:bidi="ar-SA"/>
                          </w:rPr>
                        </m:ctrlPr>
                      </m:sup>
                    </m:sSup>
                    <m:ctrlPr>
                      <w:rPr>
                        <w:rFonts w:hint="default" w:ascii="Cambria Math" w:hAnsi="Cambria Math" w:eastAsia="宋体" w:cs="Times New Roman"/>
                        <w:b w:val="0"/>
                        <w:bCs/>
                        <w:color w:val="auto"/>
                        <w:kern w:val="2"/>
                        <w:sz w:val="24"/>
                        <w:szCs w:val="24"/>
                        <w:lang w:val="en-US" w:eastAsia="zh-CN" w:bidi="ar-SA"/>
                      </w:rPr>
                    </m:ctrlPr>
                  </m:den>
                </m:f>
              </m:oMath>
            </m:oMathPara>
          </w:p>
          <w:p w14:paraId="2E7376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式中：P—设计降雨重现期</w:t>
            </w:r>
            <w:r>
              <w:rPr>
                <w:rFonts w:hint="default" w:ascii="Times New Roman" w:hAnsi="Times New Roman" w:eastAsia="宋体" w:cs="Times New Roman"/>
                <w:b w:val="0"/>
                <w:bCs/>
                <w:caps w:val="0"/>
                <w:color w:val="auto"/>
                <w:sz w:val="24"/>
                <w:szCs w:val="24"/>
                <w:highlight w:val="none"/>
                <w:lang w:val="en-US" w:eastAsia="zh-CN"/>
              </w:rPr>
              <w:t>1</w:t>
            </w:r>
            <w:r>
              <w:rPr>
                <w:rFonts w:hint="default" w:ascii="Times New Roman" w:hAnsi="Times New Roman" w:eastAsia="宋体" w:cs="Times New Roman"/>
                <w:b w:val="0"/>
                <w:bCs/>
                <w:caps w:val="0"/>
                <w:color w:val="auto"/>
                <w:sz w:val="24"/>
                <w:szCs w:val="24"/>
                <w:highlight w:val="none"/>
              </w:rPr>
              <w:t>a，</w:t>
            </w:r>
          </w:p>
          <w:p w14:paraId="12A5FB3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t—降雨历时（取15min）。</w:t>
            </w:r>
          </w:p>
          <w:p w14:paraId="5C1579EA">
            <w:pPr>
              <w:pStyle w:val="1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eastAsia="宋体" w:cs="Times New Roman"/>
                <w:b w:val="0"/>
                <w:bCs/>
                <w:caps w:val="0"/>
                <w:color w:val="auto"/>
                <w:sz w:val="24"/>
                <w:szCs w:val="24"/>
                <w:highlight w:val="none"/>
              </w:rPr>
            </w:pPr>
            <w:r>
              <w:rPr>
                <w:rFonts w:hint="default" w:ascii="Times New Roman" w:hAnsi="Times New Roman" w:eastAsia="宋体" w:cs="Times New Roman"/>
                <w:b w:val="0"/>
                <w:bCs/>
                <w:caps w:val="0"/>
                <w:color w:val="auto"/>
                <w:sz w:val="24"/>
                <w:szCs w:val="24"/>
                <w:highlight w:val="none"/>
              </w:rPr>
              <w:t>按照</w:t>
            </w:r>
            <w:r>
              <w:rPr>
                <w:rFonts w:hint="default" w:ascii="Times New Roman" w:hAnsi="Times New Roman" w:eastAsia="宋体" w:cs="Times New Roman"/>
                <w:b w:val="0"/>
                <w:bCs/>
                <w:caps w:val="0"/>
                <w:color w:val="auto"/>
                <w:sz w:val="24"/>
                <w:szCs w:val="24"/>
                <w:highlight w:val="none"/>
                <w:lang w:val="en-US" w:eastAsia="zh-CN"/>
              </w:rPr>
              <w:t>上述</w:t>
            </w:r>
            <w:r>
              <w:rPr>
                <w:rFonts w:hint="default" w:ascii="Times New Roman" w:hAnsi="Times New Roman" w:eastAsia="宋体" w:cs="Times New Roman"/>
                <w:b w:val="0"/>
                <w:bCs/>
                <w:caps w:val="0"/>
                <w:color w:val="auto"/>
                <w:sz w:val="24"/>
                <w:szCs w:val="24"/>
                <w:highlight w:val="none"/>
              </w:rPr>
              <w:t>公式，可以估算出暴雨强度为</w:t>
            </w:r>
            <w:r>
              <w:rPr>
                <w:rFonts w:hint="default" w:ascii="Times New Roman" w:hAnsi="Times New Roman" w:eastAsia="宋体" w:cs="Times New Roman"/>
                <w:b w:val="0"/>
                <w:bCs/>
                <w:color w:val="auto"/>
                <w:sz w:val="24"/>
                <w:szCs w:val="24"/>
              </w:rPr>
              <w:t>178.96</w:t>
            </w:r>
            <w:r>
              <w:rPr>
                <w:rFonts w:hint="default" w:ascii="Times New Roman" w:hAnsi="Times New Roman" w:eastAsia="宋体" w:cs="Times New Roman"/>
                <w:b w:val="0"/>
                <w:bCs/>
                <w:caps w:val="0"/>
                <w:color w:val="auto"/>
                <w:sz w:val="24"/>
                <w:szCs w:val="24"/>
                <w:highlight w:val="none"/>
                <w:lang w:val="en-US" w:eastAsia="zh-CN"/>
              </w:rPr>
              <w:t>L</w:t>
            </w:r>
            <w:r>
              <w:rPr>
                <w:rFonts w:hint="default" w:ascii="Times New Roman" w:hAnsi="Times New Roman" w:eastAsia="宋体" w:cs="Times New Roman"/>
                <w:b w:val="0"/>
                <w:bCs/>
                <w:caps w:val="0"/>
                <w:color w:val="auto"/>
                <w:sz w:val="24"/>
                <w:szCs w:val="24"/>
                <w:highlight w:val="none"/>
              </w:rPr>
              <w:t>/</w:t>
            </w:r>
            <w:r>
              <w:rPr>
                <w:rFonts w:hint="default" w:ascii="Times New Roman" w:hAnsi="Times New Roman" w:eastAsia="宋体" w:cs="Times New Roman"/>
                <w:b w:val="0"/>
                <w:bCs/>
                <w:caps w:val="0"/>
                <w:color w:val="auto"/>
                <w:sz w:val="24"/>
                <w:szCs w:val="24"/>
                <w:highlight w:val="none"/>
                <w:lang w:val="en-US" w:eastAsia="zh-CN"/>
              </w:rPr>
              <w:t>s</w:t>
            </w:r>
            <w:r>
              <w:rPr>
                <w:rFonts w:hint="default" w:ascii="Times New Roman" w:hAnsi="Times New Roman" w:eastAsia="宋体" w:cs="Times New Roman"/>
                <w:b w:val="0"/>
                <w:bCs/>
                <w:caps w:val="0"/>
                <w:color w:val="auto"/>
                <w:sz w:val="24"/>
                <w:szCs w:val="24"/>
                <w:highlight w:val="none"/>
              </w:rPr>
              <w:t>.hm</w:t>
            </w:r>
            <w:r>
              <w:rPr>
                <w:rFonts w:hint="default" w:ascii="Times New Roman" w:hAnsi="Times New Roman" w:eastAsia="宋体" w:cs="Times New Roman"/>
                <w:b w:val="0"/>
                <w:bCs/>
                <w:caps w:val="0"/>
                <w:color w:val="auto"/>
                <w:sz w:val="24"/>
                <w:szCs w:val="24"/>
                <w:highlight w:val="none"/>
                <w:vertAlign w:val="superscript"/>
              </w:rPr>
              <w:t>2</w:t>
            </w:r>
            <w:r>
              <w:rPr>
                <w:rFonts w:hint="default" w:ascii="Times New Roman" w:hAnsi="Times New Roman" w:eastAsia="宋体" w:cs="Times New Roman"/>
                <w:b w:val="0"/>
                <w:bCs/>
                <w:caps w:val="0"/>
                <w:color w:val="auto"/>
                <w:sz w:val="24"/>
                <w:szCs w:val="24"/>
                <w:highlight w:val="none"/>
              </w:rPr>
              <w:t>，初期雨水量为</w:t>
            </w:r>
            <w:r>
              <w:rPr>
                <w:rFonts w:hint="default" w:ascii="Times New Roman" w:hAnsi="Times New Roman" w:eastAsia="宋体" w:cs="Times New Roman"/>
                <w:b w:val="0"/>
                <w:bCs/>
                <w:caps w:val="0"/>
                <w:color w:val="auto"/>
                <w:sz w:val="24"/>
                <w:szCs w:val="24"/>
                <w:highlight w:val="none"/>
                <w:lang w:val="en-US" w:eastAsia="zh-CN"/>
              </w:rPr>
              <w:t>49.51</w:t>
            </w:r>
            <w:r>
              <w:rPr>
                <w:rFonts w:hint="default" w:ascii="Times New Roman" w:hAnsi="Times New Roman" w:eastAsia="宋体" w:cs="Times New Roman"/>
                <w:b w:val="0"/>
                <w:bCs/>
                <w:caps w:val="0"/>
                <w:color w:val="auto"/>
                <w:sz w:val="24"/>
                <w:szCs w:val="24"/>
                <w:highlight w:val="none"/>
              </w:rPr>
              <w:t>L/s。</w:t>
            </w:r>
            <w:r>
              <w:rPr>
                <w:rFonts w:hint="default" w:ascii="Times New Roman" w:hAnsi="Times New Roman" w:eastAsia="宋体" w:cs="Times New Roman"/>
                <w:b w:val="0"/>
                <w:bCs/>
                <w:caps w:val="0"/>
                <w:color w:val="auto"/>
                <w:sz w:val="24"/>
                <w:szCs w:val="24"/>
                <w:highlight w:val="none"/>
                <w:lang w:val="en-US" w:eastAsia="zh-CN"/>
              </w:rPr>
              <w:t>考虑</w:t>
            </w:r>
            <w:r>
              <w:rPr>
                <w:rFonts w:hint="default" w:ascii="Times New Roman" w:hAnsi="Times New Roman" w:eastAsia="宋体" w:cs="Times New Roman"/>
                <w:b w:val="0"/>
                <w:bCs/>
                <w:caps w:val="0"/>
                <w:color w:val="auto"/>
                <w:sz w:val="24"/>
                <w:szCs w:val="24"/>
                <w:highlight w:val="none"/>
              </w:rPr>
              <w:t>收集</w:t>
            </w:r>
            <w:r>
              <w:rPr>
                <w:rFonts w:hint="default" w:ascii="Times New Roman" w:hAnsi="Times New Roman" w:eastAsia="宋体" w:cs="Times New Roman"/>
                <w:b w:val="0"/>
                <w:bCs/>
                <w:caps w:val="0"/>
                <w:color w:val="auto"/>
                <w:sz w:val="24"/>
                <w:szCs w:val="24"/>
                <w:highlight w:val="none"/>
                <w:lang w:val="en-US" w:eastAsia="zh-CN"/>
              </w:rPr>
              <w:t>暴雨</w:t>
            </w:r>
            <w:r>
              <w:rPr>
                <w:rFonts w:hint="default" w:ascii="Times New Roman" w:hAnsi="Times New Roman" w:eastAsia="宋体" w:cs="Times New Roman"/>
                <w:b w:val="0"/>
                <w:bCs/>
                <w:caps w:val="0"/>
                <w:color w:val="auto"/>
                <w:sz w:val="24"/>
                <w:szCs w:val="24"/>
                <w:highlight w:val="none"/>
              </w:rPr>
              <w:t>前</w:t>
            </w:r>
            <w:r>
              <w:rPr>
                <w:rFonts w:hint="default" w:ascii="Times New Roman" w:hAnsi="Times New Roman" w:eastAsia="宋体" w:cs="Times New Roman"/>
                <w:b w:val="0"/>
                <w:bCs/>
                <w:caps w:val="0"/>
                <w:color w:val="auto"/>
                <w:sz w:val="24"/>
                <w:szCs w:val="24"/>
                <w:highlight w:val="none"/>
                <w:lang w:val="en-US" w:eastAsia="zh-CN"/>
              </w:rPr>
              <w:t>15</w:t>
            </w:r>
            <w:r>
              <w:rPr>
                <w:rFonts w:hint="default" w:ascii="Times New Roman" w:hAnsi="Times New Roman" w:eastAsia="宋体" w:cs="Times New Roman"/>
                <w:b w:val="0"/>
                <w:bCs/>
                <w:caps w:val="0"/>
                <w:color w:val="auto"/>
                <w:sz w:val="24"/>
                <w:szCs w:val="24"/>
                <w:highlight w:val="none"/>
              </w:rPr>
              <w:t>min的初期雨水</w:t>
            </w:r>
            <w:r>
              <w:rPr>
                <w:rFonts w:hint="default" w:ascii="Times New Roman" w:hAnsi="Times New Roman" w:eastAsia="宋体" w:cs="Times New Roman"/>
                <w:b w:val="0"/>
                <w:bCs/>
                <w:caps w:val="0"/>
                <w:color w:val="auto"/>
                <w:sz w:val="24"/>
                <w:szCs w:val="24"/>
                <w:highlight w:val="none"/>
                <w:lang w:eastAsia="zh-CN"/>
              </w:rPr>
              <w:t>（</w:t>
            </w:r>
            <w:r>
              <w:rPr>
                <w:rFonts w:hint="default" w:ascii="Times New Roman" w:hAnsi="Times New Roman" w:eastAsia="宋体" w:cs="Times New Roman"/>
                <w:b w:val="0"/>
                <w:bCs/>
                <w:caps w:val="0"/>
                <w:color w:val="auto"/>
                <w:sz w:val="24"/>
                <w:szCs w:val="24"/>
                <w:highlight w:val="none"/>
                <w:lang w:val="en-US" w:eastAsia="zh-CN"/>
              </w:rPr>
              <w:t>44.56</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aps w:val="0"/>
                <w:color w:val="auto"/>
                <w:sz w:val="24"/>
                <w:szCs w:val="24"/>
                <w:highlight w:val="none"/>
                <w:vertAlign w:val="superscript"/>
              </w:rPr>
              <w:t>3</w:t>
            </w:r>
            <w:r>
              <w:rPr>
                <w:rFonts w:hint="default" w:ascii="Times New Roman" w:hAnsi="Times New Roman" w:eastAsia="宋体" w:cs="Times New Roman"/>
                <w:b w:val="0"/>
                <w:bCs/>
                <w:caps w:val="0"/>
                <w:color w:val="auto"/>
                <w:sz w:val="24"/>
                <w:szCs w:val="24"/>
                <w:highlight w:val="none"/>
              </w:rPr>
              <w:t>/次</w:t>
            </w:r>
            <w:r>
              <w:rPr>
                <w:rFonts w:hint="default" w:ascii="Times New Roman" w:hAnsi="Times New Roman" w:eastAsia="宋体" w:cs="Times New Roman"/>
                <w:b w:val="0"/>
                <w:bCs/>
                <w:caps w:val="0"/>
                <w:color w:val="auto"/>
                <w:sz w:val="24"/>
                <w:szCs w:val="24"/>
                <w:highlight w:val="none"/>
                <w:lang w:eastAsia="zh-CN"/>
              </w:rPr>
              <w:t>）</w:t>
            </w:r>
            <w:r>
              <w:rPr>
                <w:rFonts w:hint="default" w:ascii="Times New Roman" w:hAnsi="Times New Roman" w:eastAsia="宋体" w:cs="Times New Roman"/>
                <w:b w:val="0"/>
                <w:bCs/>
                <w:caps w:val="0"/>
                <w:color w:val="auto"/>
                <w:sz w:val="24"/>
                <w:szCs w:val="24"/>
                <w:highlight w:val="none"/>
              </w:rPr>
              <w:t>，故项目</w:t>
            </w:r>
            <w:r>
              <w:rPr>
                <w:rFonts w:hint="default" w:ascii="Times New Roman" w:hAnsi="Times New Roman" w:eastAsia="宋体" w:cs="Times New Roman"/>
                <w:b w:val="0"/>
                <w:bCs/>
                <w:caps w:val="0"/>
                <w:color w:val="auto"/>
                <w:sz w:val="24"/>
                <w:szCs w:val="24"/>
                <w:highlight w:val="none"/>
                <w:lang w:val="en-US" w:eastAsia="zh-CN"/>
              </w:rPr>
              <w:t>在</w:t>
            </w:r>
            <w:r>
              <w:rPr>
                <w:rFonts w:hint="default" w:ascii="Times New Roman" w:hAnsi="Times New Roman" w:eastAsia="宋体" w:cs="Times New Roman"/>
                <w:b w:val="0"/>
                <w:bCs/>
                <w:caps w:val="0"/>
                <w:color w:val="auto"/>
                <w:sz w:val="24"/>
                <w:szCs w:val="24"/>
                <w:highlight w:val="none"/>
              </w:rPr>
              <w:t>厂区设置容积不低于</w:t>
            </w:r>
            <w:r>
              <w:rPr>
                <w:rFonts w:hint="default" w:ascii="Times New Roman" w:hAnsi="Times New Roman" w:eastAsia="宋体" w:cs="Times New Roman"/>
                <w:b w:val="0"/>
                <w:bCs/>
                <w:caps w:val="0"/>
                <w:color w:val="auto"/>
                <w:sz w:val="24"/>
                <w:szCs w:val="24"/>
                <w:highlight w:val="none"/>
                <w:lang w:val="en-US" w:eastAsia="zh-CN"/>
              </w:rPr>
              <w:t>53.47</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aps w:val="0"/>
                <w:color w:val="auto"/>
                <w:sz w:val="24"/>
                <w:szCs w:val="24"/>
                <w:highlight w:val="none"/>
                <w:vertAlign w:val="superscript"/>
              </w:rPr>
              <w:t>3</w:t>
            </w:r>
            <w:r>
              <w:rPr>
                <w:rFonts w:hint="default" w:ascii="Times New Roman" w:hAnsi="Times New Roman" w:eastAsia="宋体" w:cs="Times New Roman"/>
                <w:b w:val="0"/>
                <w:bCs/>
                <w:caps w:val="0"/>
                <w:color w:val="auto"/>
                <w:sz w:val="24"/>
                <w:szCs w:val="24"/>
                <w:highlight w:val="none"/>
              </w:rPr>
              <w:t>的初期雨水收集池（以1.2的容积剩余系数计算）</w:t>
            </w:r>
            <w:r>
              <w:rPr>
                <w:rFonts w:hint="default" w:ascii="Times New Roman" w:hAnsi="Times New Roman" w:eastAsia="宋体" w:cs="Times New Roman"/>
                <w:b w:val="0"/>
                <w:bCs/>
                <w:caps w:val="0"/>
                <w:color w:val="auto"/>
                <w:sz w:val="24"/>
                <w:szCs w:val="24"/>
                <w:highlight w:val="none"/>
                <w:lang w:eastAsia="zh-CN"/>
              </w:rPr>
              <w:t>。</w:t>
            </w:r>
            <w:r>
              <w:rPr>
                <w:rFonts w:hint="default" w:ascii="Times New Roman" w:hAnsi="Times New Roman" w:eastAsia="宋体" w:cs="Times New Roman"/>
                <w:b w:val="0"/>
                <w:bCs/>
                <w:caps w:val="0"/>
                <w:color w:val="auto"/>
                <w:sz w:val="24"/>
                <w:szCs w:val="24"/>
                <w:highlight w:val="none"/>
                <w:lang w:val="en-US" w:eastAsia="zh-CN"/>
              </w:rPr>
              <w:t>本项目拟设置1个容积为60m</w:t>
            </w:r>
            <w:r>
              <w:rPr>
                <w:rFonts w:hint="default" w:ascii="Times New Roman" w:hAnsi="Times New Roman" w:eastAsia="宋体" w:cs="Times New Roman"/>
                <w:b w:val="0"/>
                <w:bCs/>
                <w:caps w:val="0"/>
                <w:color w:val="auto"/>
                <w:sz w:val="24"/>
                <w:szCs w:val="24"/>
                <w:highlight w:val="none"/>
                <w:vertAlign w:val="superscript"/>
                <w:lang w:val="en-US" w:eastAsia="zh-CN"/>
              </w:rPr>
              <w:t>3</w:t>
            </w:r>
            <w:r>
              <w:rPr>
                <w:rFonts w:hint="default" w:ascii="Times New Roman" w:hAnsi="Times New Roman" w:eastAsia="宋体" w:cs="Times New Roman"/>
                <w:b w:val="0"/>
                <w:bCs/>
                <w:caps w:val="0"/>
                <w:color w:val="auto"/>
                <w:sz w:val="24"/>
                <w:szCs w:val="24"/>
                <w:highlight w:val="none"/>
                <w:lang w:val="en-US" w:eastAsia="zh-CN"/>
              </w:rPr>
              <w:t>的初期雨水收集池，</w:t>
            </w:r>
            <w:r>
              <w:rPr>
                <w:rFonts w:hint="default" w:ascii="Times New Roman" w:hAnsi="Times New Roman" w:eastAsia="宋体" w:cs="Times New Roman"/>
                <w:b w:val="0"/>
                <w:bCs/>
                <w:color w:val="auto"/>
                <w:sz w:val="24"/>
                <w:szCs w:val="24"/>
              </w:rPr>
              <w:t>本次环评建议</w:t>
            </w:r>
            <w:r>
              <w:rPr>
                <w:rFonts w:hint="default" w:ascii="Times New Roman" w:hAnsi="Times New Roman" w:eastAsia="宋体" w:cs="Times New Roman"/>
                <w:b w:val="0"/>
                <w:bCs/>
                <w:color w:val="auto"/>
                <w:sz w:val="24"/>
                <w:szCs w:val="24"/>
                <w:lang w:val="en-US" w:eastAsia="zh-CN"/>
              </w:rPr>
              <w:t>整个厂区地面硬化，设置截流沟，初期雨水经截流沟排至初期雨水收集池（60m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），初期雨水经沉淀后，回用于厂区洒水降尘不外排</w:t>
            </w:r>
            <w:r>
              <w:rPr>
                <w:rFonts w:hint="default" w:ascii="Times New Roman" w:hAnsi="Times New Roman" w:eastAsia="宋体" w:cs="Times New Roman"/>
                <w:b w:val="0"/>
                <w:bCs/>
                <w:caps w:val="0"/>
                <w:color w:val="auto"/>
                <w:sz w:val="24"/>
                <w:szCs w:val="24"/>
                <w:highlight w:val="none"/>
              </w:rPr>
              <w:t>。</w:t>
            </w:r>
          </w:p>
          <w:p w14:paraId="59F615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aps w:val="0"/>
                <w:color w:val="auto"/>
                <w:sz w:val="24"/>
                <w:szCs w:val="24"/>
                <w:highlight w:val="none"/>
                <w:lang w:val="en-US" w:eastAsia="zh-CN"/>
              </w:rPr>
              <w:t>项目雨天按60d计，产生的初期雨水为44.56</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aps w:val="0"/>
                <w:color w:val="auto"/>
                <w:sz w:val="24"/>
                <w:szCs w:val="24"/>
                <w:highlight w:val="none"/>
                <w:vertAlign w:val="superscript"/>
              </w:rPr>
              <w:t>3</w:t>
            </w:r>
            <w:r>
              <w:rPr>
                <w:rFonts w:hint="default" w:ascii="Times New Roman" w:hAnsi="Times New Roman" w:eastAsia="宋体" w:cs="Times New Roman"/>
                <w:b w:val="0"/>
                <w:bCs/>
                <w:caps w:val="0"/>
                <w:color w:val="auto"/>
                <w:sz w:val="24"/>
                <w:szCs w:val="24"/>
                <w:highlight w:val="none"/>
              </w:rPr>
              <w:t>/次</w:t>
            </w:r>
            <w:r>
              <w:rPr>
                <w:rFonts w:hint="default" w:ascii="Times New Roman" w:hAnsi="Times New Roman" w:eastAsia="宋体" w:cs="Times New Roman"/>
                <w:b w:val="0"/>
                <w:bCs/>
                <w:caps w:val="0"/>
                <w:color w:val="auto"/>
                <w:sz w:val="24"/>
                <w:szCs w:val="24"/>
                <w:highlight w:val="none"/>
                <w:lang w:eastAsia="zh-CN"/>
              </w:rPr>
              <w:t>，</w:t>
            </w:r>
            <w:r>
              <w:rPr>
                <w:rFonts w:hint="default" w:ascii="Times New Roman" w:hAnsi="Times New Roman" w:eastAsia="宋体" w:cs="Times New Roman"/>
                <w:b w:val="0"/>
                <w:bCs/>
                <w:caps w:val="0"/>
                <w:color w:val="auto"/>
                <w:sz w:val="24"/>
                <w:szCs w:val="24"/>
                <w:highlight w:val="none"/>
                <w:lang w:val="en-US" w:eastAsia="zh-CN"/>
              </w:rPr>
              <w:t>项目产生的初期雨水量为2673.6m</w:t>
            </w:r>
            <w:r>
              <w:rPr>
                <w:rFonts w:hint="default" w:ascii="Times New Roman" w:hAnsi="Times New Roman" w:eastAsia="宋体" w:cs="Times New Roman"/>
                <w:b w:val="0"/>
                <w:bCs/>
                <w:caps w:val="0"/>
                <w:color w:val="auto"/>
                <w:sz w:val="24"/>
                <w:szCs w:val="24"/>
                <w:highlight w:val="none"/>
                <w:vertAlign w:val="superscript"/>
                <w:lang w:val="en-US" w:eastAsia="zh-CN"/>
              </w:rPr>
              <w:t>3</w:t>
            </w:r>
            <w:r>
              <w:rPr>
                <w:rFonts w:hint="default" w:ascii="Times New Roman" w:hAnsi="Times New Roman" w:eastAsia="宋体" w:cs="Times New Roman"/>
                <w:b w:val="0"/>
                <w:bCs/>
                <w:caps w:val="0"/>
                <w:color w:val="auto"/>
                <w:sz w:val="24"/>
                <w:szCs w:val="24"/>
                <w:highlight w:val="none"/>
                <w:lang w:val="en-US" w:eastAsia="zh-CN"/>
              </w:rPr>
              <w:t>/a，8.9m</w:t>
            </w:r>
            <w:r>
              <w:rPr>
                <w:rFonts w:hint="default" w:ascii="Times New Roman" w:hAnsi="Times New Roman" w:eastAsia="宋体" w:cs="Times New Roman"/>
                <w:b w:val="0"/>
                <w:bCs/>
                <w:caps w:val="0"/>
                <w:color w:val="auto"/>
                <w:sz w:val="24"/>
                <w:szCs w:val="24"/>
                <w:highlight w:val="none"/>
                <w:vertAlign w:val="superscript"/>
                <w:lang w:val="en-US" w:eastAsia="zh-CN"/>
              </w:rPr>
              <w:t>3</w:t>
            </w:r>
            <w:r>
              <w:rPr>
                <w:rFonts w:hint="default" w:ascii="Times New Roman" w:hAnsi="Times New Roman" w:eastAsia="宋体" w:cs="Times New Roman"/>
                <w:b w:val="0"/>
                <w:bCs/>
                <w:caps w:val="0"/>
                <w:color w:val="auto"/>
                <w:sz w:val="24"/>
                <w:szCs w:val="24"/>
                <w:highlight w:val="none"/>
                <w:lang w:val="en-US" w:eastAsia="zh-CN"/>
              </w:rPr>
              <w:t>/d，初期雨水经沉淀后，回用于厂区道路洒水降尘，不外排</w:t>
            </w:r>
            <w:r>
              <w:rPr>
                <w:rFonts w:hint="default" w:ascii="Times New Roman" w:hAnsi="Times New Roman" w:eastAsia="宋体" w:cs="Times New Roman"/>
                <w:b w:val="0"/>
                <w:bCs/>
                <w:color w:val="auto"/>
                <w:sz w:val="24"/>
                <w:szCs w:val="24"/>
                <w:lang w:val="en-US" w:eastAsia="zh-CN"/>
              </w:rPr>
              <w:t>。</w:t>
            </w:r>
          </w:p>
          <w:p w14:paraId="5F5D771A">
            <w:pPr>
              <w:keepNext w:val="0"/>
              <w:pageBreakBefore w:val="0"/>
              <w:widowControl w:val="0"/>
              <w:kinsoku/>
              <w:overflowPunct/>
              <w:autoSpaceDE/>
              <w:autoSpaceDN/>
              <w:bidi w:val="0"/>
              <w:adjustRightInd/>
              <w:snapToGrid/>
              <w:ind w:firstLine="48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建设完成后，全厂</w:t>
            </w:r>
            <w:r>
              <w:rPr>
                <w:rFonts w:hint="default" w:ascii="Times New Roman" w:hAnsi="Times New Roman" w:eastAsia="宋体" w:cs="Times New Roman"/>
                <w:color w:val="auto"/>
                <w:sz w:val="24"/>
                <w:szCs w:val="24"/>
              </w:rPr>
              <w:t>水量平衡见图2-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14:paraId="786DFB57">
            <w:pPr>
              <w:pStyle w:val="1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Theme="minorEastAsia"/>
                <w:color w:val="auto"/>
                <w:lang w:val="en-US" w:eastAsia="zh-CN"/>
              </w:rPr>
            </w:pPr>
            <w:r>
              <w:rPr>
                <w:rStyle w:val="64"/>
                <w:rFonts w:hint="default" w:ascii="Times New Roman" w:hAnsi="Times New Roman" w:cs="Times New Roman" w:eastAsiaTheme="minorEastAsia"/>
                <w:i w:val="0"/>
                <w:iCs/>
                <w:color w:val="auto"/>
                <w:sz w:val="24"/>
                <w:szCs w:val="24"/>
              </w:rPr>
              <w:object>
                <v:shape id="_x0000_i1027" o:spt="75" type="#_x0000_t75" style="height:238.45pt;width:393.8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r>
              <w:rPr>
                <w:rStyle w:val="64"/>
                <w:rFonts w:hint="default" w:ascii="Times New Roman" w:hAnsi="Times New Roman" w:cs="Times New Roman" w:eastAsiaTheme="minorEastAsia"/>
                <w:i w:val="0"/>
                <w:iCs/>
                <w:color w:val="auto"/>
                <w:sz w:val="24"/>
                <w:szCs w:val="24"/>
              </w:rPr>
              <w:t>图2-</w:t>
            </w:r>
            <w:r>
              <w:rPr>
                <w:rStyle w:val="64"/>
                <w:rFonts w:hint="eastAsia" w:ascii="Times New Roman" w:hAnsi="Times New Roman" w:cs="Times New Roman" w:eastAsiaTheme="minorEastAsia"/>
                <w:i w:val="0"/>
                <w:iCs/>
                <w:color w:val="auto"/>
                <w:sz w:val="24"/>
                <w:szCs w:val="24"/>
                <w:lang w:val="en-US" w:eastAsia="zh-CN"/>
              </w:rPr>
              <w:t>2</w:t>
            </w:r>
            <w:r>
              <w:rPr>
                <w:rStyle w:val="64"/>
                <w:rFonts w:hint="default" w:ascii="Times New Roman" w:hAnsi="Times New Roman" w:cs="Times New Roman" w:eastAsiaTheme="minorEastAsia"/>
                <w:i w:val="0"/>
                <w:iCs/>
                <w:color w:val="auto"/>
                <w:sz w:val="24"/>
                <w:szCs w:val="24"/>
                <w:lang w:val="en-US" w:eastAsia="zh-CN"/>
              </w:rPr>
              <w:t xml:space="preserve"> </w:t>
            </w:r>
            <w:r>
              <w:rPr>
                <w:rStyle w:val="64"/>
                <w:rFonts w:hint="eastAsia" w:ascii="Times New Roman" w:hAnsi="Times New Roman" w:cs="Times New Roman" w:eastAsiaTheme="minorEastAsia"/>
                <w:i w:val="0"/>
                <w:iCs/>
                <w:color w:val="auto"/>
                <w:sz w:val="24"/>
                <w:szCs w:val="24"/>
                <w:lang w:val="en-US" w:eastAsia="zh-CN"/>
              </w:rPr>
              <w:t>本</w:t>
            </w:r>
            <w:r>
              <w:rPr>
                <w:rStyle w:val="64"/>
                <w:rFonts w:hint="default" w:ascii="Times New Roman" w:hAnsi="Times New Roman" w:cs="Times New Roman" w:eastAsiaTheme="minorEastAsia"/>
                <w:i w:val="0"/>
                <w:iCs/>
                <w:color w:val="auto"/>
                <w:sz w:val="24"/>
                <w:szCs w:val="24"/>
              </w:rPr>
              <w:t xml:space="preserve">项目水量平衡图 </w:t>
            </w:r>
            <w:r>
              <w:rPr>
                <w:rStyle w:val="64"/>
                <w:rFonts w:hint="default" w:ascii="Times New Roman" w:hAnsi="Times New Roman" w:cs="Times New Roman" w:eastAsiaTheme="minorEastAsia"/>
                <w:i w:val="0"/>
                <w:iCs/>
                <w:color w:val="auto"/>
                <w:sz w:val="24"/>
                <w:szCs w:val="24"/>
                <w:lang w:val="en-US" w:eastAsia="zh-CN"/>
              </w:rPr>
              <w:t xml:space="preserve">      </w:t>
            </w:r>
            <w:r>
              <w:rPr>
                <w:rStyle w:val="64"/>
                <w:rFonts w:hint="default" w:ascii="Times New Roman" w:hAnsi="Times New Roman" w:cs="Times New Roman" w:eastAsiaTheme="minorEastAsia"/>
                <w:i w:val="0"/>
                <w:iCs/>
                <w:color w:val="auto"/>
                <w:sz w:val="24"/>
                <w:szCs w:val="24"/>
              </w:rPr>
              <w:t xml:space="preserve"> 单位：m</w:t>
            </w:r>
            <w:r>
              <w:rPr>
                <w:rStyle w:val="64"/>
                <w:rFonts w:hint="default" w:ascii="Times New Roman" w:hAnsi="Times New Roman" w:cs="Times New Roman" w:eastAsiaTheme="minorEastAsia"/>
                <w:i w:val="0"/>
                <w:iCs/>
                <w:color w:val="auto"/>
                <w:sz w:val="24"/>
                <w:szCs w:val="24"/>
                <w:vertAlign w:val="superscript"/>
              </w:rPr>
              <w:t>3</w:t>
            </w:r>
            <w:r>
              <w:rPr>
                <w:rStyle w:val="64"/>
                <w:rFonts w:hint="default" w:ascii="Times New Roman" w:hAnsi="Times New Roman" w:cs="Times New Roman" w:eastAsiaTheme="minorEastAsia"/>
                <w:i w:val="0"/>
                <w:iCs/>
                <w:color w:val="auto"/>
                <w:sz w:val="24"/>
                <w:szCs w:val="24"/>
              </w:rPr>
              <w:t>/d</w:t>
            </w:r>
          </w:p>
          <w:p w14:paraId="142AA31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eastAsia" w:cs="Times New Roman"/>
                <w:b/>
                <w:bCs/>
                <w:color w:val="auto"/>
                <w:lang w:val="en-US" w:eastAsia="zh-CN"/>
              </w:rPr>
              <w:t>8</w:t>
            </w:r>
            <w:r>
              <w:rPr>
                <w:rFonts w:hint="default" w:ascii="Times New Roman" w:hAnsi="Times New Roman" w:cs="Times New Roman"/>
                <w:b/>
                <w:bCs/>
                <w:color w:val="auto"/>
                <w:lang w:eastAsia="zh-CN"/>
              </w:rPr>
              <w:t>、</w:t>
            </w:r>
            <w:r>
              <w:rPr>
                <w:rFonts w:hint="default" w:ascii="Times New Roman" w:hAnsi="Times New Roman" w:eastAsia="宋体" w:cs="Times New Roman"/>
                <w:b/>
                <w:bCs/>
                <w:color w:val="auto"/>
                <w:lang w:val="en-US" w:eastAsia="zh-CN"/>
              </w:rPr>
              <w:t>劳动</w:t>
            </w:r>
            <w:r>
              <w:rPr>
                <w:rFonts w:hint="default" w:ascii="Times New Roman" w:hAnsi="Times New Roman" w:cs="Times New Roman"/>
                <w:b/>
                <w:bCs/>
                <w:color w:val="auto"/>
              </w:rPr>
              <w:t>定员及工作制度</w:t>
            </w:r>
          </w:p>
          <w:p w14:paraId="35B52EAA">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Times New Roman" w:hAnsi="Times New Roman" w:eastAsia="宋体" w:cs="Times New Roman"/>
                <w:b w:val="0"/>
                <w:bCs/>
                <w:color w:val="auto"/>
                <w:sz w:val="24"/>
                <w:szCs w:val="24"/>
                <w:lang w:val="en-US" w:eastAsia="zh-CN"/>
              </w:rPr>
            </w:pPr>
            <w:r>
              <w:rPr>
                <w:rFonts w:hint="default" w:ascii="Times New Roman" w:hAnsi="Times New Roman" w:cs="Times New Roman"/>
                <w:color w:val="auto"/>
              </w:rPr>
              <w:t>劳动定员：</w:t>
            </w:r>
            <w:r>
              <w:rPr>
                <w:rFonts w:hint="eastAsia" w:ascii="Times New Roman" w:hAnsi="Times New Roman" w:eastAsia="宋体" w:cs="Times New Roman"/>
                <w:color w:val="auto"/>
                <w:kern w:val="2"/>
                <w:sz w:val="24"/>
                <w:szCs w:val="24"/>
                <w:lang w:val="en-US" w:eastAsia="zh-CN" w:bidi="ar-SA"/>
              </w:rPr>
              <w:t>本项目</w:t>
            </w:r>
            <w:r>
              <w:rPr>
                <w:rFonts w:hint="eastAsia" w:ascii="Times New Roman" w:hAnsi="Times New Roman" w:cs="Times New Roman"/>
                <w:color w:val="auto"/>
                <w:kern w:val="2"/>
                <w:sz w:val="24"/>
                <w:szCs w:val="24"/>
                <w:lang w:val="en-US" w:eastAsia="zh-CN" w:bidi="ar-SA"/>
              </w:rPr>
              <w:t>劳动定员为10人，均不在厂区内食宿</w:t>
            </w:r>
            <w:r>
              <w:rPr>
                <w:rFonts w:hint="default" w:ascii="Times New Roman" w:hAnsi="Times New Roman" w:eastAsia="宋体" w:cs="Times New Roman"/>
                <w:color w:val="auto"/>
                <w:kern w:val="2"/>
                <w:sz w:val="24"/>
                <w:szCs w:val="24"/>
                <w:lang w:val="en-US" w:eastAsia="zh-CN" w:bidi="ar-SA"/>
              </w:rPr>
              <w:t>，年工作300d，实行</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班制，每班8</w:t>
            </w:r>
            <w:r>
              <w:rPr>
                <w:rFonts w:hint="eastAsia" w:ascii="Times New Roman" w:hAnsi="Times New Roman" w:cs="Times New Roman"/>
                <w:color w:val="auto"/>
                <w:kern w:val="2"/>
                <w:sz w:val="24"/>
                <w:szCs w:val="24"/>
                <w:lang w:val="en-US" w:eastAsia="zh-CN" w:bidi="ar-SA"/>
              </w:rPr>
              <w:t>h</w:t>
            </w:r>
            <w:r>
              <w:rPr>
                <w:rFonts w:hint="default" w:ascii="Times New Roman" w:hAnsi="Times New Roman" w:eastAsia="宋体" w:cs="Times New Roman"/>
                <w:color w:val="auto"/>
                <w:kern w:val="2"/>
                <w:sz w:val="24"/>
                <w:szCs w:val="24"/>
                <w:lang w:val="en-US" w:eastAsia="zh-CN" w:bidi="ar-SA"/>
              </w:rPr>
              <w:t>，总工作时间为</w:t>
            </w:r>
            <w:r>
              <w:rPr>
                <w:rFonts w:hint="eastAsia" w:ascii="Times New Roman" w:hAnsi="Times New Roman" w:cs="Times New Roman"/>
                <w:color w:val="auto"/>
                <w:kern w:val="2"/>
                <w:sz w:val="24"/>
                <w:szCs w:val="24"/>
                <w:lang w:val="en-US" w:eastAsia="zh-CN" w:bidi="ar-SA"/>
              </w:rPr>
              <w:t>24</w:t>
            </w:r>
            <w:r>
              <w:rPr>
                <w:rFonts w:hint="default" w:ascii="Times New Roman" w:hAnsi="Times New Roman" w:eastAsia="宋体" w:cs="Times New Roman"/>
                <w:color w:val="auto"/>
                <w:kern w:val="2"/>
                <w:sz w:val="24"/>
                <w:szCs w:val="24"/>
                <w:lang w:val="en-US" w:eastAsia="zh-CN" w:bidi="ar-SA"/>
              </w:rPr>
              <w:t>00</w:t>
            </w:r>
            <w:r>
              <w:rPr>
                <w:rFonts w:hint="eastAsia" w:ascii="Times New Roman" w:hAnsi="Times New Roman" w:cs="Times New Roman"/>
                <w:color w:val="auto"/>
                <w:kern w:val="2"/>
                <w:sz w:val="24"/>
                <w:szCs w:val="24"/>
                <w:lang w:val="en-US" w:eastAsia="zh-CN" w:bidi="ar-SA"/>
              </w:rPr>
              <w:t>h</w:t>
            </w:r>
            <w:r>
              <w:rPr>
                <w:rFonts w:hint="eastAsia" w:ascii="Times New Roman" w:hAnsi="Times New Roman" w:eastAsia="宋体" w:cs="Times New Roman"/>
                <w:b w:val="0"/>
                <w:bCs/>
                <w:color w:val="auto"/>
                <w:sz w:val="24"/>
                <w:szCs w:val="24"/>
                <w:lang w:val="en-US" w:eastAsia="zh-CN"/>
              </w:rPr>
              <w:t>。</w:t>
            </w:r>
          </w:p>
          <w:p w14:paraId="4EAF0CC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cs="Times New Roman"/>
                <w:b/>
                <w:bCs/>
                <w:color w:val="auto"/>
                <w:lang w:val="en-US" w:eastAsia="zh-CN"/>
              </w:rPr>
            </w:pPr>
            <w:r>
              <w:rPr>
                <w:rFonts w:hint="eastAsia" w:cs="Times New Roman"/>
                <w:b/>
                <w:bCs/>
                <w:color w:val="auto"/>
                <w:lang w:val="en-US" w:eastAsia="zh-CN"/>
              </w:rPr>
              <w:t>9、施工进度和施工周期</w:t>
            </w:r>
          </w:p>
          <w:p w14:paraId="1CA1D0C0">
            <w:pPr>
              <w:keepNext w:val="0"/>
              <w:pageBreakBefore w:val="0"/>
              <w:widowControl w:val="0"/>
              <w:kinsoku/>
              <w:overflowPunct/>
              <w:autoSpaceDE/>
              <w:autoSpaceDN/>
              <w:bidi w:val="0"/>
              <w:adjustRightInd/>
              <w:snapToGrid/>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项目计划于202</w:t>
            </w:r>
            <w:r>
              <w:rPr>
                <w:rFonts w:hint="eastAsia" w:cs="Times New Roman"/>
                <w:color w:val="auto"/>
                <w:lang w:val="en-US" w:eastAsia="zh-CN"/>
              </w:rPr>
              <w:t>6</w:t>
            </w:r>
            <w:r>
              <w:rPr>
                <w:rFonts w:hint="default" w:ascii="Times New Roman" w:hAnsi="Times New Roman" w:eastAsia="宋体" w:cs="Times New Roman"/>
                <w:color w:val="auto"/>
                <w:lang w:val="en-US" w:eastAsia="zh-CN"/>
              </w:rPr>
              <w:t>年</w:t>
            </w:r>
            <w:r>
              <w:rPr>
                <w:rFonts w:hint="eastAsia" w:cs="Times New Roman"/>
                <w:color w:val="auto"/>
                <w:lang w:val="en-US" w:eastAsia="zh-CN"/>
              </w:rPr>
              <w:t>06</w:t>
            </w:r>
            <w:r>
              <w:rPr>
                <w:rFonts w:hint="default" w:ascii="Times New Roman" w:hAnsi="Times New Roman" w:eastAsia="宋体" w:cs="Times New Roman"/>
                <w:color w:val="auto"/>
                <w:lang w:val="en-US" w:eastAsia="zh-CN"/>
              </w:rPr>
              <w:t>月开工建设，施工期约</w:t>
            </w:r>
            <w:r>
              <w:rPr>
                <w:rFonts w:hint="eastAsia" w:cs="Times New Roman"/>
                <w:color w:val="auto"/>
                <w:lang w:val="en-US" w:eastAsia="zh-CN"/>
              </w:rPr>
              <w:t>3</w:t>
            </w:r>
            <w:r>
              <w:rPr>
                <w:rFonts w:hint="default" w:ascii="Times New Roman" w:hAnsi="Times New Roman" w:eastAsia="宋体" w:cs="Times New Roman"/>
                <w:color w:val="auto"/>
                <w:lang w:val="en-US" w:eastAsia="zh-CN"/>
              </w:rPr>
              <w:t>个月，至202</w:t>
            </w:r>
            <w:r>
              <w:rPr>
                <w:rFonts w:hint="eastAsia" w:cs="Times New Roman"/>
                <w:color w:val="auto"/>
                <w:lang w:val="en-US" w:eastAsia="zh-CN"/>
              </w:rPr>
              <w:t>6</w:t>
            </w:r>
            <w:r>
              <w:rPr>
                <w:rFonts w:hint="default" w:ascii="Times New Roman" w:hAnsi="Times New Roman" w:eastAsia="宋体" w:cs="Times New Roman"/>
                <w:color w:val="auto"/>
                <w:lang w:val="en-US" w:eastAsia="zh-CN"/>
              </w:rPr>
              <w:t>年</w:t>
            </w:r>
            <w:r>
              <w:rPr>
                <w:rFonts w:hint="eastAsia" w:ascii="Times New Roman" w:hAnsi="Times New Roman" w:eastAsia="宋体" w:cs="Times New Roman"/>
                <w:color w:val="auto"/>
                <w:lang w:val="en-US" w:eastAsia="zh-CN"/>
              </w:rPr>
              <w:t>0</w:t>
            </w:r>
            <w:r>
              <w:rPr>
                <w:rFonts w:hint="eastAsia" w:cs="Times New Roman"/>
                <w:color w:val="auto"/>
                <w:lang w:val="en-US" w:eastAsia="zh-CN"/>
              </w:rPr>
              <w:t>8</w:t>
            </w:r>
            <w:r>
              <w:rPr>
                <w:rFonts w:hint="default" w:ascii="Times New Roman" w:hAnsi="Times New Roman" w:eastAsia="宋体" w:cs="Times New Roman"/>
                <w:color w:val="auto"/>
                <w:lang w:val="en-US" w:eastAsia="zh-CN"/>
              </w:rPr>
              <w:t>月施工结束</w:t>
            </w:r>
            <w:r>
              <w:rPr>
                <w:rFonts w:hint="eastAsia" w:ascii="Times New Roman" w:hAnsi="Times New Roman" w:eastAsia="宋体" w:cs="Times New Roman"/>
                <w:color w:val="auto"/>
                <w:lang w:val="en-US" w:eastAsia="zh-CN"/>
              </w:rPr>
              <w:t>。</w:t>
            </w:r>
          </w:p>
          <w:p w14:paraId="0F47C6E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cs="Times New Roman"/>
                <w:b/>
                <w:bCs/>
                <w:color w:val="auto"/>
                <w:lang w:val="en-US" w:eastAsia="zh-CN"/>
              </w:rPr>
            </w:pPr>
            <w:r>
              <w:rPr>
                <w:rFonts w:hint="eastAsia" w:cs="Times New Roman"/>
                <w:b/>
                <w:bCs/>
                <w:color w:val="auto"/>
                <w:lang w:val="en-US" w:eastAsia="zh-CN"/>
              </w:rPr>
              <w:t>10</w:t>
            </w:r>
            <w:r>
              <w:rPr>
                <w:rFonts w:hint="default" w:cs="Times New Roman"/>
                <w:b/>
                <w:bCs/>
                <w:color w:val="auto"/>
                <w:lang w:val="en-US" w:eastAsia="zh-CN"/>
              </w:rPr>
              <w:t>、厂区平面布置</w:t>
            </w:r>
          </w:p>
          <w:p w14:paraId="1361DCA8">
            <w:pPr>
              <w:pStyle w:val="2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color w:val="auto"/>
                <w:lang w:val="en-US"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sz w:val="24"/>
                <w:szCs w:val="24"/>
                <w:lang w:val="en-US" w:eastAsia="zh-CN"/>
              </w:rPr>
              <w:t>占地面积为</w:t>
            </w:r>
            <w:r>
              <w:rPr>
                <w:rFonts w:hint="eastAsia" w:cs="Times New Roman"/>
                <w:color w:val="auto"/>
                <w:sz w:val="24"/>
                <w:szCs w:val="24"/>
                <w:lang w:val="en-US" w:eastAsia="zh-CN"/>
              </w:rPr>
              <w:t>1000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项目总体布局较简单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pacing w:val="-4"/>
                <w:sz w:val="24"/>
              </w:rPr>
              <w:t>按照工段进</w:t>
            </w:r>
            <w:r>
              <w:rPr>
                <w:rFonts w:hint="default" w:ascii="Times New Roman" w:hAnsi="Times New Roman" w:eastAsia="宋体" w:cs="Times New Roman"/>
                <w:color w:val="auto"/>
                <w:kern w:val="2"/>
                <w:sz w:val="24"/>
                <w:szCs w:val="24"/>
                <w:lang w:val="en-US" w:eastAsia="zh-CN" w:bidi="ar-SA"/>
              </w:rPr>
              <w:t>行车间布置，从</w:t>
            </w:r>
            <w:r>
              <w:rPr>
                <w:rFonts w:hint="eastAsia" w:cs="Times New Roman"/>
                <w:color w:val="auto"/>
                <w:kern w:val="2"/>
                <w:sz w:val="24"/>
                <w:szCs w:val="24"/>
                <w:lang w:val="en-US" w:eastAsia="zh-CN" w:bidi="ar-SA"/>
              </w:rPr>
              <w:t>左</w:t>
            </w:r>
            <w:r>
              <w:rPr>
                <w:rFonts w:hint="default" w:ascii="Times New Roman" w:hAnsi="Times New Roman" w:eastAsia="宋体" w:cs="Times New Roman"/>
                <w:color w:val="auto"/>
                <w:kern w:val="2"/>
                <w:sz w:val="24"/>
                <w:szCs w:val="24"/>
                <w:lang w:val="en-US" w:eastAsia="zh-CN" w:bidi="ar-SA"/>
              </w:rPr>
              <w:t>往</w:t>
            </w:r>
            <w:r>
              <w:rPr>
                <w:rFonts w:hint="eastAsia" w:cs="Times New Roman"/>
                <w:color w:val="auto"/>
                <w:kern w:val="2"/>
                <w:sz w:val="24"/>
                <w:szCs w:val="24"/>
                <w:lang w:val="en-US" w:eastAsia="zh-CN" w:bidi="ar-SA"/>
              </w:rPr>
              <w:t>右</w:t>
            </w:r>
            <w:r>
              <w:rPr>
                <w:rFonts w:hint="default" w:ascii="Times New Roman" w:hAnsi="Times New Roman" w:eastAsia="宋体" w:cs="Times New Roman"/>
                <w:color w:val="auto"/>
                <w:kern w:val="2"/>
                <w:sz w:val="24"/>
                <w:szCs w:val="24"/>
                <w:lang w:val="en-US" w:eastAsia="zh-CN" w:bidi="ar-SA"/>
              </w:rPr>
              <w:t>依次为原</w:t>
            </w:r>
            <w:r>
              <w:rPr>
                <w:rFonts w:hint="eastAsia" w:cs="Times New Roman"/>
                <w:color w:val="auto"/>
                <w:kern w:val="2"/>
                <w:sz w:val="24"/>
                <w:szCs w:val="24"/>
                <w:lang w:val="en-US" w:eastAsia="zh-CN" w:bidi="ar-SA"/>
              </w:rPr>
              <w:t>煤</w:t>
            </w:r>
            <w:r>
              <w:rPr>
                <w:rFonts w:hint="default" w:ascii="Times New Roman" w:hAnsi="Times New Roman" w:eastAsia="宋体" w:cs="Times New Roman"/>
                <w:color w:val="auto"/>
                <w:kern w:val="2"/>
                <w:sz w:val="24"/>
                <w:szCs w:val="24"/>
                <w:lang w:val="en-US" w:eastAsia="zh-CN" w:bidi="ar-SA"/>
              </w:rPr>
              <w:t>堆</w:t>
            </w:r>
            <w:r>
              <w:rPr>
                <w:rFonts w:hint="eastAsia" w:ascii="Times New Roman" w:hAnsi="Times New Roman" w:eastAsia="宋体" w:cs="Times New Roman"/>
                <w:color w:val="auto"/>
                <w:kern w:val="2"/>
                <w:sz w:val="24"/>
                <w:szCs w:val="24"/>
                <w:lang w:val="en-US" w:eastAsia="zh-CN" w:bidi="ar-SA"/>
              </w:rPr>
              <w:t>场</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生产区</w:t>
            </w:r>
            <w:r>
              <w:rPr>
                <w:rFonts w:hint="eastAsia" w:cs="Times New Roman"/>
                <w:color w:val="auto"/>
                <w:kern w:val="2"/>
                <w:sz w:val="24"/>
                <w:szCs w:val="24"/>
                <w:lang w:val="en-US" w:eastAsia="zh-CN" w:bidi="ar-SA"/>
              </w:rPr>
              <w:t>和</w:t>
            </w:r>
            <w:r>
              <w:rPr>
                <w:rFonts w:hint="eastAsia" w:ascii="Times New Roman" w:hAnsi="Times New Roman" w:eastAsia="宋体" w:cs="Times New Roman"/>
                <w:color w:val="auto"/>
                <w:kern w:val="2"/>
                <w:sz w:val="24"/>
                <w:szCs w:val="24"/>
                <w:lang w:val="en-US" w:eastAsia="zh-CN" w:bidi="ar-SA"/>
              </w:rPr>
              <w:t>成品堆</w:t>
            </w:r>
            <w:r>
              <w:rPr>
                <w:rFonts w:hint="eastAsia" w:cs="Times New Roman"/>
                <w:color w:val="auto"/>
                <w:kern w:val="2"/>
                <w:sz w:val="24"/>
                <w:szCs w:val="24"/>
                <w:lang w:val="en-US" w:eastAsia="zh-CN" w:bidi="ar-SA"/>
              </w:rPr>
              <w:t>场</w:t>
            </w:r>
            <w:r>
              <w:rPr>
                <w:rFonts w:hint="default" w:ascii="Times New Roman" w:hAnsi="Times New Roman" w:eastAsia="宋体" w:cs="Times New Roman"/>
                <w:color w:val="auto"/>
                <w:kern w:val="2"/>
                <w:sz w:val="24"/>
                <w:szCs w:val="24"/>
                <w:lang w:val="en-US" w:eastAsia="zh-CN" w:bidi="ar-SA"/>
              </w:rPr>
              <w:t>，项目主要噪声污染源布置在生产车间内，通过厂房隔音、合理布设（尽量远离声环境保护目标）可以有效减少项目噪声对周边敏感点的影响，</w:t>
            </w:r>
            <w:r>
              <w:rPr>
                <w:rFonts w:hint="eastAsia" w:cs="Times New Roman"/>
                <w:color w:val="auto"/>
                <w:kern w:val="2"/>
                <w:sz w:val="24"/>
                <w:szCs w:val="24"/>
                <w:lang w:val="en-US" w:eastAsia="zh-CN" w:bidi="ar-SA"/>
              </w:rPr>
              <w:t>原煤装卸堆存废气、成品装卸堆存废气和配煤废气等通过封闭车间阻隔，车间上方布设的洒水降尘喷头和加强人工</w:t>
            </w:r>
            <w:r>
              <w:rPr>
                <w:rFonts w:hint="eastAsia" w:ascii="Times New Roman" w:hAnsi="Times New Roman" w:eastAsia="宋体" w:cs="Times New Roman"/>
                <w:color w:val="auto"/>
                <w:kern w:val="2"/>
                <w:sz w:val="24"/>
                <w:szCs w:val="24"/>
                <w:lang w:val="en-US" w:eastAsia="zh-CN" w:bidi="ar-SA"/>
              </w:rPr>
              <w:t>清扫后</w:t>
            </w:r>
            <w:r>
              <w:rPr>
                <w:rFonts w:hint="default" w:ascii="Times New Roman" w:hAnsi="Times New Roman" w:eastAsia="宋体" w:cs="Times New Roman"/>
                <w:color w:val="auto"/>
                <w:kern w:val="2"/>
                <w:sz w:val="24"/>
                <w:szCs w:val="24"/>
                <w:lang w:val="en-US" w:eastAsia="zh-CN" w:bidi="ar-SA"/>
              </w:rPr>
              <w:t>，对</w:t>
            </w:r>
            <w:r>
              <w:rPr>
                <w:rFonts w:hint="eastAsia" w:ascii="Times New Roman" w:hAnsi="Times New Roman" w:eastAsia="宋体" w:cs="Times New Roman"/>
                <w:color w:val="auto"/>
                <w:kern w:val="2"/>
                <w:sz w:val="24"/>
                <w:szCs w:val="24"/>
                <w:lang w:val="en-US" w:eastAsia="zh-CN" w:bidi="ar-SA"/>
              </w:rPr>
              <w:t>环境空气保护目标（</w:t>
            </w:r>
            <w:r>
              <w:rPr>
                <w:rFonts w:hint="default" w:ascii="Times New Roman" w:hAnsi="Times New Roman" w:eastAsia="宋体" w:cs="Times New Roman"/>
                <w:color w:val="auto"/>
                <w:kern w:val="2"/>
                <w:sz w:val="24"/>
                <w:szCs w:val="24"/>
                <w:lang w:val="en-US" w:eastAsia="zh-CN" w:bidi="ar-SA"/>
              </w:rPr>
              <w:t>龙潭村</w:t>
            </w:r>
            <w:r>
              <w:rPr>
                <w:rFonts w:hint="eastAsia" w:ascii="Times New Roman" w:hAnsi="Times New Roman" w:eastAsia="宋体" w:cs="Times New Roman"/>
                <w:color w:val="auto"/>
                <w:kern w:val="2"/>
                <w:sz w:val="24"/>
                <w:szCs w:val="24"/>
                <w:lang w:val="en-US" w:eastAsia="zh-CN" w:bidi="ar-SA"/>
              </w:rPr>
              <w:t>）和</w:t>
            </w:r>
            <w:r>
              <w:rPr>
                <w:rFonts w:hint="default" w:ascii="Times New Roman" w:hAnsi="Times New Roman" w:eastAsia="宋体" w:cs="Times New Roman"/>
                <w:color w:val="auto"/>
                <w:kern w:val="2"/>
                <w:sz w:val="24"/>
                <w:szCs w:val="24"/>
                <w:lang w:val="en-US" w:eastAsia="zh-CN" w:bidi="ar-SA"/>
              </w:rPr>
              <w:t>外环境影响较小</w:t>
            </w:r>
            <w:r>
              <w:rPr>
                <w:rFonts w:hint="eastAsia"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kern w:val="2"/>
                <w:sz w:val="24"/>
                <w:szCs w:val="24"/>
                <w:lang w:val="en-US" w:eastAsia="zh-CN" w:bidi="ar-SA"/>
              </w:rPr>
              <w:t>出入口布设于厂区</w:t>
            </w:r>
            <w:r>
              <w:rPr>
                <w:rFonts w:hint="eastAsia" w:ascii="Times New Roman" w:hAnsi="Times New Roman" w:eastAsia="宋体" w:cs="Times New Roman"/>
                <w:color w:val="auto"/>
                <w:kern w:val="2"/>
                <w:sz w:val="24"/>
                <w:szCs w:val="24"/>
                <w:lang w:val="en-US" w:eastAsia="zh-CN" w:bidi="ar-SA"/>
              </w:rPr>
              <w:t>东</w:t>
            </w:r>
            <w:r>
              <w:rPr>
                <w:rFonts w:hint="default" w:ascii="Times New Roman" w:hAnsi="Times New Roman" w:eastAsia="宋体" w:cs="Times New Roman"/>
                <w:color w:val="auto"/>
                <w:kern w:val="2"/>
                <w:sz w:val="24"/>
                <w:szCs w:val="24"/>
                <w:lang w:val="en-US" w:eastAsia="zh-CN" w:bidi="ar-SA"/>
              </w:rPr>
              <w:t>侧，临近</w:t>
            </w:r>
            <w:r>
              <w:rPr>
                <w:rFonts w:hint="eastAsia" w:ascii="Times New Roman" w:hAnsi="Times New Roman" w:eastAsia="宋体" w:cs="Times New Roman"/>
                <w:color w:val="auto"/>
                <w:kern w:val="2"/>
                <w:sz w:val="24"/>
                <w:szCs w:val="24"/>
                <w:lang w:val="en-US" w:eastAsia="zh-CN" w:bidi="ar-SA"/>
              </w:rPr>
              <w:t>内部道路</w:t>
            </w:r>
            <w:r>
              <w:rPr>
                <w:rFonts w:hint="default" w:ascii="Times New Roman" w:hAnsi="Times New Roman" w:eastAsia="宋体" w:cs="Times New Roman"/>
                <w:color w:val="auto"/>
                <w:kern w:val="2"/>
                <w:sz w:val="24"/>
                <w:szCs w:val="24"/>
                <w:lang w:val="en-US" w:eastAsia="zh-CN" w:bidi="ar-SA"/>
              </w:rPr>
              <w:t>，方便原料和成品的运输。</w:t>
            </w:r>
          </w:p>
          <w:p w14:paraId="35F6E431">
            <w:pPr>
              <w:keepNext w:val="0"/>
              <w:keepLines/>
              <w:pageBreakBefore w:val="0"/>
              <w:widowControl w:val="0"/>
              <w:kinsoku/>
              <w:wordWrap w:val="0"/>
              <w:overflowPunct/>
              <w:topLinePunct/>
              <w:autoSpaceDE/>
              <w:autoSpaceDN/>
              <w:bidi w:val="0"/>
              <w:adjustRightInd/>
              <w:snapToGrid/>
              <w:ind w:firstLine="480" w:firstLineChars="200"/>
              <w:textAlignment w:val="auto"/>
              <w:rPr>
                <w:rFonts w:hint="eastAsia" w:cs="Times New Roman"/>
                <w:b/>
                <w:bCs/>
                <w:color w:val="auto"/>
                <w:lang w:val="en-US" w:eastAsia="zh-CN"/>
              </w:rPr>
            </w:pPr>
            <w:r>
              <w:rPr>
                <w:rFonts w:hint="default" w:ascii="Times New Roman" w:hAnsi="Times New Roman" w:eastAsia="宋体" w:cs="Times New Roman"/>
                <w:color w:val="auto"/>
              </w:rPr>
              <w:t>本项目平面布置示意图见附图</w:t>
            </w:r>
            <w:r>
              <w:rPr>
                <w:rFonts w:hint="eastAsia" w:cs="Times New Roman"/>
                <w:color w:val="auto"/>
                <w:lang w:val="en-US" w:eastAsia="zh-CN"/>
              </w:rPr>
              <w:t>3</w:t>
            </w:r>
            <w:r>
              <w:rPr>
                <w:rFonts w:hint="default" w:ascii="Times New Roman" w:hAnsi="Times New Roman" w:eastAsia="宋体" w:cs="Times New Roman"/>
                <w:color w:val="auto"/>
              </w:rPr>
              <w:t>。</w:t>
            </w:r>
          </w:p>
          <w:p w14:paraId="393D6AD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eastAsia" w:cs="Times New Roman"/>
                <w:b/>
                <w:bCs/>
                <w:color w:val="auto"/>
                <w:lang w:val="en-US" w:eastAsia="zh-CN"/>
              </w:rPr>
              <w:t>10</w:t>
            </w:r>
            <w:r>
              <w:rPr>
                <w:rFonts w:hint="default" w:ascii="Times New Roman" w:hAnsi="Times New Roman" w:cs="Times New Roman"/>
                <w:b/>
                <w:bCs/>
                <w:color w:val="auto"/>
                <w:lang w:eastAsia="zh-CN"/>
              </w:rPr>
              <w:t>、</w:t>
            </w:r>
            <w:r>
              <w:rPr>
                <w:rFonts w:hint="default" w:ascii="Times New Roman" w:hAnsi="Times New Roman" w:cs="Times New Roman"/>
                <w:b/>
                <w:bCs/>
                <w:color w:val="auto"/>
              </w:rPr>
              <w:t>环保投资</w:t>
            </w:r>
          </w:p>
          <w:p w14:paraId="360EB036">
            <w:pPr>
              <w:ind w:firstLine="480"/>
              <w:rPr>
                <w:rFonts w:hint="default" w:ascii="Times New Roman" w:hAnsi="Times New Roman" w:cs="Times New Roman"/>
                <w:color w:val="auto"/>
              </w:rPr>
            </w:pPr>
            <w:r>
              <w:rPr>
                <w:rFonts w:hint="default" w:ascii="Times New Roman" w:hAnsi="Times New Roman" w:cs="Times New Roman"/>
                <w:color w:val="auto"/>
              </w:rPr>
              <w:t>本项目总投资</w:t>
            </w:r>
            <w:r>
              <w:rPr>
                <w:rFonts w:hint="eastAsia" w:cs="Times New Roman"/>
                <w:color w:val="auto"/>
                <w:lang w:val="en-US" w:eastAsia="zh-CN"/>
              </w:rPr>
              <w:t>60</w:t>
            </w:r>
            <w:r>
              <w:rPr>
                <w:rFonts w:hint="default" w:ascii="Times New Roman" w:hAnsi="Times New Roman" w:cs="Times New Roman"/>
                <w:color w:val="auto"/>
              </w:rPr>
              <w:t>万元，其中环保投资估算为</w:t>
            </w:r>
            <w:r>
              <w:rPr>
                <w:rFonts w:hint="eastAsia" w:cs="Times New Roman"/>
                <w:color w:val="auto"/>
                <w:lang w:val="en-US" w:eastAsia="zh-CN"/>
              </w:rPr>
              <w:t>22.8</w:t>
            </w:r>
            <w:r>
              <w:rPr>
                <w:rFonts w:hint="default" w:ascii="Times New Roman" w:hAnsi="Times New Roman" w:cs="Times New Roman"/>
                <w:color w:val="auto"/>
              </w:rPr>
              <w:t>万元，占总投资</w:t>
            </w:r>
            <w:r>
              <w:rPr>
                <w:rFonts w:hint="eastAsia" w:cs="Times New Roman"/>
                <w:color w:val="auto"/>
                <w:lang w:val="en-US" w:eastAsia="zh-CN"/>
              </w:rPr>
              <w:t>38%</w:t>
            </w:r>
            <w:r>
              <w:rPr>
                <w:rFonts w:hint="default" w:ascii="Times New Roman" w:hAnsi="Times New Roman" w:cs="Times New Roman"/>
                <w:color w:val="auto"/>
              </w:rPr>
              <w:t>，具体见下表</w:t>
            </w:r>
            <w:r>
              <w:rPr>
                <w:rFonts w:hint="eastAsia" w:cs="Times New Roman"/>
                <w:color w:val="auto"/>
                <w:lang w:val="en-US" w:eastAsia="zh-CN"/>
              </w:rPr>
              <w:t>2-8</w:t>
            </w:r>
            <w:r>
              <w:rPr>
                <w:rFonts w:hint="default" w:ascii="Times New Roman" w:hAnsi="Times New Roman" w:cs="Times New Roman"/>
                <w:color w:val="auto"/>
              </w:rPr>
              <w:t>。</w:t>
            </w:r>
          </w:p>
          <w:p w14:paraId="21E54A29">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eastAsia" w:cs="Times New Roman"/>
                <w:color w:val="auto"/>
                <w:sz w:val="24"/>
                <w:szCs w:val="32"/>
                <w:lang w:val="en-US" w:eastAsia="zh-CN"/>
              </w:rPr>
              <w:t>8</w:t>
            </w:r>
            <w:r>
              <w:rPr>
                <w:rFonts w:hint="default" w:ascii="Times New Roman" w:hAnsi="Times New Roman" w:cs="Times New Roman"/>
                <w:color w:val="auto"/>
                <w:sz w:val="24"/>
                <w:szCs w:val="32"/>
              </w:rPr>
              <w:t xml:space="preserve"> 项目环保投资一览表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676"/>
              <w:gridCol w:w="1421"/>
              <w:gridCol w:w="4018"/>
              <w:gridCol w:w="984"/>
            </w:tblGrid>
            <w:tr w14:paraId="5AF6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473" w:type="pct"/>
                  <w:noWrap w:val="0"/>
                  <w:vAlign w:val="center"/>
                </w:tcPr>
                <w:p w14:paraId="5E53DA9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时序</w:t>
                  </w:r>
                </w:p>
              </w:tc>
              <w:tc>
                <w:tcPr>
                  <w:tcW w:w="431" w:type="pct"/>
                  <w:noWrap w:val="0"/>
                  <w:vAlign w:val="center"/>
                </w:tcPr>
                <w:p w14:paraId="6CA4E53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类型</w:t>
                  </w:r>
                </w:p>
              </w:tc>
              <w:tc>
                <w:tcPr>
                  <w:tcW w:w="906" w:type="pct"/>
                  <w:noWrap w:val="0"/>
                  <w:vAlign w:val="center"/>
                </w:tcPr>
                <w:p w14:paraId="6A7BD86B">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项目</w:t>
                  </w:r>
                </w:p>
              </w:tc>
              <w:tc>
                <w:tcPr>
                  <w:tcW w:w="2562" w:type="pct"/>
                  <w:noWrap w:val="0"/>
                  <w:vAlign w:val="center"/>
                </w:tcPr>
                <w:p w14:paraId="2A8B89DE">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环保建设内容</w:t>
                  </w:r>
                </w:p>
              </w:tc>
              <w:tc>
                <w:tcPr>
                  <w:tcW w:w="627" w:type="pct"/>
                  <w:noWrap w:val="0"/>
                  <w:vAlign w:val="center"/>
                </w:tcPr>
                <w:p w14:paraId="58A83ACD">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投资</w:t>
                  </w:r>
                </w:p>
                <w:p w14:paraId="057802F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（万元）</w:t>
                  </w:r>
                </w:p>
              </w:tc>
            </w:tr>
            <w:tr w14:paraId="3153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73" w:type="pct"/>
                  <w:vMerge w:val="restart"/>
                  <w:noWrap w:val="0"/>
                  <w:vAlign w:val="center"/>
                </w:tcPr>
                <w:p w14:paraId="71B544D8">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施工期</w:t>
                  </w:r>
                </w:p>
              </w:tc>
              <w:tc>
                <w:tcPr>
                  <w:tcW w:w="431" w:type="pct"/>
                  <w:noWrap w:val="0"/>
                  <w:vAlign w:val="center"/>
                </w:tcPr>
                <w:p w14:paraId="2C98BDC2">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废气</w:t>
                  </w:r>
                </w:p>
              </w:tc>
              <w:tc>
                <w:tcPr>
                  <w:tcW w:w="906" w:type="pct"/>
                  <w:noWrap w:val="0"/>
                  <w:vAlign w:val="center"/>
                </w:tcPr>
                <w:p w14:paraId="40ED15FC">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rPr>
                    <w:t>扬尘</w:t>
                  </w:r>
                </w:p>
              </w:tc>
              <w:tc>
                <w:tcPr>
                  <w:tcW w:w="2562" w:type="pct"/>
                  <w:noWrap w:val="0"/>
                  <w:vAlign w:val="center"/>
                </w:tcPr>
                <w:p w14:paraId="39473880">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r>
                    <w:rPr>
                      <w:rFonts w:hint="default" w:ascii="Times New Roman" w:hAnsi="Times New Roman" w:cs="Times New Roman" w:eastAsiaTheme="minorEastAsia"/>
                      <w:color w:val="auto"/>
                      <w:sz w:val="21"/>
                      <w:szCs w:val="21"/>
                      <w:lang w:val="en-US" w:eastAsia="zh-CN" w:bidi="ar"/>
                    </w:rPr>
                    <w:t>洒水降尘</w:t>
                  </w:r>
                </w:p>
              </w:tc>
              <w:tc>
                <w:tcPr>
                  <w:tcW w:w="627" w:type="pct"/>
                  <w:noWrap w:val="0"/>
                  <w:vAlign w:val="center"/>
                </w:tcPr>
                <w:p w14:paraId="646AEEE3">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w:t>
                  </w:r>
                  <w:r>
                    <w:rPr>
                      <w:rFonts w:hint="eastAsia" w:cs="Times New Roman" w:eastAsiaTheme="minorEastAsia"/>
                      <w:b w:val="0"/>
                      <w:bCs/>
                      <w:color w:val="auto"/>
                      <w:sz w:val="21"/>
                      <w:szCs w:val="21"/>
                      <w:vertAlign w:val="baseline"/>
                      <w:lang w:val="en-US" w:eastAsia="zh-CN"/>
                    </w:rPr>
                    <w:t>4</w:t>
                  </w:r>
                </w:p>
              </w:tc>
            </w:tr>
            <w:tr w14:paraId="322A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noWrap w:val="0"/>
                  <w:vAlign w:val="center"/>
                </w:tcPr>
                <w:p w14:paraId="58EA4035">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noWrap w:val="0"/>
                  <w:vAlign w:val="center"/>
                </w:tcPr>
                <w:p w14:paraId="0520BD90">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噪声</w:t>
                  </w:r>
                </w:p>
              </w:tc>
              <w:tc>
                <w:tcPr>
                  <w:tcW w:w="906" w:type="pct"/>
                  <w:noWrap w:val="0"/>
                  <w:vAlign w:val="center"/>
                </w:tcPr>
                <w:p w14:paraId="10B36263">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r>
                    <w:rPr>
                      <w:rFonts w:hint="default" w:ascii="Times New Roman" w:hAnsi="Times New Roman" w:cs="Times New Roman" w:eastAsiaTheme="minorEastAsia"/>
                      <w:b w:val="0"/>
                      <w:bCs/>
                      <w:color w:val="auto"/>
                      <w:sz w:val="21"/>
                      <w:szCs w:val="21"/>
                    </w:rPr>
                    <w:t>机械噪声</w:t>
                  </w:r>
                </w:p>
              </w:tc>
              <w:tc>
                <w:tcPr>
                  <w:tcW w:w="2562" w:type="pct"/>
                  <w:noWrap w:val="0"/>
                  <w:vAlign w:val="center"/>
                </w:tcPr>
                <w:p w14:paraId="020B548C">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rPr>
                  </w:pPr>
                  <w:r>
                    <w:rPr>
                      <w:rFonts w:hint="default" w:ascii="Times New Roman" w:hAnsi="Times New Roman" w:cs="Times New Roman" w:eastAsiaTheme="minorEastAsia"/>
                      <w:b w:val="0"/>
                      <w:bCs/>
                      <w:color w:val="auto"/>
                      <w:sz w:val="21"/>
                      <w:szCs w:val="21"/>
                      <w:vertAlign w:val="baseline"/>
                    </w:rPr>
                    <w:t>选用低噪声设备</w:t>
                  </w:r>
                  <w:r>
                    <w:rPr>
                      <w:rFonts w:hint="default" w:ascii="Times New Roman" w:hAnsi="Times New Roman" w:cs="Times New Roman" w:eastAsiaTheme="minorEastAsia"/>
                      <w:b w:val="0"/>
                      <w:bCs/>
                      <w:color w:val="auto"/>
                      <w:sz w:val="21"/>
                      <w:szCs w:val="21"/>
                      <w:vertAlign w:val="baseline"/>
                      <w:lang w:eastAsia="zh-CN"/>
                    </w:rPr>
                    <w:t>，基础减震，</w:t>
                  </w:r>
                  <w:r>
                    <w:rPr>
                      <w:rFonts w:hint="default" w:ascii="Times New Roman" w:hAnsi="Times New Roman" w:cs="Times New Roman" w:eastAsiaTheme="minorEastAsia"/>
                      <w:b w:val="0"/>
                      <w:bCs/>
                      <w:color w:val="auto"/>
                      <w:sz w:val="21"/>
                      <w:szCs w:val="21"/>
                      <w:vertAlign w:val="baseline"/>
                      <w:lang w:val="en-US" w:eastAsia="zh-CN"/>
                    </w:rPr>
                    <w:t>合理安排施工时间</w:t>
                  </w:r>
                </w:p>
              </w:tc>
              <w:tc>
                <w:tcPr>
                  <w:tcW w:w="627" w:type="pct"/>
                  <w:noWrap w:val="0"/>
                  <w:vAlign w:val="center"/>
                </w:tcPr>
                <w:p w14:paraId="3291DCDA">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w:t>
                  </w:r>
                  <w:r>
                    <w:rPr>
                      <w:rFonts w:hint="eastAsia" w:cs="Times New Roman" w:eastAsiaTheme="minorEastAsia"/>
                      <w:b w:val="0"/>
                      <w:bCs/>
                      <w:color w:val="auto"/>
                      <w:sz w:val="21"/>
                      <w:szCs w:val="21"/>
                      <w:vertAlign w:val="baseline"/>
                      <w:lang w:val="en-US" w:eastAsia="zh-CN"/>
                    </w:rPr>
                    <w:t>3</w:t>
                  </w:r>
                </w:p>
              </w:tc>
            </w:tr>
            <w:tr w14:paraId="5B32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73" w:type="pct"/>
                  <w:vMerge w:val="continue"/>
                  <w:noWrap w:val="0"/>
                  <w:vAlign w:val="center"/>
                </w:tcPr>
                <w:p w14:paraId="163A1205">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restart"/>
                  <w:noWrap w:val="0"/>
                  <w:vAlign w:val="center"/>
                </w:tcPr>
                <w:p w14:paraId="0FF3E438">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固废</w:t>
                  </w:r>
                </w:p>
              </w:tc>
              <w:tc>
                <w:tcPr>
                  <w:tcW w:w="906" w:type="pct"/>
                  <w:noWrap w:val="0"/>
                  <w:vAlign w:val="center"/>
                </w:tcPr>
                <w:p w14:paraId="4865143D">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废包装材料</w:t>
                  </w:r>
                </w:p>
              </w:tc>
              <w:tc>
                <w:tcPr>
                  <w:tcW w:w="2562" w:type="pct"/>
                  <w:noWrap w:val="0"/>
                  <w:vAlign w:val="center"/>
                </w:tcPr>
                <w:p w14:paraId="28E1933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回收外售</w:t>
                  </w:r>
                </w:p>
              </w:tc>
              <w:tc>
                <w:tcPr>
                  <w:tcW w:w="627" w:type="pct"/>
                  <w:noWrap w:val="0"/>
                  <w:vAlign w:val="center"/>
                </w:tcPr>
                <w:p w14:paraId="633DF6D2">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w:t>
                  </w:r>
                </w:p>
              </w:tc>
            </w:tr>
            <w:tr w14:paraId="2C0D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73" w:type="pct"/>
                  <w:vMerge w:val="continue"/>
                  <w:noWrap w:val="0"/>
                  <w:vAlign w:val="center"/>
                </w:tcPr>
                <w:p w14:paraId="289CA0FC">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continue"/>
                  <w:noWrap w:val="0"/>
                  <w:vAlign w:val="center"/>
                </w:tcPr>
                <w:p w14:paraId="34232723">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906" w:type="pct"/>
                  <w:noWrap w:val="0"/>
                  <w:vAlign w:val="center"/>
                </w:tcPr>
                <w:p w14:paraId="24AAC231">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rPr>
                    <w:t>生活垃圾</w:t>
                  </w:r>
                  <w:r>
                    <w:rPr>
                      <w:rFonts w:hint="default" w:ascii="Times New Roman" w:hAnsi="Times New Roman" w:cs="Times New Roman" w:eastAsiaTheme="minorEastAsia"/>
                      <w:b w:val="0"/>
                      <w:bCs/>
                      <w:color w:val="auto"/>
                      <w:sz w:val="21"/>
                      <w:szCs w:val="21"/>
                      <w:lang w:eastAsia="zh-CN"/>
                    </w:rPr>
                    <w:t>、</w:t>
                  </w:r>
                  <w:r>
                    <w:rPr>
                      <w:rFonts w:hint="default" w:ascii="Times New Roman" w:hAnsi="Times New Roman" w:cs="Times New Roman" w:eastAsiaTheme="minorEastAsia"/>
                      <w:b w:val="0"/>
                      <w:bCs/>
                      <w:color w:val="auto"/>
                      <w:sz w:val="21"/>
                      <w:szCs w:val="21"/>
                      <w:lang w:val="en-US" w:eastAsia="zh-CN"/>
                    </w:rPr>
                    <w:t>焊接废渣</w:t>
                  </w:r>
                </w:p>
              </w:tc>
              <w:tc>
                <w:tcPr>
                  <w:tcW w:w="2562" w:type="pct"/>
                  <w:noWrap w:val="0"/>
                  <w:vAlign w:val="center"/>
                </w:tcPr>
                <w:p w14:paraId="2FCAFFA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焊接废渣并入生</w:t>
                  </w:r>
                  <w:r>
                    <w:rPr>
                      <w:rFonts w:hint="default" w:ascii="Times New Roman" w:hAnsi="Times New Roman" w:cs="Times New Roman" w:eastAsiaTheme="minorEastAsia"/>
                      <w:b w:val="0"/>
                      <w:bCs/>
                      <w:color w:val="auto"/>
                      <w:kern w:val="2"/>
                      <w:sz w:val="21"/>
                      <w:szCs w:val="21"/>
                      <w:vertAlign w:val="baseline"/>
                      <w:lang w:val="en-US" w:eastAsia="zh-CN" w:bidi="ar-SA"/>
                    </w:rPr>
                    <w:t>活垃圾，依托现有的垃圾桶进行收集，由当地环卫部门统一清运</w:t>
                  </w:r>
                </w:p>
              </w:tc>
              <w:tc>
                <w:tcPr>
                  <w:tcW w:w="627" w:type="pct"/>
                  <w:noWrap w:val="0"/>
                  <w:vAlign w:val="center"/>
                </w:tcPr>
                <w:p w14:paraId="7051440D">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w:t>
                  </w:r>
                </w:p>
              </w:tc>
            </w:tr>
            <w:tr w14:paraId="7496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73" w:type="pct"/>
                  <w:vMerge w:val="continue"/>
                  <w:noWrap w:val="0"/>
                  <w:vAlign w:val="center"/>
                </w:tcPr>
                <w:p w14:paraId="79DADE57">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noWrap w:val="0"/>
                  <w:vAlign w:val="center"/>
                </w:tcPr>
                <w:p w14:paraId="6F5EB425">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废水</w:t>
                  </w:r>
                </w:p>
              </w:tc>
              <w:tc>
                <w:tcPr>
                  <w:tcW w:w="906" w:type="pct"/>
                  <w:noWrap w:val="0"/>
                  <w:vAlign w:val="center"/>
                </w:tcPr>
                <w:p w14:paraId="09D6EF96">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生活废水</w:t>
                  </w:r>
                </w:p>
              </w:tc>
              <w:tc>
                <w:tcPr>
                  <w:tcW w:w="2562" w:type="pct"/>
                  <w:noWrap w:val="0"/>
                  <w:vAlign w:val="center"/>
                </w:tcPr>
                <w:p w14:paraId="77AFFF6D">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color w:val="auto"/>
                      <w:sz w:val="21"/>
                      <w:szCs w:val="21"/>
                      <w:lang w:val="en-US" w:eastAsia="zh-CN" w:bidi="ar"/>
                    </w:rPr>
                    <w:t>沉淀池</w:t>
                  </w:r>
                  <w:r>
                    <w:rPr>
                      <w:rFonts w:hint="default" w:ascii="Times New Roman" w:hAnsi="Times New Roman" w:cs="Times New Roman" w:eastAsiaTheme="minorEastAsia"/>
                      <w:color w:val="auto"/>
                      <w:sz w:val="21"/>
                      <w:szCs w:val="21"/>
                      <w:lang w:val="en-US" w:eastAsia="zh-CN" w:bidi="ar"/>
                    </w:rPr>
                    <w:t>（</w:t>
                  </w:r>
                  <w:r>
                    <w:rPr>
                      <w:rFonts w:hint="eastAsia" w:cs="Times New Roman" w:eastAsiaTheme="minorEastAsia"/>
                      <w:color w:val="auto"/>
                      <w:sz w:val="21"/>
                      <w:szCs w:val="21"/>
                      <w:lang w:val="en-US" w:eastAsia="zh-CN" w:bidi="ar"/>
                    </w:rPr>
                    <w:t>2</w:t>
                  </w:r>
                  <w:r>
                    <w:rPr>
                      <w:rFonts w:hint="default" w:ascii="Times New Roman" w:hAnsi="Times New Roman" w:cs="Times New Roman" w:eastAsiaTheme="minorEastAsia"/>
                      <w:color w:val="auto"/>
                      <w:sz w:val="21"/>
                      <w:szCs w:val="21"/>
                      <w:lang w:val="en-US" w:eastAsia="zh-CN" w:bidi="ar"/>
                    </w:rPr>
                    <w:t>m</w:t>
                  </w:r>
                  <w:r>
                    <w:rPr>
                      <w:rFonts w:hint="default" w:ascii="Times New Roman" w:hAnsi="Times New Roman" w:cs="Times New Roman" w:eastAsiaTheme="minorEastAsia"/>
                      <w:color w:val="auto"/>
                      <w:sz w:val="21"/>
                      <w:szCs w:val="21"/>
                      <w:vertAlign w:val="superscript"/>
                      <w:lang w:val="en-US" w:eastAsia="zh-CN" w:bidi="ar"/>
                    </w:rPr>
                    <w:t>3</w:t>
                  </w:r>
                  <w:r>
                    <w:rPr>
                      <w:rFonts w:hint="default" w:ascii="Times New Roman" w:hAnsi="Times New Roman" w:cs="Times New Roman" w:eastAsiaTheme="minorEastAsia"/>
                      <w:color w:val="auto"/>
                      <w:sz w:val="21"/>
                      <w:szCs w:val="21"/>
                      <w:lang w:val="en-US" w:eastAsia="zh-CN" w:bidi="ar"/>
                    </w:rPr>
                    <w:t>）</w:t>
                  </w:r>
                </w:p>
              </w:tc>
              <w:tc>
                <w:tcPr>
                  <w:tcW w:w="627" w:type="pct"/>
                  <w:noWrap w:val="0"/>
                  <w:vAlign w:val="center"/>
                </w:tcPr>
                <w:p w14:paraId="41A3414C">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0.8</w:t>
                  </w:r>
                </w:p>
              </w:tc>
            </w:tr>
            <w:tr w14:paraId="7DA6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73" w:type="pct"/>
                  <w:vMerge w:val="restart"/>
                  <w:noWrap w:val="0"/>
                  <w:vAlign w:val="center"/>
                </w:tcPr>
                <w:p w14:paraId="54E83766">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运营期</w:t>
                  </w:r>
                </w:p>
              </w:tc>
              <w:tc>
                <w:tcPr>
                  <w:tcW w:w="431" w:type="pct"/>
                  <w:noWrap w:val="0"/>
                  <w:vAlign w:val="center"/>
                </w:tcPr>
                <w:p w14:paraId="54031C94">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废气</w:t>
                  </w:r>
                </w:p>
              </w:tc>
              <w:tc>
                <w:tcPr>
                  <w:tcW w:w="906" w:type="pct"/>
                  <w:noWrap w:val="0"/>
                  <w:vAlign w:val="center"/>
                </w:tcPr>
                <w:p w14:paraId="13A2331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堆存装卸废气、配煤</w:t>
                  </w:r>
                  <w:r>
                    <w:rPr>
                      <w:rFonts w:hint="default" w:ascii="Times New Roman" w:hAnsi="Times New Roman" w:cs="Times New Roman" w:eastAsiaTheme="minorEastAsia"/>
                      <w:b w:val="0"/>
                      <w:bCs/>
                      <w:color w:val="auto"/>
                      <w:sz w:val="21"/>
                      <w:szCs w:val="21"/>
                      <w:lang w:eastAsia="zh-CN"/>
                    </w:rPr>
                    <w:t>废气</w:t>
                  </w:r>
                </w:p>
              </w:tc>
              <w:tc>
                <w:tcPr>
                  <w:tcW w:w="2562" w:type="pct"/>
                  <w:noWrap w:val="0"/>
                  <w:vAlign w:val="center"/>
                </w:tcPr>
                <w:p w14:paraId="72B37D0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封</w:t>
                  </w:r>
                  <w:r>
                    <w:rPr>
                      <w:rFonts w:hint="eastAsia" w:ascii="Times New Roman" w:hAnsi="Times New Roman" w:cs="Times New Roman" w:eastAsiaTheme="minorEastAsia"/>
                      <w:b w:val="0"/>
                      <w:bCs/>
                      <w:color w:val="auto"/>
                      <w:kern w:val="2"/>
                      <w:sz w:val="21"/>
                      <w:szCs w:val="21"/>
                      <w:vertAlign w:val="baseline"/>
                      <w:lang w:val="en-US" w:eastAsia="zh-CN" w:bidi="ar-SA"/>
                    </w:rPr>
                    <w:t>闭车间、洒水降尘设施（车间上方布设管道，每间隔10</w:t>
                  </w:r>
                  <w:r>
                    <w:rPr>
                      <w:rFonts w:hint="default" w:ascii="Times New Roman" w:hAnsi="Times New Roman" w:cs="Times New Roman" w:eastAsiaTheme="minorEastAsia"/>
                      <w:b w:val="0"/>
                      <w:bCs/>
                      <w:color w:val="auto"/>
                      <w:kern w:val="2"/>
                      <w:sz w:val="21"/>
                      <w:szCs w:val="21"/>
                      <w:vertAlign w:val="baseline"/>
                      <w:lang w:val="en-US" w:eastAsia="zh-CN" w:bidi="ar-SA"/>
                    </w:rPr>
                    <w:t>米设置一个喷头</w:t>
                  </w:r>
                  <w:r>
                    <w:rPr>
                      <w:rFonts w:hint="eastAsia" w:ascii="Times New Roman" w:hAnsi="Times New Roman" w:cs="Times New Roman" w:eastAsiaTheme="minorEastAsia"/>
                      <w:b w:val="0"/>
                      <w:bCs/>
                      <w:color w:val="auto"/>
                      <w:kern w:val="2"/>
                      <w:sz w:val="21"/>
                      <w:szCs w:val="21"/>
                      <w:vertAlign w:val="baseline"/>
                      <w:lang w:val="en-US" w:eastAsia="zh-CN" w:bidi="ar-SA"/>
                    </w:rPr>
                    <w:t>）、人工及时清扫</w:t>
                  </w:r>
                </w:p>
              </w:tc>
              <w:tc>
                <w:tcPr>
                  <w:tcW w:w="627" w:type="pct"/>
                  <w:noWrap w:val="0"/>
                  <w:vAlign w:val="center"/>
                </w:tcPr>
                <w:p w14:paraId="1AD407C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1.8</w:t>
                  </w:r>
                </w:p>
              </w:tc>
            </w:tr>
            <w:tr w14:paraId="08B6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noWrap w:val="0"/>
                  <w:vAlign w:val="center"/>
                </w:tcPr>
                <w:p w14:paraId="0A0DB9F5">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restart"/>
                  <w:noWrap w:val="0"/>
                  <w:vAlign w:val="center"/>
                </w:tcPr>
                <w:p w14:paraId="3000C396">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废水</w:t>
                  </w:r>
                </w:p>
              </w:tc>
              <w:tc>
                <w:tcPr>
                  <w:tcW w:w="906" w:type="pct"/>
                  <w:vMerge w:val="restart"/>
                  <w:noWrap w:val="0"/>
                  <w:vAlign w:val="center"/>
                </w:tcPr>
                <w:p w14:paraId="63D66AE3">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rPr>
                    <w:t>生活污水</w:t>
                  </w:r>
                </w:p>
              </w:tc>
              <w:tc>
                <w:tcPr>
                  <w:tcW w:w="2562" w:type="pct"/>
                  <w:noWrap w:val="0"/>
                  <w:vAlign w:val="center"/>
                </w:tcPr>
                <w:p w14:paraId="28D0156A">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b w:val="0"/>
                      <w:bCs/>
                      <w:color w:val="auto"/>
                      <w:kern w:val="2"/>
                      <w:sz w:val="21"/>
                      <w:szCs w:val="21"/>
                      <w:lang w:val="en-US" w:eastAsia="zh-CN" w:bidi="ar-SA"/>
                    </w:rPr>
                    <w:t>2m</w:t>
                  </w:r>
                  <w:r>
                    <w:rPr>
                      <w:rFonts w:hint="eastAsia" w:cs="Times New Roman" w:eastAsiaTheme="minorEastAsia"/>
                      <w:b w:val="0"/>
                      <w:bCs/>
                      <w:color w:val="auto"/>
                      <w:kern w:val="2"/>
                      <w:sz w:val="21"/>
                      <w:szCs w:val="21"/>
                      <w:vertAlign w:val="superscript"/>
                      <w:lang w:val="en-US" w:eastAsia="zh-CN" w:bidi="ar-SA"/>
                    </w:rPr>
                    <w:t>3</w:t>
                  </w:r>
                  <w:r>
                    <w:rPr>
                      <w:rFonts w:hint="eastAsia" w:cs="Times New Roman" w:eastAsiaTheme="minorEastAsia"/>
                      <w:b w:val="0"/>
                      <w:bCs/>
                      <w:color w:val="auto"/>
                      <w:kern w:val="2"/>
                      <w:sz w:val="21"/>
                      <w:szCs w:val="21"/>
                      <w:lang w:val="en-US" w:eastAsia="zh-CN" w:bidi="ar-SA"/>
                    </w:rPr>
                    <w:t>/d 的一体化污水处理设施</w:t>
                  </w:r>
                </w:p>
              </w:tc>
              <w:tc>
                <w:tcPr>
                  <w:tcW w:w="627" w:type="pct"/>
                  <w:noWrap w:val="0"/>
                  <w:vAlign w:val="center"/>
                </w:tcPr>
                <w:p w14:paraId="0FF11C9F">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4.8</w:t>
                  </w:r>
                </w:p>
              </w:tc>
            </w:tr>
            <w:tr w14:paraId="3590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noWrap w:val="0"/>
                  <w:vAlign w:val="center"/>
                </w:tcPr>
                <w:p w14:paraId="3A48EE42">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continue"/>
                  <w:noWrap w:val="0"/>
                  <w:vAlign w:val="center"/>
                </w:tcPr>
                <w:p w14:paraId="54ED08EC">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906" w:type="pct"/>
                  <w:vMerge w:val="continue"/>
                  <w:noWrap w:val="0"/>
                  <w:vAlign w:val="center"/>
                </w:tcPr>
                <w:p w14:paraId="340F4EAD">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p>
              </w:tc>
              <w:tc>
                <w:tcPr>
                  <w:tcW w:w="2562" w:type="pct"/>
                  <w:noWrap w:val="0"/>
                  <w:vAlign w:val="center"/>
                </w:tcPr>
                <w:p w14:paraId="6514BDB5">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bidi="ar-SA"/>
                    </w:rPr>
                    <w:t>1个容积为10m</w:t>
                  </w:r>
                  <w:r>
                    <w:rPr>
                      <w:rFonts w:hint="eastAsia" w:cs="Times New Roman" w:eastAsiaTheme="minorEastAsia"/>
                      <w:b w:val="0"/>
                      <w:bCs/>
                      <w:color w:val="auto"/>
                      <w:kern w:val="2"/>
                      <w:sz w:val="21"/>
                      <w:szCs w:val="21"/>
                      <w:vertAlign w:val="superscript"/>
                      <w:lang w:val="en-US" w:eastAsia="zh-CN" w:bidi="ar-SA"/>
                    </w:rPr>
                    <w:t>3</w:t>
                  </w:r>
                  <w:r>
                    <w:rPr>
                      <w:rFonts w:hint="eastAsia" w:cs="Times New Roman" w:eastAsiaTheme="minorEastAsia"/>
                      <w:b w:val="0"/>
                      <w:bCs/>
                      <w:color w:val="auto"/>
                      <w:kern w:val="2"/>
                      <w:sz w:val="21"/>
                      <w:szCs w:val="21"/>
                      <w:lang w:val="en-US" w:eastAsia="zh-CN" w:bidi="ar-SA"/>
                    </w:rPr>
                    <w:t>的化粪池</w:t>
                  </w:r>
                </w:p>
              </w:tc>
              <w:tc>
                <w:tcPr>
                  <w:tcW w:w="627" w:type="pct"/>
                  <w:noWrap w:val="0"/>
                  <w:vAlign w:val="center"/>
                </w:tcPr>
                <w:p w14:paraId="0AA56E84">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2.6</w:t>
                  </w:r>
                </w:p>
              </w:tc>
            </w:tr>
            <w:tr w14:paraId="7A0F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noWrap w:val="0"/>
                  <w:vAlign w:val="center"/>
                </w:tcPr>
                <w:p w14:paraId="2CBCC104">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continue"/>
                  <w:noWrap w:val="0"/>
                  <w:vAlign w:val="center"/>
                </w:tcPr>
                <w:p w14:paraId="71F349FE">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906" w:type="pct"/>
                  <w:noWrap w:val="0"/>
                  <w:vAlign w:val="center"/>
                </w:tcPr>
                <w:p w14:paraId="49B76019">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中水池</w:t>
                  </w:r>
                </w:p>
              </w:tc>
              <w:tc>
                <w:tcPr>
                  <w:tcW w:w="2562" w:type="pct"/>
                  <w:noWrap w:val="0"/>
                  <w:vAlign w:val="center"/>
                </w:tcPr>
                <w:p w14:paraId="1B6E92D7">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b w:val="0"/>
                      <w:bCs/>
                      <w:color w:val="auto"/>
                      <w:kern w:val="2"/>
                      <w:sz w:val="21"/>
                      <w:szCs w:val="21"/>
                      <w:lang w:val="en-US" w:eastAsia="zh-CN" w:bidi="ar-SA"/>
                    </w:rPr>
                  </w:pPr>
                  <w:r>
                    <w:rPr>
                      <w:rFonts w:hint="eastAsia" w:cs="Times New Roman" w:eastAsiaTheme="minorEastAsia"/>
                      <w:b w:val="0"/>
                      <w:color w:val="auto"/>
                      <w:kern w:val="2"/>
                      <w:sz w:val="21"/>
                      <w:szCs w:val="21"/>
                      <w:lang w:val="en-US" w:eastAsia="zh-CN" w:bidi="ar-SA"/>
                    </w:rPr>
                    <w:t>容积为5m</w:t>
                  </w:r>
                  <w:r>
                    <w:rPr>
                      <w:rFonts w:hint="eastAsia" w:cs="Times New Roman" w:eastAsiaTheme="minorEastAsia"/>
                      <w:b w:val="0"/>
                      <w:color w:val="auto"/>
                      <w:kern w:val="2"/>
                      <w:sz w:val="21"/>
                      <w:szCs w:val="21"/>
                      <w:vertAlign w:val="superscript"/>
                      <w:lang w:val="en-US" w:eastAsia="zh-CN" w:bidi="ar-SA"/>
                    </w:rPr>
                    <w:t>3</w:t>
                  </w:r>
                  <w:r>
                    <w:rPr>
                      <w:rFonts w:hint="eastAsia" w:cs="Times New Roman" w:eastAsiaTheme="minorEastAsia"/>
                      <w:b w:val="0"/>
                      <w:color w:val="auto"/>
                      <w:kern w:val="2"/>
                      <w:sz w:val="21"/>
                      <w:szCs w:val="21"/>
                      <w:lang w:val="en-US" w:eastAsia="zh-CN" w:bidi="ar-SA"/>
                    </w:rPr>
                    <w:t>的中水池，</w:t>
                  </w:r>
                  <w:r>
                    <w:rPr>
                      <w:rFonts w:hint="eastAsia" w:cs="Times New Roman" w:eastAsiaTheme="minorEastAsia"/>
                      <w:color w:val="auto"/>
                      <w:sz w:val="21"/>
                      <w:szCs w:val="21"/>
                      <w:lang w:val="en-US" w:eastAsia="zh-CN"/>
                    </w:rPr>
                    <w:t>配套建设于一体化污水处理设施末端</w:t>
                  </w:r>
                </w:p>
              </w:tc>
              <w:tc>
                <w:tcPr>
                  <w:tcW w:w="627" w:type="pct"/>
                  <w:noWrap w:val="0"/>
                  <w:vAlign w:val="center"/>
                </w:tcPr>
                <w:p w14:paraId="73390EAE">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0.8</w:t>
                  </w:r>
                </w:p>
              </w:tc>
            </w:tr>
            <w:tr w14:paraId="0CB2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noWrap w:val="0"/>
                  <w:vAlign w:val="center"/>
                </w:tcPr>
                <w:p w14:paraId="21E5F1BF">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continue"/>
                  <w:noWrap w:val="0"/>
                  <w:vAlign w:val="center"/>
                </w:tcPr>
                <w:p w14:paraId="5C752CA0">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906" w:type="pct"/>
                  <w:noWrap w:val="0"/>
                  <w:vAlign w:val="center"/>
                </w:tcPr>
                <w:p w14:paraId="1C670EEB">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沉淀池</w:t>
                  </w:r>
                </w:p>
              </w:tc>
              <w:tc>
                <w:tcPr>
                  <w:tcW w:w="2562" w:type="pct"/>
                  <w:noWrap w:val="0"/>
                  <w:vAlign w:val="center"/>
                </w:tcPr>
                <w:p w14:paraId="39E0E1AD">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bidi="ar-SA"/>
                    </w:rPr>
                    <w:t>1个容积为6</w:t>
                  </w:r>
                  <w:r>
                    <w:rPr>
                      <w:rFonts w:hint="eastAsia" w:cs="Times New Roman" w:eastAsiaTheme="minorEastAsia"/>
                      <w:b w:val="0"/>
                      <w:bCs/>
                      <w:color w:val="auto"/>
                      <w:kern w:val="2"/>
                      <w:sz w:val="21"/>
                      <w:szCs w:val="21"/>
                      <w:vertAlign w:val="baseline"/>
                      <w:lang w:val="en-US" w:eastAsia="zh-CN" w:bidi="ar-SA"/>
                    </w:rPr>
                    <w:t>0m</w:t>
                  </w:r>
                  <w:r>
                    <w:rPr>
                      <w:rFonts w:hint="eastAsia" w:cs="Times New Roman" w:eastAsiaTheme="minorEastAsia"/>
                      <w:b w:val="0"/>
                      <w:bCs/>
                      <w:color w:val="auto"/>
                      <w:kern w:val="2"/>
                      <w:sz w:val="21"/>
                      <w:szCs w:val="21"/>
                      <w:vertAlign w:val="superscript"/>
                      <w:lang w:val="en-US" w:eastAsia="zh-CN" w:bidi="ar-SA"/>
                    </w:rPr>
                    <w:t>3</w:t>
                  </w:r>
                  <w:r>
                    <w:rPr>
                      <w:rFonts w:hint="eastAsia" w:cs="Times New Roman" w:eastAsiaTheme="minorEastAsia"/>
                      <w:b w:val="0"/>
                      <w:bCs/>
                      <w:color w:val="auto"/>
                      <w:kern w:val="2"/>
                      <w:sz w:val="21"/>
                      <w:szCs w:val="21"/>
                      <w:vertAlign w:val="baseline"/>
                      <w:lang w:val="en-US" w:eastAsia="zh-CN" w:bidi="ar-SA"/>
                    </w:rPr>
                    <w:t>的三级沉淀池</w:t>
                  </w:r>
                </w:p>
              </w:tc>
              <w:tc>
                <w:tcPr>
                  <w:tcW w:w="627" w:type="pct"/>
                  <w:noWrap w:val="0"/>
                  <w:vAlign w:val="center"/>
                </w:tcPr>
                <w:p w14:paraId="470F6FB3">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3.4</w:t>
                  </w:r>
                </w:p>
              </w:tc>
            </w:tr>
            <w:tr w14:paraId="7DC6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noWrap w:val="0"/>
                  <w:vAlign w:val="center"/>
                </w:tcPr>
                <w:p w14:paraId="5A192005">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continue"/>
                  <w:noWrap w:val="0"/>
                  <w:vAlign w:val="center"/>
                </w:tcPr>
                <w:p w14:paraId="0EBEF911">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906" w:type="pct"/>
                  <w:noWrap w:val="0"/>
                  <w:vAlign w:val="center"/>
                </w:tcPr>
                <w:p w14:paraId="7484EC37">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初期雨水</w:t>
                  </w:r>
                </w:p>
              </w:tc>
              <w:tc>
                <w:tcPr>
                  <w:tcW w:w="2562" w:type="pct"/>
                  <w:noWrap w:val="0"/>
                  <w:vAlign w:val="center"/>
                </w:tcPr>
                <w:p w14:paraId="66239DEB">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bidi="ar-SA"/>
                    </w:rPr>
                    <w:t>初期雨水收集池（60m</w:t>
                  </w:r>
                  <w:r>
                    <w:rPr>
                      <w:rFonts w:hint="eastAsia" w:cs="Times New Roman" w:eastAsiaTheme="minorEastAsia"/>
                      <w:b w:val="0"/>
                      <w:bCs/>
                      <w:color w:val="auto"/>
                      <w:kern w:val="2"/>
                      <w:sz w:val="21"/>
                      <w:szCs w:val="21"/>
                      <w:vertAlign w:val="superscript"/>
                      <w:lang w:val="en-US" w:eastAsia="zh-CN" w:bidi="ar-SA"/>
                    </w:rPr>
                    <w:t>3</w:t>
                  </w:r>
                  <w:r>
                    <w:rPr>
                      <w:rFonts w:hint="eastAsia" w:cs="Times New Roman" w:eastAsiaTheme="minorEastAsia"/>
                      <w:b w:val="0"/>
                      <w:bCs/>
                      <w:color w:val="auto"/>
                      <w:kern w:val="2"/>
                      <w:sz w:val="21"/>
                      <w:szCs w:val="21"/>
                      <w:lang w:val="en-US" w:eastAsia="zh-CN" w:bidi="ar-SA"/>
                    </w:rPr>
                    <w:t>）</w:t>
                  </w:r>
                </w:p>
              </w:tc>
              <w:tc>
                <w:tcPr>
                  <w:tcW w:w="627" w:type="pct"/>
                  <w:noWrap w:val="0"/>
                  <w:vAlign w:val="center"/>
                </w:tcPr>
                <w:p w14:paraId="0FA72C43">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3.2</w:t>
                  </w:r>
                </w:p>
              </w:tc>
            </w:tr>
            <w:tr w14:paraId="6AEC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noWrap w:val="0"/>
                  <w:vAlign w:val="center"/>
                </w:tcPr>
                <w:p w14:paraId="40A6F0A2">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noWrap w:val="0"/>
                  <w:vAlign w:val="center"/>
                </w:tcPr>
                <w:p w14:paraId="41465A9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rPr>
                    <w:t>噪声</w:t>
                  </w:r>
                </w:p>
              </w:tc>
              <w:tc>
                <w:tcPr>
                  <w:tcW w:w="906" w:type="pct"/>
                  <w:noWrap w:val="0"/>
                  <w:vAlign w:val="center"/>
                </w:tcPr>
                <w:p w14:paraId="2CA1D468">
                  <w:pPr>
                    <w:pStyle w:val="68"/>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rPr>
                    <w:t>设备运行噪声</w:t>
                  </w:r>
                </w:p>
              </w:tc>
              <w:tc>
                <w:tcPr>
                  <w:tcW w:w="2562" w:type="pct"/>
                  <w:noWrap w:val="0"/>
                  <w:vAlign w:val="center"/>
                </w:tcPr>
                <w:p w14:paraId="2AF27A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color w:val="auto"/>
                      <w:spacing w:val="9"/>
                      <w:sz w:val="21"/>
                      <w:szCs w:val="21"/>
                    </w:rPr>
                    <w:t>封闭厂房，选用低噪声设备；合理布</w:t>
                  </w:r>
                  <w:r>
                    <w:rPr>
                      <w:rFonts w:hint="default" w:ascii="Times New Roman" w:hAnsi="Times New Roman" w:cs="Times New Roman" w:eastAsiaTheme="minorEastAsia"/>
                      <w:color w:val="auto"/>
                      <w:spacing w:val="7"/>
                      <w:sz w:val="21"/>
                      <w:szCs w:val="21"/>
                    </w:rPr>
                    <w:t>局</w:t>
                  </w:r>
                  <w:r>
                    <w:rPr>
                      <w:rFonts w:hint="default" w:ascii="Times New Roman" w:hAnsi="Times New Roman" w:cs="Times New Roman" w:eastAsiaTheme="minorEastAsia"/>
                      <w:color w:val="auto"/>
                      <w:spacing w:val="4"/>
                      <w:sz w:val="21"/>
                      <w:szCs w:val="21"/>
                    </w:rPr>
                    <w:t>加工设备，设备安装基础减震垫</w:t>
                  </w:r>
                </w:p>
              </w:tc>
              <w:tc>
                <w:tcPr>
                  <w:tcW w:w="627" w:type="pct"/>
                  <w:noWrap w:val="0"/>
                  <w:vAlign w:val="center"/>
                </w:tcPr>
                <w:p w14:paraId="031359B2">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1.8</w:t>
                  </w:r>
                </w:p>
              </w:tc>
            </w:tr>
            <w:tr w14:paraId="14C5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noWrap w:val="0"/>
                  <w:vAlign w:val="center"/>
                </w:tcPr>
                <w:p w14:paraId="2794CABC">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restart"/>
                  <w:noWrap w:val="0"/>
                  <w:vAlign w:val="center"/>
                </w:tcPr>
                <w:p w14:paraId="2DC446A6">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固废</w:t>
                  </w:r>
                </w:p>
              </w:tc>
              <w:tc>
                <w:tcPr>
                  <w:tcW w:w="3468" w:type="pct"/>
                  <w:gridSpan w:val="2"/>
                  <w:shd w:val="clear" w:color="auto" w:fill="auto"/>
                  <w:noWrap w:val="0"/>
                  <w:vAlign w:val="center"/>
                </w:tcPr>
                <w:p w14:paraId="78CC52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rPr>
                    <w:t>依托</w:t>
                  </w:r>
                  <w:r>
                    <w:rPr>
                      <w:rFonts w:hint="default" w:ascii="Times New Roman" w:hAnsi="Times New Roman" w:cs="Times New Roman" w:eastAsiaTheme="minorEastAsia"/>
                      <w:b w:val="0"/>
                      <w:bCs/>
                      <w:color w:val="auto"/>
                      <w:kern w:val="2"/>
                      <w:sz w:val="21"/>
                      <w:szCs w:val="21"/>
                      <w:vertAlign w:val="baseline"/>
                      <w:lang w:val="en-US" w:eastAsia="zh-CN" w:bidi="ar-SA"/>
                    </w:rPr>
                    <w:t>现有</w:t>
                  </w:r>
                  <w:r>
                    <w:rPr>
                      <w:rFonts w:hint="default" w:ascii="Times New Roman" w:hAnsi="Times New Roman" w:cs="Times New Roman" w:eastAsiaTheme="minorEastAsia"/>
                      <w:color w:val="auto"/>
                      <w:sz w:val="21"/>
                      <w:szCs w:val="21"/>
                      <w:lang w:val="en-US" w:eastAsia="zh-CN" w:bidi="ar"/>
                    </w:rPr>
                    <w:t>的</w:t>
                  </w:r>
                  <w:r>
                    <w:rPr>
                      <w:rFonts w:hint="default" w:ascii="Times New Roman" w:hAnsi="Times New Roman" w:cs="Times New Roman" w:eastAsiaTheme="minorEastAsia"/>
                      <w:color w:val="auto"/>
                      <w:kern w:val="2"/>
                      <w:sz w:val="21"/>
                      <w:szCs w:val="21"/>
                      <w:lang w:val="en-US" w:eastAsia="zh-CN"/>
                    </w:rPr>
                    <w:t>垃圾桶</w:t>
                  </w:r>
                </w:p>
              </w:tc>
              <w:tc>
                <w:tcPr>
                  <w:tcW w:w="627" w:type="pct"/>
                  <w:shd w:val="clear" w:color="auto" w:fill="auto"/>
                  <w:noWrap w:val="0"/>
                  <w:vAlign w:val="center"/>
                </w:tcPr>
                <w:p w14:paraId="4B01AF13">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zh-CN"/>
                    </w:rPr>
                  </w:pPr>
                  <w:r>
                    <w:rPr>
                      <w:rFonts w:hint="default" w:ascii="Times New Roman" w:hAnsi="Times New Roman" w:cs="Times New Roman" w:eastAsiaTheme="minorEastAsia"/>
                      <w:b w:val="0"/>
                      <w:bCs/>
                      <w:color w:val="auto"/>
                      <w:sz w:val="21"/>
                      <w:szCs w:val="21"/>
                      <w:lang w:val="en-US" w:eastAsia="zh-CN"/>
                    </w:rPr>
                    <w:t>/</w:t>
                  </w:r>
                </w:p>
              </w:tc>
            </w:tr>
            <w:tr w14:paraId="569E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73" w:type="pct"/>
                  <w:vMerge w:val="continue"/>
                  <w:noWrap w:val="0"/>
                  <w:vAlign w:val="center"/>
                </w:tcPr>
                <w:p w14:paraId="2C755200">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31" w:type="pct"/>
                  <w:vMerge w:val="continue"/>
                  <w:noWrap w:val="0"/>
                  <w:vAlign w:val="center"/>
                </w:tcPr>
                <w:p w14:paraId="46EACF28">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3468" w:type="pct"/>
                  <w:gridSpan w:val="2"/>
                  <w:noWrap w:val="0"/>
                  <w:vAlign w:val="center"/>
                </w:tcPr>
                <w:p w14:paraId="4E5999F9">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auto"/>
                      <w:kern w:val="2"/>
                      <w:sz w:val="21"/>
                      <w:szCs w:val="21"/>
                      <w:lang w:val="en-US" w:eastAsia="zh-CN"/>
                    </w:rPr>
                  </w:pPr>
                  <w:r>
                    <w:rPr>
                      <w:rFonts w:hint="eastAsia" w:ascii="Times New Roman" w:hAnsi="Times New Roman" w:cs="Times New Roman" w:eastAsiaTheme="minorEastAsia"/>
                      <w:color w:val="auto"/>
                      <w:kern w:val="2"/>
                      <w:sz w:val="21"/>
                      <w:szCs w:val="21"/>
                      <w:lang w:val="en-US" w:eastAsia="zh-CN"/>
                    </w:rPr>
                    <w:t>新建</w:t>
                  </w:r>
                  <w:r>
                    <w:rPr>
                      <w:rFonts w:hint="default" w:ascii="Times New Roman" w:hAnsi="Times New Roman" w:cs="Times New Roman" w:eastAsiaTheme="minorEastAsia"/>
                      <w:color w:val="auto"/>
                      <w:kern w:val="2"/>
                      <w:sz w:val="21"/>
                      <w:szCs w:val="21"/>
                      <w:lang w:val="en-US" w:eastAsia="zh-CN"/>
                    </w:rPr>
                    <w:t>1间</w:t>
                  </w:r>
                  <w:r>
                    <w:rPr>
                      <w:rFonts w:hint="eastAsia" w:ascii="Times New Roman" w:hAnsi="Times New Roman" w:cs="Times New Roman" w:eastAsiaTheme="minorEastAsia"/>
                      <w:color w:val="auto"/>
                      <w:kern w:val="2"/>
                      <w:sz w:val="21"/>
                      <w:szCs w:val="21"/>
                      <w:lang w:val="en-US" w:eastAsia="zh-CN"/>
                    </w:rPr>
                    <w:t>占地面积</w:t>
                  </w:r>
                  <w:r>
                    <w:rPr>
                      <w:rFonts w:hint="default" w:ascii="Times New Roman" w:hAnsi="Times New Roman" w:cs="Times New Roman" w:eastAsiaTheme="minorEastAsia"/>
                      <w:color w:val="auto"/>
                      <w:sz w:val="21"/>
                      <w:szCs w:val="21"/>
                    </w:rPr>
                    <w:t>不低于</w:t>
                  </w: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的一般</w:t>
                  </w:r>
                  <w:r>
                    <w:rPr>
                      <w:rFonts w:hint="default" w:ascii="Times New Roman" w:hAnsi="Times New Roman" w:cs="Times New Roman" w:eastAsiaTheme="minorEastAsia"/>
                      <w:color w:val="auto"/>
                      <w:sz w:val="21"/>
                      <w:szCs w:val="21"/>
                      <w:lang w:val="en-US" w:eastAsia="zh-CN"/>
                    </w:rPr>
                    <w:t>危险废物</w:t>
                  </w:r>
                  <w:r>
                    <w:rPr>
                      <w:rFonts w:hint="default" w:ascii="Times New Roman" w:hAnsi="Times New Roman" w:cs="Times New Roman" w:eastAsiaTheme="minorEastAsia"/>
                      <w:color w:val="auto"/>
                      <w:sz w:val="21"/>
                      <w:szCs w:val="21"/>
                    </w:rPr>
                    <w:t>存间，严格</w:t>
                  </w:r>
                  <w:r>
                    <w:rPr>
                      <w:rFonts w:hint="default" w:ascii="Times New Roman" w:hAnsi="Times New Roman" w:cs="Times New Roman" w:eastAsiaTheme="minorEastAsia"/>
                      <w:color w:val="auto"/>
                      <w:sz w:val="21"/>
                      <w:szCs w:val="21"/>
                      <w:lang w:val="en-US" w:eastAsia="zh-CN"/>
                    </w:rPr>
                    <w:t>按照《危险废物贮存污染控制标准》（GB 18597—2023）规范进行建设，具体为：</w:t>
                  </w:r>
                  <w:r>
                    <w:rPr>
                      <w:rFonts w:hint="default" w:ascii="Times New Roman" w:hAnsi="Times New Roman" w:cs="Times New Roman" w:eastAsiaTheme="minorEastAsia"/>
                      <w:color w:val="auto"/>
                      <w:kern w:val="0"/>
                      <w:sz w:val="21"/>
                      <w:szCs w:val="21"/>
                      <w:lang w:bidi="ar"/>
                    </w:rPr>
                    <w:t>基础必须防渗，防渗层为至少1m厚粘土层（渗透系数≤10</w:t>
                  </w:r>
                  <w:r>
                    <w:rPr>
                      <w:rFonts w:hint="default" w:ascii="Times New Roman" w:hAnsi="Times New Roman" w:cs="Times New Roman" w:eastAsiaTheme="minorEastAsia"/>
                      <w:color w:val="auto"/>
                      <w:kern w:val="0"/>
                      <w:sz w:val="21"/>
                      <w:szCs w:val="21"/>
                      <w:vertAlign w:val="superscript"/>
                      <w:lang w:bidi="ar"/>
                    </w:rPr>
                    <w:t>-7</w:t>
                  </w:r>
                  <w:r>
                    <w:rPr>
                      <w:rFonts w:hint="default" w:ascii="Times New Roman" w:hAnsi="Times New Roman" w:cs="Times New Roman" w:eastAsiaTheme="minorEastAsia"/>
                      <w:color w:val="auto"/>
                      <w:kern w:val="0"/>
                      <w:sz w:val="21"/>
                      <w:szCs w:val="21"/>
                      <w:lang w:bidi="ar"/>
                    </w:rPr>
                    <w:t>cm/s），或2mm厚高密度聚乙烯，或至少2mm厚的其它人工材料，渗透系数≤10</w:t>
                  </w:r>
                  <w:r>
                    <w:rPr>
                      <w:rFonts w:hint="default" w:ascii="Times New Roman" w:hAnsi="Times New Roman" w:cs="Times New Roman" w:eastAsiaTheme="minorEastAsia"/>
                      <w:color w:val="auto"/>
                      <w:kern w:val="0"/>
                      <w:sz w:val="21"/>
                      <w:szCs w:val="21"/>
                      <w:vertAlign w:val="superscript"/>
                      <w:lang w:bidi="ar"/>
                    </w:rPr>
                    <w:t>-10</w:t>
                  </w:r>
                  <w:r>
                    <w:rPr>
                      <w:rFonts w:hint="default" w:ascii="Times New Roman" w:hAnsi="Times New Roman" w:cs="Times New Roman" w:eastAsiaTheme="minorEastAsia"/>
                      <w:color w:val="auto"/>
                      <w:kern w:val="0"/>
                      <w:sz w:val="21"/>
                      <w:szCs w:val="21"/>
                      <w:lang w:bidi="ar"/>
                    </w:rPr>
                    <w:t>cm/s</w:t>
                  </w:r>
                </w:p>
              </w:tc>
              <w:tc>
                <w:tcPr>
                  <w:tcW w:w="627" w:type="pct"/>
                  <w:noWrap w:val="0"/>
                  <w:vAlign w:val="center"/>
                </w:tcPr>
                <w:p w14:paraId="623672AB">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2.9</w:t>
                  </w:r>
                </w:p>
              </w:tc>
            </w:tr>
            <w:tr w14:paraId="23BF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72" w:type="pct"/>
                  <w:gridSpan w:val="4"/>
                  <w:noWrap w:val="0"/>
                  <w:vAlign w:val="center"/>
                </w:tcPr>
                <w:p w14:paraId="4FB7F509">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合计</w:t>
                  </w:r>
                </w:p>
              </w:tc>
              <w:tc>
                <w:tcPr>
                  <w:tcW w:w="627" w:type="pct"/>
                  <w:noWrap w:val="0"/>
                  <w:vAlign w:val="center"/>
                </w:tcPr>
                <w:p w14:paraId="4E14D5CC">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22.8</w:t>
                  </w:r>
                </w:p>
              </w:tc>
            </w:tr>
            <w:tr w14:paraId="421F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251471B0">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both"/>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bCs w:val="0"/>
                      <w:color w:val="auto"/>
                      <w:sz w:val="21"/>
                      <w:szCs w:val="21"/>
                      <w:vertAlign w:val="baseline"/>
                      <w:lang w:val="en-US" w:eastAsia="zh-CN"/>
                    </w:rPr>
                    <w:t>备注</w:t>
                  </w:r>
                  <w:r>
                    <w:rPr>
                      <w:rFonts w:hint="default" w:ascii="Times New Roman" w:hAnsi="Times New Roman" w:cs="Times New Roman" w:eastAsiaTheme="minorEastAsia"/>
                      <w:b w:val="0"/>
                      <w:bCs/>
                      <w:color w:val="auto"/>
                      <w:sz w:val="21"/>
                      <w:szCs w:val="21"/>
                      <w:vertAlign w:val="baseline"/>
                      <w:lang w:val="en-US" w:eastAsia="zh-CN"/>
                    </w:rPr>
                    <w:t>：“/”表示依托工程，环保投资不计入本次环保投资统计</w:t>
                  </w:r>
                </w:p>
              </w:tc>
            </w:tr>
          </w:tbl>
          <w:p w14:paraId="7BF5A6B1">
            <w:pPr>
              <w:pStyle w:val="49"/>
              <w:jc w:val="both"/>
              <w:rPr>
                <w:rFonts w:hint="default" w:ascii="Times New Roman" w:hAnsi="Times New Roman" w:cs="Times New Roman"/>
                <w:color w:val="auto"/>
              </w:rPr>
            </w:pPr>
          </w:p>
        </w:tc>
      </w:tr>
      <w:tr w14:paraId="335B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265" w:type="pct"/>
            <w:vAlign w:val="top"/>
          </w:tcPr>
          <w:p w14:paraId="73C02F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13CD8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3A28CB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294272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62CC7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2F6B1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0278D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1E77E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0CB498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73AF7D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4C790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4F01A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29BCB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72210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4123A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p>
          <w:p w14:paraId="4477F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工艺流程和产排污环节</w:t>
            </w:r>
          </w:p>
        </w:tc>
        <w:tc>
          <w:tcPr>
            <w:tcW w:w="4734" w:type="pct"/>
            <w:vAlign w:val="top"/>
          </w:tcPr>
          <w:p w14:paraId="5B8ADD3F">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1、施工期工艺流程及产污节点</w:t>
            </w:r>
          </w:p>
          <w:p w14:paraId="7B09963D">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（1）工艺流程及产污节点</w:t>
            </w:r>
          </w:p>
          <w:p w14:paraId="23CA5056">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施工期主要</w:t>
            </w:r>
            <w:r>
              <w:rPr>
                <w:rFonts w:hint="eastAsia" w:cs="Times New Roman"/>
                <w:color w:val="auto"/>
                <w:kern w:val="2"/>
                <w:sz w:val="24"/>
                <w:szCs w:val="24"/>
                <w:lang w:val="en-US" w:eastAsia="zh-CN" w:bidi="ar-SA"/>
              </w:rPr>
              <w:t>为</w:t>
            </w:r>
            <w:r>
              <w:rPr>
                <w:rFonts w:hint="eastAsia" w:ascii="Times New Roman" w:hAnsi="Times New Roman" w:eastAsia="宋体" w:cs="Times New Roman"/>
                <w:color w:val="auto"/>
                <w:kern w:val="2"/>
                <w:sz w:val="24"/>
                <w:szCs w:val="24"/>
                <w:lang w:val="en-US" w:eastAsia="zh-CN" w:bidi="ar-SA"/>
              </w:rPr>
              <w:t>设备的安装、环保设施建设，通水、通电，道路利用</w:t>
            </w:r>
            <w:r>
              <w:rPr>
                <w:rFonts w:hint="eastAsia" w:cs="Times New Roman"/>
                <w:color w:val="auto"/>
                <w:kern w:val="2"/>
                <w:sz w:val="24"/>
                <w:szCs w:val="24"/>
                <w:lang w:val="en-US" w:eastAsia="zh-CN" w:bidi="ar-SA"/>
              </w:rPr>
              <w:t>原有项目已硬化的</w:t>
            </w:r>
            <w:r>
              <w:rPr>
                <w:rFonts w:hint="eastAsia" w:ascii="Times New Roman" w:hAnsi="Times New Roman" w:eastAsia="宋体" w:cs="Times New Roman"/>
                <w:color w:val="auto"/>
                <w:kern w:val="2"/>
                <w:sz w:val="24"/>
                <w:szCs w:val="24"/>
                <w:lang w:val="en-US" w:eastAsia="zh-CN" w:bidi="ar-SA"/>
              </w:rPr>
              <w:t>道路。项目施工期为3个月。项目施工阶段污染流程见图</w:t>
            </w:r>
            <w:r>
              <w:rPr>
                <w:rFonts w:hint="eastAsia" w:cs="Times New Roman"/>
                <w:color w:val="auto"/>
                <w:kern w:val="2"/>
                <w:sz w:val="24"/>
                <w:szCs w:val="24"/>
                <w:lang w:val="en-US" w:eastAsia="zh-CN" w:bidi="ar-SA"/>
              </w:rPr>
              <w:t>2-3</w:t>
            </w:r>
            <w:r>
              <w:rPr>
                <w:rFonts w:hint="eastAsia" w:ascii="Times New Roman" w:hAnsi="Times New Roman" w:eastAsia="宋体" w:cs="Times New Roman"/>
                <w:color w:val="auto"/>
                <w:kern w:val="2"/>
                <w:sz w:val="24"/>
                <w:szCs w:val="24"/>
                <w:lang w:val="en-US" w:eastAsia="zh-CN" w:bidi="ar-SA"/>
              </w:rPr>
              <w:t>。</w:t>
            </w:r>
          </w:p>
          <w:p w14:paraId="6A8457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b/>
                <w:bCs/>
                <w:color w:val="auto"/>
              </w:rPr>
            </w:pPr>
            <w:r>
              <w:rPr>
                <w:rFonts w:hint="eastAsia" w:ascii="Times New Roman" w:hAnsi="Times New Roman" w:eastAsia="宋体" w:cs="Times New Roman"/>
                <w:color w:val="auto"/>
                <w:kern w:val="2"/>
                <w:sz w:val="24"/>
                <w:szCs w:val="24"/>
                <w:lang w:val="en-US" w:eastAsia="zh-CN" w:bidi="ar-SA"/>
              </w:rPr>
              <w:object>
                <v:shape id="_x0000_i1028" o:spt="75" type="#_x0000_t75" style="height:111.65pt;width:392.8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r>
              <w:rPr>
                <w:rFonts w:hint="default" w:ascii="Times New Roman" w:hAnsi="Times New Roman" w:cs="Times New Roman" w:eastAsiaTheme="minorEastAsia"/>
                <w:b/>
                <w:bCs/>
                <w:color w:val="auto"/>
              </w:rPr>
              <w:t>图</w:t>
            </w:r>
            <w:r>
              <w:rPr>
                <w:rFonts w:hint="default" w:ascii="Times New Roman" w:hAnsi="Times New Roman" w:cs="Times New Roman" w:eastAsiaTheme="minorEastAsia"/>
                <w:b/>
                <w:bCs/>
                <w:color w:val="auto"/>
                <w:lang w:val="en-US" w:eastAsia="zh-CN"/>
              </w:rPr>
              <w:t>2-</w:t>
            </w:r>
            <w:r>
              <w:rPr>
                <w:rFonts w:hint="eastAsia" w:cs="Times New Roman" w:eastAsiaTheme="minorEastAsia"/>
                <w:b/>
                <w:bCs/>
                <w:color w:val="auto"/>
                <w:lang w:val="en-US" w:eastAsia="zh-CN"/>
              </w:rPr>
              <w:t>3</w:t>
            </w:r>
            <w:r>
              <w:rPr>
                <w:rFonts w:hint="default" w:ascii="Times New Roman" w:hAnsi="Times New Roman" w:cs="Times New Roman" w:eastAsiaTheme="minorEastAsia"/>
                <w:b/>
                <w:bCs/>
                <w:color w:val="auto"/>
              </w:rPr>
              <w:t xml:space="preserve">  施工阶段程序及污染流程图</w:t>
            </w:r>
          </w:p>
          <w:p w14:paraId="3BADAE4E">
            <w:pPr>
              <w:pStyle w:val="8"/>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Ansi="宋体"/>
                <w:color w:val="auto"/>
                <w:sz w:val="24"/>
                <w:szCs w:val="24"/>
              </w:rPr>
            </w:pPr>
            <w:r>
              <w:rPr>
                <w:rFonts w:hint="eastAsia" w:hAnsi="宋体"/>
                <w:b/>
                <w:bCs/>
                <w:color w:val="auto"/>
                <w:sz w:val="24"/>
                <w:szCs w:val="24"/>
              </w:rPr>
              <w:t>工程施工简述</w:t>
            </w:r>
            <w:r>
              <w:rPr>
                <w:rFonts w:hint="eastAsia" w:hAnsi="宋体"/>
                <w:color w:val="auto"/>
                <w:sz w:val="24"/>
                <w:szCs w:val="24"/>
              </w:rPr>
              <w:t>：</w:t>
            </w:r>
          </w:p>
          <w:p w14:paraId="5D785FB9">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olor w:val="auto"/>
                <w:sz w:val="24"/>
                <w:szCs w:val="24"/>
              </w:rPr>
            </w:pPr>
            <w:r>
              <w:rPr>
                <w:rFonts w:hint="eastAsia" w:hAnsi="宋体"/>
                <w:color w:val="auto"/>
                <w:sz w:val="24"/>
                <w:szCs w:val="24"/>
              </w:rPr>
              <w:t>（1）本项目</w:t>
            </w:r>
            <w:r>
              <w:rPr>
                <w:rFonts w:hint="eastAsia" w:hAnsi="宋体"/>
                <w:color w:val="auto"/>
                <w:sz w:val="24"/>
                <w:szCs w:val="24"/>
                <w:lang w:val="en-US" w:eastAsia="zh-CN"/>
              </w:rPr>
              <w:t>主要为</w:t>
            </w:r>
            <w:r>
              <w:rPr>
                <w:rFonts w:hint="eastAsia" w:hAnsi="宋体"/>
                <w:color w:val="auto"/>
                <w:sz w:val="24"/>
                <w:szCs w:val="24"/>
              </w:rPr>
              <w:t>设备安装及环保设施</w:t>
            </w:r>
            <w:r>
              <w:rPr>
                <w:rFonts w:hint="eastAsia" w:hAnsi="宋体"/>
                <w:color w:val="auto"/>
                <w:sz w:val="24"/>
                <w:szCs w:val="24"/>
                <w:lang w:val="en-US" w:eastAsia="zh-CN"/>
              </w:rPr>
              <w:t>建设</w:t>
            </w:r>
            <w:r>
              <w:rPr>
                <w:rFonts w:hint="eastAsia" w:hAnsi="宋体"/>
                <w:color w:val="auto"/>
                <w:sz w:val="24"/>
                <w:szCs w:val="24"/>
              </w:rPr>
              <w:t>，在建设过程中，产生的主要污染物为</w:t>
            </w:r>
            <w:r>
              <w:rPr>
                <w:rFonts w:hint="default" w:ascii="Times New Roman" w:hAnsi="宋体" w:eastAsia="宋体"/>
                <w:color w:val="auto"/>
                <w:sz w:val="24"/>
                <w:szCs w:val="24"/>
                <w:lang w:val="en-US" w:eastAsia="zh-CN"/>
              </w:rPr>
              <w:t>焊接废渣</w:t>
            </w:r>
            <w:r>
              <w:rPr>
                <w:rFonts w:hint="eastAsia" w:hAnsi="宋体"/>
                <w:color w:val="auto"/>
                <w:sz w:val="24"/>
                <w:szCs w:val="24"/>
              </w:rPr>
              <w:t>、包装废弃物等。</w:t>
            </w:r>
          </w:p>
          <w:p w14:paraId="06CE2BE1">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olor w:val="auto"/>
                <w:sz w:val="24"/>
                <w:szCs w:val="24"/>
              </w:rPr>
            </w:pPr>
            <w:r>
              <w:rPr>
                <w:rFonts w:hint="eastAsia" w:hAnsi="宋体"/>
                <w:color w:val="auto"/>
                <w:sz w:val="24"/>
                <w:szCs w:val="24"/>
              </w:rPr>
              <w:t>（</w:t>
            </w:r>
            <w:r>
              <w:rPr>
                <w:rFonts w:hint="eastAsia" w:hAnsi="宋体"/>
                <w:color w:val="auto"/>
                <w:sz w:val="24"/>
                <w:szCs w:val="24"/>
                <w:lang w:val="en-US" w:eastAsia="zh-CN"/>
              </w:rPr>
              <w:t>2</w:t>
            </w:r>
            <w:r>
              <w:rPr>
                <w:rFonts w:hint="eastAsia" w:hAnsi="宋体"/>
                <w:color w:val="auto"/>
                <w:sz w:val="24"/>
                <w:szCs w:val="24"/>
              </w:rPr>
              <w:t>）设备的安装，产生一部分废弃包装物。</w:t>
            </w:r>
          </w:p>
          <w:p w14:paraId="488EA621">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color w:val="auto"/>
                <w:sz w:val="24"/>
                <w:szCs w:val="24"/>
              </w:rPr>
            </w:pPr>
            <w:r>
              <w:rPr>
                <w:rFonts w:hint="eastAsia" w:hAnsi="宋体"/>
                <w:color w:val="auto"/>
                <w:sz w:val="24"/>
                <w:szCs w:val="24"/>
              </w:rPr>
              <w:t>因此，</w:t>
            </w:r>
            <w:r>
              <w:rPr>
                <w:rFonts w:hAnsi="宋体"/>
                <w:color w:val="auto"/>
                <w:sz w:val="24"/>
                <w:szCs w:val="24"/>
              </w:rPr>
              <w:t>施工期间存在的主要污染为：施工行为产生的扬尘；施工机械及车辆产生的尾气；施工人员的生活污水和施工</w:t>
            </w:r>
            <w:r>
              <w:rPr>
                <w:rFonts w:hint="eastAsia" w:hAnsi="宋体"/>
                <w:color w:val="auto"/>
                <w:sz w:val="24"/>
                <w:szCs w:val="24"/>
              </w:rPr>
              <w:t>废</w:t>
            </w:r>
            <w:r>
              <w:rPr>
                <w:rFonts w:hAnsi="宋体"/>
                <w:color w:val="auto"/>
                <w:sz w:val="24"/>
                <w:szCs w:val="24"/>
              </w:rPr>
              <w:t>水；施工产生的</w:t>
            </w:r>
            <w:r>
              <w:rPr>
                <w:rFonts w:hint="eastAsia" w:hAnsi="宋体"/>
                <w:color w:val="auto"/>
                <w:sz w:val="24"/>
                <w:szCs w:val="24"/>
              </w:rPr>
              <w:t>建筑垃圾、废弃包装物</w:t>
            </w:r>
            <w:r>
              <w:rPr>
                <w:rFonts w:hAnsi="宋体"/>
                <w:color w:val="auto"/>
                <w:sz w:val="24"/>
                <w:szCs w:val="24"/>
              </w:rPr>
              <w:t>及生活垃圾等固体废弃物；施工机械及运输车辆产生的噪声。</w:t>
            </w:r>
          </w:p>
          <w:p w14:paraId="41C1409B">
            <w:pPr>
              <w:tabs>
                <w:tab w:val="left" w:pos="4830"/>
              </w:tabs>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2、运营期工艺流程及产污节点分析</w:t>
            </w:r>
          </w:p>
          <w:p w14:paraId="6117FDAA">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本项目原</w:t>
            </w:r>
            <w:r>
              <w:rPr>
                <w:rFonts w:hint="eastAsia" w:cs="Times New Roman"/>
                <w:color w:val="auto"/>
                <w:lang w:val="en-US" w:eastAsia="zh-CN"/>
              </w:rPr>
              <w:t>煤为外购的不同品质的无烟煤，本次不进行破碎和洗选，仅进行配煤</w:t>
            </w:r>
            <w:r>
              <w:rPr>
                <w:rFonts w:hint="default" w:ascii="Times New Roman" w:hAnsi="Times New Roman" w:eastAsia="宋体" w:cs="Times New Roman"/>
                <w:color w:val="auto"/>
              </w:rPr>
              <w:t>，工艺流程简述如下：</w:t>
            </w:r>
          </w:p>
          <w:p w14:paraId="4D5C7C81">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eastAsia" w:cs="Times New Roman"/>
                <w:color w:val="auto"/>
                <w:lang w:val="en-US" w:eastAsia="zh-CN"/>
              </w:rPr>
              <w:t>原煤卸车</w:t>
            </w:r>
          </w:p>
          <w:p w14:paraId="08393D67">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eastAsia" w:cs="Times New Roman"/>
                <w:color w:val="auto"/>
                <w:lang w:val="en-US" w:eastAsia="zh-CN"/>
              </w:rPr>
            </w:pPr>
            <w:r>
              <w:rPr>
                <w:rFonts w:hint="eastAsia" w:ascii="Times New Roman" w:hAnsi="Times New Roman" w:eastAsia="宋体" w:cs="Times New Roman"/>
                <w:color w:val="auto"/>
                <w:lang w:val="en-US" w:eastAsia="zh-CN"/>
              </w:rPr>
              <w:t>原煤经车辆运输至配煤车间</w:t>
            </w:r>
            <w:r>
              <w:rPr>
                <w:rFonts w:hint="eastAsia" w:cs="Times New Roman"/>
                <w:color w:val="auto"/>
                <w:lang w:val="en-US" w:eastAsia="zh-CN"/>
              </w:rPr>
              <w:t>后暂存于原煤堆场，</w:t>
            </w:r>
            <w:r>
              <w:rPr>
                <w:rFonts w:hint="default" w:ascii="Times New Roman" w:hAnsi="Times New Roman" w:eastAsia="宋体" w:cs="Times New Roman"/>
                <w:color w:val="auto"/>
              </w:rPr>
              <w:t>此</w:t>
            </w:r>
            <w:r>
              <w:rPr>
                <w:rFonts w:hint="default" w:ascii="Times New Roman" w:hAnsi="Times New Roman" w:eastAsia="宋体" w:cs="Times New Roman"/>
                <w:color w:val="auto"/>
                <w:lang w:val="en-US" w:eastAsia="zh-CN"/>
              </w:rPr>
              <w:t>工序主要</w:t>
            </w:r>
            <w:r>
              <w:rPr>
                <w:rFonts w:hint="default" w:ascii="Times New Roman" w:hAnsi="Times New Roman" w:eastAsia="宋体" w:cs="Times New Roman"/>
                <w:color w:val="auto"/>
              </w:rPr>
              <w:t>会产生</w:t>
            </w:r>
            <w:r>
              <w:rPr>
                <w:rFonts w:hint="eastAsia" w:cs="Times New Roman"/>
                <w:color w:val="auto"/>
                <w:lang w:val="en-US" w:eastAsia="zh-CN"/>
              </w:rPr>
              <w:t>装卸废气和噪声。</w:t>
            </w:r>
          </w:p>
          <w:p w14:paraId="65A1C3C8">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（2）</w:t>
            </w:r>
            <w:r>
              <w:rPr>
                <w:rFonts w:hint="eastAsia" w:cs="Times New Roman"/>
                <w:color w:val="auto"/>
                <w:lang w:val="en-US" w:eastAsia="zh-CN"/>
              </w:rPr>
              <w:t>配煤</w:t>
            </w:r>
          </w:p>
          <w:p w14:paraId="1281E515">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eastAsia" w:cs="Times New Roman"/>
                <w:color w:val="auto"/>
                <w:lang w:val="en-US" w:eastAsia="zh-CN"/>
              </w:rPr>
            </w:pPr>
            <w:r>
              <w:rPr>
                <w:rFonts w:hint="default" w:ascii="Times New Roman" w:hAnsi="Times New Roman" w:eastAsia="宋体" w:cs="Times New Roman"/>
                <w:color w:val="auto"/>
              </w:rPr>
              <w:t>利用装载机将原煤按比例</w:t>
            </w:r>
            <w:r>
              <w:rPr>
                <w:rFonts w:hint="eastAsia" w:cs="Times New Roman"/>
                <w:color w:val="auto"/>
                <w:lang w:val="en-US" w:eastAsia="zh-CN"/>
              </w:rPr>
              <w:t>投入配煤机进行</w:t>
            </w:r>
            <w:r>
              <w:rPr>
                <w:rFonts w:hint="default" w:ascii="Times New Roman" w:hAnsi="Times New Roman" w:eastAsia="宋体" w:cs="Times New Roman"/>
                <w:color w:val="auto"/>
                <w:kern w:val="0"/>
                <w:sz w:val="24"/>
                <w:szCs w:val="24"/>
                <w:lang w:val="en-US" w:eastAsia="zh-CN"/>
              </w:rPr>
              <w:t>混合配料后即制得成品</w:t>
            </w:r>
            <w:r>
              <w:rPr>
                <w:rFonts w:hint="eastAsia" w:cs="Times New Roman"/>
                <w:color w:val="auto"/>
                <w:lang w:val="en-US" w:eastAsia="zh-CN"/>
              </w:rPr>
              <w:t>，</w:t>
            </w:r>
            <w:r>
              <w:rPr>
                <w:rFonts w:hint="default" w:ascii="Times New Roman" w:hAnsi="Times New Roman" w:eastAsia="宋体" w:cs="Times New Roman"/>
                <w:color w:val="auto"/>
              </w:rPr>
              <w:t>此</w:t>
            </w:r>
            <w:r>
              <w:rPr>
                <w:rFonts w:hint="default" w:ascii="Times New Roman" w:hAnsi="Times New Roman" w:eastAsia="宋体" w:cs="Times New Roman"/>
                <w:color w:val="auto"/>
                <w:lang w:val="en-US" w:eastAsia="zh-CN"/>
              </w:rPr>
              <w:t>工序主要</w:t>
            </w:r>
            <w:r>
              <w:rPr>
                <w:rFonts w:hint="default" w:ascii="Times New Roman" w:hAnsi="Times New Roman" w:eastAsia="宋体" w:cs="Times New Roman"/>
                <w:color w:val="auto"/>
              </w:rPr>
              <w:t>会产生</w:t>
            </w:r>
            <w:r>
              <w:rPr>
                <w:rFonts w:hint="eastAsia" w:cs="Times New Roman"/>
                <w:color w:val="auto"/>
                <w:lang w:val="en-US" w:eastAsia="zh-CN"/>
              </w:rPr>
              <w:t>废气和噪声。</w:t>
            </w:r>
          </w:p>
          <w:p w14:paraId="4BA33F7D">
            <w:pPr>
              <w:keepNext w:val="0"/>
              <w:keepLines w:val="0"/>
              <w:pageBreakBefore w:val="0"/>
              <w:widowControl w:val="0"/>
              <w:numPr>
                <w:ilvl w:val="0"/>
                <w:numId w:val="4"/>
              </w:numPr>
              <w:kinsoku/>
              <w:wordWrap/>
              <w:overflowPunct/>
              <w:topLinePunct w:val="0"/>
              <w:autoSpaceDE/>
              <w:autoSpaceDN/>
              <w:bidi w:val="0"/>
              <w:adjustRightInd w:val="0"/>
              <w:snapToGrid w:val="0"/>
              <w:ind w:firstLine="480" w:firstLineChars="200"/>
              <w:textAlignment w:val="auto"/>
              <w:outlineLvl w:val="9"/>
              <w:rPr>
                <w:rFonts w:hint="eastAsia" w:cs="Times New Roman"/>
                <w:color w:val="auto"/>
                <w:lang w:val="en-US" w:eastAsia="zh-CN"/>
              </w:rPr>
            </w:pPr>
            <w:r>
              <w:rPr>
                <w:rFonts w:hint="eastAsia" w:cs="Times New Roman"/>
                <w:color w:val="auto"/>
                <w:lang w:val="en-US" w:eastAsia="zh-CN"/>
              </w:rPr>
              <w:t>外售</w:t>
            </w:r>
          </w:p>
          <w:p w14:paraId="7C7342BA">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eastAsia" w:cs="Times New Roman"/>
                <w:color w:val="auto"/>
                <w:lang w:val="en-US" w:eastAsia="zh-CN"/>
              </w:rPr>
            </w:pPr>
            <w:r>
              <w:rPr>
                <w:rFonts w:hint="eastAsia" w:cs="Times New Roman"/>
                <w:color w:val="auto"/>
                <w:lang w:val="en-US" w:eastAsia="zh-CN"/>
              </w:rPr>
              <w:t>经配煤机混配好的成品煤暂存于成品堆存待售，</w:t>
            </w:r>
            <w:r>
              <w:rPr>
                <w:rFonts w:hint="default" w:ascii="Times New Roman" w:hAnsi="Times New Roman" w:eastAsia="宋体" w:cs="Times New Roman"/>
                <w:color w:val="auto"/>
              </w:rPr>
              <w:t>此</w:t>
            </w:r>
            <w:r>
              <w:rPr>
                <w:rFonts w:hint="default" w:ascii="Times New Roman" w:hAnsi="Times New Roman" w:eastAsia="宋体" w:cs="Times New Roman"/>
                <w:color w:val="auto"/>
                <w:lang w:val="en-US" w:eastAsia="zh-CN"/>
              </w:rPr>
              <w:t>工序主要</w:t>
            </w:r>
            <w:r>
              <w:rPr>
                <w:rFonts w:hint="default" w:ascii="Times New Roman" w:hAnsi="Times New Roman" w:eastAsia="宋体" w:cs="Times New Roman"/>
                <w:color w:val="auto"/>
              </w:rPr>
              <w:t>会产生</w:t>
            </w:r>
            <w:r>
              <w:rPr>
                <w:rFonts w:hint="eastAsia" w:cs="Times New Roman"/>
                <w:color w:val="auto"/>
                <w:lang w:val="en-US" w:eastAsia="zh-CN"/>
              </w:rPr>
              <w:t>废气和噪声。</w:t>
            </w:r>
          </w:p>
          <w:p w14:paraId="441743E5">
            <w:pPr>
              <w:keepNext w:val="0"/>
              <w:keepLines w:val="0"/>
              <w:pageBreakBefore w:val="0"/>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b w:val="0"/>
                <w:bCs w:val="0"/>
                <w:strike w:val="0"/>
                <w:dstrike w:val="0"/>
                <w:color w:val="auto"/>
                <w:sz w:val="24"/>
                <w:szCs w:val="24"/>
              </w:rPr>
            </w:pPr>
            <w:r>
              <w:rPr>
                <w:rFonts w:hint="eastAsia" w:cs="Times New Roman"/>
                <w:b w:val="0"/>
                <w:bCs w:val="0"/>
                <w:strike w:val="0"/>
                <w:dstrike w:val="0"/>
                <w:color w:val="auto"/>
                <w:sz w:val="24"/>
                <w:szCs w:val="24"/>
                <w:lang w:val="en-US" w:eastAsia="zh-CN"/>
              </w:rPr>
              <w:t>项目</w:t>
            </w:r>
            <w:r>
              <w:rPr>
                <w:rFonts w:hint="default" w:ascii="Times New Roman" w:hAnsi="Times New Roman" w:eastAsia="宋体" w:cs="Times New Roman"/>
                <w:b w:val="0"/>
                <w:bCs w:val="0"/>
                <w:strike w:val="0"/>
                <w:dstrike w:val="0"/>
                <w:color w:val="auto"/>
                <w:sz w:val="24"/>
                <w:szCs w:val="24"/>
              </w:rPr>
              <w:t>生产工艺流程及产污节点见图</w:t>
            </w:r>
            <w:r>
              <w:rPr>
                <w:rFonts w:hint="default" w:ascii="Times New Roman" w:hAnsi="Times New Roman" w:eastAsia="宋体" w:cs="Times New Roman"/>
                <w:b w:val="0"/>
                <w:bCs w:val="0"/>
                <w:strike w:val="0"/>
                <w:dstrike w:val="0"/>
                <w:color w:val="auto"/>
                <w:sz w:val="24"/>
                <w:szCs w:val="24"/>
                <w:lang w:val="en-US" w:eastAsia="zh-CN"/>
              </w:rPr>
              <w:t>2-</w:t>
            </w:r>
            <w:r>
              <w:rPr>
                <w:rFonts w:hint="eastAsia" w:cs="Times New Roman"/>
                <w:b w:val="0"/>
                <w:bCs w:val="0"/>
                <w:strike w:val="0"/>
                <w:dstrike w:val="0"/>
                <w:color w:val="auto"/>
                <w:sz w:val="24"/>
                <w:szCs w:val="24"/>
                <w:lang w:val="en-US" w:eastAsia="zh-CN"/>
              </w:rPr>
              <w:t>4</w:t>
            </w:r>
            <w:r>
              <w:rPr>
                <w:rFonts w:hint="default" w:ascii="Times New Roman" w:hAnsi="Times New Roman" w:eastAsia="宋体" w:cs="Times New Roman"/>
                <w:b w:val="0"/>
                <w:bCs w:val="0"/>
                <w:strike w:val="0"/>
                <w:dstrike w:val="0"/>
                <w:color w:val="auto"/>
                <w:sz w:val="24"/>
                <w:szCs w:val="24"/>
              </w:rPr>
              <w:t>。</w:t>
            </w:r>
          </w:p>
          <w:p w14:paraId="48E0CC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rPr>
            </w:pPr>
            <w:r>
              <w:rPr>
                <w:rFonts w:hint="default" w:ascii="Times New Roman" w:hAnsi="Times New Roman" w:eastAsia="宋体" w:cs="Times New Roman"/>
                <w:b w:val="0"/>
                <w:bCs w:val="0"/>
                <w:strike w:val="0"/>
                <w:dstrike w:val="0"/>
                <w:color w:val="auto"/>
                <w:sz w:val="24"/>
                <w:szCs w:val="24"/>
              </w:rPr>
              <w:object>
                <v:shape id="_x0000_i1029" o:spt="75" type="#_x0000_t75" style="height:259.55pt;width:290.85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14:paraId="6B65A69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b/>
                <w:bCs/>
                <w:color w:val="auto"/>
                <w:sz w:val="24"/>
                <w:szCs w:val="24"/>
              </w:rPr>
              <w:t>图</w:t>
            </w: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 xml:space="preserve">4 </w:t>
            </w:r>
            <w:r>
              <w:rPr>
                <w:rFonts w:hint="default" w:ascii="Times New Roman" w:hAnsi="Times New Roman" w:cs="Times New Roman"/>
                <w:b/>
                <w:bCs/>
                <w:color w:val="auto"/>
                <w:sz w:val="24"/>
                <w:szCs w:val="24"/>
              </w:rPr>
              <w:t>项目生产工艺流程及产污节点示意图</w:t>
            </w:r>
          </w:p>
        </w:tc>
      </w:tr>
      <w:tr w14:paraId="7AF9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265" w:type="pct"/>
            <w:vAlign w:val="center"/>
          </w:tcPr>
          <w:p w14:paraId="4BC749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2"/>
                <w:szCs w:val="22"/>
              </w:rPr>
            </w:pPr>
          </w:p>
          <w:p w14:paraId="7A860E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与项目有关的原有环境污染问题</w:t>
            </w:r>
          </w:p>
          <w:p w14:paraId="44E31B0E">
            <w:pPr>
              <w:pStyle w:val="42"/>
              <w:jc w:val="center"/>
              <w:rPr>
                <w:rFonts w:hint="default" w:ascii="Times New Roman" w:hAnsi="Times New Roman" w:eastAsia="宋体" w:cs="Times New Roman"/>
                <w:strike w:val="0"/>
                <w:dstrike w:val="0"/>
                <w:color w:val="auto"/>
                <w:lang w:eastAsia="zh-CN"/>
              </w:rPr>
            </w:pPr>
          </w:p>
          <w:p w14:paraId="1BF9D233">
            <w:pPr>
              <w:pStyle w:val="42"/>
              <w:jc w:val="center"/>
              <w:rPr>
                <w:rFonts w:hint="default" w:ascii="Times New Roman" w:hAnsi="Times New Roman" w:eastAsia="宋体" w:cs="Times New Roman"/>
                <w:strike w:val="0"/>
                <w:dstrike w:val="0"/>
                <w:color w:val="auto"/>
                <w:lang w:eastAsia="zh-CN"/>
              </w:rPr>
            </w:pPr>
          </w:p>
        </w:tc>
        <w:tc>
          <w:tcPr>
            <w:tcW w:w="4734" w:type="pct"/>
            <w:vAlign w:val="center"/>
          </w:tcPr>
          <w:p w14:paraId="5425AA9B">
            <w:pPr>
              <w:keepNext w:val="0"/>
              <w:keepLines w:val="0"/>
              <w:pageBreakBefore w:val="0"/>
              <w:kinsoku/>
              <w:wordWrap/>
              <w:overflowPunct/>
              <w:topLinePunct w:val="0"/>
              <w:autoSpaceDE/>
              <w:autoSpaceDN/>
              <w:bidi w:val="0"/>
              <w:ind w:firstLine="480" w:firstLineChars="200"/>
              <w:textAlignment w:val="auto"/>
              <w:rPr>
                <w:rFonts w:hint="default" w:ascii="Times New Roman" w:hAnsi="Times New Roman" w:cs="Times New Roman" w:eastAsiaTheme="minorEastAsia"/>
                <w:b w:val="0"/>
                <w:bCs w:val="0"/>
                <w:i w:val="0"/>
                <w:iCs w:val="0"/>
                <w:color w:val="auto"/>
                <w:kern w:val="2"/>
                <w:sz w:val="24"/>
                <w:szCs w:val="24"/>
                <w:lang w:val="en-US" w:eastAsia="zh-CN" w:bidi="ar-SA"/>
              </w:rPr>
            </w:pPr>
            <w:r>
              <w:rPr>
                <w:rFonts w:hint="default" w:ascii="Times New Roman" w:hAnsi="Times New Roman" w:eastAsia="宋体" w:cs="Times New Roman"/>
                <w:b w:val="0"/>
                <w:bCs w:val="0"/>
                <w:i w:val="0"/>
                <w:iCs/>
                <w:color w:val="auto"/>
                <w:sz w:val="24"/>
                <w:szCs w:val="24"/>
                <w:lang w:val="en-US" w:eastAsia="zh-CN"/>
              </w:rPr>
              <w:t>玉溪利东商贸有限公司</w:t>
            </w:r>
            <w:r>
              <w:rPr>
                <w:rFonts w:hint="eastAsia" w:ascii="Times New Roman" w:hAnsi="Times New Roman" w:eastAsia="宋体" w:cs="Times New Roman"/>
                <w:b w:val="0"/>
                <w:bCs w:val="0"/>
                <w:i w:val="0"/>
                <w:iCs/>
                <w:color w:val="auto"/>
                <w:sz w:val="24"/>
                <w:szCs w:val="24"/>
                <w:lang w:val="en-US" w:eastAsia="zh-CN"/>
              </w:rPr>
              <w:t>利用公司</w:t>
            </w:r>
            <w:r>
              <w:rPr>
                <w:rFonts w:hint="default" w:ascii="Times New Roman" w:hAnsi="Times New Roman" w:cs="Times New Roman" w:eastAsiaTheme="minorEastAsia"/>
                <w:b w:val="0"/>
                <w:bCs w:val="0"/>
                <w:i w:val="0"/>
                <w:iCs w:val="0"/>
                <w:color w:val="auto"/>
                <w:kern w:val="2"/>
                <w:sz w:val="24"/>
                <w:szCs w:val="24"/>
                <w:lang w:val="en-US" w:eastAsia="zh-CN" w:bidi="ar-SA"/>
              </w:rPr>
              <w:t>已建设完成的封闭式厂房进行建设，该封闭式厂房用地性质为建设用地，根据现场踏勘和建设单位提供的资料，</w:t>
            </w:r>
            <w:r>
              <w:rPr>
                <w:rFonts w:hint="eastAsia" w:ascii="Times New Roman" w:hAnsi="Times New Roman" w:cs="Times New Roman" w:eastAsiaTheme="minorEastAsia"/>
                <w:b w:val="0"/>
                <w:bCs w:val="0"/>
                <w:i w:val="0"/>
                <w:iCs w:val="0"/>
                <w:color w:val="auto"/>
                <w:kern w:val="2"/>
                <w:sz w:val="24"/>
                <w:szCs w:val="24"/>
                <w:lang w:val="en-US" w:eastAsia="zh-CN" w:bidi="ar-SA"/>
              </w:rPr>
              <w:t>该厂房原计划建设1条年产12万吨铁矿的生产线，实际建设过程中，由于市场原因，铁矿生产线</w:t>
            </w:r>
            <w:r>
              <w:rPr>
                <w:rFonts w:hint="eastAsia" w:cs="Times New Roman" w:eastAsiaTheme="minorEastAsia"/>
                <w:b w:val="0"/>
                <w:bCs w:val="0"/>
                <w:i w:val="0"/>
                <w:iCs w:val="0"/>
                <w:color w:val="auto"/>
                <w:kern w:val="2"/>
                <w:sz w:val="24"/>
                <w:szCs w:val="24"/>
                <w:lang w:val="en-US" w:eastAsia="zh-CN" w:bidi="ar-SA"/>
              </w:rPr>
              <w:t>尚未建成投入运行（“以下简称在建项目”）</w:t>
            </w:r>
            <w:r>
              <w:rPr>
                <w:rFonts w:hint="eastAsia" w:ascii="Times New Roman" w:hAnsi="Times New Roman" w:cs="Times New Roman" w:eastAsiaTheme="minorEastAsia"/>
                <w:b w:val="0"/>
                <w:bCs w:val="0"/>
                <w:i w:val="0"/>
                <w:iCs w:val="0"/>
                <w:color w:val="auto"/>
                <w:kern w:val="2"/>
                <w:sz w:val="24"/>
                <w:szCs w:val="24"/>
                <w:lang w:val="en-US" w:eastAsia="zh-CN" w:bidi="ar-SA"/>
              </w:rPr>
              <w:t>，原有场地无遗留环境问题，同时，本项目属于新建项目，</w:t>
            </w:r>
            <w:r>
              <w:rPr>
                <w:rFonts w:hint="default" w:ascii="Times New Roman" w:hAnsi="Times New Roman" w:cs="Times New Roman" w:eastAsiaTheme="minorEastAsia"/>
                <w:b w:val="0"/>
                <w:bCs w:val="0"/>
                <w:i w:val="0"/>
                <w:iCs w:val="0"/>
                <w:color w:val="auto"/>
                <w:kern w:val="2"/>
                <w:sz w:val="24"/>
                <w:szCs w:val="24"/>
                <w:lang w:val="en-US" w:eastAsia="zh-CN" w:bidi="ar-SA"/>
              </w:rPr>
              <w:t>无原有环境问题遗留。</w:t>
            </w:r>
          </w:p>
          <w:p w14:paraId="1BC2BA35">
            <w:pPr>
              <w:keepNext w:val="0"/>
              <w:keepLines w:val="0"/>
              <w:pageBreakBefore w:val="0"/>
              <w:kinsoku/>
              <w:wordWrap/>
              <w:overflowPunct/>
              <w:topLinePunct w:val="0"/>
              <w:autoSpaceDE/>
              <w:autoSpaceDN/>
              <w:bidi w:val="0"/>
              <w:ind w:firstLine="480" w:firstLineChars="200"/>
              <w:textAlignment w:val="auto"/>
              <w:rPr>
                <w:rFonts w:hint="default" w:ascii="Times New Roman" w:hAnsi="Times New Roman" w:cs="Times New Roman" w:eastAsiaTheme="minorEastAsia"/>
                <w:b w:val="0"/>
                <w:bCs w:val="0"/>
                <w:i w:val="0"/>
                <w:iCs w:val="0"/>
                <w:color w:val="auto"/>
                <w:sz w:val="24"/>
                <w:szCs w:val="24"/>
                <w:lang w:val="en-US" w:eastAsia="zh-CN"/>
              </w:rPr>
            </w:pPr>
            <w:r>
              <w:rPr>
                <w:rFonts w:hint="eastAsia" w:ascii="Times New Roman" w:hAnsi="Times New Roman" w:cs="Times New Roman" w:eastAsiaTheme="minorEastAsia"/>
                <w:b w:val="0"/>
                <w:bCs w:val="0"/>
                <w:i w:val="0"/>
                <w:iCs w:val="0"/>
                <w:color w:val="auto"/>
                <w:sz w:val="24"/>
                <w:szCs w:val="24"/>
                <w:lang w:val="en-US" w:eastAsia="zh-CN"/>
              </w:rPr>
              <w:t>本次评价收集了</w:t>
            </w:r>
            <w:r>
              <w:rPr>
                <w:rFonts w:hint="eastAsia" w:cs="Times New Roman" w:eastAsiaTheme="minorEastAsia"/>
                <w:b w:val="0"/>
                <w:bCs w:val="0"/>
                <w:i w:val="0"/>
                <w:iCs w:val="0"/>
                <w:color w:val="auto"/>
                <w:sz w:val="24"/>
                <w:szCs w:val="24"/>
                <w:lang w:val="en-US" w:eastAsia="zh-CN"/>
              </w:rPr>
              <w:t>在建</w:t>
            </w:r>
            <w:r>
              <w:rPr>
                <w:rFonts w:hint="eastAsia" w:ascii="Times New Roman" w:hAnsi="Times New Roman" w:cs="Times New Roman" w:eastAsiaTheme="minorEastAsia"/>
                <w:b w:val="0"/>
                <w:bCs w:val="0"/>
                <w:i w:val="0"/>
                <w:iCs w:val="0"/>
                <w:color w:val="auto"/>
                <w:sz w:val="24"/>
                <w:szCs w:val="24"/>
                <w:lang w:val="en-US" w:eastAsia="zh-CN"/>
              </w:rPr>
              <w:t>项目（</w:t>
            </w:r>
            <w:r>
              <w:rPr>
                <w:rFonts w:hint="default" w:ascii="Times New Roman" w:hAnsi="Times New Roman" w:cs="Times New Roman" w:eastAsiaTheme="minorEastAsia"/>
                <w:b w:val="0"/>
                <w:bCs w:val="0"/>
                <w:i w:val="0"/>
                <w:iCs w:val="0"/>
                <w:color w:val="auto"/>
                <w:sz w:val="24"/>
                <w:szCs w:val="24"/>
                <w:lang w:val="en-US" w:eastAsia="zh-CN"/>
              </w:rPr>
              <w:t>年产12万吨铁矿破碎加工生产线建设项目</w:t>
            </w:r>
            <w:r>
              <w:rPr>
                <w:rFonts w:hint="eastAsia" w:ascii="Times New Roman" w:hAnsi="Times New Roman" w:cs="Times New Roman" w:eastAsiaTheme="minorEastAsia"/>
                <w:b w:val="0"/>
                <w:bCs w:val="0"/>
                <w:i w:val="0"/>
                <w:iCs w:val="0"/>
                <w:color w:val="auto"/>
                <w:sz w:val="24"/>
                <w:szCs w:val="24"/>
                <w:lang w:val="en-US" w:eastAsia="zh-CN"/>
              </w:rPr>
              <w:t>）的相关评价内容，具体如下：</w:t>
            </w:r>
          </w:p>
          <w:p w14:paraId="37753B47">
            <w:pPr>
              <w:pStyle w:val="26"/>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i w:val="0"/>
                <w:iCs/>
                <w:color w:val="auto"/>
                <w:lang w:val="en-US" w:eastAsia="zh-CN"/>
              </w:rPr>
            </w:pPr>
            <w:r>
              <w:rPr>
                <w:rFonts w:hint="default" w:ascii="Times New Roman" w:hAnsi="Times New Roman" w:eastAsia="宋体" w:cs="Times New Roman"/>
                <w:b/>
                <w:bCs/>
                <w:i w:val="0"/>
                <w:iCs/>
                <w:color w:val="auto"/>
                <w:sz w:val="24"/>
                <w:highlight w:val="none"/>
                <w:lang w:val="en-US" w:eastAsia="zh-CN"/>
              </w:rPr>
              <w:t>1、</w:t>
            </w:r>
            <w:r>
              <w:rPr>
                <w:rFonts w:hint="eastAsia" w:ascii="Times New Roman" w:hAnsi="Times New Roman" w:cs="Times New Roman"/>
                <w:b/>
                <w:bCs/>
                <w:i w:val="0"/>
                <w:iCs/>
                <w:color w:val="auto"/>
                <w:sz w:val="24"/>
                <w:highlight w:val="none"/>
                <w:lang w:val="en-US" w:eastAsia="zh-CN"/>
              </w:rPr>
              <w:t>在建项目的</w:t>
            </w:r>
            <w:r>
              <w:rPr>
                <w:rFonts w:hint="default" w:ascii="Times New Roman" w:hAnsi="Times New Roman" w:eastAsia="宋体" w:cs="Times New Roman"/>
                <w:b/>
                <w:bCs/>
                <w:i w:val="0"/>
                <w:iCs/>
                <w:color w:val="auto"/>
                <w:sz w:val="24"/>
                <w:highlight w:val="none"/>
                <w:lang w:val="en-US" w:eastAsia="zh-CN"/>
              </w:rPr>
              <w:t>环保手续</w:t>
            </w:r>
          </w:p>
          <w:p w14:paraId="7E4BD95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9"/>
              <w:rPr>
                <w:rFonts w:hint="default" w:ascii="Times New Roman" w:hAnsi="Times New Roman" w:eastAsia="宋体" w:cs="Times New Roman"/>
                <w:b w:val="0"/>
                <w:bCs w:val="0"/>
                <w:i w:val="0"/>
                <w:iCs/>
                <w:color w:val="auto"/>
                <w:sz w:val="24"/>
                <w:szCs w:val="24"/>
                <w:lang w:val="en-US" w:eastAsia="zh-CN"/>
              </w:rPr>
            </w:pPr>
            <w:r>
              <w:rPr>
                <w:rFonts w:hint="default" w:ascii="Times New Roman" w:hAnsi="Times New Roman" w:eastAsia="宋体" w:cs="Times New Roman"/>
                <w:b w:val="0"/>
                <w:bCs w:val="0"/>
                <w:i w:val="0"/>
                <w:iCs/>
                <w:color w:val="auto"/>
                <w:sz w:val="24"/>
                <w:szCs w:val="24"/>
                <w:lang w:val="en-US" w:eastAsia="zh-CN"/>
              </w:rPr>
              <w:t>玉溪利东商贸有限公司拟投资500万元，</w:t>
            </w:r>
            <w:r>
              <w:rPr>
                <w:rFonts w:hint="eastAsia" w:cs="Times New Roman"/>
                <w:b w:val="0"/>
                <w:bCs w:val="0"/>
                <w:i w:val="0"/>
                <w:iCs/>
                <w:color w:val="auto"/>
                <w:sz w:val="24"/>
                <w:szCs w:val="24"/>
                <w:lang w:val="en-US" w:eastAsia="zh-CN"/>
              </w:rPr>
              <w:t>利用</w:t>
            </w:r>
            <w:r>
              <w:rPr>
                <w:rFonts w:hint="default" w:ascii="Times New Roman" w:hAnsi="Times New Roman" w:eastAsia="宋体" w:cs="Times New Roman"/>
                <w:b w:val="0"/>
                <w:bCs w:val="0"/>
                <w:i w:val="0"/>
                <w:iCs/>
                <w:color w:val="auto"/>
                <w:sz w:val="24"/>
                <w:szCs w:val="24"/>
                <w:lang w:val="en-US" w:eastAsia="zh-CN"/>
              </w:rPr>
              <w:t>公司已建设完成的封闭式厂房进行建设，主要建设人工分拣区、原料堆场区、生产区、成品堆场区和危废暂存间等，通过购置安装颚式破碎机、锤破机、振动筛以及砂机等设备及配套建设环保设施，进行铁矿的破碎加工，建设完成后，形成1条年产12万吨铁矿的生产规模。该项目于2024年03月12日取得了峨山彝族自治县发展和改革局签发的投资项目备案证，备案文号为峨发改备案〔2024〕0043号，项目名称为玉溪利东商贸有限公司年产12万吨铁矿破碎加工生产线建设项目，项目代码为2403-530426-04-01-843415，2024年03月12日，玉溪利东商贸有限公司委托云南适新环保科技有限公司编制完成了玉溪利东商贸有限公司《玉溪利东商贸有限公司年产12万吨铁矿破碎加工生产线建设项目环境影响报告表》 ，并于 2025年05月23日取得玉溪市生态环境局峨山分局《玉溪市生态环境局峨山分局关于玉溪利东商贸有限公司年产12万吨铁矿破碎加工生产线建设项目环境影响报告表的批复》，批文号为峨环审</w:t>
            </w:r>
            <w:r>
              <w:rPr>
                <w:rFonts w:hint="eastAsia" w:cs="Times New Roman"/>
                <w:b w:val="0"/>
                <w:bCs w:val="0"/>
                <w:i w:val="0"/>
                <w:iCs/>
                <w:color w:val="auto"/>
                <w:sz w:val="24"/>
                <w:szCs w:val="24"/>
                <w:lang w:val="en-US" w:eastAsia="zh-CN"/>
              </w:rPr>
              <w:t>〔</w:t>
            </w:r>
            <w:r>
              <w:rPr>
                <w:rFonts w:hint="default" w:ascii="Times New Roman" w:hAnsi="Times New Roman" w:eastAsia="宋体" w:cs="Times New Roman"/>
                <w:b w:val="0"/>
                <w:bCs w:val="0"/>
                <w:i w:val="0"/>
                <w:iCs/>
                <w:color w:val="auto"/>
                <w:sz w:val="24"/>
                <w:szCs w:val="24"/>
                <w:lang w:val="en-US" w:eastAsia="zh-CN"/>
              </w:rPr>
              <w:t>2025</w:t>
            </w:r>
            <w:r>
              <w:rPr>
                <w:rFonts w:hint="eastAsia" w:cs="Times New Roman"/>
                <w:b w:val="0"/>
                <w:bCs w:val="0"/>
                <w:i w:val="0"/>
                <w:iCs/>
                <w:color w:val="auto"/>
                <w:sz w:val="24"/>
                <w:szCs w:val="24"/>
                <w:lang w:val="en-US" w:eastAsia="zh-CN"/>
              </w:rPr>
              <w:t>〕</w:t>
            </w:r>
            <w:r>
              <w:rPr>
                <w:rFonts w:hint="default" w:ascii="Times New Roman" w:hAnsi="Times New Roman" w:eastAsia="宋体" w:cs="Times New Roman"/>
                <w:b w:val="0"/>
                <w:bCs w:val="0"/>
                <w:i w:val="0"/>
                <w:iCs/>
                <w:color w:val="auto"/>
                <w:sz w:val="24"/>
                <w:szCs w:val="24"/>
                <w:lang w:val="en-US" w:eastAsia="zh-CN"/>
              </w:rPr>
              <w:t>8号，由于市场原因，</w:t>
            </w:r>
            <w:r>
              <w:rPr>
                <w:rFonts w:hint="eastAsia" w:ascii="Times New Roman" w:hAnsi="Times New Roman" w:eastAsia="宋体" w:cs="Times New Roman"/>
                <w:b w:val="0"/>
                <w:bCs w:val="0"/>
                <w:i w:val="0"/>
                <w:iCs/>
                <w:color w:val="auto"/>
                <w:sz w:val="24"/>
                <w:szCs w:val="24"/>
                <w:lang w:val="en-US" w:eastAsia="zh-CN"/>
              </w:rPr>
              <w:t>在建</w:t>
            </w:r>
            <w:r>
              <w:rPr>
                <w:rFonts w:hint="default" w:ascii="Times New Roman" w:hAnsi="Times New Roman" w:eastAsia="宋体" w:cs="Times New Roman"/>
                <w:b w:val="0"/>
                <w:bCs w:val="0"/>
                <w:i w:val="0"/>
                <w:iCs/>
                <w:color w:val="auto"/>
                <w:sz w:val="24"/>
                <w:szCs w:val="24"/>
                <w:lang w:val="en-US" w:eastAsia="zh-CN"/>
              </w:rPr>
              <w:t>项目（铁矿石破碎加工项目）</w:t>
            </w:r>
            <w:r>
              <w:rPr>
                <w:rFonts w:hint="eastAsia" w:ascii="Times New Roman" w:hAnsi="Times New Roman" w:eastAsia="宋体" w:cs="Times New Roman"/>
                <w:b w:val="0"/>
                <w:bCs w:val="0"/>
                <w:i w:val="0"/>
                <w:iCs/>
                <w:color w:val="auto"/>
                <w:sz w:val="24"/>
                <w:szCs w:val="24"/>
                <w:lang w:val="en-US" w:eastAsia="zh-CN"/>
              </w:rPr>
              <w:t>尚未建成投入运行</w:t>
            </w:r>
            <w:r>
              <w:rPr>
                <w:rFonts w:hint="default" w:ascii="Times New Roman" w:hAnsi="Times New Roman" w:eastAsia="宋体" w:cs="Times New Roman"/>
                <w:b w:val="0"/>
                <w:bCs w:val="0"/>
                <w:i w:val="0"/>
                <w:iCs/>
                <w:color w:val="auto"/>
                <w:sz w:val="24"/>
                <w:szCs w:val="24"/>
                <w:lang w:val="en-US" w:eastAsia="zh-CN"/>
              </w:rPr>
              <w:t>，尚未履行竣工验收、排污许可和应急预案等相关的环保手续。</w:t>
            </w:r>
          </w:p>
          <w:p w14:paraId="01FF01A3">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color w:val="auto"/>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、建设内容及规模</w:t>
            </w:r>
          </w:p>
          <w:p w14:paraId="31F24FED">
            <w:pPr>
              <w:pStyle w:val="11"/>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宋体" w:cs="Times New Roman"/>
                <w:color w:val="auto"/>
                <w:lang w:eastAsia="zh-CN"/>
              </w:rPr>
            </w:pPr>
            <w:r>
              <w:rPr>
                <w:rFonts w:hint="eastAsia" w:cs="Times New Roman"/>
                <w:color w:val="auto"/>
                <w:lang w:val="en-US" w:eastAsia="zh-CN"/>
              </w:rPr>
              <w:t>在建项目利用</w:t>
            </w:r>
            <w:r>
              <w:rPr>
                <w:rFonts w:hint="default" w:ascii="Times New Roman" w:hAnsi="Times New Roman" w:eastAsia="宋体" w:cs="Times New Roman"/>
                <w:b w:val="0"/>
                <w:bCs w:val="0"/>
                <w:i w:val="0"/>
                <w:iCs/>
                <w:color w:val="auto"/>
                <w:sz w:val="24"/>
                <w:szCs w:val="24"/>
                <w:lang w:val="en-US" w:eastAsia="zh-CN"/>
              </w:rPr>
              <w:t>玉溪利东商贸有限公司</w:t>
            </w:r>
            <w:r>
              <w:rPr>
                <w:rFonts w:hint="default" w:ascii="Times New Roman" w:hAnsi="Times New Roman" w:eastAsia="宋体" w:cs="Times New Roman"/>
                <w:color w:val="auto"/>
                <w:lang w:val="en-US" w:eastAsia="zh-CN"/>
              </w:rPr>
              <w:t>已建设完成的封闭式厂房进行建设，</w:t>
            </w:r>
            <w:r>
              <w:rPr>
                <w:rFonts w:hint="default" w:ascii="Times New Roman" w:hAnsi="Times New Roman" w:eastAsia="宋体" w:cs="Times New Roman"/>
                <w:color w:val="auto"/>
              </w:rPr>
              <w:t>占地面积为1900平方米，内设人工分拣区、原料堆场、成品堆场、生产车间等，通过购置鄂破破碎机、锤破机、振动筛以及</w:t>
            </w:r>
            <w:r>
              <w:rPr>
                <w:rFonts w:hint="default" w:ascii="Times New Roman" w:hAnsi="Times New Roman" w:eastAsia="宋体" w:cs="Times New Roman"/>
                <w:color w:val="auto"/>
                <w:lang w:val="en-US" w:eastAsia="zh-CN"/>
              </w:rPr>
              <w:t>砂机</w:t>
            </w:r>
            <w:r>
              <w:rPr>
                <w:rFonts w:hint="default" w:ascii="Times New Roman" w:hAnsi="Times New Roman" w:eastAsia="宋体" w:cs="Times New Roman"/>
                <w:color w:val="auto"/>
              </w:rPr>
              <w:t>等设施，进行铁矿的破碎加工，</w:t>
            </w:r>
            <w:r>
              <w:rPr>
                <w:rFonts w:hint="default" w:ascii="Times New Roman" w:hAnsi="Times New Roman" w:eastAsia="宋体" w:cs="Times New Roman"/>
                <w:color w:val="auto"/>
                <w:lang w:val="en-US" w:eastAsia="zh-CN"/>
              </w:rPr>
              <w:t>建设完成后达到年产12万t/a</w:t>
            </w:r>
            <w:r>
              <w:rPr>
                <w:rFonts w:hint="default" w:ascii="Times New Roman" w:hAnsi="Times New Roman" w:eastAsia="宋体" w:cs="Times New Roman"/>
                <w:color w:val="auto"/>
              </w:rPr>
              <w:t>铁矿产品的生产规模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项目工程内容见表2-</w:t>
            </w:r>
            <w:r>
              <w:rPr>
                <w:rFonts w:hint="eastAsia" w:cs="Times New Roman"/>
                <w:color w:val="auto"/>
                <w:lang w:val="en-US" w:eastAsia="zh-CN"/>
              </w:rPr>
              <w:t>9</w:t>
            </w:r>
            <w:r>
              <w:rPr>
                <w:rFonts w:hint="default" w:ascii="Times New Roman" w:hAnsi="Times New Roman" w:eastAsia="宋体" w:cs="Times New Roman"/>
                <w:color w:val="auto"/>
              </w:rPr>
              <w:t>所示</w:t>
            </w:r>
            <w:r>
              <w:rPr>
                <w:rFonts w:hint="default" w:ascii="Times New Roman" w:hAnsi="Times New Roman" w:eastAsia="宋体" w:cs="Times New Roman"/>
                <w:color w:val="auto"/>
                <w:lang w:eastAsia="zh-CN"/>
              </w:rPr>
              <w:t>。</w:t>
            </w:r>
          </w:p>
          <w:p w14:paraId="2F6DF4B9">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eastAsia" w:cs="Times New Roman"/>
                <w:color w:val="auto"/>
                <w:sz w:val="24"/>
                <w:szCs w:val="32"/>
                <w:lang w:val="en-US" w:eastAsia="zh-CN"/>
              </w:rPr>
              <w:t>9</w:t>
            </w:r>
            <w:r>
              <w:rPr>
                <w:rFonts w:hint="default" w:ascii="Times New Roman" w:hAnsi="Times New Roman" w:cs="Times New Roman"/>
                <w:color w:val="auto"/>
                <w:sz w:val="24"/>
                <w:szCs w:val="32"/>
              </w:rPr>
              <w:t xml:space="preserve"> 项目工程内容一览表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432"/>
              <w:gridCol w:w="1170"/>
              <w:gridCol w:w="3870"/>
              <w:gridCol w:w="1591"/>
            </w:tblGrid>
            <w:tr w14:paraId="190E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Align w:val="center"/>
                </w:tcPr>
                <w:p w14:paraId="25FC7A49">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工程内容</w:t>
                  </w:r>
                </w:p>
              </w:tc>
              <w:tc>
                <w:tcPr>
                  <w:tcW w:w="1021" w:type="pct"/>
                  <w:gridSpan w:val="2"/>
                  <w:vAlign w:val="center"/>
                </w:tcPr>
                <w:p w14:paraId="20642966">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467" w:type="pct"/>
                  <w:vAlign w:val="center"/>
                </w:tcPr>
                <w:p w14:paraId="11C4BE3C">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建设内容及规模</w:t>
                  </w:r>
                </w:p>
              </w:tc>
              <w:tc>
                <w:tcPr>
                  <w:tcW w:w="1014" w:type="pct"/>
                  <w:vAlign w:val="center"/>
                </w:tcPr>
                <w:p w14:paraId="0CA943D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51B2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Align w:val="center"/>
                </w:tcPr>
                <w:p w14:paraId="71D7F86B">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021" w:type="pct"/>
                  <w:gridSpan w:val="2"/>
                  <w:vAlign w:val="center"/>
                </w:tcPr>
                <w:p w14:paraId="238B4076">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生产区</w:t>
                  </w:r>
                </w:p>
              </w:tc>
              <w:tc>
                <w:tcPr>
                  <w:tcW w:w="2467" w:type="pct"/>
                  <w:vAlign w:val="center"/>
                </w:tcPr>
                <w:p w14:paraId="71139D22">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布设于厂房中间，占地面积为450m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，通过购</w:t>
                  </w:r>
                  <w:r>
                    <w:rPr>
                      <w:rFonts w:hint="default" w:ascii="Times New Roman" w:hAnsi="Times New Roman" w:eastAsia="宋体" w:cs="Times New Roman"/>
                      <w:color w:val="auto"/>
                      <w:kern w:val="2"/>
                      <w:sz w:val="21"/>
                      <w:szCs w:val="21"/>
                      <w:lang w:val="en-US" w:eastAsia="zh-CN" w:bidi="ar-SA"/>
                    </w:rPr>
                    <w:t>置安装颚式破碎机、锤破</w:t>
                  </w:r>
                  <w:r>
                    <w:rPr>
                      <w:rFonts w:hint="default" w:ascii="Times New Roman" w:hAnsi="Times New Roman" w:eastAsia="宋体" w:cs="Times New Roman"/>
                      <w:color w:val="auto"/>
                      <w:sz w:val="21"/>
                      <w:szCs w:val="21"/>
                      <w:lang w:val="en-US" w:eastAsia="zh-CN"/>
                    </w:rPr>
                    <w:t>机、振动筛以及砂机等设备及配套建设环保设施，进行铁矿的破碎加工，建设完成后，形成1条年产12万吨铁矿的生产规模</w:t>
                  </w:r>
                </w:p>
              </w:tc>
              <w:tc>
                <w:tcPr>
                  <w:tcW w:w="1014" w:type="pct"/>
                  <w:vMerge w:val="restart"/>
                  <w:vAlign w:val="center"/>
                </w:tcPr>
                <w:p w14:paraId="749A8CE8">
                  <w:pPr>
                    <w:pStyle w:val="4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生产区、人工分拣区、原料堆场、成品堆场均布设于厂房内，厂房占地面积为1900m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，1层，彩钢结构（三面遮挡+遮雨棚），</w:t>
                  </w:r>
                  <w:r>
                    <w:rPr>
                      <w:rFonts w:hint="eastAsia" w:cs="Times New Roman"/>
                      <w:color w:val="auto"/>
                      <w:sz w:val="21"/>
                      <w:szCs w:val="21"/>
                      <w:lang w:val="en-US" w:eastAsia="zh-CN"/>
                    </w:rPr>
                    <w:t>本项目（配煤项目）和在建项目（配矿项目）共用</w:t>
                  </w:r>
                </w:p>
              </w:tc>
            </w:tr>
            <w:tr w14:paraId="4D26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496" w:type="pct"/>
                  <w:vMerge w:val="restart"/>
                  <w:vAlign w:val="center"/>
                </w:tcPr>
                <w:p w14:paraId="26A5530F">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储运工程</w:t>
                  </w:r>
                </w:p>
              </w:tc>
              <w:tc>
                <w:tcPr>
                  <w:tcW w:w="1021" w:type="pct"/>
                  <w:gridSpan w:val="2"/>
                  <w:vAlign w:val="center"/>
                </w:tcPr>
                <w:p w14:paraId="1BD89080">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人工分拣区</w:t>
                  </w:r>
                </w:p>
              </w:tc>
              <w:tc>
                <w:tcPr>
                  <w:tcW w:w="2467" w:type="pct"/>
                  <w:vAlign w:val="center"/>
                </w:tcPr>
                <w:p w14:paraId="0510E9A9">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紧挨原料堆场，布设于厂区东北侧，占地面积为140m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，主要用于人工分拣较大块的矿石</w:t>
                  </w:r>
                </w:p>
              </w:tc>
              <w:tc>
                <w:tcPr>
                  <w:tcW w:w="1014" w:type="pct"/>
                  <w:vMerge w:val="continue"/>
                  <w:vAlign w:val="center"/>
                </w:tcPr>
                <w:p w14:paraId="0D2F02CF">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r>
            <w:tr w14:paraId="1450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496" w:type="pct"/>
                  <w:vMerge w:val="continue"/>
                  <w:vAlign w:val="center"/>
                </w:tcPr>
                <w:p w14:paraId="2535D46D">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c>
                <w:tcPr>
                  <w:tcW w:w="1021" w:type="pct"/>
                  <w:gridSpan w:val="2"/>
                  <w:shd w:val="clear" w:color="auto" w:fill="auto"/>
                  <w:vAlign w:val="center"/>
                </w:tcPr>
                <w:p w14:paraId="480DD4D6">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原料堆场</w:t>
                  </w:r>
                </w:p>
              </w:tc>
              <w:tc>
                <w:tcPr>
                  <w:tcW w:w="2467" w:type="pct"/>
                  <w:shd w:val="clear" w:color="auto" w:fill="auto"/>
                  <w:vAlign w:val="center"/>
                </w:tcPr>
                <w:p w14:paraId="7C887773">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布设于厂区北侧，占地面积为700m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，主要用于原料的堆存</w:t>
                  </w:r>
                </w:p>
              </w:tc>
              <w:tc>
                <w:tcPr>
                  <w:tcW w:w="1014" w:type="pct"/>
                  <w:vMerge w:val="continue"/>
                  <w:vAlign w:val="center"/>
                </w:tcPr>
                <w:p w14:paraId="64A637B3">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r>
            <w:tr w14:paraId="10CB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96" w:type="pct"/>
                  <w:vMerge w:val="continue"/>
                  <w:vAlign w:val="center"/>
                </w:tcPr>
                <w:p w14:paraId="7F368480">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021" w:type="pct"/>
                  <w:gridSpan w:val="2"/>
                  <w:vAlign w:val="center"/>
                </w:tcPr>
                <w:p w14:paraId="38E2E740">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成品堆场</w:t>
                  </w:r>
                </w:p>
              </w:tc>
              <w:tc>
                <w:tcPr>
                  <w:tcW w:w="2467" w:type="pct"/>
                  <w:vAlign w:val="center"/>
                </w:tcPr>
                <w:p w14:paraId="70F1F20C">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布设于厂区南侧，占地面积为600m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，主要用于破碎后的产品堆存</w:t>
                  </w:r>
                </w:p>
              </w:tc>
              <w:tc>
                <w:tcPr>
                  <w:tcW w:w="1014" w:type="pct"/>
                  <w:vMerge w:val="continue"/>
                  <w:vAlign w:val="center"/>
                </w:tcPr>
                <w:p w14:paraId="6A96EC44">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p>
              </w:tc>
            </w:tr>
            <w:tr w14:paraId="6E9F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restart"/>
                  <w:vAlign w:val="center"/>
                </w:tcPr>
                <w:p w14:paraId="0ACF5228">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021" w:type="pct"/>
                  <w:gridSpan w:val="2"/>
                  <w:vAlign w:val="center"/>
                </w:tcPr>
                <w:p w14:paraId="7A25910C">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2467" w:type="pct"/>
                  <w:vMerge w:val="restart"/>
                  <w:vAlign w:val="center"/>
                </w:tcPr>
                <w:p w14:paraId="5290C346">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项目供水、供电、办公区等均依托玉溪鑫东运输有限公司现有的设施，办公区为简易的临时搭建房，占地面积为100m</w:t>
                  </w:r>
                  <w:r>
                    <w:rPr>
                      <w:rFonts w:hint="default" w:ascii="Times New Roman" w:hAnsi="Times New Roman" w:eastAsia="宋体" w:cs="Times New Roman"/>
                      <w:color w:val="auto"/>
                      <w:sz w:val="21"/>
                      <w:szCs w:val="21"/>
                      <w:vertAlign w:val="superscript"/>
                      <w:lang w:val="en-US" w:eastAsia="zh-CN"/>
                    </w:rPr>
                    <w:t>2</w:t>
                  </w:r>
                </w:p>
              </w:tc>
              <w:tc>
                <w:tcPr>
                  <w:tcW w:w="1014" w:type="pct"/>
                  <w:vAlign w:val="center"/>
                </w:tcPr>
                <w:p w14:paraId="190A1B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依托</w:t>
                  </w:r>
                </w:p>
              </w:tc>
            </w:tr>
            <w:tr w14:paraId="64DC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continue"/>
                </w:tcPr>
                <w:p w14:paraId="37D73AAE">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021" w:type="pct"/>
                  <w:gridSpan w:val="2"/>
                  <w:vAlign w:val="center"/>
                </w:tcPr>
                <w:p w14:paraId="1181570C">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办公区</w:t>
                  </w:r>
                </w:p>
              </w:tc>
              <w:tc>
                <w:tcPr>
                  <w:tcW w:w="2467" w:type="pct"/>
                  <w:vMerge w:val="continue"/>
                  <w:vAlign w:val="center"/>
                </w:tcPr>
                <w:p w14:paraId="64DDCFAB">
                  <w:pPr>
                    <w:pStyle w:val="4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p>
              </w:tc>
              <w:tc>
                <w:tcPr>
                  <w:tcW w:w="1014" w:type="pct"/>
                  <w:vAlign w:val="center"/>
                </w:tcPr>
                <w:p w14:paraId="5428F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依托</w:t>
                  </w:r>
                </w:p>
              </w:tc>
            </w:tr>
            <w:tr w14:paraId="7308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continue"/>
                </w:tcPr>
                <w:p w14:paraId="4FAC96F6">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021" w:type="pct"/>
                  <w:gridSpan w:val="2"/>
                  <w:vAlign w:val="center"/>
                </w:tcPr>
                <w:p w14:paraId="7D683687">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2467" w:type="pct"/>
                  <w:vMerge w:val="continue"/>
                  <w:vAlign w:val="center"/>
                </w:tcPr>
                <w:p w14:paraId="2321955C">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014" w:type="pct"/>
                  <w:vAlign w:val="center"/>
                </w:tcPr>
                <w:p w14:paraId="6A140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依托</w:t>
                  </w:r>
                </w:p>
              </w:tc>
            </w:tr>
            <w:tr w14:paraId="772A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496" w:type="pct"/>
                  <w:vMerge w:val="continue"/>
                </w:tcPr>
                <w:p w14:paraId="6E1ADA18">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1021" w:type="pct"/>
                  <w:gridSpan w:val="2"/>
                  <w:vAlign w:val="center"/>
                </w:tcPr>
                <w:p w14:paraId="50D6DD1E">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排水</w:t>
                  </w:r>
                </w:p>
              </w:tc>
              <w:tc>
                <w:tcPr>
                  <w:tcW w:w="2467" w:type="pct"/>
                  <w:vAlign w:val="center"/>
                </w:tcPr>
                <w:p w14:paraId="64B54C2F">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项目</w:t>
                  </w:r>
                  <w:r>
                    <w:rPr>
                      <w:rFonts w:hint="default" w:ascii="Times New Roman" w:hAnsi="Times New Roman" w:eastAsia="宋体" w:cs="Times New Roman"/>
                      <w:color w:val="auto"/>
                      <w:sz w:val="21"/>
                      <w:szCs w:val="21"/>
                      <w:lang w:val="en-US" w:eastAsia="zh-CN"/>
                    </w:rPr>
                    <w:t>排水采取雨污分流，雨水经雨水管网收集后，汇入初期雨水收集池，经沉淀后回用于厂区洒水降尘，不外排，</w:t>
                  </w:r>
                  <w:r>
                    <w:rPr>
                      <w:rFonts w:hint="default" w:ascii="Times New Roman" w:hAnsi="Times New Roman" w:eastAsia="宋体" w:cs="Times New Roman"/>
                      <w:color w:val="auto"/>
                      <w:kern w:val="2"/>
                      <w:sz w:val="21"/>
                      <w:szCs w:val="21"/>
                      <w:lang w:val="en-US" w:eastAsia="zh-CN" w:bidi="ar-SA"/>
                    </w:rPr>
                    <w:t>生活污水</w:t>
                  </w:r>
                  <w:r>
                    <w:rPr>
                      <w:rFonts w:hint="default" w:ascii="Times New Roman" w:hAnsi="Times New Roman" w:eastAsia="宋体" w:cs="Times New Roman"/>
                      <w:color w:val="auto"/>
                      <w:sz w:val="21"/>
                      <w:szCs w:val="21"/>
                      <w:lang w:val="en-US" w:eastAsia="zh-CN"/>
                    </w:rPr>
                    <w:t>经化粪池预处理后，通过泵输送至2m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/d的一体化污水处理设施，经处理达标后，回用于厂区绿化，不外排，生产用水主要为洒水降尘用水，该部分用水全部蒸发，不外排</w:t>
                  </w:r>
                </w:p>
              </w:tc>
              <w:tc>
                <w:tcPr>
                  <w:tcW w:w="1014" w:type="pct"/>
                  <w:vAlign w:val="center"/>
                </w:tcPr>
                <w:p w14:paraId="4F0D6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cs="Times New Roman"/>
                      <w:b w:val="0"/>
                      <w:color w:val="auto"/>
                      <w:kern w:val="2"/>
                      <w:sz w:val="21"/>
                      <w:szCs w:val="21"/>
                      <w:lang w:val="en-US" w:eastAsia="zh-CN" w:bidi="ar-SA"/>
                    </w:rPr>
                    <w:t>并入配煤项目进行建设</w:t>
                  </w:r>
                  <w:r>
                    <w:rPr>
                      <w:rFonts w:hint="default" w:ascii="Times New Roman" w:hAnsi="Times New Roman" w:eastAsia="宋体" w:cs="Times New Roman"/>
                      <w:b w:val="0"/>
                      <w:color w:val="auto"/>
                      <w:kern w:val="2"/>
                      <w:sz w:val="21"/>
                      <w:szCs w:val="21"/>
                      <w:lang w:val="en-US" w:eastAsia="zh-CN" w:bidi="ar-SA"/>
                    </w:rPr>
                    <w:t>（初期雨水收集池、</w:t>
                  </w: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/d的</w:t>
                  </w:r>
                  <w:r>
                    <w:rPr>
                      <w:rFonts w:hint="default" w:ascii="Times New Roman" w:hAnsi="Times New Roman" w:eastAsia="宋体" w:cs="Times New Roman"/>
                      <w:b w:val="0"/>
                      <w:color w:val="auto"/>
                      <w:kern w:val="2"/>
                      <w:sz w:val="21"/>
                      <w:szCs w:val="21"/>
                      <w:lang w:val="en-US" w:eastAsia="zh-CN" w:bidi="ar-SA"/>
                    </w:rPr>
                    <w:t>一体化污水处理设施）</w:t>
                  </w:r>
                </w:p>
              </w:tc>
            </w:tr>
            <w:tr w14:paraId="5499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restart"/>
                  <w:vAlign w:val="center"/>
                </w:tcPr>
                <w:p w14:paraId="2705AE38">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275" w:type="pct"/>
                  <w:vAlign w:val="center"/>
                </w:tcPr>
                <w:p w14:paraId="770DFA5B">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46" w:type="pct"/>
                  <w:vAlign w:val="center"/>
                </w:tcPr>
                <w:p w14:paraId="195CA758">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破碎、筛分</w:t>
                  </w:r>
                  <w:r>
                    <w:rPr>
                      <w:rFonts w:hint="default" w:ascii="Times New Roman" w:hAnsi="Times New Roman" w:eastAsia="宋体" w:cs="Times New Roman"/>
                      <w:color w:val="auto"/>
                      <w:sz w:val="21"/>
                      <w:szCs w:val="21"/>
                      <w:lang w:eastAsia="zh-CN"/>
                    </w:rPr>
                    <w:t>废气</w:t>
                  </w:r>
                </w:p>
              </w:tc>
              <w:tc>
                <w:tcPr>
                  <w:tcW w:w="2467" w:type="pct"/>
                  <w:vAlign w:val="center"/>
                </w:tcPr>
                <w:p w14:paraId="3F16DEB0">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集气罩（4个</w:t>
                  </w:r>
                  <w:r>
                    <w:rPr>
                      <w:rFonts w:hint="default" w:ascii="Times New Roman" w:hAnsi="Times New Roman" w:eastAsia="宋体" w:cs="Times New Roman"/>
                      <w:color w:val="auto"/>
                      <w:sz w:val="21"/>
                      <w:szCs w:val="21"/>
                      <w:lang w:val="en-US" w:eastAsia="zh-CN"/>
                    </w:rPr>
                    <w:t>，颚式破碎、锤破、筛分以及砂机上方均布设1个</w:t>
                  </w:r>
                  <w:r>
                    <w:rPr>
                      <w:rFonts w:hint="default" w:ascii="Times New Roman" w:hAnsi="Times New Roman" w:eastAsia="宋体" w:cs="Times New Roman"/>
                      <w:bCs/>
                      <w:color w:val="auto"/>
                      <w:sz w:val="21"/>
                      <w:szCs w:val="21"/>
                      <w:highlight w:val="none"/>
                      <w:lang w:val="en-US" w:eastAsia="zh-CN"/>
                    </w:rPr>
                    <w:t>）+布袋除尘器+15m排气筒（DA001）；皮带输送机输送廊道</w:t>
                  </w:r>
                  <w:r>
                    <w:rPr>
                      <w:rFonts w:hint="default" w:ascii="Times New Roman" w:hAnsi="Times New Roman" w:eastAsia="宋体" w:cs="Times New Roman"/>
                      <w:b w:val="0"/>
                      <w:bCs/>
                      <w:color w:val="auto"/>
                      <w:kern w:val="2"/>
                      <w:sz w:val="21"/>
                      <w:szCs w:val="21"/>
                      <w:lang w:val="en-US" w:eastAsia="zh-CN" w:bidi="ar-SA"/>
                    </w:rPr>
                    <w:t>采用三面遮挡的</w:t>
                  </w:r>
                  <w:r>
                    <w:rPr>
                      <w:rFonts w:hint="eastAsia" w:cs="Times New Roman"/>
                      <w:b w:val="0"/>
                      <w:bCs/>
                      <w:color w:val="auto"/>
                      <w:kern w:val="2"/>
                      <w:sz w:val="21"/>
                      <w:szCs w:val="21"/>
                      <w:lang w:val="en-US" w:eastAsia="zh-CN" w:bidi="ar-SA"/>
                    </w:rPr>
                    <w:t>封闭</w:t>
                  </w:r>
                  <w:r>
                    <w:rPr>
                      <w:rFonts w:hint="default" w:ascii="Times New Roman" w:hAnsi="Times New Roman" w:eastAsia="宋体" w:cs="Times New Roman"/>
                      <w:b w:val="0"/>
                      <w:bCs/>
                      <w:color w:val="auto"/>
                      <w:kern w:val="2"/>
                      <w:sz w:val="21"/>
                      <w:szCs w:val="21"/>
                      <w:lang w:val="en-US" w:eastAsia="zh-CN" w:bidi="ar-SA"/>
                    </w:rPr>
                    <w:t>结构</w:t>
                  </w:r>
                </w:p>
              </w:tc>
              <w:tc>
                <w:tcPr>
                  <w:tcW w:w="1014" w:type="pct"/>
                  <w:vAlign w:val="center"/>
                </w:tcPr>
                <w:p w14:paraId="10DD7E59">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697D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continue"/>
                </w:tcPr>
                <w:p w14:paraId="4A7A6E36">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275" w:type="pct"/>
                  <w:vMerge w:val="restart"/>
                  <w:vAlign w:val="center"/>
                </w:tcPr>
                <w:p w14:paraId="3CE49204">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46" w:type="pct"/>
                  <w:vAlign w:val="center"/>
                </w:tcPr>
                <w:p w14:paraId="67624516">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2467" w:type="pct"/>
                  <w:vAlign w:val="center"/>
                </w:tcPr>
                <w:p w14:paraId="2CADF805">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生产用水主要为车间洒水降尘用水，通过在车间上方布设洒水降尘设施</w:t>
                  </w:r>
                  <w:r>
                    <w:rPr>
                      <w:rFonts w:hint="default" w:ascii="Times New Roman" w:hAnsi="Times New Roman" w:eastAsia="宋体" w:cs="Times New Roman"/>
                      <w:color w:val="auto"/>
                      <w:sz w:val="21"/>
                      <w:szCs w:val="21"/>
                      <w:lang w:val="en-US" w:eastAsia="zh-CN"/>
                    </w:rPr>
                    <w:t>，布设长度约180m</w:t>
                  </w:r>
                </w:p>
              </w:tc>
              <w:tc>
                <w:tcPr>
                  <w:tcW w:w="1014" w:type="pct"/>
                  <w:vAlign w:val="center"/>
                </w:tcPr>
                <w:p w14:paraId="7EE1E846">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3A18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continue"/>
                </w:tcPr>
                <w:p w14:paraId="582F0A8D">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275" w:type="pct"/>
                  <w:vMerge w:val="continue"/>
                </w:tcPr>
                <w:p w14:paraId="61253520">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746" w:type="pct"/>
                  <w:shd w:val="clear" w:color="auto" w:fill="auto"/>
                  <w:vAlign w:val="center"/>
                </w:tcPr>
                <w:p w14:paraId="3E797661">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rPr>
                    <w:t>生活污水</w:t>
                  </w:r>
                </w:p>
              </w:tc>
              <w:tc>
                <w:tcPr>
                  <w:tcW w:w="2467" w:type="pct"/>
                  <w:shd w:val="clear" w:color="auto" w:fill="auto"/>
                  <w:vAlign w:val="center"/>
                </w:tcPr>
                <w:p w14:paraId="37445FE2">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/d的一体化污水处理设施</w:t>
                  </w:r>
                </w:p>
              </w:tc>
              <w:tc>
                <w:tcPr>
                  <w:tcW w:w="1014" w:type="pct"/>
                  <w:vMerge w:val="restart"/>
                  <w:shd w:val="clear" w:color="auto" w:fill="auto"/>
                  <w:vAlign w:val="center"/>
                </w:tcPr>
                <w:p w14:paraId="34423A0F">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并入配煤项目进行建设，本项目和在建项目共用</w:t>
                  </w:r>
                </w:p>
              </w:tc>
            </w:tr>
            <w:tr w14:paraId="6B19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continue"/>
                </w:tcPr>
                <w:p w14:paraId="7C883944">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275" w:type="pct"/>
                  <w:vMerge w:val="continue"/>
                </w:tcPr>
                <w:p w14:paraId="578CC8DE">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746" w:type="pct"/>
                  <w:shd w:val="clear" w:color="auto" w:fill="auto"/>
                  <w:vAlign w:val="center"/>
                </w:tcPr>
                <w:p w14:paraId="25EB55FE">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中水池</w:t>
                  </w:r>
                </w:p>
              </w:tc>
              <w:tc>
                <w:tcPr>
                  <w:tcW w:w="2467" w:type="pct"/>
                  <w:shd w:val="clear" w:color="auto" w:fill="auto"/>
                  <w:vAlign w:val="center"/>
                </w:tcPr>
                <w:p w14:paraId="72DCCECE">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容积为5m</w:t>
                  </w:r>
                  <w:r>
                    <w:rPr>
                      <w:rFonts w:hint="default" w:ascii="Times New Roman" w:hAnsi="Times New Roman" w:eastAsia="宋体" w:cs="Times New Roman"/>
                      <w:b w:val="0"/>
                      <w:color w:val="auto"/>
                      <w:kern w:val="2"/>
                      <w:sz w:val="21"/>
                      <w:szCs w:val="21"/>
                      <w:vertAlign w:val="superscript"/>
                      <w:lang w:val="en-US" w:eastAsia="zh-CN" w:bidi="ar-SA"/>
                    </w:rPr>
                    <w:t>3</w:t>
                  </w:r>
                  <w:r>
                    <w:rPr>
                      <w:rFonts w:hint="default" w:ascii="Times New Roman" w:hAnsi="Times New Roman" w:eastAsia="宋体" w:cs="Times New Roman"/>
                      <w:b w:val="0"/>
                      <w:color w:val="auto"/>
                      <w:kern w:val="2"/>
                      <w:sz w:val="21"/>
                      <w:szCs w:val="21"/>
                      <w:lang w:val="en-US" w:eastAsia="zh-CN" w:bidi="ar-SA"/>
                    </w:rPr>
                    <w:t>的中水池，</w:t>
                  </w:r>
                  <w:r>
                    <w:rPr>
                      <w:rFonts w:hint="default" w:ascii="Times New Roman" w:hAnsi="Times New Roman" w:eastAsia="宋体" w:cs="Times New Roman"/>
                      <w:color w:val="auto"/>
                      <w:sz w:val="21"/>
                      <w:szCs w:val="21"/>
                      <w:lang w:val="en-US" w:eastAsia="zh-CN"/>
                    </w:rPr>
                    <w:t>配套建设于一体化污水处理设施末端</w:t>
                  </w:r>
                </w:p>
              </w:tc>
              <w:tc>
                <w:tcPr>
                  <w:tcW w:w="1014" w:type="pct"/>
                  <w:vMerge w:val="continue"/>
                  <w:shd w:val="clear" w:color="auto" w:fill="auto"/>
                  <w:vAlign w:val="center"/>
                </w:tcPr>
                <w:p w14:paraId="0899BD07">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3575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continue"/>
                </w:tcPr>
                <w:p w14:paraId="05E457D3">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275" w:type="pct"/>
                  <w:vMerge w:val="continue"/>
                </w:tcPr>
                <w:p w14:paraId="591132DD">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746" w:type="pct"/>
                  <w:shd w:val="clear" w:color="auto" w:fill="auto"/>
                  <w:vAlign w:val="center"/>
                </w:tcPr>
                <w:p w14:paraId="4A776878">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初期雨水</w:t>
                  </w:r>
                </w:p>
              </w:tc>
              <w:tc>
                <w:tcPr>
                  <w:tcW w:w="2467" w:type="pct"/>
                  <w:shd w:val="clear" w:color="auto" w:fill="auto"/>
                  <w:vAlign w:val="center"/>
                </w:tcPr>
                <w:p w14:paraId="2D172558">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容积为60m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的初期雨水收集池</w:t>
                  </w:r>
                </w:p>
              </w:tc>
              <w:tc>
                <w:tcPr>
                  <w:tcW w:w="1014" w:type="pct"/>
                  <w:vMerge w:val="continue"/>
                  <w:shd w:val="clear" w:color="auto" w:fill="auto"/>
                  <w:vAlign w:val="center"/>
                </w:tcPr>
                <w:p w14:paraId="28FF4FC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5D57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continue"/>
                </w:tcPr>
                <w:p w14:paraId="6972CAC1">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275" w:type="pct"/>
                  <w:vMerge w:val="continue"/>
                </w:tcPr>
                <w:p w14:paraId="2D79F3E5">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746" w:type="pct"/>
                  <w:vAlign w:val="center"/>
                </w:tcPr>
                <w:p w14:paraId="62C3C06E">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w:t>
                  </w:r>
                </w:p>
              </w:tc>
              <w:tc>
                <w:tcPr>
                  <w:tcW w:w="2467" w:type="pct"/>
                  <w:vAlign w:val="center"/>
                </w:tcPr>
                <w:p w14:paraId="3E5027B9">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容积为10m</w:t>
                  </w:r>
                  <w:r>
                    <w:rPr>
                      <w:rFonts w:hint="default" w:ascii="Times New Roman" w:hAnsi="Times New Roman" w:eastAsia="宋体" w:cs="Times New Roman"/>
                      <w:color w:val="auto"/>
                      <w:sz w:val="21"/>
                      <w:szCs w:val="21"/>
                      <w:vertAlign w:val="superscript"/>
                      <w:lang w:val="en-US" w:eastAsia="zh-CN"/>
                    </w:rPr>
                    <w:t>3</w:t>
                  </w:r>
                </w:p>
              </w:tc>
              <w:tc>
                <w:tcPr>
                  <w:tcW w:w="1014" w:type="pct"/>
                  <w:vMerge w:val="continue"/>
                  <w:vAlign w:val="center"/>
                </w:tcPr>
                <w:p w14:paraId="5A7F3AA1">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0B17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pct"/>
                  <w:vMerge w:val="continue"/>
                </w:tcPr>
                <w:p w14:paraId="699EBBFC">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275" w:type="pct"/>
                  <w:vAlign w:val="center"/>
                </w:tcPr>
                <w:p w14:paraId="36B01CFD">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46" w:type="pct"/>
                  <w:vAlign w:val="center"/>
                </w:tcPr>
                <w:p w14:paraId="1B34B656">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生产设备</w:t>
                  </w:r>
                </w:p>
              </w:tc>
              <w:tc>
                <w:tcPr>
                  <w:tcW w:w="2467" w:type="pct"/>
                  <w:vAlign w:val="center"/>
                </w:tcPr>
                <w:p w14:paraId="44672519">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选用低噪声设备、厂房隔声</w:t>
                  </w:r>
                  <w:r>
                    <w:rPr>
                      <w:rStyle w:val="34"/>
                      <w:rFonts w:hint="default" w:ascii="Times New Roman" w:hAnsi="Times New Roman" w:eastAsia="宋体" w:cs="Times New Roman"/>
                      <w:color w:val="auto"/>
                      <w:sz w:val="21"/>
                      <w:szCs w:val="21"/>
                    </w:rPr>
                    <w:t>，风机安装消声器</w:t>
                  </w:r>
                </w:p>
              </w:tc>
              <w:tc>
                <w:tcPr>
                  <w:tcW w:w="1014" w:type="pct"/>
                  <w:vAlign w:val="center"/>
                </w:tcPr>
                <w:p w14:paraId="5226FFD6">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74BA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496" w:type="pct"/>
                  <w:vMerge w:val="continue"/>
                </w:tcPr>
                <w:p w14:paraId="14C7750D">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275" w:type="pct"/>
                  <w:vMerge w:val="restart"/>
                  <w:vAlign w:val="center"/>
                </w:tcPr>
                <w:p w14:paraId="6EE6758A">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746" w:type="pct"/>
                  <w:vAlign w:val="center"/>
                </w:tcPr>
                <w:p w14:paraId="58B1C39C">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一般固废暂存点</w:t>
                  </w:r>
                </w:p>
              </w:tc>
              <w:tc>
                <w:tcPr>
                  <w:tcW w:w="2467" w:type="pct"/>
                  <w:vAlign w:val="center"/>
                </w:tcPr>
                <w:p w14:paraId="3898EBCA">
                  <w:pPr>
                    <w:pStyle w:val="4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lang w:val="en-US" w:eastAsia="zh-CN"/>
                    </w:rPr>
                    <w:t>布设于生产车间，设置</w:t>
                  </w:r>
                  <w:r>
                    <w:rPr>
                      <w:rFonts w:hint="default" w:ascii="Times New Roman" w:hAnsi="Times New Roman" w:eastAsia="宋体" w:cs="Times New Roman"/>
                      <w:color w:val="auto"/>
                      <w:sz w:val="21"/>
                      <w:szCs w:val="21"/>
                    </w:rPr>
                    <w:t>不低于</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的一般固废暂存</w:t>
                  </w:r>
                  <w:r>
                    <w:rPr>
                      <w:rFonts w:hint="default" w:ascii="Times New Roman" w:hAnsi="Times New Roman" w:eastAsia="宋体" w:cs="Times New Roman"/>
                      <w:color w:val="auto"/>
                      <w:sz w:val="21"/>
                      <w:szCs w:val="21"/>
                      <w:lang w:eastAsia="zh-CN"/>
                    </w:rPr>
                    <w:t>点</w:t>
                  </w:r>
                  <w:r>
                    <w:rPr>
                      <w:rFonts w:hint="default" w:ascii="Times New Roman" w:hAnsi="Times New Roman" w:eastAsia="宋体" w:cs="Times New Roman"/>
                      <w:color w:val="auto"/>
                      <w:sz w:val="21"/>
                      <w:szCs w:val="21"/>
                    </w:rPr>
                    <w:t>，严格按《一般工业固体废物贮存和填埋污染控制标准》（GB18599-2020）要求设置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bidi="ar"/>
                    </w:rPr>
                    <w:t>其贮存过程应满足相应防渗漏、防雨淋、防扬尘等环境保护要求，主要用于堆存废气治理设施产生的废布袋</w:t>
                  </w:r>
                </w:p>
              </w:tc>
              <w:tc>
                <w:tcPr>
                  <w:tcW w:w="1014" w:type="pct"/>
                  <w:vAlign w:val="center"/>
                </w:tcPr>
                <w:p w14:paraId="0DE80F88">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新建</w:t>
                  </w:r>
                </w:p>
              </w:tc>
            </w:tr>
            <w:tr w14:paraId="2F01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496" w:type="pct"/>
                  <w:vMerge w:val="continue"/>
                </w:tcPr>
                <w:p w14:paraId="4088A512">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275" w:type="pct"/>
                  <w:vMerge w:val="continue"/>
                  <w:vAlign w:val="center"/>
                </w:tcPr>
                <w:p w14:paraId="702B1A12">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p>
              </w:tc>
              <w:tc>
                <w:tcPr>
                  <w:tcW w:w="746" w:type="pct"/>
                  <w:vAlign w:val="center"/>
                </w:tcPr>
                <w:p w14:paraId="08AD37F1">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危废暂存间</w:t>
                  </w:r>
                </w:p>
              </w:tc>
              <w:tc>
                <w:tcPr>
                  <w:tcW w:w="2467" w:type="pct"/>
                  <w:vAlign w:val="center"/>
                </w:tcPr>
                <w:p w14:paraId="02DBA0FE">
                  <w:pPr>
                    <w:pStyle w:val="4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rPr>
                    <w:t>布设于生产车间，</w:t>
                  </w:r>
                  <w:r>
                    <w:rPr>
                      <w:rFonts w:hint="default" w:ascii="Times New Roman" w:hAnsi="Times New Roman" w:eastAsia="宋体" w:cs="Times New Roman"/>
                      <w:bCs/>
                      <w:color w:val="auto"/>
                      <w:sz w:val="21"/>
                      <w:szCs w:val="21"/>
                      <w:lang w:val="en-US" w:eastAsia="zh-CN"/>
                    </w:rPr>
                    <w:t>1间</w:t>
                  </w:r>
                  <w:r>
                    <w:rPr>
                      <w:rFonts w:hint="default" w:ascii="Times New Roman" w:hAnsi="Times New Roman" w:eastAsia="宋体" w:cs="Times New Roman"/>
                      <w:color w:val="auto"/>
                      <w:sz w:val="21"/>
                      <w:szCs w:val="21"/>
                    </w:rPr>
                    <w:t>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危险废物暂存间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Cs/>
                      <w:color w:val="auto"/>
                      <w:sz w:val="21"/>
                      <w:szCs w:val="21"/>
                    </w:rPr>
                    <w:t>按《危险废物贮存污染控制标准》（GB18597-2023）的相关要求建设，</w:t>
                  </w:r>
                  <w:r>
                    <w:rPr>
                      <w:rFonts w:hint="default" w:ascii="Times New Roman" w:hAnsi="Times New Roman" w:eastAsia="宋体" w:cs="Times New Roman"/>
                      <w:color w:val="auto"/>
                      <w:sz w:val="21"/>
                      <w:szCs w:val="21"/>
                      <w:lang w:val="en-US" w:eastAsia="zh-CN"/>
                    </w:rPr>
                    <w:t>具体为：</w:t>
                  </w:r>
                  <w:r>
                    <w:rPr>
                      <w:rFonts w:hint="default" w:ascii="Times New Roman" w:hAnsi="Times New Roman" w:eastAsia="宋体" w:cs="Times New Roman"/>
                      <w:color w:val="auto"/>
                      <w:kern w:val="0"/>
                      <w:sz w:val="21"/>
                      <w:szCs w:val="21"/>
                      <w:lang w:bidi="ar"/>
                    </w:rPr>
                    <w:t>基础必须防渗，防渗层为至少1m厚粘土层（渗透系数≤10</w:t>
                  </w:r>
                  <w:r>
                    <w:rPr>
                      <w:rFonts w:hint="default" w:ascii="Times New Roman" w:hAnsi="Times New Roman" w:eastAsia="宋体" w:cs="Times New Roman"/>
                      <w:color w:val="auto"/>
                      <w:kern w:val="0"/>
                      <w:sz w:val="21"/>
                      <w:szCs w:val="21"/>
                      <w:vertAlign w:val="superscript"/>
                      <w:lang w:bidi="ar"/>
                    </w:rPr>
                    <w:t>-7</w:t>
                  </w:r>
                  <w:r>
                    <w:rPr>
                      <w:rFonts w:hint="default" w:ascii="Times New Roman" w:hAnsi="Times New Roman" w:eastAsia="宋体" w:cs="Times New Roman"/>
                      <w:color w:val="auto"/>
                      <w:kern w:val="0"/>
                      <w:sz w:val="21"/>
                      <w:szCs w:val="21"/>
                      <w:lang w:bidi="ar"/>
                    </w:rPr>
                    <w:t>cm/s），或2mm厚高密度聚乙烯，或至少2mm厚的其它人工材料，渗透系数≤10</w:t>
                  </w:r>
                  <w:r>
                    <w:rPr>
                      <w:rFonts w:hint="default" w:ascii="Times New Roman" w:hAnsi="Times New Roman" w:eastAsia="宋体" w:cs="Times New Roman"/>
                      <w:color w:val="auto"/>
                      <w:kern w:val="0"/>
                      <w:sz w:val="21"/>
                      <w:szCs w:val="21"/>
                      <w:vertAlign w:val="superscript"/>
                      <w:lang w:bidi="ar"/>
                    </w:rPr>
                    <w:t>-10</w:t>
                  </w:r>
                  <w:r>
                    <w:rPr>
                      <w:rFonts w:hint="default" w:ascii="Times New Roman" w:hAnsi="Times New Roman" w:eastAsia="宋体" w:cs="Times New Roman"/>
                      <w:color w:val="auto"/>
                      <w:kern w:val="0"/>
                      <w:sz w:val="21"/>
                      <w:szCs w:val="21"/>
                      <w:lang w:bidi="ar"/>
                    </w:rPr>
                    <w:t>cm/s</w:t>
                  </w:r>
                  <w:r>
                    <w:rPr>
                      <w:rFonts w:hint="default" w:ascii="Times New Roman" w:hAnsi="Times New Roman" w:eastAsia="宋体" w:cs="Times New Roman"/>
                      <w:color w:val="auto"/>
                      <w:kern w:val="0"/>
                      <w:sz w:val="21"/>
                      <w:szCs w:val="21"/>
                      <w:lang w:eastAsia="zh-CN" w:bidi="ar"/>
                    </w:rPr>
                    <w:t>，</w:t>
                  </w:r>
                  <w:r>
                    <w:rPr>
                      <w:rFonts w:hint="default" w:ascii="Times New Roman" w:hAnsi="Times New Roman" w:eastAsia="宋体" w:cs="Times New Roman"/>
                      <w:bCs/>
                      <w:color w:val="auto"/>
                      <w:sz w:val="21"/>
                      <w:szCs w:val="21"/>
                    </w:rPr>
                    <w:t>做好防扬散、防流失、防渗漏等措施</w:t>
                  </w:r>
                </w:p>
              </w:tc>
              <w:tc>
                <w:tcPr>
                  <w:tcW w:w="1014" w:type="pct"/>
                  <w:vAlign w:val="center"/>
                </w:tcPr>
                <w:p w14:paraId="48CCD55E">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并入配煤项目进行建设，本项目和在建项目共用</w:t>
                  </w:r>
                </w:p>
              </w:tc>
            </w:tr>
          </w:tbl>
          <w:p w14:paraId="3E4B0B8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、产品方案及规模</w:t>
            </w:r>
          </w:p>
          <w:p w14:paraId="682BA033">
            <w:pPr>
              <w:pStyle w:val="10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spacing w:val="-6"/>
                <w:kern w:val="2"/>
                <w:sz w:val="24"/>
                <w:szCs w:val="24"/>
                <w:lang w:val="en-US" w:eastAsia="zh-CN" w:bidi="ar-SA"/>
              </w:rPr>
            </w:pPr>
            <w:r>
              <w:rPr>
                <w:rFonts w:hint="eastAsia" w:ascii="Times New Roman" w:hAnsi="Times New Roman" w:cs="Times New Roman" w:eastAsiaTheme="minorEastAsia"/>
                <w:color w:val="auto"/>
                <w:spacing w:val="-6"/>
                <w:kern w:val="2"/>
                <w:sz w:val="24"/>
                <w:szCs w:val="24"/>
                <w:lang w:val="en-US" w:eastAsia="zh-CN" w:bidi="ar-SA"/>
              </w:rPr>
              <w:t>在建项目</w:t>
            </w:r>
            <w:r>
              <w:rPr>
                <w:rFonts w:hint="default" w:ascii="Times New Roman" w:hAnsi="Times New Roman" w:cs="Times New Roman" w:eastAsiaTheme="minorEastAsia"/>
                <w:color w:val="auto"/>
                <w:spacing w:val="-6"/>
                <w:kern w:val="2"/>
                <w:sz w:val="24"/>
                <w:szCs w:val="24"/>
                <w:lang w:val="en-US" w:eastAsia="zh-CN" w:bidi="ar-SA"/>
              </w:rPr>
              <w:t>建成后年产12万吨</w:t>
            </w:r>
            <w:r>
              <w:rPr>
                <w:rFonts w:hint="eastAsia" w:ascii="Times New Roman" w:hAnsi="Times New Roman" w:cs="Times New Roman" w:eastAsiaTheme="minorEastAsia"/>
                <w:color w:val="auto"/>
                <w:spacing w:val="-6"/>
                <w:kern w:val="2"/>
                <w:sz w:val="24"/>
                <w:szCs w:val="24"/>
                <w:lang w:val="en-US" w:eastAsia="zh-CN" w:bidi="ar-SA"/>
              </w:rPr>
              <w:t>粉状</w:t>
            </w:r>
            <w:r>
              <w:rPr>
                <w:rFonts w:hint="default" w:ascii="Times New Roman" w:hAnsi="Times New Roman" w:cs="Times New Roman" w:eastAsiaTheme="minorEastAsia"/>
                <w:color w:val="auto"/>
                <w:spacing w:val="-6"/>
                <w:kern w:val="2"/>
                <w:sz w:val="24"/>
                <w:szCs w:val="24"/>
                <w:lang w:val="en-US" w:eastAsia="zh-CN" w:bidi="ar-SA"/>
              </w:rPr>
              <w:t>铁矿，该产品主要外售给钢铁企业作为炼钢原料使用，项目产品规模见表2-</w:t>
            </w:r>
            <w:r>
              <w:rPr>
                <w:rFonts w:hint="eastAsia" w:ascii="Times New Roman" w:hAnsi="Times New Roman" w:cs="Times New Roman" w:eastAsiaTheme="minorEastAsia"/>
                <w:color w:val="auto"/>
                <w:spacing w:val="-6"/>
                <w:kern w:val="2"/>
                <w:sz w:val="24"/>
                <w:szCs w:val="24"/>
                <w:lang w:val="en-US" w:eastAsia="zh-CN" w:bidi="ar-SA"/>
              </w:rPr>
              <w:t>10</w:t>
            </w:r>
            <w:r>
              <w:rPr>
                <w:rFonts w:hint="default" w:ascii="Times New Roman" w:hAnsi="Times New Roman" w:cs="Times New Roman" w:eastAsiaTheme="minorEastAsia"/>
                <w:color w:val="auto"/>
                <w:spacing w:val="-6"/>
                <w:kern w:val="2"/>
                <w:sz w:val="24"/>
                <w:szCs w:val="24"/>
                <w:lang w:val="en-US" w:eastAsia="zh-CN" w:bidi="ar-SA"/>
              </w:rPr>
              <w:t>所示。</w:t>
            </w:r>
          </w:p>
          <w:p w14:paraId="735A79E0">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eastAsia" w:cs="Times New Roman"/>
                <w:color w:val="auto"/>
                <w:sz w:val="24"/>
                <w:szCs w:val="32"/>
                <w:lang w:val="en-US" w:eastAsia="zh-CN"/>
              </w:rPr>
              <w:t xml:space="preserve">10  </w:t>
            </w:r>
            <w:r>
              <w:rPr>
                <w:rFonts w:hint="default" w:ascii="Times New Roman" w:hAnsi="Times New Roman" w:cs="Times New Roman"/>
                <w:color w:val="auto"/>
                <w:sz w:val="24"/>
                <w:szCs w:val="32"/>
              </w:rPr>
              <w:t>项目产品规模一览表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45"/>
              <w:gridCol w:w="1605"/>
              <w:gridCol w:w="1710"/>
              <w:gridCol w:w="2161"/>
            </w:tblGrid>
            <w:tr w14:paraId="5EC8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3" w:type="pct"/>
                  <w:vAlign w:val="center"/>
                </w:tcPr>
                <w:p w14:paraId="7D06C74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序号</w:t>
                  </w:r>
                </w:p>
              </w:tc>
              <w:tc>
                <w:tcPr>
                  <w:tcW w:w="985" w:type="pct"/>
                  <w:vAlign w:val="center"/>
                </w:tcPr>
                <w:p w14:paraId="7385AD6D">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产品名称</w:t>
                  </w:r>
                </w:p>
              </w:tc>
              <w:tc>
                <w:tcPr>
                  <w:tcW w:w="1023" w:type="pct"/>
                  <w:vAlign w:val="center"/>
                </w:tcPr>
                <w:p w14:paraId="55BF142C">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eastAsia" w:cs="Times New Roman"/>
                      <w:b/>
                      <w:bCs w:val="0"/>
                      <w:color w:val="auto"/>
                      <w:sz w:val="21"/>
                      <w:szCs w:val="21"/>
                      <w:lang w:val="en-US" w:eastAsia="zh-CN"/>
                    </w:rPr>
                    <w:t>规格</w:t>
                  </w:r>
                </w:p>
              </w:tc>
              <w:tc>
                <w:tcPr>
                  <w:tcW w:w="1090" w:type="pct"/>
                  <w:vAlign w:val="center"/>
                </w:tcPr>
                <w:p w14:paraId="246B8301">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rPr>
                    <w:t>年产量</w:t>
                  </w:r>
                </w:p>
              </w:tc>
              <w:tc>
                <w:tcPr>
                  <w:tcW w:w="1377" w:type="pct"/>
                  <w:vAlign w:val="center"/>
                </w:tcPr>
                <w:p w14:paraId="48A1515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备注</w:t>
                  </w:r>
                </w:p>
              </w:tc>
            </w:tr>
            <w:tr w14:paraId="6B9F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3" w:type="pct"/>
                  <w:vAlign w:val="center"/>
                </w:tcPr>
                <w:p w14:paraId="3360B230">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985" w:type="pct"/>
                  <w:vAlign w:val="center"/>
                </w:tcPr>
                <w:p w14:paraId="356B8064">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粉状铁矿</w:t>
                  </w:r>
                </w:p>
              </w:tc>
              <w:tc>
                <w:tcPr>
                  <w:tcW w:w="1023" w:type="pct"/>
                  <w:vAlign w:val="center"/>
                </w:tcPr>
                <w:p w14:paraId="6332694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＜5mm</w:t>
                  </w:r>
                </w:p>
              </w:tc>
              <w:tc>
                <w:tcPr>
                  <w:tcW w:w="1090" w:type="pct"/>
                  <w:vAlign w:val="center"/>
                </w:tcPr>
                <w:p w14:paraId="14C0565E">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cs="Times New Roman"/>
                      <w:color w:val="auto"/>
                      <w:spacing w:val="-1"/>
                      <w:lang w:val="en-US" w:eastAsia="zh-CN"/>
                    </w:rPr>
                    <w:t>12万吨/a</w:t>
                  </w:r>
                </w:p>
              </w:tc>
              <w:tc>
                <w:tcPr>
                  <w:tcW w:w="1377" w:type="pct"/>
                  <w:vAlign w:val="center"/>
                </w:tcPr>
                <w:p w14:paraId="2A37596D">
                  <w:pPr>
                    <w:pStyle w:val="58"/>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主要外售给玉昆钢铁</w:t>
                  </w:r>
                </w:p>
              </w:tc>
            </w:tr>
          </w:tbl>
          <w:p w14:paraId="1DB1F40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4</w:t>
            </w:r>
            <w:r>
              <w:rPr>
                <w:rFonts w:hint="default" w:cs="Times New Roman"/>
                <w:b/>
                <w:bCs/>
                <w:color w:val="auto"/>
                <w:sz w:val="24"/>
                <w:szCs w:val="24"/>
                <w:lang w:val="en-US" w:eastAsia="zh-CN"/>
              </w:rPr>
              <w:t>、主要生产设施及设施参数</w:t>
            </w:r>
          </w:p>
          <w:p w14:paraId="13E0A73A">
            <w:pPr>
              <w:tabs>
                <w:tab w:val="center" w:pos="3885"/>
              </w:tabs>
              <w:ind w:firstLine="480"/>
              <w:rPr>
                <w:rFonts w:hint="default" w:ascii="Times New Roman" w:hAnsi="Times New Roman" w:cs="Times New Roman"/>
                <w:color w:val="auto"/>
              </w:rPr>
            </w:pPr>
            <w:r>
              <w:rPr>
                <w:rFonts w:hint="eastAsia" w:cs="Times New Roman"/>
                <w:color w:val="auto"/>
                <w:lang w:val="en-US" w:eastAsia="zh-CN"/>
              </w:rPr>
              <w:t>在建项目</w:t>
            </w:r>
            <w:r>
              <w:rPr>
                <w:rFonts w:hint="default" w:ascii="Times New Roman" w:hAnsi="Times New Roman" w:cs="Times New Roman"/>
                <w:color w:val="auto"/>
              </w:rPr>
              <w:t>主要运行设备见表2-</w:t>
            </w:r>
            <w:r>
              <w:rPr>
                <w:rFonts w:hint="eastAsia" w:cs="Times New Roman"/>
                <w:color w:val="auto"/>
                <w:lang w:val="en-US" w:eastAsia="zh-CN"/>
              </w:rPr>
              <w:t>11</w:t>
            </w:r>
            <w:r>
              <w:rPr>
                <w:rFonts w:hint="default" w:ascii="Times New Roman" w:hAnsi="Times New Roman" w:cs="Times New Roman"/>
                <w:color w:val="auto"/>
              </w:rPr>
              <w:t>。</w:t>
            </w:r>
            <w:r>
              <w:rPr>
                <w:rFonts w:hint="default" w:ascii="Times New Roman" w:hAnsi="Times New Roman" w:cs="Times New Roman"/>
                <w:color w:val="auto"/>
              </w:rPr>
              <w:tab/>
            </w:r>
          </w:p>
          <w:p w14:paraId="22D595E7">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eastAsia" w:cs="Times New Roman"/>
                <w:color w:val="auto"/>
                <w:sz w:val="24"/>
                <w:szCs w:val="32"/>
                <w:lang w:val="en-US" w:eastAsia="zh-CN"/>
              </w:rPr>
              <w:t>11</w:t>
            </w:r>
            <w:r>
              <w:rPr>
                <w:rFonts w:hint="default" w:ascii="Times New Roman" w:hAnsi="Times New Roman" w:cs="Times New Roman"/>
                <w:color w:val="auto"/>
                <w:sz w:val="24"/>
                <w:szCs w:val="32"/>
              </w:rPr>
              <w:t xml:space="preserve"> </w:t>
            </w:r>
            <w:r>
              <w:rPr>
                <w:rFonts w:hint="eastAsia" w:cs="Times New Roman"/>
                <w:color w:val="auto"/>
                <w:sz w:val="24"/>
                <w:szCs w:val="32"/>
                <w:lang w:val="en-US" w:eastAsia="zh-CN"/>
              </w:rPr>
              <w:t xml:space="preserve"> </w:t>
            </w:r>
            <w:r>
              <w:rPr>
                <w:rFonts w:hint="default" w:ascii="Times New Roman" w:hAnsi="Times New Roman" w:cs="Times New Roman"/>
                <w:color w:val="auto"/>
                <w:sz w:val="24"/>
                <w:szCs w:val="32"/>
              </w:rPr>
              <w:t>主要运行设备一览表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903"/>
              <w:gridCol w:w="1925"/>
              <w:gridCol w:w="949"/>
              <w:gridCol w:w="916"/>
              <w:gridCol w:w="1387"/>
            </w:tblGrid>
            <w:tr w14:paraId="3280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tcBorders>
                    <w:tl2br w:val="nil"/>
                    <w:tr2bl w:val="nil"/>
                  </w:tcBorders>
                  <w:noWrap w:val="0"/>
                  <w:vAlign w:val="center"/>
                </w:tcPr>
                <w:p w14:paraId="187913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序号</w:t>
                  </w:r>
                </w:p>
              </w:tc>
              <w:tc>
                <w:tcPr>
                  <w:tcW w:w="1213" w:type="pct"/>
                  <w:tcBorders>
                    <w:tl2br w:val="nil"/>
                    <w:tr2bl w:val="nil"/>
                  </w:tcBorders>
                  <w:noWrap w:val="0"/>
                  <w:vAlign w:val="center"/>
                </w:tcPr>
                <w:p w14:paraId="365BAF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名称</w:t>
                  </w:r>
                </w:p>
              </w:tc>
              <w:tc>
                <w:tcPr>
                  <w:tcW w:w="1227" w:type="pct"/>
                  <w:tcBorders>
                    <w:tl2br w:val="nil"/>
                    <w:tr2bl w:val="nil"/>
                  </w:tcBorders>
                  <w:noWrap w:val="0"/>
                  <w:vAlign w:val="center"/>
                </w:tcPr>
                <w:p w14:paraId="75588B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型号/功率</w:t>
                  </w:r>
                </w:p>
              </w:tc>
              <w:tc>
                <w:tcPr>
                  <w:tcW w:w="605" w:type="pct"/>
                  <w:tcBorders>
                    <w:tl2br w:val="nil"/>
                    <w:tr2bl w:val="nil"/>
                  </w:tcBorders>
                  <w:noWrap w:val="0"/>
                  <w:vAlign w:val="center"/>
                </w:tcPr>
                <w:p w14:paraId="3CECCC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单位</w:t>
                  </w:r>
                </w:p>
              </w:tc>
              <w:tc>
                <w:tcPr>
                  <w:tcW w:w="584" w:type="pct"/>
                  <w:tcBorders>
                    <w:tl2br w:val="nil"/>
                    <w:tr2bl w:val="nil"/>
                  </w:tcBorders>
                  <w:noWrap w:val="0"/>
                  <w:vAlign w:val="center"/>
                </w:tcPr>
                <w:p w14:paraId="28F211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数量</w:t>
                  </w:r>
                </w:p>
              </w:tc>
              <w:tc>
                <w:tcPr>
                  <w:tcW w:w="884" w:type="pct"/>
                  <w:tcBorders>
                    <w:tl2br w:val="nil"/>
                    <w:tr2bl w:val="nil"/>
                  </w:tcBorders>
                  <w:noWrap w:val="0"/>
                  <w:vAlign w:val="center"/>
                </w:tcPr>
                <w:p w14:paraId="0A1F9A8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pacing w:val="-3"/>
                      <w:sz w:val="21"/>
                      <w:szCs w:val="21"/>
                      <w:vertAlign w:val="baseline"/>
                      <w:lang w:val="en-US" w:eastAsia="zh-CN"/>
                    </w:rPr>
                  </w:pPr>
                  <w:r>
                    <w:rPr>
                      <w:rFonts w:hint="default" w:ascii="Times New Roman" w:hAnsi="Times New Roman" w:cs="Times New Roman" w:eastAsiaTheme="minorEastAsia"/>
                      <w:b/>
                      <w:bCs/>
                      <w:color w:val="auto"/>
                      <w:spacing w:val="-3"/>
                      <w:sz w:val="21"/>
                      <w:szCs w:val="21"/>
                      <w:vertAlign w:val="baseline"/>
                      <w:lang w:val="en-US" w:eastAsia="zh-CN"/>
                    </w:rPr>
                    <w:t>用途</w:t>
                  </w:r>
                </w:p>
              </w:tc>
            </w:tr>
            <w:tr w14:paraId="2A76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tcBorders>
                    <w:tl2br w:val="nil"/>
                    <w:tr2bl w:val="nil"/>
                  </w:tcBorders>
                  <w:shd w:val="clear" w:color="auto" w:fill="auto"/>
                  <w:noWrap w:val="0"/>
                  <w:vAlign w:val="center"/>
                </w:tcPr>
                <w:p w14:paraId="653E4F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1213" w:type="pct"/>
                  <w:tcBorders>
                    <w:tl2br w:val="nil"/>
                    <w:tr2bl w:val="nil"/>
                  </w:tcBorders>
                  <w:shd w:val="clear" w:color="auto" w:fill="auto"/>
                  <w:noWrap w:val="0"/>
                  <w:vAlign w:val="center"/>
                </w:tcPr>
                <w:p w14:paraId="19553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振动给料机</w:t>
                  </w:r>
                </w:p>
              </w:tc>
              <w:tc>
                <w:tcPr>
                  <w:tcW w:w="1227" w:type="pct"/>
                  <w:tcBorders>
                    <w:tl2br w:val="nil"/>
                    <w:tr2bl w:val="nil"/>
                  </w:tcBorders>
                  <w:shd w:val="clear" w:color="auto" w:fill="auto"/>
                  <w:noWrap w:val="0"/>
                  <w:vAlign w:val="center"/>
                </w:tcPr>
                <w:p w14:paraId="411830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18.5kw/h</w:t>
                  </w:r>
                </w:p>
              </w:tc>
              <w:tc>
                <w:tcPr>
                  <w:tcW w:w="605" w:type="pct"/>
                  <w:tcBorders>
                    <w:tl2br w:val="nil"/>
                    <w:tr2bl w:val="nil"/>
                  </w:tcBorders>
                  <w:shd w:val="clear" w:color="auto" w:fill="auto"/>
                  <w:noWrap w:val="0"/>
                  <w:vAlign w:val="center"/>
                </w:tcPr>
                <w:p w14:paraId="3CE99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台</w:t>
                  </w:r>
                </w:p>
              </w:tc>
              <w:tc>
                <w:tcPr>
                  <w:tcW w:w="584" w:type="pct"/>
                  <w:tcBorders>
                    <w:tl2br w:val="nil"/>
                    <w:tr2bl w:val="nil"/>
                  </w:tcBorders>
                  <w:shd w:val="clear" w:color="auto" w:fill="auto"/>
                  <w:noWrap w:val="0"/>
                  <w:vAlign w:val="center"/>
                </w:tcPr>
                <w:p w14:paraId="7C020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884" w:type="pct"/>
                  <w:tcBorders>
                    <w:tl2br w:val="nil"/>
                    <w:tr2bl w:val="nil"/>
                  </w:tcBorders>
                  <w:shd w:val="clear" w:color="auto" w:fill="auto"/>
                  <w:noWrap w:val="0"/>
                  <w:vAlign w:val="center"/>
                </w:tcPr>
                <w:p w14:paraId="791D334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给料</w:t>
                  </w:r>
                </w:p>
              </w:tc>
            </w:tr>
            <w:tr w14:paraId="2DB7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tcBorders>
                    <w:tl2br w:val="nil"/>
                    <w:tr2bl w:val="nil"/>
                  </w:tcBorders>
                  <w:shd w:val="clear" w:color="auto" w:fill="auto"/>
                  <w:noWrap w:val="0"/>
                  <w:vAlign w:val="center"/>
                </w:tcPr>
                <w:p w14:paraId="5382D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w:t>
                  </w:r>
                </w:p>
              </w:tc>
              <w:tc>
                <w:tcPr>
                  <w:tcW w:w="1213" w:type="pct"/>
                  <w:tcBorders>
                    <w:tl2br w:val="nil"/>
                    <w:tr2bl w:val="nil"/>
                  </w:tcBorders>
                  <w:shd w:val="clear" w:color="auto" w:fill="auto"/>
                  <w:noWrap w:val="0"/>
                  <w:vAlign w:val="center"/>
                </w:tcPr>
                <w:p w14:paraId="03721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颚式破碎机</w:t>
                  </w:r>
                </w:p>
              </w:tc>
              <w:tc>
                <w:tcPr>
                  <w:tcW w:w="1227" w:type="pct"/>
                  <w:tcBorders>
                    <w:tl2br w:val="nil"/>
                    <w:tr2bl w:val="nil"/>
                  </w:tcBorders>
                  <w:shd w:val="clear" w:color="auto" w:fill="auto"/>
                  <w:noWrap w:val="0"/>
                  <w:vAlign w:val="center"/>
                </w:tcPr>
                <w:p w14:paraId="0896E9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PE-600×750</w:t>
                  </w:r>
                </w:p>
              </w:tc>
              <w:tc>
                <w:tcPr>
                  <w:tcW w:w="605" w:type="pct"/>
                  <w:tcBorders>
                    <w:tl2br w:val="nil"/>
                    <w:tr2bl w:val="nil"/>
                  </w:tcBorders>
                  <w:shd w:val="clear" w:color="auto" w:fill="auto"/>
                  <w:noWrap w:val="0"/>
                  <w:vAlign w:val="center"/>
                </w:tcPr>
                <w:p w14:paraId="227D56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台</w:t>
                  </w:r>
                </w:p>
              </w:tc>
              <w:tc>
                <w:tcPr>
                  <w:tcW w:w="584" w:type="pct"/>
                  <w:tcBorders>
                    <w:tl2br w:val="nil"/>
                    <w:tr2bl w:val="nil"/>
                  </w:tcBorders>
                  <w:shd w:val="clear" w:color="auto" w:fill="auto"/>
                  <w:noWrap w:val="0"/>
                  <w:vAlign w:val="center"/>
                </w:tcPr>
                <w:p w14:paraId="487D7A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884" w:type="pct"/>
                  <w:tcBorders>
                    <w:tl2br w:val="nil"/>
                    <w:tr2bl w:val="nil"/>
                  </w:tcBorders>
                  <w:shd w:val="clear" w:color="auto" w:fill="auto"/>
                  <w:noWrap w:val="0"/>
                  <w:vAlign w:val="center"/>
                </w:tcPr>
                <w:p w14:paraId="77D380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破碎</w:t>
                  </w:r>
                </w:p>
              </w:tc>
            </w:tr>
            <w:tr w14:paraId="3B25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tcBorders>
                    <w:tl2br w:val="nil"/>
                    <w:tr2bl w:val="nil"/>
                  </w:tcBorders>
                  <w:shd w:val="clear" w:color="auto" w:fill="auto"/>
                  <w:noWrap w:val="0"/>
                  <w:vAlign w:val="center"/>
                </w:tcPr>
                <w:p w14:paraId="4678B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3</w:t>
                  </w:r>
                </w:p>
              </w:tc>
              <w:tc>
                <w:tcPr>
                  <w:tcW w:w="1213" w:type="pct"/>
                  <w:tcBorders>
                    <w:tl2br w:val="nil"/>
                    <w:tr2bl w:val="nil"/>
                  </w:tcBorders>
                  <w:shd w:val="clear" w:color="auto" w:fill="auto"/>
                  <w:noWrap w:val="0"/>
                  <w:vAlign w:val="center"/>
                </w:tcPr>
                <w:p w14:paraId="77099C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锤破机</w:t>
                  </w:r>
                </w:p>
              </w:tc>
              <w:tc>
                <w:tcPr>
                  <w:tcW w:w="1227" w:type="pct"/>
                  <w:tcBorders>
                    <w:tl2br w:val="nil"/>
                    <w:tr2bl w:val="nil"/>
                  </w:tcBorders>
                  <w:shd w:val="clear" w:color="auto" w:fill="auto"/>
                  <w:noWrap w:val="0"/>
                  <w:vAlign w:val="center"/>
                </w:tcPr>
                <w:p w14:paraId="6E115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PF-1210</w:t>
                  </w:r>
                </w:p>
              </w:tc>
              <w:tc>
                <w:tcPr>
                  <w:tcW w:w="605" w:type="pct"/>
                  <w:tcBorders>
                    <w:tl2br w:val="nil"/>
                    <w:tr2bl w:val="nil"/>
                  </w:tcBorders>
                  <w:shd w:val="clear" w:color="auto" w:fill="auto"/>
                  <w:noWrap w:val="0"/>
                  <w:vAlign w:val="center"/>
                </w:tcPr>
                <w:p w14:paraId="76839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台</w:t>
                  </w:r>
                </w:p>
              </w:tc>
              <w:tc>
                <w:tcPr>
                  <w:tcW w:w="584" w:type="pct"/>
                  <w:tcBorders>
                    <w:tl2br w:val="nil"/>
                    <w:tr2bl w:val="nil"/>
                  </w:tcBorders>
                  <w:shd w:val="clear" w:color="auto" w:fill="auto"/>
                  <w:noWrap w:val="0"/>
                  <w:vAlign w:val="center"/>
                </w:tcPr>
                <w:p w14:paraId="56526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884" w:type="pct"/>
                  <w:tcBorders>
                    <w:tl2br w:val="nil"/>
                    <w:tr2bl w:val="nil"/>
                  </w:tcBorders>
                  <w:shd w:val="clear" w:color="auto" w:fill="auto"/>
                  <w:noWrap w:val="0"/>
                  <w:vAlign w:val="center"/>
                </w:tcPr>
                <w:p w14:paraId="3E1A047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破碎</w:t>
                  </w:r>
                </w:p>
              </w:tc>
            </w:tr>
            <w:tr w14:paraId="718D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tcBorders>
                    <w:tl2br w:val="nil"/>
                    <w:tr2bl w:val="nil"/>
                  </w:tcBorders>
                  <w:shd w:val="clear" w:color="auto" w:fill="auto"/>
                  <w:noWrap w:val="0"/>
                  <w:vAlign w:val="center"/>
                </w:tcPr>
                <w:p w14:paraId="28954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4</w:t>
                  </w:r>
                </w:p>
              </w:tc>
              <w:tc>
                <w:tcPr>
                  <w:tcW w:w="1213" w:type="pct"/>
                  <w:tcBorders>
                    <w:tl2br w:val="nil"/>
                    <w:tr2bl w:val="nil"/>
                  </w:tcBorders>
                  <w:shd w:val="clear" w:color="auto" w:fill="auto"/>
                  <w:noWrap w:val="0"/>
                  <w:vAlign w:val="center"/>
                </w:tcPr>
                <w:p w14:paraId="37E2F9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砂机</w:t>
                  </w:r>
                </w:p>
              </w:tc>
              <w:tc>
                <w:tcPr>
                  <w:tcW w:w="1227" w:type="pct"/>
                  <w:tcBorders>
                    <w:tl2br w:val="nil"/>
                    <w:tr2bl w:val="nil"/>
                  </w:tcBorders>
                  <w:shd w:val="clear" w:color="auto" w:fill="auto"/>
                  <w:noWrap w:val="0"/>
                  <w:vAlign w:val="center"/>
                </w:tcPr>
                <w:p w14:paraId="69D6B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w:t>
                  </w:r>
                </w:p>
              </w:tc>
              <w:tc>
                <w:tcPr>
                  <w:tcW w:w="605" w:type="pct"/>
                  <w:tcBorders>
                    <w:tl2br w:val="nil"/>
                    <w:tr2bl w:val="nil"/>
                  </w:tcBorders>
                  <w:shd w:val="clear" w:color="auto" w:fill="auto"/>
                  <w:noWrap w:val="0"/>
                  <w:vAlign w:val="center"/>
                </w:tcPr>
                <w:p w14:paraId="7D8E4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台</w:t>
                  </w:r>
                </w:p>
              </w:tc>
              <w:tc>
                <w:tcPr>
                  <w:tcW w:w="584" w:type="pct"/>
                  <w:tcBorders>
                    <w:tl2br w:val="nil"/>
                    <w:tr2bl w:val="nil"/>
                  </w:tcBorders>
                  <w:shd w:val="clear" w:color="auto" w:fill="auto"/>
                  <w:noWrap w:val="0"/>
                  <w:vAlign w:val="center"/>
                </w:tcPr>
                <w:p w14:paraId="240CD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884" w:type="pct"/>
                  <w:tcBorders>
                    <w:tl2br w:val="nil"/>
                    <w:tr2bl w:val="nil"/>
                  </w:tcBorders>
                  <w:shd w:val="clear" w:color="auto" w:fill="auto"/>
                  <w:noWrap w:val="0"/>
                  <w:vAlign w:val="center"/>
                </w:tcPr>
                <w:p w14:paraId="50E4708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粉碎</w:t>
                  </w:r>
                </w:p>
              </w:tc>
            </w:tr>
            <w:tr w14:paraId="0091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tcBorders>
                    <w:tl2br w:val="nil"/>
                    <w:tr2bl w:val="nil"/>
                  </w:tcBorders>
                  <w:shd w:val="clear" w:color="auto" w:fill="auto"/>
                  <w:noWrap w:val="0"/>
                  <w:vAlign w:val="center"/>
                </w:tcPr>
                <w:p w14:paraId="54A15D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5</w:t>
                  </w:r>
                </w:p>
              </w:tc>
              <w:tc>
                <w:tcPr>
                  <w:tcW w:w="1213" w:type="pct"/>
                  <w:tcBorders>
                    <w:tl2br w:val="nil"/>
                    <w:tr2bl w:val="nil"/>
                  </w:tcBorders>
                  <w:shd w:val="clear" w:color="auto" w:fill="auto"/>
                  <w:noWrap w:val="0"/>
                  <w:vAlign w:val="center"/>
                </w:tcPr>
                <w:p w14:paraId="0D782C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振动筛</w:t>
                  </w:r>
                </w:p>
              </w:tc>
              <w:tc>
                <w:tcPr>
                  <w:tcW w:w="1227" w:type="pct"/>
                  <w:tcBorders>
                    <w:tl2br w:val="nil"/>
                    <w:tr2bl w:val="nil"/>
                  </w:tcBorders>
                  <w:shd w:val="clear" w:color="auto" w:fill="auto"/>
                  <w:noWrap w:val="0"/>
                  <w:vAlign w:val="center"/>
                </w:tcPr>
                <w:p w14:paraId="46F58B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15kw/h</w:t>
                  </w:r>
                </w:p>
              </w:tc>
              <w:tc>
                <w:tcPr>
                  <w:tcW w:w="605" w:type="pct"/>
                  <w:tcBorders>
                    <w:tl2br w:val="nil"/>
                    <w:tr2bl w:val="nil"/>
                  </w:tcBorders>
                  <w:shd w:val="clear" w:color="auto" w:fill="auto"/>
                  <w:noWrap w:val="0"/>
                  <w:vAlign w:val="center"/>
                </w:tcPr>
                <w:p w14:paraId="0C2504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台</w:t>
                  </w:r>
                </w:p>
              </w:tc>
              <w:tc>
                <w:tcPr>
                  <w:tcW w:w="584" w:type="pct"/>
                  <w:tcBorders>
                    <w:tl2br w:val="nil"/>
                    <w:tr2bl w:val="nil"/>
                  </w:tcBorders>
                  <w:shd w:val="clear" w:color="auto" w:fill="auto"/>
                  <w:noWrap w:val="0"/>
                  <w:vAlign w:val="center"/>
                </w:tcPr>
                <w:p w14:paraId="65BC8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884" w:type="pct"/>
                  <w:tcBorders>
                    <w:tl2br w:val="nil"/>
                    <w:tr2bl w:val="nil"/>
                  </w:tcBorders>
                  <w:shd w:val="clear" w:color="auto" w:fill="auto"/>
                  <w:noWrap w:val="0"/>
                  <w:vAlign w:val="center"/>
                </w:tcPr>
                <w:p w14:paraId="60FA5E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筛分</w:t>
                  </w:r>
                </w:p>
              </w:tc>
            </w:tr>
            <w:tr w14:paraId="27F4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tcBorders>
                    <w:tl2br w:val="nil"/>
                    <w:tr2bl w:val="nil"/>
                  </w:tcBorders>
                  <w:shd w:val="clear" w:color="auto" w:fill="auto"/>
                  <w:noWrap w:val="0"/>
                  <w:vAlign w:val="center"/>
                </w:tcPr>
                <w:p w14:paraId="7757D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6</w:t>
                  </w:r>
                </w:p>
              </w:tc>
              <w:tc>
                <w:tcPr>
                  <w:tcW w:w="1213" w:type="pct"/>
                  <w:tcBorders>
                    <w:tl2br w:val="nil"/>
                    <w:tr2bl w:val="nil"/>
                  </w:tcBorders>
                  <w:shd w:val="clear" w:color="auto" w:fill="auto"/>
                  <w:noWrap w:val="0"/>
                  <w:vAlign w:val="center"/>
                </w:tcPr>
                <w:p w14:paraId="111BE0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输送皮带</w:t>
                  </w:r>
                </w:p>
              </w:tc>
              <w:tc>
                <w:tcPr>
                  <w:tcW w:w="1227" w:type="pct"/>
                  <w:tcBorders>
                    <w:tl2br w:val="nil"/>
                    <w:tr2bl w:val="nil"/>
                  </w:tcBorders>
                  <w:shd w:val="clear" w:color="auto" w:fill="auto"/>
                  <w:noWrap w:val="0"/>
                  <w:vAlign w:val="center"/>
                </w:tcPr>
                <w:p w14:paraId="77FDA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NJQ200-2</w:t>
                  </w:r>
                </w:p>
              </w:tc>
              <w:tc>
                <w:tcPr>
                  <w:tcW w:w="605" w:type="pct"/>
                  <w:tcBorders>
                    <w:tl2br w:val="nil"/>
                    <w:tr2bl w:val="nil"/>
                  </w:tcBorders>
                  <w:shd w:val="clear" w:color="auto" w:fill="auto"/>
                  <w:noWrap w:val="0"/>
                  <w:vAlign w:val="center"/>
                </w:tcPr>
                <w:p w14:paraId="189B6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条</w:t>
                  </w:r>
                </w:p>
              </w:tc>
              <w:tc>
                <w:tcPr>
                  <w:tcW w:w="584" w:type="pct"/>
                  <w:tcBorders>
                    <w:tl2br w:val="nil"/>
                    <w:tr2bl w:val="nil"/>
                  </w:tcBorders>
                  <w:shd w:val="clear" w:color="auto" w:fill="auto"/>
                  <w:noWrap w:val="0"/>
                  <w:vAlign w:val="center"/>
                </w:tcPr>
                <w:p w14:paraId="7A6CD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6</w:t>
                  </w:r>
                </w:p>
              </w:tc>
              <w:tc>
                <w:tcPr>
                  <w:tcW w:w="884" w:type="pct"/>
                  <w:tcBorders>
                    <w:tl2br w:val="nil"/>
                    <w:tr2bl w:val="nil"/>
                  </w:tcBorders>
                  <w:shd w:val="clear" w:color="auto" w:fill="auto"/>
                  <w:noWrap w:val="0"/>
                  <w:vAlign w:val="center"/>
                </w:tcPr>
                <w:p w14:paraId="6EF219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pacing w:val="-3"/>
                      <w:sz w:val="21"/>
                      <w:szCs w:val="21"/>
                      <w:vertAlign w:val="baseline"/>
                      <w:lang w:val="en-US" w:eastAsia="zh-CN"/>
                    </w:rPr>
                  </w:pPr>
                  <w:r>
                    <w:rPr>
                      <w:rFonts w:hint="default" w:ascii="Times New Roman" w:hAnsi="Times New Roman" w:cs="Times New Roman" w:eastAsiaTheme="minorEastAsia"/>
                      <w:color w:val="auto"/>
                      <w:spacing w:val="-3"/>
                      <w:sz w:val="21"/>
                      <w:szCs w:val="21"/>
                      <w:vertAlign w:val="baseline"/>
                      <w:lang w:val="en-US" w:eastAsia="zh-CN"/>
                    </w:rPr>
                    <w:t>输送物料</w:t>
                  </w:r>
                </w:p>
              </w:tc>
            </w:tr>
            <w:tr w14:paraId="2D17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pct"/>
                  <w:tcBorders>
                    <w:tl2br w:val="nil"/>
                    <w:tr2bl w:val="nil"/>
                  </w:tcBorders>
                  <w:shd w:val="clear" w:color="auto" w:fill="auto"/>
                  <w:noWrap w:val="0"/>
                  <w:vAlign w:val="center"/>
                </w:tcPr>
                <w:p w14:paraId="2FBCC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w:t>
                  </w:r>
                </w:p>
              </w:tc>
              <w:tc>
                <w:tcPr>
                  <w:tcW w:w="1213" w:type="pct"/>
                  <w:tcBorders>
                    <w:tl2br w:val="nil"/>
                    <w:tr2bl w:val="nil"/>
                  </w:tcBorders>
                  <w:shd w:val="clear" w:color="auto" w:fill="auto"/>
                  <w:noWrap w:val="0"/>
                  <w:vAlign w:val="center"/>
                </w:tcPr>
                <w:p w14:paraId="097D1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装载机</w:t>
                  </w:r>
                </w:p>
              </w:tc>
              <w:tc>
                <w:tcPr>
                  <w:tcW w:w="1227" w:type="pct"/>
                  <w:tcBorders>
                    <w:tl2br w:val="nil"/>
                    <w:tr2bl w:val="nil"/>
                  </w:tcBorders>
                  <w:shd w:val="clear" w:color="auto" w:fill="auto"/>
                  <w:noWrap w:val="0"/>
                  <w:vAlign w:val="center"/>
                </w:tcPr>
                <w:p w14:paraId="666E4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605" w:type="pct"/>
                  <w:tcBorders>
                    <w:tl2br w:val="nil"/>
                    <w:tr2bl w:val="nil"/>
                  </w:tcBorders>
                  <w:shd w:val="clear" w:color="auto" w:fill="auto"/>
                  <w:noWrap w:val="0"/>
                  <w:vAlign w:val="center"/>
                </w:tcPr>
                <w:p w14:paraId="17AC16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台</w:t>
                  </w:r>
                </w:p>
              </w:tc>
              <w:tc>
                <w:tcPr>
                  <w:tcW w:w="584" w:type="pct"/>
                  <w:tcBorders>
                    <w:tl2br w:val="nil"/>
                    <w:tr2bl w:val="nil"/>
                  </w:tcBorders>
                  <w:shd w:val="clear" w:color="auto" w:fill="auto"/>
                  <w:noWrap w:val="0"/>
                  <w:vAlign w:val="center"/>
                </w:tcPr>
                <w:p w14:paraId="7BCE4B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w:t>
                  </w:r>
                </w:p>
              </w:tc>
              <w:tc>
                <w:tcPr>
                  <w:tcW w:w="884" w:type="pct"/>
                  <w:tcBorders>
                    <w:tl2br w:val="nil"/>
                    <w:tr2bl w:val="nil"/>
                  </w:tcBorders>
                  <w:shd w:val="clear" w:color="auto" w:fill="auto"/>
                  <w:noWrap w:val="0"/>
                  <w:vAlign w:val="center"/>
                </w:tcPr>
                <w:p w14:paraId="729AD9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3"/>
                      <w:kern w:val="2"/>
                      <w:sz w:val="21"/>
                      <w:szCs w:val="21"/>
                      <w:vertAlign w:val="baseline"/>
                      <w:lang w:val="en-US" w:eastAsia="zh-CN" w:bidi="ar-SA"/>
                    </w:rPr>
                  </w:pPr>
                  <w:r>
                    <w:rPr>
                      <w:rFonts w:hint="eastAsia" w:cs="Times New Roman" w:eastAsiaTheme="minorEastAsia"/>
                      <w:color w:val="auto"/>
                      <w:spacing w:val="-3"/>
                      <w:sz w:val="21"/>
                      <w:szCs w:val="21"/>
                      <w:vertAlign w:val="baseline"/>
                      <w:lang w:val="en-US" w:eastAsia="zh-CN"/>
                    </w:rPr>
                    <w:t>转运</w:t>
                  </w:r>
                  <w:r>
                    <w:rPr>
                      <w:rFonts w:hint="default" w:ascii="Times New Roman" w:hAnsi="Times New Roman" w:cs="Times New Roman" w:eastAsiaTheme="minorEastAsia"/>
                      <w:color w:val="auto"/>
                      <w:spacing w:val="-3"/>
                      <w:sz w:val="21"/>
                      <w:szCs w:val="21"/>
                      <w:vertAlign w:val="baseline"/>
                      <w:lang w:val="en-US" w:eastAsia="zh-CN"/>
                    </w:rPr>
                    <w:t>物料</w:t>
                  </w:r>
                </w:p>
              </w:tc>
            </w:tr>
          </w:tbl>
          <w:p w14:paraId="6BB1C3CB">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5</w:t>
            </w:r>
            <w:r>
              <w:rPr>
                <w:rFonts w:hint="default" w:cs="Times New Roman"/>
                <w:b/>
                <w:bCs/>
                <w:color w:val="auto"/>
                <w:sz w:val="24"/>
                <w:szCs w:val="24"/>
                <w:lang w:val="en-US" w:eastAsia="zh-CN"/>
              </w:rPr>
              <w:t>、主要原辅材料及用量</w:t>
            </w:r>
          </w:p>
          <w:p w14:paraId="3F313C9F">
            <w:pPr>
              <w:pStyle w:val="104"/>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rPr>
            </w:pPr>
            <w:r>
              <w:rPr>
                <w:rFonts w:hint="eastAsia" w:ascii="Times New Roman" w:hAnsi="Times New Roman" w:cs="Times New Roman"/>
                <w:color w:val="auto"/>
                <w:kern w:val="2"/>
                <w:sz w:val="24"/>
                <w:szCs w:val="24"/>
                <w:lang w:val="en-US" w:eastAsia="zh-CN" w:bidi="ar-SA"/>
              </w:rPr>
              <w:t>在建</w:t>
            </w:r>
            <w:r>
              <w:rPr>
                <w:rFonts w:hint="default" w:ascii="Times New Roman" w:hAnsi="Times New Roman" w:eastAsia="宋体" w:cs="Times New Roman"/>
                <w:color w:val="auto"/>
                <w:kern w:val="2"/>
                <w:sz w:val="24"/>
                <w:szCs w:val="24"/>
                <w:lang w:val="en-US" w:eastAsia="zh-CN" w:bidi="ar-SA"/>
              </w:rPr>
              <w:t>项目原辅料及能源情况详见下表。</w:t>
            </w:r>
          </w:p>
          <w:p w14:paraId="0684D0C4">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32"/>
                <w:lang w:eastAsia="zh-CN"/>
              </w:rPr>
            </w:pPr>
            <w:r>
              <w:rPr>
                <w:rFonts w:hint="default" w:ascii="Times New Roman" w:hAnsi="Times New Roman" w:cs="Times New Roman"/>
                <w:color w:val="auto"/>
                <w:sz w:val="24"/>
                <w:szCs w:val="32"/>
              </w:rPr>
              <w:t>表2-</w:t>
            </w:r>
            <w:r>
              <w:rPr>
                <w:rFonts w:hint="eastAsia" w:cs="Times New Roman"/>
                <w:color w:val="auto"/>
                <w:sz w:val="24"/>
                <w:szCs w:val="32"/>
                <w:lang w:val="en-US" w:eastAsia="zh-CN"/>
              </w:rPr>
              <w:t>12</w:t>
            </w:r>
            <w:r>
              <w:rPr>
                <w:rFonts w:hint="default" w:ascii="Times New Roman" w:hAnsi="Times New Roman" w:cs="Times New Roman"/>
                <w:color w:val="auto"/>
                <w:sz w:val="24"/>
                <w:szCs w:val="32"/>
              </w:rPr>
              <w:t xml:space="preserve"> 主要原辅材料一览表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053"/>
              <w:gridCol w:w="814"/>
              <w:gridCol w:w="1425"/>
              <w:gridCol w:w="974"/>
              <w:gridCol w:w="912"/>
              <w:gridCol w:w="850"/>
              <w:gridCol w:w="1214"/>
            </w:tblGrid>
            <w:tr w14:paraId="5C6D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80" w:type="pct"/>
                  <w:vAlign w:val="center"/>
                </w:tcPr>
                <w:p w14:paraId="3EE9BF6B">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序号</w:t>
                  </w:r>
                </w:p>
              </w:tc>
              <w:tc>
                <w:tcPr>
                  <w:tcW w:w="671" w:type="pct"/>
                  <w:vAlign w:val="center"/>
                </w:tcPr>
                <w:p w14:paraId="403D60F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名称</w:t>
                  </w:r>
                </w:p>
              </w:tc>
              <w:tc>
                <w:tcPr>
                  <w:tcW w:w="519" w:type="pct"/>
                  <w:vAlign w:val="center"/>
                </w:tcPr>
                <w:p w14:paraId="221A0817">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形态</w:t>
                  </w:r>
                </w:p>
              </w:tc>
              <w:tc>
                <w:tcPr>
                  <w:tcW w:w="908" w:type="pct"/>
                  <w:vAlign w:val="center"/>
                </w:tcPr>
                <w:p w14:paraId="7681718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rPr>
                    <w:t>消耗量</w:t>
                  </w:r>
                </w:p>
              </w:tc>
              <w:tc>
                <w:tcPr>
                  <w:tcW w:w="621" w:type="pct"/>
                  <w:vAlign w:val="center"/>
                </w:tcPr>
                <w:p w14:paraId="05D530CB">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lang w:val="en-US" w:eastAsia="zh-CN"/>
                    </w:rPr>
                    <w:t>最大储存量</w:t>
                  </w:r>
                </w:p>
              </w:tc>
              <w:tc>
                <w:tcPr>
                  <w:tcW w:w="581" w:type="pct"/>
                  <w:vAlign w:val="center"/>
                </w:tcPr>
                <w:p w14:paraId="177423DD">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val="en-US" w:eastAsia="zh-CN"/>
                    </w:rPr>
                    <w:t>来源</w:t>
                  </w:r>
                </w:p>
              </w:tc>
              <w:tc>
                <w:tcPr>
                  <w:tcW w:w="542" w:type="pct"/>
                  <w:vAlign w:val="center"/>
                </w:tcPr>
                <w:p w14:paraId="65056942">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运输</w:t>
                  </w:r>
                  <w:r>
                    <w:rPr>
                      <w:rFonts w:hint="default" w:ascii="Times New Roman" w:hAnsi="Times New Roman" w:cs="Times New Roman" w:eastAsiaTheme="minorEastAsia"/>
                      <w:b/>
                      <w:bCs w:val="0"/>
                      <w:color w:val="auto"/>
                      <w:sz w:val="21"/>
                      <w:szCs w:val="21"/>
                      <w:lang w:val="en-US" w:eastAsia="zh-CN"/>
                    </w:rPr>
                    <w:t>方式</w:t>
                  </w:r>
                </w:p>
              </w:tc>
              <w:tc>
                <w:tcPr>
                  <w:tcW w:w="774" w:type="pct"/>
                  <w:vAlign w:val="center"/>
                </w:tcPr>
                <w:p w14:paraId="1E09C505">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val="0"/>
                      <w:color w:val="auto"/>
                      <w:sz w:val="21"/>
                      <w:szCs w:val="21"/>
                      <w:lang w:val="en-US" w:eastAsia="zh-CN"/>
                    </w:rPr>
                  </w:pPr>
                  <w:r>
                    <w:rPr>
                      <w:rFonts w:hint="default" w:ascii="Times New Roman" w:hAnsi="Times New Roman" w:cs="Times New Roman" w:eastAsiaTheme="minorEastAsia"/>
                      <w:b/>
                      <w:bCs w:val="0"/>
                      <w:color w:val="auto"/>
                      <w:sz w:val="21"/>
                      <w:szCs w:val="21"/>
                      <w:lang w:val="en-US" w:eastAsia="zh-CN"/>
                    </w:rPr>
                    <w:t>备注</w:t>
                  </w:r>
                </w:p>
              </w:tc>
            </w:tr>
            <w:tr w14:paraId="47D6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80" w:type="pct"/>
                  <w:shd w:val="clear" w:color="auto" w:fill="auto"/>
                  <w:vAlign w:val="center"/>
                </w:tcPr>
                <w:p w14:paraId="37EDD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1</w:t>
                  </w:r>
                </w:p>
              </w:tc>
              <w:tc>
                <w:tcPr>
                  <w:tcW w:w="671" w:type="pct"/>
                  <w:shd w:val="clear" w:color="auto" w:fill="auto"/>
                  <w:vAlign w:val="center"/>
                </w:tcPr>
                <w:p w14:paraId="518C3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化念铁矿</w:t>
                  </w:r>
                  <w:r>
                    <w:rPr>
                      <w:rFonts w:hint="eastAsia" w:cs="Times New Roman" w:eastAsiaTheme="minorEastAsia"/>
                      <w:color w:val="auto"/>
                      <w:sz w:val="21"/>
                      <w:szCs w:val="21"/>
                      <w:vertAlign w:val="baseline"/>
                      <w:lang w:val="en-US" w:eastAsia="zh-CN"/>
                    </w:rPr>
                    <w:t>原矿</w:t>
                  </w:r>
                </w:p>
              </w:tc>
              <w:tc>
                <w:tcPr>
                  <w:tcW w:w="519" w:type="pct"/>
                  <w:vAlign w:val="center"/>
                </w:tcPr>
                <w:p w14:paraId="496EA063">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val="en-US" w:eastAsia="zh-CN"/>
                    </w:rPr>
                    <w:t>固态</w:t>
                  </w:r>
                </w:p>
              </w:tc>
              <w:tc>
                <w:tcPr>
                  <w:tcW w:w="908" w:type="pct"/>
                  <w:shd w:val="clear" w:color="auto" w:fill="auto"/>
                  <w:vAlign w:val="center"/>
                </w:tcPr>
                <w:p w14:paraId="364AB5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120069.747</w:t>
                  </w:r>
                  <w:r>
                    <w:rPr>
                      <w:rFonts w:hint="default" w:ascii="Times New Roman" w:hAnsi="Times New Roman" w:cs="Times New Roman" w:eastAsiaTheme="minorEastAsia"/>
                      <w:color w:val="auto"/>
                      <w:sz w:val="21"/>
                      <w:szCs w:val="21"/>
                      <w:vertAlign w:val="baseline"/>
                      <w:lang w:val="en-US" w:eastAsia="zh-CN"/>
                    </w:rPr>
                    <w:t>t/a</w:t>
                  </w:r>
                </w:p>
              </w:tc>
              <w:tc>
                <w:tcPr>
                  <w:tcW w:w="621" w:type="pct"/>
                  <w:vAlign w:val="center"/>
                </w:tcPr>
                <w:p w14:paraId="74668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5000</w:t>
                  </w:r>
                  <w:r>
                    <w:rPr>
                      <w:rFonts w:hint="default" w:ascii="Times New Roman" w:hAnsi="Times New Roman" w:cs="Times New Roman" w:eastAsiaTheme="minorEastAsia"/>
                      <w:color w:val="auto"/>
                      <w:sz w:val="21"/>
                      <w:szCs w:val="21"/>
                      <w:vertAlign w:val="baseline"/>
                      <w:lang w:val="en-US" w:eastAsia="zh-CN"/>
                    </w:rPr>
                    <w:t>t/a</w:t>
                  </w:r>
                </w:p>
              </w:tc>
              <w:tc>
                <w:tcPr>
                  <w:tcW w:w="581" w:type="pct"/>
                  <w:vAlign w:val="center"/>
                </w:tcPr>
                <w:p w14:paraId="7B741F43">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外购</w:t>
                  </w:r>
                </w:p>
              </w:tc>
              <w:tc>
                <w:tcPr>
                  <w:tcW w:w="542" w:type="pct"/>
                  <w:vAlign w:val="center"/>
                </w:tcPr>
                <w:p w14:paraId="646A6AC8">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汽车</w:t>
                  </w:r>
                </w:p>
              </w:tc>
              <w:tc>
                <w:tcPr>
                  <w:tcW w:w="774" w:type="pct"/>
                  <w:vAlign w:val="center"/>
                </w:tcPr>
                <w:p w14:paraId="4AE730B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暂存在原料暂存区</w:t>
                  </w:r>
                </w:p>
              </w:tc>
            </w:tr>
            <w:tr w14:paraId="3310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Align w:val="center"/>
                </w:tcPr>
                <w:p w14:paraId="0BE377BA">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2</w:t>
                  </w:r>
                </w:p>
              </w:tc>
              <w:tc>
                <w:tcPr>
                  <w:tcW w:w="671" w:type="pct"/>
                  <w:shd w:val="clear" w:color="auto" w:fill="auto"/>
                  <w:vAlign w:val="center"/>
                </w:tcPr>
                <w:p w14:paraId="781955CB">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kern w:val="2"/>
                      <w:sz w:val="21"/>
                      <w:szCs w:val="21"/>
                      <w:vertAlign w:val="baseline"/>
                      <w:lang w:val="en-US" w:eastAsia="zh-CN" w:bidi="ar-SA"/>
                    </w:rPr>
                    <w:t>水</w:t>
                  </w:r>
                </w:p>
              </w:tc>
              <w:tc>
                <w:tcPr>
                  <w:tcW w:w="519" w:type="pct"/>
                  <w:shd w:val="clear" w:color="auto" w:fill="auto"/>
                  <w:vAlign w:val="center"/>
                </w:tcPr>
                <w:p w14:paraId="0C6E009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908" w:type="pct"/>
                  <w:shd w:val="clear" w:color="auto" w:fill="auto"/>
                  <w:vAlign w:val="center"/>
                </w:tcPr>
                <w:p w14:paraId="1013A57F">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1500</w:t>
                  </w:r>
                  <w:r>
                    <w:rPr>
                      <w:rFonts w:hint="default" w:ascii="Times New Roman" w:hAnsi="Times New Roman" w:cs="Times New Roman" w:eastAsiaTheme="minorEastAsia"/>
                      <w:bCs/>
                      <w:color w:val="auto"/>
                      <w:sz w:val="21"/>
                      <w:szCs w:val="21"/>
                      <w:lang w:val="en-US" w:eastAsia="zh-CN"/>
                    </w:rPr>
                    <w:t>m</w:t>
                  </w:r>
                  <w:r>
                    <w:rPr>
                      <w:rFonts w:hint="eastAsia" w:ascii="Times New Roman" w:hAnsi="Times New Roman" w:cs="Times New Roman" w:eastAsiaTheme="minorEastAsia"/>
                      <w:bCs/>
                      <w:color w:val="auto"/>
                      <w:sz w:val="21"/>
                      <w:szCs w:val="21"/>
                      <w:vertAlign w:val="superscript"/>
                      <w:lang w:val="en-US" w:eastAsia="zh-CN"/>
                    </w:rPr>
                    <w:t>3</w:t>
                  </w:r>
                  <w:r>
                    <w:rPr>
                      <w:rFonts w:hint="default" w:ascii="Times New Roman" w:hAnsi="Times New Roman" w:cs="Times New Roman" w:eastAsiaTheme="minorEastAsia"/>
                      <w:bCs/>
                      <w:color w:val="auto"/>
                      <w:sz w:val="21"/>
                      <w:szCs w:val="21"/>
                      <w:lang w:val="en-US" w:eastAsia="zh-CN"/>
                    </w:rPr>
                    <w:t>/a</w:t>
                  </w:r>
                </w:p>
              </w:tc>
              <w:tc>
                <w:tcPr>
                  <w:tcW w:w="621" w:type="pct"/>
                  <w:vAlign w:val="center"/>
                </w:tcPr>
                <w:p w14:paraId="39572BA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81" w:type="pct"/>
                  <w:vAlign w:val="center"/>
                </w:tcPr>
                <w:p w14:paraId="6C75D99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42" w:type="pct"/>
                  <w:vAlign w:val="center"/>
                </w:tcPr>
                <w:p w14:paraId="497AE9F7">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774" w:type="pct"/>
                  <w:vMerge w:val="restart"/>
                  <w:vAlign w:val="center"/>
                </w:tcPr>
                <w:p w14:paraId="239E902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周边市政供应</w:t>
                  </w:r>
                </w:p>
              </w:tc>
            </w:tr>
            <w:tr w14:paraId="0392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Align w:val="center"/>
                </w:tcPr>
                <w:p w14:paraId="68E81A79">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3</w:t>
                  </w:r>
                </w:p>
              </w:tc>
              <w:tc>
                <w:tcPr>
                  <w:tcW w:w="671" w:type="pct"/>
                  <w:shd w:val="clear" w:color="auto" w:fill="auto"/>
                  <w:vAlign w:val="center"/>
                </w:tcPr>
                <w:p w14:paraId="55572B9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电</w:t>
                  </w:r>
                </w:p>
              </w:tc>
              <w:tc>
                <w:tcPr>
                  <w:tcW w:w="519" w:type="pct"/>
                  <w:shd w:val="clear" w:color="auto" w:fill="auto"/>
                  <w:vAlign w:val="center"/>
                </w:tcPr>
                <w:p w14:paraId="3A5AAACE">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w:t>
                  </w:r>
                </w:p>
              </w:tc>
              <w:tc>
                <w:tcPr>
                  <w:tcW w:w="908" w:type="pct"/>
                  <w:shd w:val="clear" w:color="auto" w:fill="auto"/>
                  <w:vAlign w:val="center"/>
                </w:tcPr>
                <w:p w14:paraId="45F7BF0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72</w:t>
                  </w:r>
                  <w:r>
                    <w:rPr>
                      <w:rFonts w:hint="default" w:ascii="Times New Roman" w:hAnsi="Times New Roman" w:cs="Times New Roman" w:eastAsiaTheme="minorEastAsia"/>
                      <w:color w:val="auto"/>
                      <w:sz w:val="21"/>
                      <w:szCs w:val="21"/>
                      <w:highlight w:val="none"/>
                    </w:rPr>
                    <w:t>万</w:t>
                  </w:r>
                  <w:r>
                    <w:rPr>
                      <w:rFonts w:hint="default" w:ascii="Times New Roman" w:hAnsi="Times New Roman" w:cs="Times New Roman" w:eastAsiaTheme="minorEastAsia"/>
                      <w:color w:val="auto"/>
                      <w:sz w:val="21"/>
                      <w:szCs w:val="21"/>
                      <w:highlight w:val="none"/>
                      <w:lang w:val="en-US" w:eastAsia="zh-CN"/>
                    </w:rPr>
                    <w:t>kW</w:t>
                  </w:r>
                  <w:r>
                    <w:rPr>
                      <w:rFonts w:hint="default" w:ascii="Times New Roman" w:hAnsi="Times New Roman" w:cs="Times New Roman" w:eastAsiaTheme="minorEastAsia"/>
                      <w:color w:val="auto"/>
                      <w:sz w:val="21"/>
                      <w:szCs w:val="21"/>
                      <w:highlight w:val="none"/>
                    </w:rPr>
                    <w:t>h/a</w:t>
                  </w:r>
                </w:p>
              </w:tc>
              <w:tc>
                <w:tcPr>
                  <w:tcW w:w="621" w:type="pct"/>
                  <w:vAlign w:val="center"/>
                </w:tcPr>
                <w:p w14:paraId="0FA72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81" w:type="pct"/>
                  <w:vAlign w:val="center"/>
                </w:tcPr>
                <w:p w14:paraId="65F67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542" w:type="pct"/>
                  <w:vAlign w:val="center"/>
                </w:tcPr>
                <w:p w14:paraId="7D2072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w:t>
                  </w:r>
                </w:p>
              </w:tc>
              <w:tc>
                <w:tcPr>
                  <w:tcW w:w="774" w:type="pct"/>
                  <w:vMerge w:val="continue"/>
                  <w:vAlign w:val="center"/>
                </w:tcPr>
                <w:p w14:paraId="2D2ABF9B">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p>
              </w:tc>
            </w:tr>
            <w:tr w14:paraId="5808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Align w:val="center"/>
                </w:tcPr>
                <w:p w14:paraId="47AC0CE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4</w:t>
                  </w:r>
                </w:p>
              </w:tc>
              <w:tc>
                <w:tcPr>
                  <w:tcW w:w="671" w:type="pct"/>
                  <w:shd w:val="clear" w:color="auto" w:fill="auto"/>
                  <w:vAlign w:val="center"/>
                </w:tcPr>
                <w:p w14:paraId="62FEA106">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柴油</w:t>
                  </w:r>
                </w:p>
              </w:tc>
              <w:tc>
                <w:tcPr>
                  <w:tcW w:w="519" w:type="pct"/>
                  <w:shd w:val="clear" w:color="auto" w:fill="auto"/>
                  <w:vAlign w:val="center"/>
                </w:tcPr>
                <w:p w14:paraId="300AFC0B">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液态</w:t>
                  </w:r>
                </w:p>
              </w:tc>
              <w:tc>
                <w:tcPr>
                  <w:tcW w:w="908" w:type="pct"/>
                  <w:shd w:val="clear" w:color="auto" w:fill="auto"/>
                  <w:vAlign w:val="center"/>
                </w:tcPr>
                <w:p w14:paraId="424AEBE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35t/a</w:t>
                  </w:r>
                </w:p>
              </w:tc>
              <w:tc>
                <w:tcPr>
                  <w:tcW w:w="621" w:type="pct"/>
                  <w:vAlign w:val="center"/>
                </w:tcPr>
                <w:p w14:paraId="49A33C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581" w:type="pct"/>
                  <w:vAlign w:val="center"/>
                </w:tcPr>
                <w:p w14:paraId="79CA47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542" w:type="pct"/>
                  <w:vAlign w:val="center"/>
                </w:tcPr>
                <w:p w14:paraId="67665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w:t>
                  </w:r>
                </w:p>
              </w:tc>
              <w:tc>
                <w:tcPr>
                  <w:tcW w:w="774" w:type="pct"/>
                  <w:vAlign w:val="center"/>
                </w:tcPr>
                <w:p w14:paraId="6B7A3663">
                  <w:pPr>
                    <w:pStyle w:val="5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附近加油站补给</w:t>
                  </w:r>
                </w:p>
              </w:tc>
            </w:tr>
          </w:tbl>
          <w:p w14:paraId="0846B86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6</w:t>
            </w:r>
            <w:r>
              <w:rPr>
                <w:rFonts w:hint="default" w:ascii="Times New Roman" w:hAnsi="Times New Roman" w:eastAsia="宋体" w:cs="Times New Roman"/>
                <w:b/>
                <w:bCs/>
                <w:color w:val="auto"/>
                <w:lang w:val="en-US" w:eastAsia="zh-CN"/>
              </w:rPr>
              <w:t>、水平衡</w:t>
            </w:r>
          </w:p>
          <w:p w14:paraId="19456689">
            <w:pPr>
              <w:pStyle w:val="36"/>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eastAsia" w:cs="Times New Roman" w:eastAsiaTheme="minorEastAsia"/>
                <w:color w:val="auto"/>
                <w:kern w:val="2"/>
                <w:sz w:val="24"/>
                <w:szCs w:val="24"/>
                <w:lang w:val="en-US" w:eastAsia="zh-CN" w:bidi="ar-SA"/>
              </w:rPr>
              <w:t>在建项目</w:t>
            </w:r>
            <w:r>
              <w:rPr>
                <w:rFonts w:hint="default" w:ascii="Times New Roman" w:hAnsi="Times New Roman" w:cs="Times New Roman" w:eastAsiaTheme="minorEastAsia"/>
                <w:color w:val="auto"/>
                <w:kern w:val="2"/>
                <w:sz w:val="24"/>
                <w:szCs w:val="24"/>
                <w:lang w:val="en-US" w:eastAsia="zh-CN" w:bidi="ar-SA"/>
              </w:rPr>
              <w:t>采用雨污分流制，</w:t>
            </w:r>
            <w:r>
              <w:rPr>
                <w:rFonts w:hint="default" w:ascii="Times New Roman" w:hAnsi="Times New Roman" w:cs="Times New Roman" w:eastAsiaTheme="minorEastAsia"/>
                <w:color w:val="auto"/>
                <w:sz w:val="24"/>
                <w:szCs w:val="24"/>
                <w:lang w:val="en-US" w:eastAsia="zh-CN"/>
              </w:rPr>
              <w:t>雨水经雨水管网收集后，汇入初期雨水收集池，经沉淀后回用于厂区洒水降尘，不外排，</w:t>
            </w:r>
            <w:r>
              <w:rPr>
                <w:rFonts w:hint="default" w:ascii="Times New Roman" w:hAnsi="Times New Roman" w:cs="Times New Roman" w:eastAsiaTheme="minorEastAsia"/>
                <w:color w:val="auto"/>
                <w:kern w:val="2"/>
                <w:sz w:val="24"/>
                <w:szCs w:val="24"/>
                <w:lang w:val="en-US" w:eastAsia="zh-CN" w:bidi="ar-SA"/>
              </w:rPr>
              <w:t>生活污水</w:t>
            </w:r>
            <w:r>
              <w:rPr>
                <w:rFonts w:hint="default" w:ascii="Times New Roman" w:hAnsi="Times New Roman" w:cs="Times New Roman" w:eastAsiaTheme="minorEastAsia"/>
                <w:color w:val="auto"/>
                <w:sz w:val="24"/>
                <w:szCs w:val="24"/>
                <w:lang w:val="en-US" w:eastAsia="zh-CN"/>
              </w:rPr>
              <w:t>经2m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/d的一体化污水处理设施处理达标后，晴天回用于厂区绿化，不外排，雨天暂存于中水池，待晴天后回用于厂区绿化，不外排。</w:t>
            </w:r>
            <w:r>
              <w:rPr>
                <w:rFonts w:hint="eastAsia" w:cs="Times New Roman" w:eastAsiaTheme="minorEastAsia"/>
                <w:color w:val="auto"/>
                <w:kern w:val="2"/>
                <w:sz w:val="24"/>
                <w:szCs w:val="24"/>
                <w:lang w:val="en-US" w:eastAsia="zh-CN" w:bidi="ar-SA"/>
              </w:rPr>
              <w:t>在建项目</w:t>
            </w:r>
            <w:r>
              <w:rPr>
                <w:rFonts w:hint="default" w:ascii="Times New Roman" w:hAnsi="Times New Roman" w:cs="Times New Roman" w:eastAsiaTheme="minorEastAsia"/>
                <w:color w:val="auto"/>
                <w:kern w:val="2"/>
                <w:sz w:val="24"/>
                <w:szCs w:val="24"/>
                <w:lang w:val="en-US" w:eastAsia="zh-CN" w:bidi="ar-SA"/>
              </w:rPr>
              <w:t>生产用水主要为洒水降尘用水，该部分用水全部蒸发，不外排。</w:t>
            </w:r>
          </w:p>
          <w:p w14:paraId="62C2BB5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cs="Times New Roman" w:eastAsiaTheme="minorEastAsia"/>
                <w:color w:val="auto"/>
                <w:sz w:val="24"/>
                <w:lang w:val="en-US" w:eastAsia="zh-CN"/>
              </w:rPr>
            </w:pPr>
            <w:r>
              <w:rPr>
                <w:rFonts w:hint="eastAsia" w:cs="Times New Roman" w:eastAsiaTheme="minorEastAsia"/>
                <w:b/>
                <w:bCs/>
                <w:color w:val="auto"/>
                <w:lang w:val="en-US" w:eastAsia="zh-CN"/>
              </w:rPr>
              <w:t>生活用水：</w:t>
            </w:r>
            <w:r>
              <w:rPr>
                <w:rFonts w:hint="default" w:ascii="Times New Roman" w:hAnsi="Times New Roman" w:cs="Times New Roman" w:eastAsiaTheme="minorEastAsia"/>
                <w:color w:val="auto"/>
                <w:sz w:val="24"/>
                <w:szCs w:val="24"/>
                <w:lang w:val="en-US" w:eastAsia="zh-CN"/>
              </w:rPr>
              <w:t>根据建设单位提供的资料和现场勘察，</w:t>
            </w:r>
            <w:r>
              <w:rPr>
                <w:rFonts w:hint="default" w:ascii="Times New Roman" w:hAnsi="Times New Roman" w:cs="Times New Roman" w:eastAsiaTheme="minorEastAsia"/>
                <w:color w:val="auto"/>
                <w:kern w:val="2"/>
                <w:sz w:val="24"/>
                <w:szCs w:val="24"/>
                <w:lang w:val="en-US" w:eastAsia="zh-CN" w:bidi="ar-SA"/>
              </w:rPr>
              <w:t>玉溪鑫东运输有限公司现有职工20人，</w:t>
            </w:r>
            <w:r>
              <w:rPr>
                <w:rFonts w:hint="eastAsia" w:cs="Times New Roman" w:eastAsiaTheme="minorEastAsia"/>
                <w:color w:val="auto"/>
                <w:kern w:val="2"/>
                <w:sz w:val="24"/>
                <w:szCs w:val="24"/>
                <w:lang w:val="en-US" w:eastAsia="zh-CN" w:bidi="ar-SA"/>
              </w:rPr>
              <w:t>在建配矿项目劳动定员为10人，所有员工</w:t>
            </w:r>
            <w:r>
              <w:rPr>
                <w:rFonts w:hint="default" w:ascii="Times New Roman" w:hAnsi="Times New Roman" w:cs="Times New Roman" w:eastAsiaTheme="minorEastAsia"/>
                <w:color w:val="auto"/>
                <w:lang w:val="en-US" w:eastAsia="zh-CN"/>
              </w:rPr>
              <w:t>均不在厂区内食宿，根据</w:t>
            </w:r>
            <w:r>
              <w:rPr>
                <w:rFonts w:hint="eastAsia" w:cs="Times New Roman" w:eastAsiaTheme="minorEastAsia"/>
                <w:color w:val="auto"/>
                <w:lang w:eastAsia="zh-CN"/>
              </w:rPr>
              <w:t>《云南省地方标准 用水定额》</w:t>
            </w:r>
            <w:r>
              <w:rPr>
                <w:rFonts w:hint="default" w:ascii="Times New Roman" w:hAnsi="Times New Roman" w:cs="Times New Roman" w:eastAsiaTheme="minorEastAsia"/>
                <w:color w:val="auto"/>
              </w:rPr>
              <w:t>（DB53/T</w:t>
            </w:r>
            <w:r>
              <w:rPr>
                <w:rFonts w:hint="eastAsia" w:cs="Times New Roman" w:eastAsiaTheme="minorEastAsia"/>
                <w:color w:val="auto"/>
                <w:lang w:val="en-US" w:eastAsia="zh-CN"/>
              </w:rPr>
              <w:t xml:space="preserve"> </w:t>
            </w:r>
            <w:r>
              <w:rPr>
                <w:rFonts w:hint="default" w:ascii="Times New Roman" w:hAnsi="Times New Roman" w:cs="Times New Roman" w:eastAsiaTheme="minorEastAsia"/>
                <w:color w:val="auto"/>
              </w:rPr>
              <w:t>168-</w:t>
            </w:r>
            <w:r>
              <w:rPr>
                <w:rFonts w:hint="eastAsia" w:cs="Times New Roman" w:eastAsiaTheme="minorEastAsia"/>
                <w:color w:val="auto"/>
                <w:lang w:eastAsia="zh-CN"/>
              </w:rPr>
              <w:t>2026</w:t>
            </w:r>
            <w:r>
              <w:rPr>
                <w:rFonts w:hint="default" w:ascii="Times New Roman" w:hAnsi="Times New Roman" w:cs="Times New Roman" w:eastAsiaTheme="minorEastAsia"/>
                <w:color w:val="auto"/>
              </w:rPr>
              <w:t>）</w:t>
            </w:r>
            <w:r>
              <w:rPr>
                <w:rFonts w:hint="eastAsia" w:cs="Times New Roman" w:eastAsiaTheme="minorEastAsia"/>
                <w:color w:val="auto"/>
                <w:lang w:eastAsia="zh-CN"/>
              </w:rPr>
              <w:t>，</w:t>
            </w:r>
            <w:r>
              <w:rPr>
                <w:rFonts w:hint="default" w:ascii="Times New Roman" w:hAnsi="Times New Roman" w:cs="Times New Roman" w:eastAsiaTheme="minorEastAsia"/>
                <w:color w:val="auto"/>
                <w:kern w:val="2"/>
                <w:sz w:val="24"/>
                <w:szCs w:val="24"/>
                <w:lang w:val="en-US" w:eastAsia="zh-CN" w:bidi="ar-SA"/>
              </w:rPr>
              <w:t>玉溪鑫东运输有限公司</w:t>
            </w:r>
            <w:r>
              <w:rPr>
                <w:rFonts w:hint="eastAsia" w:cs="Times New Roman" w:eastAsiaTheme="minorEastAsia"/>
                <w:color w:val="auto"/>
                <w:kern w:val="2"/>
                <w:sz w:val="24"/>
                <w:szCs w:val="24"/>
                <w:lang w:val="en-US" w:eastAsia="zh-CN" w:bidi="ar-SA"/>
              </w:rPr>
              <w:t>和在建配矿项目的</w:t>
            </w:r>
            <w:r>
              <w:rPr>
                <w:rFonts w:hint="default" w:ascii="Times New Roman" w:hAnsi="Times New Roman" w:cs="Times New Roman" w:eastAsiaTheme="minorEastAsia"/>
                <w:color w:val="auto"/>
                <w:sz w:val="24"/>
                <w:szCs w:val="24"/>
                <w:lang w:val="en-US" w:eastAsia="zh-CN"/>
              </w:rPr>
              <w:t>生活用水量按</w:t>
            </w:r>
            <w:r>
              <w:rPr>
                <w:rFonts w:hint="eastAsia" w:cs="Times New Roman" w:eastAsiaTheme="minorEastAsia"/>
                <w:color w:val="auto"/>
                <w:sz w:val="24"/>
                <w:szCs w:val="24"/>
                <w:lang w:val="en-US" w:eastAsia="zh-CN"/>
              </w:rPr>
              <w:t>11m</w:t>
            </w:r>
            <w:r>
              <w:rPr>
                <w:rFonts w:hint="eastAsia"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/(人•</w:t>
            </w:r>
            <w:r>
              <w:rPr>
                <w:rFonts w:hint="eastAsia"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lang w:val="en-US" w:eastAsia="zh-CN"/>
              </w:rPr>
              <w:t>)计，则用水量为3</w:t>
            </w:r>
            <w:r>
              <w:rPr>
                <w:rFonts w:hint="eastAsia"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1.</w:t>
            </w:r>
            <w:r>
              <w:rPr>
                <w:rFonts w:hint="eastAsia"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/d，污水量按80%计，则生活污水量为0.</w:t>
            </w:r>
            <w:r>
              <w:rPr>
                <w:rFonts w:hint="eastAsia" w:cs="Times New Roman" w:eastAsiaTheme="minorEastAsia"/>
                <w:color w:val="auto"/>
                <w:sz w:val="24"/>
                <w:szCs w:val="24"/>
                <w:lang w:val="en-US" w:eastAsia="zh-CN"/>
              </w:rPr>
              <w:t>88</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/d，2</w:t>
            </w:r>
            <w:r>
              <w:rPr>
                <w:rFonts w:hint="eastAsia" w:cs="Times New Roman" w:eastAsiaTheme="minorEastAsia"/>
                <w:color w:val="auto"/>
                <w:sz w:val="24"/>
                <w:szCs w:val="24"/>
                <w:lang w:val="en-US" w:eastAsia="zh-CN"/>
              </w:rPr>
              <w:t>64</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kern w:val="2"/>
                <w:sz w:val="24"/>
                <w:szCs w:val="24"/>
                <w:lang w:val="en-US" w:eastAsia="zh-CN" w:bidi="ar-SA"/>
              </w:rPr>
              <w:t>生活污水</w:t>
            </w:r>
            <w:r>
              <w:rPr>
                <w:rFonts w:hint="default" w:ascii="Times New Roman" w:hAnsi="Times New Roman" w:cs="Times New Roman" w:eastAsiaTheme="minorEastAsia"/>
                <w:color w:val="auto"/>
                <w:sz w:val="24"/>
                <w:szCs w:val="24"/>
                <w:lang w:val="en-US" w:eastAsia="zh-CN"/>
              </w:rPr>
              <w:t>经化粪池预处理后，通过泵输送至2m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/d的一体化污水处理设施，经处理达标后</w:t>
            </w:r>
            <w:r>
              <w:rPr>
                <w:rFonts w:hint="default" w:ascii="Times New Roman" w:hAnsi="Times New Roman" w:cs="Times New Roman" w:eastAsiaTheme="minorEastAsia"/>
                <w:color w:val="auto"/>
                <w:sz w:val="24"/>
                <w:lang w:val="en-US" w:eastAsia="zh-CN"/>
              </w:rPr>
              <w:t>，晴天回用于厂区绿化，不外排，雨天暂存于中水池，待晴天后回用于厂区绿化，不外排</w:t>
            </w:r>
            <w:r>
              <w:rPr>
                <w:rFonts w:hint="eastAsia" w:cs="Times New Roman" w:eastAsiaTheme="minorEastAsia"/>
                <w:color w:val="auto"/>
                <w:sz w:val="24"/>
                <w:lang w:val="en-US" w:eastAsia="zh-CN"/>
              </w:rPr>
              <w:t>。</w:t>
            </w:r>
          </w:p>
          <w:p w14:paraId="4DA96CC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eastAsiaTheme="minorEastAsia"/>
                <w:b w:val="0"/>
                <w:bCs/>
                <w:color w:val="auto"/>
                <w:sz w:val="24"/>
                <w:szCs w:val="24"/>
                <w:lang w:val="en-US" w:eastAsia="zh-CN"/>
              </w:rPr>
            </w:pPr>
            <w:r>
              <w:rPr>
                <w:rFonts w:hint="eastAsia" w:cs="Times New Roman" w:eastAsiaTheme="minorEastAsia"/>
                <w:b/>
                <w:bCs/>
                <w:color w:val="auto"/>
                <w:sz w:val="24"/>
                <w:lang w:val="en-US" w:eastAsia="zh-CN"/>
              </w:rPr>
              <w:t>生产用水：</w:t>
            </w:r>
            <w:r>
              <w:rPr>
                <w:rFonts w:hint="default" w:ascii="Times New Roman" w:hAnsi="Times New Roman" w:cs="Times New Roman" w:eastAsiaTheme="minorEastAsia"/>
                <w:color w:val="auto"/>
                <w:sz w:val="24"/>
                <w:lang w:val="en-US" w:eastAsia="zh-CN"/>
              </w:rPr>
              <w:t>本项目生产用水主要为洒水降尘用水，根据建设单位提供的资料，本项目在厂区内布设</w:t>
            </w:r>
            <w:r>
              <w:rPr>
                <w:rFonts w:hint="default" w:ascii="Times New Roman" w:hAnsi="Times New Roman" w:cs="Times New Roman" w:eastAsiaTheme="minorEastAsia"/>
                <w:color w:val="auto"/>
                <w:spacing w:val="-1"/>
              </w:rPr>
              <w:t>1条</w:t>
            </w:r>
            <w:r>
              <w:rPr>
                <w:rFonts w:hint="default" w:ascii="Times New Roman" w:hAnsi="Times New Roman" w:cs="Times New Roman" w:eastAsiaTheme="minorEastAsia"/>
                <w:color w:val="auto"/>
                <w:spacing w:val="-1"/>
                <w:lang w:val="en-US" w:eastAsia="zh-CN"/>
              </w:rPr>
              <w:t>18</w:t>
            </w:r>
            <w:r>
              <w:rPr>
                <w:rFonts w:hint="default" w:ascii="Times New Roman" w:hAnsi="Times New Roman" w:cs="Times New Roman" w:eastAsiaTheme="minorEastAsia"/>
                <w:color w:val="auto"/>
                <w:spacing w:val="-1"/>
              </w:rPr>
              <w:t>0米的喷雾管道，每</w:t>
            </w:r>
            <w:r>
              <w:rPr>
                <w:rFonts w:hint="default" w:ascii="Times New Roman" w:hAnsi="Times New Roman" w:cs="Times New Roman" w:eastAsiaTheme="minorEastAsia"/>
                <w:color w:val="auto"/>
                <w:spacing w:val="-1"/>
                <w:lang w:val="en-US" w:eastAsia="zh-CN"/>
              </w:rPr>
              <w:t>9</w:t>
            </w:r>
            <w:r>
              <w:rPr>
                <w:rFonts w:hint="default" w:ascii="Times New Roman" w:hAnsi="Times New Roman" w:cs="Times New Roman" w:eastAsiaTheme="minorEastAsia"/>
                <w:color w:val="auto"/>
                <w:spacing w:val="-1"/>
              </w:rPr>
              <w:t>米设置一个喷头，共设置</w:t>
            </w:r>
            <w:r>
              <w:rPr>
                <w:rFonts w:hint="default" w:ascii="Times New Roman" w:hAnsi="Times New Roman" w:cs="Times New Roman" w:eastAsiaTheme="minorEastAsia"/>
                <w:color w:val="auto"/>
                <w:spacing w:val="-1"/>
                <w:lang w:val="en-US" w:eastAsia="zh-CN"/>
              </w:rPr>
              <w:t>2</w:t>
            </w:r>
            <w:r>
              <w:rPr>
                <w:rFonts w:hint="default" w:ascii="Times New Roman" w:hAnsi="Times New Roman" w:cs="Times New Roman" w:eastAsiaTheme="minorEastAsia"/>
                <w:color w:val="auto"/>
                <w:spacing w:val="-1"/>
              </w:rPr>
              <w:t>0个喷头，每个喷头的流量约为</w:t>
            </w:r>
            <w:r>
              <w:rPr>
                <w:rFonts w:hint="default" w:ascii="Times New Roman" w:hAnsi="Times New Roman" w:cs="Times New Roman" w:eastAsiaTheme="minorEastAsia"/>
                <w:color w:val="auto"/>
                <w:spacing w:val="-1"/>
                <w:lang w:val="en-US" w:eastAsia="zh-CN"/>
              </w:rPr>
              <w:t>1</w:t>
            </w:r>
            <w:r>
              <w:rPr>
                <w:rFonts w:hint="default" w:ascii="Times New Roman" w:hAnsi="Times New Roman" w:cs="Times New Roman" w:eastAsiaTheme="minorEastAsia"/>
                <w:color w:val="auto"/>
                <w:spacing w:val="-1"/>
              </w:rPr>
              <w:t>0L/h</w:t>
            </w:r>
            <w:r>
              <w:rPr>
                <w:rFonts w:hint="default" w:ascii="Times New Roman" w:hAnsi="Times New Roman" w:cs="Times New Roman" w:eastAsiaTheme="minorEastAsia"/>
                <w:color w:val="auto"/>
                <w:spacing w:val="-1"/>
                <w:lang w:eastAsia="zh-CN"/>
              </w:rPr>
              <w:t>，</w:t>
            </w:r>
            <w:r>
              <w:rPr>
                <w:rFonts w:hint="default" w:ascii="Times New Roman" w:hAnsi="Times New Roman" w:cs="Times New Roman" w:eastAsiaTheme="minorEastAsia"/>
                <w:color w:val="auto"/>
                <w:spacing w:val="-1"/>
              </w:rPr>
              <w:t>项目每天喷雾时间约</w:t>
            </w:r>
            <w:r>
              <w:rPr>
                <w:rFonts w:hint="default" w:ascii="Times New Roman" w:hAnsi="Times New Roman" w:cs="Times New Roman" w:eastAsiaTheme="minorEastAsia"/>
                <w:color w:val="auto"/>
                <w:spacing w:val="-1"/>
                <w:lang w:val="en-US" w:eastAsia="zh-CN"/>
              </w:rPr>
              <w:t>16</w:t>
            </w:r>
            <w:r>
              <w:rPr>
                <w:rFonts w:hint="default" w:ascii="Times New Roman" w:hAnsi="Times New Roman" w:cs="Times New Roman" w:eastAsiaTheme="minorEastAsia"/>
                <w:color w:val="auto"/>
                <w:spacing w:val="-1"/>
              </w:rPr>
              <w:t>h，</w:t>
            </w:r>
            <w:r>
              <w:rPr>
                <w:rFonts w:hint="default" w:ascii="Times New Roman" w:hAnsi="Times New Roman" w:cs="Times New Roman" w:eastAsiaTheme="minorEastAsia"/>
                <w:color w:val="auto"/>
                <w:spacing w:val="-1"/>
                <w:lang w:val="en-US" w:eastAsia="zh-CN"/>
              </w:rPr>
              <w:t>则项目洒水降尘用水量为3.2</w:t>
            </w:r>
            <w:r>
              <w:rPr>
                <w:rFonts w:hint="default" w:ascii="Times New Roman" w:hAnsi="Times New Roman" w:cs="Times New Roman" w:eastAsiaTheme="minorEastAsia"/>
                <w:color w:val="auto"/>
                <w:sz w:val="24"/>
                <w:lang w:val="en-US" w:eastAsia="zh-CN"/>
              </w:rPr>
              <w:t>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/d，960</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lang w:val="en-US" w:eastAsia="zh-CN"/>
              </w:rPr>
              <w:t>该部分用水全部蒸发，不外排</w:t>
            </w:r>
            <w:r>
              <w:rPr>
                <w:rFonts w:hint="eastAsia" w:cs="Times New Roman" w:eastAsiaTheme="minorEastAsia"/>
                <w:color w:val="auto"/>
                <w:sz w:val="24"/>
                <w:lang w:val="en-US" w:eastAsia="zh-CN"/>
              </w:rPr>
              <w:t>，项目初期雨水产生量</w:t>
            </w:r>
            <w:r>
              <w:rPr>
                <w:rFonts w:hint="default" w:ascii="Times New Roman" w:hAnsi="Times New Roman" w:cs="Times New Roman" w:eastAsiaTheme="minorEastAsia"/>
                <w:b w:val="0"/>
                <w:bCs/>
                <w:caps w:val="0"/>
                <w:color w:val="auto"/>
                <w:sz w:val="24"/>
                <w:szCs w:val="24"/>
                <w:highlight w:val="none"/>
                <w:lang w:val="en-US" w:eastAsia="zh-CN"/>
              </w:rPr>
              <w:t>为2673.6m</w:t>
            </w:r>
            <w:r>
              <w:rPr>
                <w:rFonts w:hint="default" w:ascii="Times New Roman" w:hAnsi="Times New Roman" w:cs="Times New Roman" w:eastAsiaTheme="minorEastAsia"/>
                <w:b w:val="0"/>
                <w:bCs/>
                <w:caps w:val="0"/>
                <w:color w:val="auto"/>
                <w:sz w:val="24"/>
                <w:szCs w:val="24"/>
                <w:highlight w:val="none"/>
                <w:vertAlign w:val="superscript"/>
                <w:lang w:val="en-US" w:eastAsia="zh-CN"/>
              </w:rPr>
              <w:t>3</w:t>
            </w:r>
            <w:r>
              <w:rPr>
                <w:rFonts w:hint="default" w:ascii="Times New Roman" w:hAnsi="Times New Roman" w:cs="Times New Roman" w:eastAsiaTheme="minorEastAsia"/>
                <w:b w:val="0"/>
                <w:bCs/>
                <w:caps w:val="0"/>
                <w:color w:val="auto"/>
                <w:sz w:val="24"/>
                <w:szCs w:val="24"/>
                <w:highlight w:val="none"/>
                <w:lang w:val="en-US" w:eastAsia="zh-CN"/>
              </w:rPr>
              <w:t>/a，8.9m</w:t>
            </w:r>
            <w:r>
              <w:rPr>
                <w:rFonts w:hint="default" w:ascii="Times New Roman" w:hAnsi="Times New Roman" w:cs="Times New Roman" w:eastAsiaTheme="minorEastAsia"/>
                <w:b w:val="0"/>
                <w:bCs/>
                <w:caps w:val="0"/>
                <w:color w:val="auto"/>
                <w:sz w:val="24"/>
                <w:szCs w:val="24"/>
                <w:highlight w:val="none"/>
                <w:vertAlign w:val="superscript"/>
                <w:lang w:val="en-US" w:eastAsia="zh-CN"/>
              </w:rPr>
              <w:t>3</w:t>
            </w:r>
            <w:r>
              <w:rPr>
                <w:rFonts w:hint="default" w:ascii="Times New Roman" w:hAnsi="Times New Roman" w:cs="Times New Roman" w:eastAsiaTheme="minorEastAsia"/>
                <w:b w:val="0"/>
                <w:bCs/>
                <w:caps w:val="0"/>
                <w:color w:val="auto"/>
                <w:sz w:val="24"/>
                <w:szCs w:val="24"/>
                <w:highlight w:val="none"/>
                <w:lang w:val="en-US" w:eastAsia="zh-CN"/>
              </w:rPr>
              <w:t>/d，初期雨水经</w:t>
            </w:r>
            <w:r>
              <w:rPr>
                <w:rFonts w:hint="eastAsia" w:cs="Times New Roman" w:eastAsiaTheme="minorEastAsia"/>
                <w:b w:val="0"/>
                <w:bCs/>
                <w:caps w:val="0"/>
                <w:color w:val="auto"/>
                <w:sz w:val="24"/>
                <w:szCs w:val="24"/>
                <w:highlight w:val="none"/>
                <w:lang w:val="en-US" w:eastAsia="zh-CN"/>
              </w:rPr>
              <w:t>收集</w:t>
            </w:r>
            <w:r>
              <w:rPr>
                <w:rFonts w:hint="default" w:ascii="Times New Roman" w:hAnsi="Times New Roman" w:cs="Times New Roman" w:eastAsiaTheme="minorEastAsia"/>
                <w:b w:val="0"/>
                <w:bCs/>
                <w:caps w:val="0"/>
                <w:color w:val="auto"/>
                <w:sz w:val="24"/>
                <w:szCs w:val="24"/>
                <w:highlight w:val="none"/>
                <w:lang w:val="en-US" w:eastAsia="zh-CN"/>
              </w:rPr>
              <w:t>沉淀后，回用于厂区道路洒水降尘，不外排</w:t>
            </w:r>
            <w:r>
              <w:rPr>
                <w:rFonts w:hint="default" w:ascii="Times New Roman" w:hAnsi="Times New Roman" w:cs="Times New Roman" w:eastAsiaTheme="minorEastAsia"/>
                <w:b w:val="0"/>
                <w:bCs/>
                <w:color w:val="auto"/>
                <w:sz w:val="24"/>
                <w:szCs w:val="24"/>
                <w:lang w:val="en-US" w:eastAsia="zh-CN"/>
              </w:rPr>
              <w:t>。</w:t>
            </w:r>
          </w:p>
          <w:p w14:paraId="71255AD3">
            <w:pPr>
              <w:keepNext w:val="0"/>
              <w:keepLines w:val="0"/>
              <w:pageBreakBefore w:val="0"/>
              <w:widowControl w:val="0"/>
              <w:kinsoku/>
              <w:wordWrap/>
              <w:overflowPunct/>
              <w:topLinePunct w:val="0"/>
              <w:autoSpaceDE/>
              <w:autoSpaceDN/>
              <w:bidi w:val="0"/>
              <w:ind w:left="0" w:firstLine="482" w:firstLineChars="200"/>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bCs w:val="0"/>
                <w:color w:val="auto"/>
                <w:sz w:val="24"/>
                <w:szCs w:val="24"/>
              </w:rPr>
              <w:t>初期雨水</w:t>
            </w:r>
            <w:r>
              <w:rPr>
                <w:rFonts w:hint="eastAsia" w:ascii="Times New Roman" w:hAnsi="Times New Roman" w:cs="Times New Roman" w:eastAsiaTheme="minorEastAsia"/>
                <w:b/>
                <w:bCs w:val="0"/>
                <w:color w:val="auto"/>
                <w:sz w:val="24"/>
                <w:szCs w:val="24"/>
                <w:lang w:eastAsia="zh-CN"/>
              </w:rPr>
              <w:t>：</w:t>
            </w:r>
            <w:r>
              <w:rPr>
                <w:rFonts w:hint="default" w:ascii="Times New Roman" w:hAnsi="Times New Roman" w:cs="Times New Roman" w:eastAsiaTheme="minorEastAsia"/>
                <w:b w:val="0"/>
                <w:bCs/>
                <w:caps w:val="0"/>
                <w:color w:val="auto"/>
                <w:sz w:val="24"/>
                <w:szCs w:val="24"/>
                <w:highlight w:val="none"/>
              </w:rPr>
              <w:t>项目</w:t>
            </w:r>
            <w:r>
              <w:rPr>
                <w:rFonts w:hint="default" w:ascii="Times New Roman" w:hAnsi="Times New Roman" w:cs="Times New Roman" w:eastAsiaTheme="minorEastAsia"/>
                <w:b w:val="0"/>
                <w:bCs/>
                <w:caps w:val="0"/>
                <w:color w:val="auto"/>
                <w:sz w:val="24"/>
                <w:szCs w:val="24"/>
                <w:highlight w:val="none"/>
                <w:lang w:val="en-US" w:eastAsia="zh-CN"/>
              </w:rPr>
              <w:t>厂区</w:t>
            </w:r>
            <w:r>
              <w:rPr>
                <w:rFonts w:hint="default" w:ascii="Times New Roman" w:hAnsi="Times New Roman" w:cs="Times New Roman" w:eastAsiaTheme="minorEastAsia"/>
                <w:b w:val="0"/>
                <w:bCs/>
                <w:caps w:val="0"/>
                <w:color w:val="auto"/>
                <w:sz w:val="24"/>
                <w:szCs w:val="24"/>
                <w:highlight w:val="none"/>
              </w:rPr>
              <w:t>设置雨水排水沟，在降雨初期项目区内地面冲刷会带走地面及厂房顶部污染物，初期雨水不得直接进入地表水体。</w:t>
            </w:r>
          </w:p>
          <w:p w14:paraId="4AF7D6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rPr>
              <w:t>初期雨水产生量</w:t>
            </w:r>
            <w:r>
              <w:rPr>
                <w:rFonts w:hint="default" w:ascii="Times New Roman" w:hAnsi="Times New Roman" w:cs="Times New Roman" w:eastAsiaTheme="minorEastAsia"/>
                <w:b w:val="0"/>
                <w:bCs/>
                <w:caps w:val="0"/>
                <w:color w:val="auto"/>
                <w:sz w:val="24"/>
                <w:szCs w:val="24"/>
                <w:highlight w:val="none"/>
                <w:lang w:val="en-US" w:eastAsia="zh-CN"/>
              </w:rPr>
              <w:t>根据暴雨强度</w:t>
            </w:r>
            <w:r>
              <w:rPr>
                <w:rFonts w:hint="default" w:ascii="Times New Roman" w:hAnsi="Times New Roman" w:cs="Times New Roman" w:eastAsiaTheme="minorEastAsia"/>
                <w:b w:val="0"/>
                <w:bCs/>
                <w:caps w:val="0"/>
                <w:color w:val="auto"/>
                <w:sz w:val="24"/>
                <w:szCs w:val="24"/>
                <w:highlight w:val="none"/>
              </w:rPr>
              <w:t>公式</w:t>
            </w:r>
            <w:r>
              <w:rPr>
                <w:rFonts w:hint="default" w:ascii="Times New Roman" w:hAnsi="Times New Roman" w:cs="Times New Roman" w:eastAsiaTheme="minorEastAsia"/>
                <w:b w:val="0"/>
                <w:bCs/>
                <w:caps w:val="0"/>
                <w:color w:val="auto"/>
                <w:sz w:val="24"/>
                <w:szCs w:val="24"/>
                <w:highlight w:val="none"/>
                <w:lang w:val="en-US" w:eastAsia="zh-CN"/>
              </w:rPr>
              <w:t>计算</w:t>
            </w:r>
            <w:r>
              <w:rPr>
                <w:rFonts w:hint="default" w:ascii="Times New Roman" w:hAnsi="Times New Roman" w:cs="Times New Roman" w:eastAsiaTheme="minorEastAsia"/>
                <w:b w:val="0"/>
                <w:bCs/>
                <w:caps w:val="0"/>
                <w:color w:val="auto"/>
                <w:sz w:val="24"/>
                <w:szCs w:val="24"/>
                <w:highlight w:val="none"/>
              </w:rPr>
              <w:t>：</w:t>
            </w:r>
          </w:p>
          <w:p w14:paraId="1C766B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olor w:val="auto"/>
                <w:position w:val="-10"/>
                <w:sz w:val="24"/>
                <w:szCs w:val="24"/>
              </w:rPr>
              <w:object>
                <v:shape id="_x0000_i1030" o:spt="75" type="#_x0000_t75" style="height:16pt;width:62.35pt;" o:ole="t" filled="f" o:preferrelative="t" stroked="f" coordsize="21600,21600">
                  <v:path/>
                  <v:fill on="f" focussize="0,0"/>
                  <v:stroke on="f"/>
                  <v:imagedata r:id="rId14" o:title=""/>
                  <o:lock v:ext="edit" aspectratio="t"/>
                  <w10:wrap type="none"/>
                  <w10:anchorlock/>
                </v:shape>
                <o:OLEObject Type="Embed" ProgID="Equation.3" ShapeID="_x0000_i1030" DrawAspect="Content" ObjectID="_1468075730" r:id="rId21">
                  <o:LockedField>false</o:LockedField>
                </o:OLEObject>
              </w:object>
            </w:r>
          </w:p>
          <w:p w14:paraId="6727BA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rPr>
              <w:t>式中：Q—雨水流量，L/s；</w:t>
            </w:r>
          </w:p>
          <w:p w14:paraId="6C271C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rPr>
              <w:t>Ψ—径流系数，</w:t>
            </w:r>
            <w:r>
              <w:rPr>
                <w:rFonts w:hint="default" w:ascii="Times New Roman" w:hAnsi="Times New Roman" w:cs="Times New Roman" w:eastAsiaTheme="minorEastAsia"/>
                <w:b w:val="0"/>
                <w:bCs/>
                <w:color w:val="auto"/>
                <w:sz w:val="24"/>
                <w:szCs w:val="24"/>
              </w:rPr>
              <w:t>0.4~0.9，取0.</w:t>
            </w:r>
            <w:r>
              <w:rPr>
                <w:rFonts w:hint="default" w:ascii="Times New Roman" w:hAnsi="Times New Roman" w:cs="Times New Roman" w:eastAsiaTheme="minorEastAsia"/>
                <w:b w:val="0"/>
                <w:bCs/>
                <w:color w:val="auto"/>
                <w:sz w:val="24"/>
                <w:szCs w:val="24"/>
                <w:lang w:val="en-US" w:eastAsia="zh-CN"/>
              </w:rPr>
              <w:t>5</w:t>
            </w:r>
            <w:r>
              <w:rPr>
                <w:rFonts w:hint="default" w:ascii="Times New Roman" w:hAnsi="Times New Roman" w:cs="Times New Roman" w:eastAsiaTheme="minorEastAsia"/>
                <w:b w:val="0"/>
                <w:bCs/>
                <w:caps w:val="0"/>
                <w:color w:val="auto"/>
                <w:sz w:val="24"/>
                <w:szCs w:val="24"/>
                <w:highlight w:val="none"/>
              </w:rPr>
              <w:t>；</w:t>
            </w:r>
          </w:p>
          <w:p w14:paraId="7069E08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rPr>
              <w:t>q—设计暴雨强度，L/s.hm</w:t>
            </w:r>
            <w:r>
              <w:rPr>
                <w:rFonts w:hint="default" w:ascii="Times New Roman" w:hAnsi="Times New Roman" w:cs="Times New Roman" w:eastAsiaTheme="minorEastAsia"/>
                <w:b w:val="0"/>
                <w:bCs/>
                <w:caps w:val="0"/>
                <w:color w:val="auto"/>
                <w:sz w:val="24"/>
                <w:szCs w:val="24"/>
                <w:highlight w:val="none"/>
                <w:vertAlign w:val="superscript"/>
              </w:rPr>
              <w:t>2</w:t>
            </w:r>
            <w:r>
              <w:rPr>
                <w:rFonts w:hint="default" w:ascii="Times New Roman" w:hAnsi="Times New Roman" w:cs="Times New Roman" w:eastAsiaTheme="minorEastAsia"/>
                <w:b w:val="0"/>
                <w:bCs/>
                <w:caps w:val="0"/>
                <w:color w:val="auto"/>
                <w:sz w:val="24"/>
                <w:szCs w:val="24"/>
                <w:highlight w:val="none"/>
              </w:rPr>
              <w:t>；</w:t>
            </w:r>
          </w:p>
          <w:p w14:paraId="3F333EE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rPr>
              <w:t>F—汇水面积，m</w:t>
            </w:r>
            <w:r>
              <w:rPr>
                <w:rFonts w:hint="default" w:ascii="Times New Roman" w:hAnsi="Times New Roman" w:cs="Times New Roman" w:eastAsiaTheme="minorEastAsia"/>
                <w:b w:val="0"/>
                <w:bCs/>
                <w:caps w:val="0"/>
                <w:color w:val="auto"/>
                <w:sz w:val="24"/>
                <w:szCs w:val="24"/>
                <w:highlight w:val="none"/>
                <w:vertAlign w:val="superscript"/>
              </w:rPr>
              <w:t>2</w:t>
            </w:r>
            <w:r>
              <w:rPr>
                <w:rFonts w:hint="default" w:ascii="Times New Roman" w:hAnsi="Times New Roman" w:cs="Times New Roman" w:eastAsiaTheme="minorEastAsia"/>
                <w:b w:val="0"/>
                <w:bCs/>
                <w:caps w:val="0"/>
                <w:color w:val="auto"/>
                <w:sz w:val="24"/>
                <w:szCs w:val="24"/>
                <w:highlight w:val="none"/>
              </w:rPr>
              <w:t>；项目</w:t>
            </w:r>
            <w:r>
              <w:rPr>
                <w:rFonts w:hint="default" w:ascii="Times New Roman" w:hAnsi="Times New Roman" w:cs="Times New Roman" w:eastAsiaTheme="minorEastAsia"/>
                <w:b w:val="0"/>
                <w:bCs/>
                <w:caps w:val="0"/>
                <w:color w:val="auto"/>
                <w:sz w:val="24"/>
                <w:szCs w:val="24"/>
                <w:highlight w:val="none"/>
                <w:lang w:val="en-US" w:eastAsia="zh-CN"/>
              </w:rPr>
              <w:t>汇水面积扣除建筑面积和绿化面积，即为5533</w:t>
            </w:r>
            <w:r>
              <w:rPr>
                <w:rFonts w:hint="default" w:ascii="Times New Roman" w:hAnsi="Times New Roman" w:cs="Times New Roman" w:eastAsiaTheme="minorEastAsia"/>
                <w:b w:val="0"/>
                <w:bCs/>
                <w:caps w:val="0"/>
                <w:color w:val="auto"/>
                <w:sz w:val="24"/>
                <w:szCs w:val="24"/>
                <w:highlight w:val="none"/>
              </w:rPr>
              <w:t>m</w:t>
            </w:r>
            <w:r>
              <w:rPr>
                <w:rFonts w:hint="default" w:ascii="Times New Roman" w:hAnsi="Times New Roman" w:cs="Times New Roman" w:eastAsiaTheme="minorEastAsia"/>
                <w:b w:val="0"/>
                <w:bCs/>
                <w:caps w:val="0"/>
                <w:color w:val="auto"/>
                <w:sz w:val="24"/>
                <w:szCs w:val="24"/>
                <w:highlight w:val="none"/>
                <w:vertAlign w:val="superscript"/>
              </w:rPr>
              <w:t>2</w:t>
            </w:r>
            <w:r>
              <w:rPr>
                <w:rFonts w:hint="default" w:ascii="Times New Roman" w:hAnsi="Times New Roman" w:cs="Times New Roman" w:eastAsiaTheme="minorEastAsia"/>
                <w:b w:val="0"/>
                <w:bCs/>
                <w:caps w:val="0"/>
                <w:color w:val="auto"/>
                <w:sz w:val="24"/>
                <w:szCs w:val="24"/>
                <w:highlight w:val="none"/>
                <w:lang w:val="en-US" w:eastAsia="zh-CN"/>
              </w:rPr>
              <w:t>，约0.5533h</w:t>
            </w:r>
            <w:r>
              <w:rPr>
                <w:rFonts w:hint="default" w:ascii="Times New Roman" w:hAnsi="Times New Roman" w:cs="Times New Roman" w:eastAsiaTheme="minorEastAsia"/>
                <w:b w:val="0"/>
                <w:bCs/>
                <w:caps w:val="0"/>
                <w:color w:val="auto"/>
                <w:sz w:val="24"/>
                <w:szCs w:val="24"/>
                <w:highlight w:val="none"/>
              </w:rPr>
              <w:t>m</w:t>
            </w:r>
            <w:r>
              <w:rPr>
                <w:rFonts w:hint="default" w:ascii="Times New Roman" w:hAnsi="Times New Roman" w:cs="Times New Roman" w:eastAsiaTheme="minorEastAsia"/>
                <w:b w:val="0"/>
                <w:bCs/>
                <w:caps w:val="0"/>
                <w:color w:val="auto"/>
                <w:sz w:val="24"/>
                <w:szCs w:val="24"/>
                <w:highlight w:val="none"/>
                <w:vertAlign w:val="superscript"/>
              </w:rPr>
              <w:t>2</w:t>
            </w:r>
            <w:r>
              <w:rPr>
                <w:rFonts w:hint="default" w:ascii="Times New Roman" w:hAnsi="Times New Roman" w:cs="Times New Roman" w:eastAsiaTheme="minorEastAsia"/>
                <w:b w:val="0"/>
                <w:bCs/>
                <w:caps w:val="0"/>
                <w:color w:val="auto"/>
                <w:sz w:val="24"/>
                <w:szCs w:val="24"/>
                <w:highlight w:val="none"/>
                <w:lang w:val="en-US" w:eastAsia="zh-CN"/>
              </w:rPr>
              <w:t>；</w:t>
            </w:r>
          </w:p>
          <w:p w14:paraId="4A61A02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lang w:val="en-US" w:eastAsia="zh-CN"/>
              </w:rPr>
              <w:t>由于峨山无</w:t>
            </w:r>
            <w:r>
              <w:rPr>
                <w:rFonts w:hint="default" w:ascii="Times New Roman" w:hAnsi="Times New Roman" w:cs="Times New Roman" w:eastAsiaTheme="minorEastAsia"/>
                <w:b w:val="0"/>
                <w:bCs/>
                <w:caps w:val="0"/>
                <w:color w:val="auto"/>
                <w:sz w:val="24"/>
                <w:szCs w:val="24"/>
                <w:highlight w:val="none"/>
              </w:rPr>
              <w:t>降雨强度</w:t>
            </w:r>
            <w:r>
              <w:rPr>
                <w:rFonts w:hint="default" w:ascii="Times New Roman" w:hAnsi="Times New Roman" w:cs="Times New Roman" w:eastAsiaTheme="minorEastAsia"/>
                <w:b w:val="0"/>
                <w:bCs/>
                <w:caps w:val="0"/>
                <w:color w:val="auto"/>
                <w:sz w:val="24"/>
                <w:szCs w:val="24"/>
                <w:highlight w:val="none"/>
                <w:lang w:val="en-US" w:eastAsia="zh-CN"/>
              </w:rPr>
              <w:t>公式，因此参照距离项目区最近的玉溪市</w:t>
            </w:r>
            <w:r>
              <w:rPr>
                <w:rFonts w:hint="default" w:ascii="Times New Roman" w:hAnsi="Times New Roman" w:cs="Times New Roman" w:eastAsiaTheme="minorEastAsia"/>
                <w:b w:val="0"/>
                <w:bCs/>
                <w:caps w:val="0"/>
                <w:color w:val="auto"/>
                <w:sz w:val="24"/>
                <w:szCs w:val="24"/>
                <w:highlight w:val="none"/>
              </w:rPr>
              <w:t>暴雨强度公式计算：</w:t>
            </w:r>
          </w:p>
          <w:p w14:paraId="301567D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cs="Times New Roman" w:eastAsiaTheme="minorEastAsia"/>
                <w:b w:val="0"/>
                <w:bCs/>
                <w:caps w:val="0"/>
                <w:color w:val="auto"/>
                <w:sz w:val="24"/>
                <w:szCs w:val="24"/>
                <w:highlight w:val="none"/>
              </w:rPr>
            </w:pPr>
            <m:oMathPara>
              <m:oMath>
                <m:r>
                  <m:rPr>
                    <m:sty m:val="p"/>
                  </m:rPr>
                  <w:rPr>
                    <w:rFonts w:hint="default" w:ascii="Cambria Math" w:hAnsi="Cambria Math" w:cs="Times New Roman" w:eastAsiaTheme="minorEastAsia"/>
                    <w:color w:val="auto"/>
                    <w:kern w:val="2"/>
                    <w:sz w:val="24"/>
                    <w:szCs w:val="24"/>
                    <w:lang w:val="en-US" w:eastAsia="zh-CN" w:bidi="ar-SA"/>
                  </w:rPr>
                  <m:t>q=</m:t>
                </m:r>
                <m:f>
                  <m:fPr>
                    <m:ctrlPr>
                      <w:rPr>
                        <w:rFonts w:hint="default" w:ascii="Cambria Math" w:hAnsi="Cambria Math" w:cs="Times New Roman" w:eastAsiaTheme="minorEastAsia"/>
                        <w:b w:val="0"/>
                        <w:bCs/>
                        <w:color w:val="auto"/>
                        <w:kern w:val="2"/>
                        <w:sz w:val="24"/>
                        <w:szCs w:val="24"/>
                        <w:lang w:val="en-US" w:eastAsia="zh-CN" w:bidi="ar-SA"/>
                      </w:rPr>
                    </m:ctrlPr>
                  </m:fPr>
                  <m:num>
                    <m:r>
                      <m:rPr>
                        <m:sty m:val="p"/>
                      </m:rPr>
                      <w:rPr>
                        <w:rFonts w:hint="default" w:ascii="Cambria Math" w:hAnsi="Cambria Math" w:cs="Times New Roman" w:eastAsiaTheme="minorEastAsia"/>
                        <w:color w:val="auto"/>
                        <w:kern w:val="2"/>
                        <w:sz w:val="24"/>
                        <w:szCs w:val="24"/>
                        <w:lang w:val="en-US" w:eastAsia="zh-CN" w:bidi="ar-SA"/>
                      </w:rPr>
                      <m:t>2870.58</m:t>
                    </m:r>
                    <m:r>
                      <m:rPr>
                        <m:sty m:val="p"/>
                      </m:rPr>
                      <w:rPr>
                        <w:rFonts w:hint="default" w:ascii="Cambria Math" w:hAnsi="Cambria Math" w:cs="Times New Roman" w:eastAsiaTheme="minorEastAsia"/>
                        <w:color w:val="auto"/>
                        <w:kern w:val="2"/>
                        <w:sz w:val="24"/>
                        <w:szCs w:val="24"/>
                        <w:lang w:val="en-US" w:bidi="ar-SA"/>
                      </w:rPr>
                      <m:t>×</m:t>
                    </m:r>
                    <m:r>
                      <m:rPr>
                        <m:sty m:val="p"/>
                      </m:rPr>
                      <w:rPr>
                        <w:rFonts w:hint="default" w:ascii="Cambria Math" w:hAnsi="Cambria Math" w:cs="Times New Roman" w:eastAsiaTheme="minorEastAsia"/>
                        <w:color w:val="auto"/>
                        <w:kern w:val="2"/>
                        <w:sz w:val="24"/>
                        <w:szCs w:val="24"/>
                        <w:lang w:val="en-US" w:eastAsia="zh-CN" w:bidi="ar-SA"/>
                      </w:rPr>
                      <m:t>(1+0.633lgP)</m:t>
                    </m:r>
                    <m:ctrlPr>
                      <w:rPr>
                        <w:rFonts w:hint="default" w:ascii="Cambria Math" w:hAnsi="Cambria Math" w:cs="Times New Roman" w:eastAsiaTheme="minorEastAsia"/>
                        <w:b w:val="0"/>
                        <w:bCs/>
                        <w:color w:val="auto"/>
                        <w:kern w:val="2"/>
                        <w:sz w:val="24"/>
                        <w:szCs w:val="24"/>
                        <w:lang w:val="en-US" w:eastAsia="zh-CN" w:bidi="ar-SA"/>
                      </w:rPr>
                    </m:ctrlPr>
                  </m:num>
                  <m:den>
                    <m:sSup>
                      <m:sSupPr>
                        <m:ctrlPr>
                          <w:rPr>
                            <w:rFonts w:hint="default" w:ascii="Cambria Math" w:hAnsi="Cambria Math" w:cs="Times New Roman" w:eastAsiaTheme="minorEastAsia"/>
                            <w:b w:val="0"/>
                            <w:bCs/>
                            <w:color w:val="auto"/>
                            <w:kern w:val="2"/>
                            <w:sz w:val="24"/>
                            <w:szCs w:val="24"/>
                            <w:lang w:val="en-US" w:eastAsia="zh-CN" w:bidi="ar-SA"/>
                          </w:rPr>
                        </m:ctrlPr>
                      </m:sSupPr>
                      <m:e>
                        <m:r>
                          <m:rPr>
                            <m:sty m:val="p"/>
                          </m:rPr>
                          <w:rPr>
                            <w:rFonts w:hint="default" w:ascii="Cambria Math" w:hAnsi="Cambria Math" w:cs="Times New Roman" w:eastAsiaTheme="minorEastAsia"/>
                            <w:color w:val="auto"/>
                            <w:kern w:val="2"/>
                            <w:sz w:val="24"/>
                            <w:szCs w:val="24"/>
                            <w:lang w:val="en-US" w:eastAsia="zh-CN" w:bidi="ar-SA"/>
                          </w:rPr>
                          <m:t>(t+14.742)</m:t>
                        </m:r>
                        <m:ctrlPr>
                          <w:rPr>
                            <w:rFonts w:hint="default" w:ascii="Cambria Math" w:hAnsi="Cambria Math" w:cs="Times New Roman" w:eastAsiaTheme="minorEastAsia"/>
                            <w:b w:val="0"/>
                            <w:bCs/>
                            <w:color w:val="auto"/>
                            <w:kern w:val="2"/>
                            <w:sz w:val="24"/>
                            <w:szCs w:val="24"/>
                            <w:lang w:val="en-US" w:eastAsia="zh-CN" w:bidi="ar-SA"/>
                          </w:rPr>
                        </m:ctrlPr>
                      </m:e>
                      <m:sup>
                        <m:r>
                          <m:rPr>
                            <m:sty m:val="p"/>
                          </m:rPr>
                          <w:rPr>
                            <w:rFonts w:hint="default" w:ascii="Cambria Math" w:hAnsi="Cambria Math" w:cs="Times New Roman" w:eastAsiaTheme="minorEastAsia"/>
                            <w:color w:val="auto"/>
                            <w:kern w:val="2"/>
                            <w:sz w:val="24"/>
                            <w:szCs w:val="24"/>
                            <w:lang w:val="en-US" w:eastAsia="zh-CN" w:bidi="ar-SA"/>
                          </w:rPr>
                          <m:t>0.818</m:t>
                        </m:r>
                        <m:ctrlPr>
                          <w:rPr>
                            <w:rFonts w:hint="default" w:ascii="Cambria Math" w:hAnsi="Cambria Math" w:cs="Times New Roman" w:eastAsiaTheme="minorEastAsia"/>
                            <w:b w:val="0"/>
                            <w:bCs/>
                            <w:color w:val="auto"/>
                            <w:kern w:val="2"/>
                            <w:sz w:val="24"/>
                            <w:szCs w:val="24"/>
                            <w:lang w:val="en-US" w:eastAsia="zh-CN" w:bidi="ar-SA"/>
                          </w:rPr>
                        </m:ctrlPr>
                      </m:sup>
                    </m:sSup>
                    <m:ctrlPr>
                      <w:rPr>
                        <w:rFonts w:hint="default" w:ascii="Cambria Math" w:hAnsi="Cambria Math" w:cs="Times New Roman" w:eastAsiaTheme="minorEastAsia"/>
                        <w:b w:val="0"/>
                        <w:bCs/>
                        <w:color w:val="auto"/>
                        <w:kern w:val="2"/>
                        <w:sz w:val="24"/>
                        <w:szCs w:val="24"/>
                        <w:lang w:val="en-US" w:eastAsia="zh-CN" w:bidi="ar-SA"/>
                      </w:rPr>
                    </m:ctrlPr>
                  </m:den>
                </m:f>
              </m:oMath>
            </m:oMathPara>
          </w:p>
          <w:p w14:paraId="7A8F7B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rPr>
              <w:t>式中：P—设计降雨重现期</w:t>
            </w:r>
            <w:r>
              <w:rPr>
                <w:rFonts w:hint="default" w:ascii="Times New Roman" w:hAnsi="Times New Roman" w:cs="Times New Roman" w:eastAsiaTheme="minorEastAsia"/>
                <w:b w:val="0"/>
                <w:bCs/>
                <w:caps w:val="0"/>
                <w:color w:val="auto"/>
                <w:sz w:val="24"/>
                <w:szCs w:val="24"/>
                <w:highlight w:val="none"/>
                <w:lang w:val="en-US" w:eastAsia="zh-CN"/>
              </w:rPr>
              <w:t>1</w:t>
            </w:r>
            <w:r>
              <w:rPr>
                <w:rFonts w:hint="default" w:ascii="Times New Roman" w:hAnsi="Times New Roman" w:cs="Times New Roman" w:eastAsiaTheme="minorEastAsia"/>
                <w:b w:val="0"/>
                <w:bCs/>
                <w:caps w:val="0"/>
                <w:color w:val="auto"/>
                <w:sz w:val="24"/>
                <w:szCs w:val="24"/>
                <w:highlight w:val="none"/>
              </w:rPr>
              <w:t>a，</w:t>
            </w:r>
          </w:p>
          <w:p w14:paraId="729010B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rPr>
              <w:t>t—降雨历时（取15min）。</w:t>
            </w:r>
          </w:p>
          <w:p w14:paraId="0F8A7F46">
            <w:pPr>
              <w:pStyle w:val="1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80" w:firstLineChars="200"/>
              <w:jc w:val="both"/>
              <w:textAlignment w:val="auto"/>
              <w:outlineLvl w:val="9"/>
              <w:rPr>
                <w:rFonts w:hint="default" w:ascii="Times New Roman" w:hAnsi="Times New Roman" w:cs="Times New Roman" w:eastAsiaTheme="minorEastAsia"/>
                <w:b w:val="0"/>
                <w:bCs/>
                <w:caps w:val="0"/>
                <w:color w:val="auto"/>
                <w:sz w:val="24"/>
                <w:szCs w:val="24"/>
                <w:highlight w:val="none"/>
              </w:rPr>
            </w:pPr>
            <w:r>
              <w:rPr>
                <w:rFonts w:hint="default" w:ascii="Times New Roman" w:hAnsi="Times New Roman" w:cs="Times New Roman" w:eastAsiaTheme="minorEastAsia"/>
                <w:b w:val="0"/>
                <w:bCs/>
                <w:caps w:val="0"/>
                <w:color w:val="auto"/>
                <w:sz w:val="24"/>
                <w:szCs w:val="24"/>
                <w:highlight w:val="none"/>
              </w:rPr>
              <w:t>按照</w:t>
            </w:r>
            <w:r>
              <w:rPr>
                <w:rFonts w:hint="default" w:ascii="Times New Roman" w:hAnsi="Times New Roman" w:cs="Times New Roman" w:eastAsiaTheme="minorEastAsia"/>
                <w:b w:val="0"/>
                <w:bCs/>
                <w:caps w:val="0"/>
                <w:color w:val="auto"/>
                <w:sz w:val="24"/>
                <w:szCs w:val="24"/>
                <w:highlight w:val="none"/>
                <w:lang w:val="en-US" w:eastAsia="zh-CN"/>
              </w:rPr>
              <w:t>上述</w:t>
            </w:r>
            <w:r>
              <w:rPr>
                <w:rFonts w:hint="default" w:ascii="Times New Roman" w:hAnsi="Times New Roman" w:cs="Times New Roman" w:eastAsiaTheme="minorEastAsia"/>
                <w:b w:val="0"/>
                <w:bCs/>
                <w:caps w:val="0"/>
                <w:color w:val="auto"/>
                <w:sz w:val="24"/>
                <w:szCs w:val="24"/>
                <w:highlight w:val="none"/>
              </w:rPr>
              <w:t>公式，可以估算出暴雨强度为</w:t>
            </w:r>
            <w:r>
              <w:rPr>
                <w:rFonts w:hint="default" w:ascii="Times New Roman" w:hAnsi="Times New Roman" w:cs="Times New Roman" w:eastAsiaTheme="minorEastAsia"/>
                <w:b w:val="0"/>
                <w:bCs/>
                <w:color w:val="auto"/>
                <w:sz w:val="24"/>
                <w:szCs w:val="24"/>
              </w:rPr>
              <w:t>178.96</w:t>
            </w:r>
            <w:r>
              <w:rPr>
                <w:rFonts w:hint="default" w:ascii="Times New Roman" w:hAnsi="Times New Roman" w:cs="Times New Roman" w:eastAsiaTheme="minorEastAsia"/>
                <w:b w:val="0"/>
                <w:bCs/>
                <w:caps w:val="0"/>
                <w:color w:val="auto"/>
                <w:sz w:val="24"/>
                <w:szCs w:val="24"/>
                <w:highlight w:val="none"/>
                <w:lang w:val="en-US" w:eastAsia="zh-CN"/>
              </w:rPr>
              <w:t>L</w:t>
            </w:r>
            <w:r>
              <w:rPr>
                <w:rFonts w:hint="default" w:ascii="Times New Roman" w:hAnsi="Times New Roman" w:cs="Times New Roman" w:eastAsiaTheme="minorEastAsia"/>
                <w:b w:val="0"/>
                <w:bCs/>
                <w:caps w:val="0"/>
                <w:color w:val="auto"/>
                <w:sz w:val="24"/>
                <w:szCs w:val="24"/>
                <w:highlight w:val="none"/>
              </w:rPr>
              <w:t>/</w:t>
            </w:r>
            <w:r>
              <w:rPr>
                <w:rFonts w:hint="default" w:ascii="Times New Roman" w:hAnsi="Times New Roman" w:cs="Times New Roman" w:eastAsiaTheme="minorEastAsia"/>
                <w:b w:val="0"/>
                <w:bCs/>
                <w:caps w:val="0"/>
                <w:color w:val="auto"/>
                <w:sz w:val="24"/>
                <w:szCs w:val="24"/>
                <w:highlight w:val="none"/>
                <w:lang w:val="en-US" w:eastAsia="zh-CN"/>
              </w:rPr>
              <w:t>s</w:t>
            </w:r>
            <w:r>
              <w:rPr>
                <w:rFonts w:hint="default" w:ascii="Times New Roman" w:hAnsi="Times New Roman" w:cs="Times New Roman" w:eastAsiaTheme="minorEastAsia"/>
                <w:b w:val="0"/>
                <w:bCs/>
                <w:caps w:val="0"/>
                <w:color w:val="auto"/>
                <w:sz w:val="24"/>
                <w:szCs w:val="24"/>
                <w:highlight w:val="none"/>
              </w:rPr>
              <w:t>.hm</w:t>
            </w:r>
            <w:r>
              <w:rPr>
                <w:rFonts w:hint="default" w:ascii="Times New Roman" w:hAnsi="Times New Roman" w:cs="Times New Roman" w:eastAsiaTheme="minorEastAsia"/>
                <w:b w:val="0"/>
                <w:bCs/>
                <w:caps w:val="0"/>
                <w:color w:val="auto"/>
                <w:sz w:val="24"/>
                <w:szCs w:val="24"/>
                <w:highlight w:val="none"/>
                <w:vertAlign w:val="superscript"/>
              </w:rPr>
              <w:t>2</w:t>
            </w:r>
            <w:r>
              <w:rPr>
                <w:rFonts w:hint="default" w:ascii="Times New Roman" w:hAnsi="Times New Roman" w:cs="Times New Roman" w:eastAsiaTheme="minorEastAsia"/>
                <w:b w:val="0"/>
                <w:bCs/>
                <w:caps w:val="0"/>
                <w:color w:val="auto"/>
                <w:sz w:val="24"/>
                <w:szCs w:val="24"/>
                <w:highlight w:val="none"/>
              </w:rPr>
              <w:t>，初期雨水量为</w:t>
            </w:r>
            <w:r>
              <w:rPr>
                <w:rFonts w:hint="default" w:ascii="Times New Roman" w:hAnsi="Times New Roman" w:cs="Times New Roman" w:eastAsiaTheme="minorEastAsia"/>
                <w:b w:val="0"/>
                <w:bCs/>
                <w:caps w:val="0"/>
                <w:color w:val="auto"/>
                <w:sz w:val="24"/>
                <w:szCs w:val="24"/>
                <w:highlight w:val="none"/>
                <w:lang w:val="en-US" w:eastAsia="zh-CN"/>
              </w:rPr>
              <w:t>49.51</w:t>
            </w:r>
            <w:r>
              <w:rPr>
                <w:rFonts w:hint="default" w:ascii="Times New Roman" w:hAnsi="Times New Roman" w:cs="Times New Roman" w:eastAsiaTheme="minorEastAsia"/>
                <w:b w:val="0"/>
                <w:bCs/>
                <w:caps w:val="0"/>
                <w:color w:val="auto"/>
                <w:sz w:val="24"/>
                <w:szCs w:val="24"/>
                <w:highlight w:val="none"/>
              </w:rPr>
              <w:t>L/s。</w:t>
            </w:r>
            <w:r>
              <w:rPr>
                <w:rFonts w:hint="default" w:ascii="Times New Roman" w:hAnsi="Times New Roman" w:cs="Times New Roman" w:eastAsiaTheme="minorEastAsia"/>
                <w:b w:val="0"/>
                <w:bCs/>
                <w:caps w:val="0"/>
                <w:color w:val="auto"/>
                <w:sz w:val="24"/>
                <w:szCs w:val="24"/>
                <w:highlight w:val="none"/>
                <w:lang w:val="en-US" w:eastAsia="zh-CN"/>
              </w:rPr>
              <w:t>考虑</w:t>
            </w:r>
            <w:r>
              <w:rPr>
                <w:rFonts w:hint="default" w:ascii="Times New Roman" w:hAnsi="Times New Roman" w:cs="Times New Roman" w:eastAsiaTheme="minorEastAsia"/>
                <w:b w:val="0"/>
                <w:bCs/>
                <w:caps w:val="0"/>
                <w:color w:val="auto"/>
                <w:sz w:val="24"/>
                <w:szCs w:val="24"/>
                <w:highlight w:val="none"/>
              </w:rPr>
              <w:t>收集</w:t>
            </w:r>
            <w:r>
              <w:rPr>
                <w:rFonts w:hint="default" w:ascii="Times New Roman" w:hAnsi="Times New Roman" w:cs="Times New Roman" w:eastAsiaTheme="minorEastAsia"/>
                <w:b w:val="0"/>
                <w:bCs/>
                <w:caps w:val="0"/>
                <w:color w:val="auto"/>
                <w:sz w:val="24"/>
                <w:szCs w:val="24"/>
                <w:highlight w:val="none"/>
                <w:lang w:val="en-US" w:eastAsia="zh-CN"/>
              </w:rPr>
              <w:t>暴雨</w:t>
            </w:r>
            <w:r>
              <w:rPr>
                <w:rFonts w:hint="default" w:ascii="Times New Roman" w:hAnsi="Times New Roman" w:cs="Times New Roman" w:eastAsiaTheme="minorEastAsia"/>
                <w:b w:val="0"/>
                <w:bCs/>
                <w:caps w:val="0"/>
                <w:color w:val="auto"/>
                <w:sz w:val="24"/>
                <w:szCs w:val="24"/>
                <w:highlight w:val="none"/>
              </w:rPr>
              <w:t>前</w:t>
            </w:r>
            <w:r>
              <w:rPr>
                <w:rFonts w:hint="default" w:ascii="Times New Roman" w:hAnsi="Times New Roman" w:cs="Times New Roman" w:eastAsiaTheme="minorEastAsia"/>
                <w:b w:val="0"/>
                <w:bCs/>
                <w:caps w:val="0"/>
                <w:color w:val="auto"/>
                <w:sz w:val="24"/>
                <w:szCs w:val="24"/>
                <w:highlight w:val="none"/>
                <w:lang w:val="en-US" w:eastAsia="zh-CN"/>
              </w:rPr>
              <w:t>15</w:t>
            </w:r>
            <w:r>
              <w:rPr>
                <w:rFonts w:hint="default" w:ascii="Times New Roman" w:hAnsi="Times New Roman" w:cs="Times New Roman" w:eastAsiaTheme="minorEastAsia"/>
                <w:b w:val="0"/>
                <w:bCs/>
                <w:caps w:val="0"/>
                <w:color w:val="auto"/>
                <w:sz w:val="24"/>
                <w:szCs w:val="24"/>
                <w:highlight w:val="none"/>
              </w:rPr>
              <w:t>min的初期雨水</w:t>
            </w:r>
            <w:r>
              <w:rPr>
                <w:rFonts w:hint="default" w:ascii="Times New Roman" w:hAnsi="Times New Roman" w:cs="Times New Roman" w:eastAsiaTheme="minorEastAsia"/>
                <w:b w:val="0"/>
                <w:bCs/>
                <w:caps w:val="0"/>
                <w:color w:val="auto"/>
                <w:sz w:val="24"/>
                <w:szCs w:val="24"/>
                <w:highlight w:val="none"/>
                <w:lang w:eastAsia="zh-CN"/>
              </w:rPr>
              <w:t>（</w:t>
            </w:r>
            <w:r>
              <w:rPr>
                <w:rFonts w:hint="default" w:ascii="Times New Roman" w:hAnsi="Times New Roman" w:cs="Times New Roman" w:eastAsiaTheme="minorEastAsia"/>
                <w:b w:val="0"/>
                <w:bCs/>
                <w:caps w:val="0"/>
                <w:color w:val="auto"/>
                <w:sz w:val="24"/>
                <w:szCs w:val="24"/>
                <w:highlight w:val="none"/>
                <w:lang w:val="en-US" w:eastAsia="zh-CN"/>
              </w:rPr>
              <w:t>44.56</w:t>
            </w:r>
            <w:r>
              <w:rPr>
                <w:rFonts w:hint="default" w:ascii="Times New Roman" w:hAnsi="Times New Roman" w:cs="Times New Roman" w:eastAsiaTheme="minorEastAsia"/>
                <w:b w:val="0"/>
                <w:bCs/>
                <w:caps w:val="0"/>
                <w:color w:val="auto"/>
                <w:sz w:val="24"/>
                <w:szCs w:val="24"/>
                <w:highlight w:val="none"/>
              </w:rPr>
              <w:t>m</w:t>
            </w:r>
            <w:r>
              <w:rPr>
                <w:rFonts w:hint="default" w:ascii="Times New Roman" w:hAnsi="Times New Roman" w:cs="Times New Roman" w:eastAsiaTheme="minorEastAsia"/>
                <w:b w:val="0"/>
                <w:bCs/>
                <w:caps w:val="0"/>
                <w:color w:val="auto"/>
                <w:sz w:val="24"/>
                <w:szCs w:val="24"/>
                <w:highlight w:val="none"/>
                <w:vertAlign w:val="superscript"/>
              </w:rPr>
              <w:t>3</w:t>
            </w:r>
            <w:r>
              <w:rPr>
                <w:rFonts w:hint="default" w:ascii="Times New Roman" w:hAnsi="Times New Roman" w:cs="Times New Roman" w:eastAsiaTheme="minorEastAsia"/>
                <w:b w:val="0"/>
                <w:bCs/>
                <w:caps w:val="0"/>
                <w:color w:val="auto"/>
                <w:sz w:val="24"/>
                <w:szCs w:val="24"/>
                <w:highlight w:val="none"/>
              </w:rPr>
              <w:t>/次</w:t>
            </w:r>
            <w:r>
              <w:rPr>
                <w:rFonts w:hint="default" w:ascii="Times New Roman" w:hAnsi="Times New Roman" w:cs="Times New Roman" w:eastAsiaTheme="minorEastAsia"/>
                <w:b w:val="0"/>
                <w:bCs/>
                <w:caps w:val="0"/>
                <w:color w:val="auto"/>
                <w:sz w:val="24"/>
                <w:szCs w:val="24"/>
                <w:highlight w:val="none"/>
                <w:lang w:eastAsia="zh-CN"/>
              </w:rPr>
              <w:t>）</w:t>
            </w:r>
            <w:r>
              <w:rPr>
                <w:rFonts w:hint="default" w:ascii="Times New Roman" w:hAnsi="Times New Roman" w:cs="Times New Roman" w:eastAsiaTheme="minorEastAsia"/>
                <w:b w:val="0"/>
                <w:bCs/>
                <w:caps w:val="0"/>
                <w:color w:val="auto"/>
                <w:sz w:val="24"/>
                <w:szCs w:val="24"/>
                <w:highlight w:val="none"/>
              </w:rPr>
              <w:t>，故项目</w:t>
            </w:r>
            <w:r>
              <w:rPr>
                <w:rFonts w:hint="default" w:ascii="Times New Roman" w:hAnsi="Times New Roman" w:cs="Times New Roman" w:eastAsiaTheme="minorEastAsia"/>
                <w:b w:val="0"/>
                <w:bCs/>
                <w:caps w:val="0"/>
                <w:color w:val="auto"/>
                <w:sz w:val="24"/>
                <w:szCs w:val="24"/>
                <w:highlight w:val="none"/>
                <w:lang w:val="en-US" w:eastAsia="zh-CN"/>
              </w:rPr>
              <w:t>在</w:t>
            </w:r>
            <w:r>
              <w:rPr>
                <w:rFonts w:hint="default" w:ascii="Times New Roman" w:hAnsi="Times New Roman" w:cs="Times New Roman" w:eastAsiaTheme="minorEastAsia"/>
                <w:b w:val="0"/>
                <w:bCs/>
                <w:caps w:val="0"/>
                <w:color w:val="auto"/>
                <w:sz w:val="24"/>
                <w:szCs w:val="24"/>
                <w:highlight w:val="none"/>
              </w:rPr>
              <w:t>厂区设置容积不低于</w:t>
            </w:r>
            <w:r>
              <w:rPr>
                <w:rFonts w:hint="default" w:ascii="Times New Roman" w:hAnsi="Times New Roman" w:cs="Times New Roman" w:eastAsiaTheme="minorEastAsia"/>
                <w:b w:val="0"/>
                <w:bCs/>
                <w:caps w:val="0"/>
                <w:color w:val="auto"/>
                <w:sz w:val="24"/>
                <w:szCs w:val="24"/>
                <w:highlight w:val="none"/>
                <w:lang w:val="en-US" w:eastAsia="zh-CN"/>
              </w:rPr>
              <w:t>53.47</w:t>
            </w:r>
            <w:r>
              <w:rPr>
                <w:rFonts w:hint="default" w:ascii="Times New Roman" w:hAnsi="Times New Roman" w:cs="Times New Roman" w:eastAsiaTheme="minorEastAsia"/>
                <w:b w:val="0"/>
                <w:bCs/>
                <w:caps w:val="0"/>
                <w:color w:val="auto"/>
                <w:sz w:val="24"/>
                <w:szCs w:val="24"/>
                <w:highlight w:val="none"/>
              </w:rPr>
              <w:t>m</w:t>
            </w:r>
            <w:r>
              <w:rPr>
                <w:rFonts w:hint="default" w:ascii="Times New Roman" w:hAnsi="Times New Roman" w:cs="Times New Roman" w:eastAsiaTheme="minorEastAsia"/>
                <w:b w:val="0"/>
                <w:bCs/>
                <w:caps w:val="0"/>
                <w:color w:val="auto"/>
                <w:sz w:val="24"/>
                <w:szCs w:val="24"/>
                <w:highlight w:val="none"/>
                <w:vertAlign w:val="superscript"/>
              </w:rPr>
              <w:t>3</w:t>
            </w:r>
            <w:r>
              <w:rPr>
                <w:rFonts w:hint="default" w:ascii="Times New Roman" w:hAnsi="Times New Roman" w:cs="Times New Roman" w:eastAsiaTheme="minorEastAsia"/>
                <w:b w:val="0"/>
                <w:bCs/>
                <w:caps w:val="0"/>
                <w:color w:val="auto"/>
                <w:sz w:val="24"/>
                <w:szCs w:val="24"/>
                <w:highlight w:val="none"/>
              </w:rPr>
              <w:t>的初期雨水收集池（以1.2的容积剩余系数计算）</w:t>
            </w:r>
            <w:r>
              <w:rPr>
                <w:rFonts w:hint="default" w:ascii="Times New Roman" w:hAnsi="Times New Roman" w:cs="Times New Roman" w:eastAsiaTheme="minorEastAsia"/>
                <w:b w:val="0"/>
                <w:bCs/>
                <w:caps w:val="0"/>
                <w:color w:val="auto"/>
                <w:sz w:val="24"/>
                <w:szCs w:val="24"/>
                <w:highlight w:val="none"/>
                <w:lang w:eastAsia="zh-CN"/>
              </w:rPr>
              <w:t>。</w:t>
            </w:r>
            <w:r>
              <w:rPr>
                <w:rFonts w:hint="default" w:ascii="Times New Roman" w:hAnsi="Times New Roman" w:cs="Times New Roman" w:eastAsiaTheme="minorEastAsia"/>
                <w:b w:val="0"/>
                <w:bCs/>
                <w:caps w:val="0"/>
                <w:color w:val="auto"/>
                <w:sz w:val="24"/>
                <w:szCs w:val="24"/>
                <w:highlight w:val="none"/>
                <w:lang w:val="en-US" w:eastAsia="zh-CN"/>
              </w:rPr>
              <w:t>本项目拟设置1个容积为60m</w:t>
            </w:r>
            <w:r>
              <w:rPr>
                <w:rFonts w:hint="default" w:ascii="Times New Roman" w:hAnsi="Times New Roman" w:cs="Times New Roman" w:eastAsiaTheme="minorEastAsia"/>
                <w:b w:val="0"/>
                <w:bCs/>
                <w:caps w:val="0"/>
                <w:color w:val="auto"/>
                <w:sz w:val="24"/>
                <w:szCs w:val="24"/>
                <w:highlight w:val="none"/>
                <w:vertAlign w:val="superscript"/>
                <w:lang w:val="en-US" w:eastAsia="zh-CN"/>
              </w:rPr>
              <w:t>3</w:t>
            </w:r>
            <w:r>
              <w:rPr>
                <w:rFonts w:hint="default" w:ascii="Times New Roman" w:hAnsi="Times New Roman" w:cs="Times New Roman" w:eastAsiaTheme="minorEastAsia"/>
                <w:b w:val="0"/>
                <w:bCs/>
                <w:caps w:val="0"/>
                <w:color w:val="auto"/>
                <w:sz w:val="24"/>
                <w:szCs w:val="24"/>
                <w:highlight w:val="none"/>
                <w:lang w:val="en-US" w:eastAsia="zh-CN"/>
              </w:rPr>
              <w:t>的初期雨水收集池，</w:t>
            </w:r>
            <w:r>
              <w:rPr>
                <w:rFonts w:hint="default" w:ascii="Times New Roman" w:hAnsi="Times New Roman" w:cs="Times New Roman" w:eastAsiaTheme="minorEastAsia"/>
                <w:b w:val="0"/>
                <w:bCs/>
                <w:color w:val="auto"/>
                <w:sz w:val="24"/>
                <w:szCs w:val="24"/>
              </w:rPr>
              <w:t>本次环评建议</w:t>
            </w:r>
            <w:r>
              <w:rPr>
                <w:rFonts w:hint="default" w:ascii="Times New Roman" w:hAnsi="Times New Roman" w:cs="Times New Roman" w:eastAsiaTheme="minorEastAsia"/>
                <w:b w:val="0"/>
                <w:bCs/>
                <w:color w:val="auto"/>
                <w:sz w:val="24"/>
                <w:szCs w:val="24"/>
                <w:lang w:val="en-US" w:eastAsia="zh-CN"/>
              </w:rPr>
              <w:t>整个厂区地面硬化，设置截流沟，初期雨水经截流沟排至初期雨水收集池（60m</w:t>
            </w:r>
            <w:r>
              <w:rPr>
                <w:rFonts w:hint="default" w:ascii="Times New Roman" w:hAnsi="Times New Roman" w:cs="Times New Roman" w:eastAsiaTheme="minorEastAsia"/>
                <w:b w:val="0"/>
                <w:bCs/>
                <w:color w:val="auto"/>
                <w:sz w:val="24"/>
                <w:szCs w:val="24"/>
                <w:vertAlign w:val="superscript"/>
                <w:lang w:val="en-US" w:eastAsia="zh-CN"/>
              </w:rPr>
              <w:t>3</w:t>
            </w:r>
            <w:r>
              <w:rPr>
                <w:rFonts w:hint="default" w:ascii="Times New Roman" w:hAnsi="Times New Roman" w:cs="Times New Roman" w:eastAsiaTheme="minorEastAsia"/>
                <w:b w:val="0"/>
                <w:bCs/>
                <w:color w:val="auto"/>
                <w:sz w:val="24"/>
                <w:szCs w:val="24"/>
                <w:lang w:val="en-US" w:eastAsia="zh-CN"/>
              </w:rPr>
              <w:t>），初期雨水经沉淀后，回用于厂区洒水降尘不外排</w:t>
            </w:r>
            <w:r>
              <w:rPr>
                <w:rFonts w:hint="default" w:ascii="Times New Roman" w:hAnsi="Times New Roman" w:cs="Times New Roman" w:eastAsiaTheme="minorEastAsia"/>
                <w:b w:val="0"/>
                <w:bCs/>
                <w:caps w:val="0"/>
                <w:color w:val="auto"/>
                <w:sz w:val="24"/>
                <w:szCs w:val="24"/>
                <w:highlight w:val="none"/>
              </w:rPr>
              <w:t>。</w:t>
            </w:r>
          </w:p>
          <w:p w14:paraId="03CC23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eastAsiaTheme="minorEastAsia"/>
                <w:b w:val="0"/>
                <w:bCs/>
                <w:color w:val="auto"/>
                <w:sz w:val="24"/>
                <w:szCs w:val="24"/>
                <w:lang w:val="en-US" w:eastAsia="zh-CN"/>
              </w:rPr>
            </w:pPr>
            <w:r>
              <w:rPr>
                <w:rFonts w:hint="default" w:ascii="Times New Roman" w:hAnsi="Times New Roman" w:cs="Times New Roman" w:eastAsiaTheme="minorEastAsia"/>
                <w:b w:val="0"/>
                <w:bCs/>
                <w:caps w:val="0"/>
                <w:color w:val="auto"/>
                <w:sz w:val="24"/>
                <w:szCs w:val="24"/>
                <w:highlight w:val="none"/>
                <w:lang w:val="en-US" w:eastAsia="zh-CN"/>
              </w:rPr>
              <w:t>项目雨天按60d计，产生的初期雨水为44.56</w:t>
            </w:r>
            <w:r>
              <w:rPr>
                <w:rFonts w:hint="default" w:ascii="Times New Roman" w:hAnsi="Times New Roman" w:cs="Times New Roman" w:eastAsiaTheme="minorEastAsia"/>
                <w:b w:val="0"/>
                <w:bCs/>
                <w:caps w:val="0"/>
                <w:color w:val="auto"/>
                <w:sz w:val="24"/>
                <w:szCs w:val="24"/>
                <w:highlight w:val="none"/>
              </w:rPr>
              <w:t>m</w:t>
            </w:r>
            <w:r>
              <w:rPr>
                <w:rFonts w:hint="default" w:ascii="Times New Roman" w:hAnsi="Times New Roman" w:cs="Times New Roman" w:eastAsiaTheme="minorEastAsia"/>
                <w:b w:val="0"/>
                <w:bCs/>
                <w:caps w:val="0"/>
                <w:color w:val="auto"/>
                <w:sz w:val="24"/>
                <w:szCs w:val="24"/>
                <w:highlight w:val="none"/>
                <w:vertAlign w:val="superscript"/>
              </w:rPr>
              <w:t>3</w:t>
            </w:r>
            <w:r>
              <w:rPr>
                <w:rFonts w:hint="default" w:ascii="Times New Roman" w:hAnsi="Times New Roman" w:cs="Times New Roman" w:eastAsiaTheme="minorEastAsia"/>
                <w:b w:val="0"/>
                <w:bCs/>
                <w:caps w:val="0"/>
                <w:color w:val="auto"/>
                <w:sz w:val="24"/>
                <w:szCs w:val="24"/>
                <w:highlight w:val="none"/>
              </w:rPr>
              <w:t>/次</w:t>
            </w:r>
            <w:r>
              <w:rPr>
                <w:rFonts w:hint="default" w:ascii="Times New Roman" w:hAnsi="Times New Roman" w:cs="Times New Roman" w:eastAsiaTheme="minorEastAsia"/>
                <w:b w:val="0"/>
                <w:bCs/>
                <w:caps w:val="0"/>
                <w:color w:val="auto"/>
                <w:sz w:val="24"/>
                <w:szCs w:val="24"/>
                <w:highlight w:val="none"/>
                <w:lang w:eastAsia="zh-CN"/>
              </w:rPr>
              <w:t>，</w:t>
            </w:r>
            <w:r>
              <w:rPr>
                <w:rFonts w:hint="default" w:ascii="Times New Roman" w:hAnsi="Times New Roman" w:cs="Times New Roman" w:eastAsiaTheme="minorEastAsia"/>
                <w:b w:val="0"/>
                <w:bCs/>
                <w:caps w:val="0"/>
                <w:color w:val="auto"/>
                <w:sz w:val="24"/>
                <w:szCs w:val="24"/>
                <w:highlight w:val="none"/>
                <w:lang w:val="en-US" w:eastAsia="zh-CN"/>
              </w:rPr>
              <w:t>项目产生的初期雨水量为2673.6m</w:t>
            </w:r>
            <w:r>
              <w:rPr>
                <w:rFonts w:hint="default" w:ascii="Times New Roman" w:hAnsi="Times New Roman" w:cs="Times New Roman" w:eastAsiaTheme="minorEastAsia"/>
                <w:b w:val="0"/>
                <w:bCs/>
                <w:caps w:val="0"/>
                <w:color w:val="auto"/>
                <w:sz w:val="24"/>
                <w:szCs w:val="24"/>
                <w:highlight w:val="none"/>
                <w:vertAlign w:val="superscript"/>
                <w:lang w:val="en-US" w:eastAsia="zh-CN"/>
              </w:rPr>
              <w:t>3</w:t>
            </w:r>
            <w:r>
              <w:rPr>
                <w:rFonts w:hint="default" w:ascii="Times New Roman" w:hAnsi="Times New Roman" w:cs="Times New Roman" w:eastAsiaTheme="minorEastAsia"/>
                <w:b w:val="0"/>
                <w:bCs/>
                <w:caps w:val="0"/>
                <w:color w:val="auto"/>
                <w:sz w:val="24"/>
                <w:szCs w:val="24"/>
                <w:highlight w:val="none"/>
                <w:lang w:val="en-US" w:eastAsia="zh-CN"/>
              </w:rPr>
              <w:t>/a，8.9m</w:t>
            </w:r>
            <w:r>
              <w:rPr>
                <w:rFonts w:hint="default" w:ascii="Times New Roman" w:hAnsi="Times New Roman" w:cs="Times New Roman" w:eastAsiaTheme="minorEastAsia"/>
                <w:b w:val="0"/>
                <w:bCs/>
                <w:caps w:val="0"/>
                <w:color w:val="auto"/>
                <w:sz w:val="24"/>
                <w:szCs w:val="24"/>
                <w:highlight w:val="none"/>
                <w:vertAlign w:val="superscript"/>
                <w:lang w:val="en-US" w:eastAsia="zh-CN"/>
              </w:rPr>
              <w:t>3</w:t>
            </w:r>
            <w:r>
              <w:rPr>
                <w:rFonts w:hint="default" w:ascii="Times New Roman" w:hAnsi="Times New Roman" w:cs="Times New Roman" w:eastAsiaTheme="minorEastAsia"/>
                <w:b w:val="0"/>
                <w:bCs/>
                <w:caps w:val="0"/>
                <w:color w:val="auto"/>
                <w:sz w:val="24"/>
                <w:szCs w:val="24"/>
                <w:highlight w:val="none"/>
                <w:lang w:val="en-US" w:eastAsia="zh-CN"/>
              </w:rPr>
              <w:t>/d，初期雨水经沉淀后，回用于厂区道路洒水降尘，不外排</w:t>
            </w:r>
            <w:r>
              <w:rPr>
                <w:rFonts w:hint="default" w:ascii="Times New Roman" w:hAnsi="Times New Roman" w:cs="Times New Roman" w:eastAsiaTheme="minorEastAsia"/>
                <w:b w:val="0"/>
                <w:bCs/>
                <w:color w:val="auto"/>
                <w:sz w:val="24"/>
                <w:szCs w:val="24"/>
                <w:lang w:val="en-US" w:eastAsia="zh-CN"/>
              </w:rPr>
              <w:t>。</w:t>
            </w:r>
          </w:p>
          <w:p w14:paraId="3128BB69">
            <w:pPr>
              <w:keepNext w:val="0"/>
              <w:pageBreakBefore w:val="0"/>
              <w:widowControl w:val="0"/>
              <w:kinsoku/>
              <w:overflowPunct/>
              <w:autoSpaceDE/>
              <w:autoSpaceDN/>
              <w:bidi w:val="0"/>
              <w:adjustRightInd/>
              <w:snapToGrid/>
              <w:ind w:firstLine="480"/>
              <w:textAlignment w:val="auto"/>
              <w:rPr>
                <w:rFonts w:hint="default" w:ascii="Times New Roman" w:hAnsi="Times New Roman" w:cs="Times New Roman" w:eastAsiaTheme="minorEastAsia"/>
                <w:color w:val="auto"/>
              </w:rPr>
            </w:pPr>
            <w:r>
              <w:rPr>
                <w:rFonts w:hint="eastAsia" w:cs="Times New Roman" w:eastAsiaTheme="minorEastAsia"/>
                <w:color w:val="auto"/>
                <w:lang w:val="en-US" w:eastAsia="zh-CN"/>
              </w:rPr>
              <w:t>在建项目</w:t>
            </w:r>
            <w:r>
              <w:rPr>
                <w:rFonts w:hint="default" w:ascii="Times New Roman" w:hAnsi="Times New Roman" w:cs="Times New Roman" w:eastAsiaTheme="minorEastAsia"/>
                <w:color w:val="auto"/>
              </w:rPr>
              <w:t>水量平衡见图2-</w:t>
            </w:r>
            <w:r>
              <w:rPr>
                <w:rFonts w:hint="eastAsia" w:cs="Times New Roman" w:eastAsiaTheme="minorEastAsia"/>
                <w:color w:val="auto"/>
                <w:lang w:val="en-US" w:eastAsia="zh-CN"/>
              </w:rPr>
              <w:t>5</w:t>
            </w:r>
            <w:r>
              <w:rPr>
                <w:rFonts w:hint="default" w:ascii="Times New Roman" w:hAnsi="Times New Roman" w:cs="Times New Roman" w:eastAsiaTheme="minorEastAsia"/>
                <w:color w:val="auto"/>
              </w:rPr>
              <w:t>。</w:t>
            </w:r>
          </w:p>
          <w:p w14:paraId="2D0F4569">
            <w:pPr>
              <w:pStyle w:val="13"/>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color w:val="auto"/>
                <w:lang w:val="en-US" w:eastAsia="zh-CN"/>
              </w:rPr>
            </w:pPr>
            <w:r>
              <w:rPr>
                <w:rStyle w:val="64"/>
                <w:rFonts w:hint="default" w:ascii="Times New Roman" w:hAnsi="Times New Roman" w:cs="Times New Roman" w:eastAsiaTheme="minorEastAsia"/>
                <w:i w:val="0"/>
                <w:iCs/>
                <w:color w:val="auto"/>
                <w:sz w:val="24"/>
                <w:szCs w:val="24"/>
              </w:rPr>
              <w:object>
                <v:shape id="_x0000_i1031" o:spt="75" type="#_x0000_t75" style="height:170.75pt;width:393.8pt;" o:ole="t" filled="f" o:preferrelative="t" stroked="f" coordsize="21600,21600">
                  <v:path/>
                  <v:fill on="f" focussize="0,0"/>
                  <v:stroke on="f"/>
                  <v:imagedata r:id="rId23" o:title=""/>
                  <o:lock v:ext="edit" aspectratio="f"/>
                  <w10:wrap type="none"/>
                  <w10:anchorlock/>
                </v:shape>
                <o:OLEObject Type="Embed" ProgID="Visio.Drawing.11" ShapeID="_x0000_i1031" DrawAspect="Content" ObjectID="_1468075731" r:id="rId22">
                  <o:LockedField>false</o:LockedField>
                </o:OLEObject>
              </w:object>
            </w:r>
            <w:r>
              <w:rPr>
                <w:rStyle w:val="64"/>
                <w:rFonts w:hint="default" w:ascii="Times New Roman" w:hAnsi="Times New Roman" w:cs="Times New Roman" w:eastAsiaTheme="minorEastAsia"/>
                <w:i w:val="0"/>
                <w:iCs/>
                <w:color w:val="auto"/>
                <w:sz w:val="24"/>
                <w:szCs w:val="24"/>
              </w:rPr>
              <w:t>图2-</w:t>
            </w:r>
            <w:r>
              <w:rPr>
                <w:rStyle w:val="64"/>
                <w:rFonts w:hint="eastAsia" w:ascii="Times New Roman" w:hAnsi="Times New Roman" w:cs="Times New Roman" w:eastAsiaTheme="minorEastAsia"/>
                <w:i w:val="0"/>
                <w:iCs/>
                <w:color w:val="auto"/>
                <w:sz w:val="24"/>
                <w:szCs w:val="24"/>
                <w:lang w:val="en-US" w:eastAsia="zh-CN"/>
              </w:rPr>
              <w:t>5</w:t>
            </w:r>
            <w:r>
              <w:rPr>
                <w:rStyle w:val="64"/>
                <w:rFonts w:hint="default" w:ascii="Times New Roman" w:hAnsi="Times New Roman" w:cs="Times New Roman" w:eastAsiaTheme="minorEastAsia"/>
                <w:i w:val="0"/>
                <w:iCs/>
                <w:color w:val="auto"/>
                <w:sz w:val="24"/>
                <w:szCs w:val="24"/>
                <w:lang w:val="en-US" w:eastAsia="zh-CN"/>
              </w:rPr>
              <w:t xml:space="preserve"> </w:t>
            </w:r>
            <w:r>
              <w:rPr>
                <w:rStyle w:val="64"/>
                <w:rFonts w:hint="eastAsia" w:ascii="Times New Roman" w:hAnsi="Times New Roman" w:cs="Times New Roman" w:eastAsiaTheme="minorEastAsia"/>
                <w:i w:val="0"/>
                <w:iCs/>
                <w:color w:val="auto"/>
                <w:sz w:val="24"/>
                <w:szCs w:val="24"/>
                <w:lang w:val="en-US" w:eastAsia="zh-CN"/>
              </w:rPr>
              <w:t>在建</w:t>
            </w:r>
            <w:r>
              <w:rPr>
                <w:rStyle w:val="64"/>
                <w:rFonts w:hint="default" w:ascii="Times New Roman" w:hAnsi="Times New Roman" w:cs="Times New Roman" w:eastAsiaTheme="minorEastAsia"/>
                <w:i w:val="0"/>
                <w:iCs/>
                <w:color w:val="auto"/>
                <w:sz w:val="24"/>
                <w:szCs w:val="24"/>
              </w:rPr>
              <w:t xml:space="preserve">项目水量平衡图 </w:t>
            </w:r>
            <w:r>
              <w:rPr>
                <w:rStyle w:val="64"/>
                <w:rFonts w:hint="default" w:ascii="Times New Roman" w:hAnsi="Times New Roman" w:cs="Times New Roman" w:eastAsiaTheme="minorEastAsia"/>
                <w:i w:val="0"/>
                <w:iCs/>
                <w:color w:val="auto"/>
                <w:sz w:val="24"/>
                <w:szCs w:val="24"/>
                <w:lang w:val="en-US" w:eastAsia="zh-CN"/>
              </w:rPr>
              <w:t xml:space="preserve">      </w:t>
            </w:r>
            <w:r>
              <w:rPr>
                <w:rStyle w:val="64"/>
                <w:rFonts w:hint="default" w:ascii="Times New Roman" w:hAnsi="Times New Roman" w:cs="Times New Roman" w:eastAsiaTheme="minorEastAsia"/>
                <w:i w:val="0"/>
                <w:iCs/>
                <w:color w:val="auto"/>
                <w:sz w:val="24"/>
                <w:szCs w:val="24"/>
              </w:rPr>
              <w:t xml:space="preserve"> 单位：m</w:t>
            </w:r>
            <w:r>
              <w:rPr>
                <w:rStyle w:val="64"/>
                <w:rFonts w:hint="default" w:ascii="Times New Roman" w:hAnsi="Times New Roman" w:cs="Times New Roman" w:eastAsiaTheme="minorEastAsia"/>
                <w:i w:val="0"/>
                <w:iCs/>
                <w:color w:val="auto"/>
                <w:sz w:val="24"/>
                <w:szCs w:val="24"/>
                <w:vertAlign w:val="superscript"/>
              </w:rPr>
              <w:t>3</w:t>
            </w:r>
            <w:r>
              <w:rPr>
                <w:rStyle w:val="64"/>
                <w:rFonts w:hint="default" w:ascii="Times New Roman" w:hAnsi="Times New Roman" w:cs="Times New Roman" w:eastAsiaTheme="minorEastAsia"/>
                <w:i w:val="0"/>
                <w:iCs/>
                <w:color w:val="auto"/>
                <w:sz w:val="24"/>
                <w:szCs w:val="24"/>
              </w:rPr>
              <w:t>/d</w:t>
            </w:r>
          </w:p>
          <w:p w14:paraId="765930E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i w:val="0"/>
                <w:iCs/>
                <w:color w:val="auto"/>
                <w:sz w:val="24"/>
                <w:szCs w:val="24"/>
                <w:highlight w:val="none"/>
                <w:lang w:val="en-US" w:eastAsia="zh-CN"/>
              </w:rPr>
            </w:pPr>
            <w:r>
              <w:rPr>
                <w:rFonts w:hint="eastAsia" w:cs="Times New Roman"/>
                <w:b/>
                <w:bCs/>
                <w:i w:val="0"/>
                <w:iCs/>
                <w:color w:val="auto"/>
                <w:sz w:val="24"/>
                <w:szCs w:val="24"/>
                <w:highlight w:val="none"/>
                <w:lang w:val="en-US" w:eastAsia="zh-CN"/>
              </w:rPr>
              <w:t>7、</w:t>
            </w:r>
            <w:r>
              <w:rPr>
                <w:rFonts w:hint="default" w:ascii="Times New Roman" w:hAnsi="Times New Roman" w:eastAsia="宋体" w:cs="Times New Roman"/>
                <w:b/>
                <w:bCs/>
                <w:i w:val="0"/>
                <w:iCs/>
                <w:color w:val="auto"/>
                <w:sz w:val="24"/>
                <w:szCs w:val="24"/>
                <w:highlight w:val="none"/>
                <w:lang w:val="en-US" w:eastAsia="zh-CN"/>
              </w:rPr>
              <w:t>主要生产工艺</w:t>
            </w:r>
          </w:p>
          <w:p w14:paraId="055BF192">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rPr>
            </w:pPr>
            <w:r>
              <w:rPr>
                <w:rFonts w:hint="eastAsia" w:cs="Times New Roman"/>
                <w:color w:val="auto"/>
                <w:lang w:val="en-US" w:eastAsia="zh-CN"/>
              </w:rPr>
              <w:t>在建项目</w:t>
            </w:r>
            <w:r>
              <w:rPr>
                <w:rFonts w:hint="default" w:ascii="Times New Roman" w:hAnsi="Times New Roman" w:eastAsia="宋体" w:cs="Times New Roman"/>
                <w:color w:val="auto"/>
              </w:rPr>
              <w:t>原料铁矿主要</w:t>
            </w:r>
            <w:r>
              <w:rPr>
                <w:rFonts w:hint="default" w:ascii="Times New Roman" w:hAnsi="Times New Roman" w:eastAsia="宋体" w:cs="Times New Roman"/>
                <w:color w:val="auto"/>
                <w:lang w:val="en-US" w:eastAsia="zh-CN"/>
              </w:rPr>
              <w:t>来源于</w:t>
            </w:r>
            <w:r>
              <w:rPr>
                <w:rFonts w:hint="eastAsia" w:cs="Times New Roman"/>
                <w:color w:val="auto"/>
                <w:lang w:val="en-US" w:eastAsia="zh-CN"/>
              </w:rPr>
              <w:t>云南峨山矿冶（集团）有限责任公司</w:t>
            </w:r>
            <w:r>
              <w:rPr>
                <w:rFonts w:hint="default" w:ascii="Times New Roman" w:hAnsi="Times New Roman" w:eastAsia="宋体" w:cs="Times New Roman"/>
                <w:color w:val="auto"/>
                <w:lang w:val="en-US" w:eastAsia="zh-CN"/>
              </w:rPr>
              <w:t>在化念铁矿开采的铁矿</w:t>
            </w:r>
            <w:r>
              <w:rPr>
                <w:rFonts w:hint="default" w:ascii="Times New Roman" w:hAnsi="Times New Roman" w:eastAsia="宋体" w:cs="Times New Roman"/>
                <w:color w:val="auto"/>
              </w:rPr>
              <w:t>，</w:t>
            </w:r>
            <w:r>
              <w:rPr>
                <w:rFonts w:hint="eastAsia" w:cs="Times New Roman"/>
                <w:color w:val="auto"/>
                <w:lang w:val="en-US" w:eastAsia="zh-CN"/>
              </w:rPr>
              <w:t>通过</w:t>
            </w:r>
            <w:r>
              <w:rPr>
                <w:rFonts w:hint="default" w:ascii="Times New Roman" w:hAnsi="Times New Roman" w:eastAsia="宋体" w:cs="Times New Roman"/>
                <w:color w:val="auto"/>
              </w:rPr>
              <w:t>对其进行</w:t>
            </w:r>
            <w:r>
              <w:rPr>
                <w:rFonts w:hint="eastAsia" w:ascii="Times New Roman" w:hAnsi="Times New Roman" w:eastAsia="宋体" w:cs="Times New Roman"/>
                <w:color w:val="auto"/>
                <w:lang w:val="en-US" w:eastAsia="zh-CN"/>
              </w:rPr>
              <w:t>破碎在生产</w:t>
            </w:r>
            <w:r>
              <w:rPr>
                <w:rFonts w:hint="default" w:ascii="Times New Roman" w:hAnsi="Times New Roman" w:eastAsia="宋体" w:cs="Times New Roman"/>
                <w:color w:val="auto"/>
              </w:rPr>
              <w:t>，工艺流程简述如下：</w:t>
            </w:r>
          </w:p>
          <w:p w14:paraId="5EA6A240">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（1）给料</w:t>
            </w:r>
          </w:p>
          <w:p w14:paraId="61E74D70">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rPr>
            </w:pPr>
            <w:r>
              <w:rPr>
                <w:rFonts w:hint="eastAsia" w:cs="Times New Roman"/>
                <w:color w:val="auto"/>
                <w:lang w:val="en-US" w:eastAsia="zh-CN"/>
              </w:rPr>
              <w:t>在建</w:t>
            </w:r>
            <w:r>
              <w:rPr>
                <w:rFonts w:hint="eastAsia" w:ascii="Times New Roman" w:hAnsi="Times New Roman" w:eastAsia="宋体" w:cs="Times New Roman"/>
                <w:color w:val="auto"/>
                <w:lang w:val="en-US" w:eastAsia="zh-CN"/>
              </w:rPr>
              <w:t>项目在人工分拣区挑选出粒径过大的矿石，通过装载机送至料斗，</w:t>
            </w:r>
            <w:r>
              <w:rPr>
                <w:rFonts w:hint="default" w:ascii="Times New Roman" w:hAnsi="Times New Roman" w:eastAsia="宋体" w:cs="Times New Roman"/>
                <w:color w:val="auto"/>
              </w:rPr>
              <w:t>项目给料方式为机械给料，装载机从原料堆场抓取原料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粒径大于</w:t>
            </w:r>
            <w:r>
              <w:rPr>
                <w:rFonts w:hint="eastAsia" w:ascii="Times New Roman" w:hAnsi="Times New Roman" w:eastAsia="宋体" w:cs="Times New Roman"/>
                <w:color w:val="auto"/>
                <w:lang w:val="en-US" w:eastAsia="zh-CN"/>
              </w:rPr>
              <w:t>30</w:t>
            </w:r>
            <w:r>
              <w:rPr>
                <w:rFonts w:hint="default" w:ascii="Times New Roman" w:hAnsi="Times New Roman" w:eastAsia="宋体" w:cs="Times New Roman"/>
                <w:color w:val="auto"/>
                <w:lang w:val="en-US" w:eastAsia="zh-CN"/>
              </w:rPr>
              <w:t>0mm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投进给料</w:t>
            </w:r>
            <w:r>
              <w:rPr>
                <w:rFonts w:hint="eastAsia" w:ascii="Times New Roman" w:hAnsi="Times New Roman" w:eastAsia="宋体" w:cs="Times New Roman"/>
                <w:color w:val="auto"/>
                <w:lang w:val="en-US" w:eastAsia="zh-CN"/>
              </w:rPr>
              <w:t>斗</w:t>
            </w:r>
            <w:r>
              <w:rPr>
                <w:rFonts w:hint="default" w:ascii="Times New Roman" w:hAnsi="Times New Roman" w:eastAsia="宋体" w:cs="Times New Roman"/>
                <w:color w:val="auto"/>
              </w:rPr>
              <w:t>，此</w:t>
            </w:r>
            <w:r>
              <w:rPr>
                <w:rFonts w:hint="default" w:ascii="Times New Roman" w:hAnsi="Times New Roman" w:eastAsia="宋体" w:cs="Times New Roman"/>
                <w:color w:val="auto"/>
                <w:lang w:val="en-US" w:eastAsia="zh-CN"/>
              </w:rPr>
              <w:t>工序主要</w:t>
            </w:r>
            <w:r>
              <w:rPr>
                <w:rFonts w:hint="default" w:ascii="Times New Roman" w:hAnsi="Times New Roman" w:eastAsia="宋体" w:cs="Times New Roman"/>
                <w:color w:val="auto"/>
              </w:rPr>
              <w:t>会产生投料风动扬尘、原料堆场风动扬尘</w:t>
            </w:r>
            <w:r>
              <w:rPr>
                <w:rFonts w:hint="default" w:ascii="Times New Roman" w:hAnsi="Times New Roman" w:eastAsia="宋体" w:cs="Times New Roman"/>
                <w:color w:val="auto"/>
                <w:lang w:val="en-US" w:eastAsia="zh-CN"/>
              </w:rPr>
              <w:t>以及噪声</w:t>
            </w:r>
            <w:r>
              <w:rPr>
                <w:rFonts w:hint="default" w:ascii="Times New Roman" w:hAnsi="Times New Roman" w:eastAsia="宋体" w:cs="Times New Roman"/>
                <w:color w:val="auto"/>
              </w:rPr>
              <w:t>。</w:t>
            </w:r>
          </w:p>
          <w:p w14:paraId="60F9EF91">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初破</w:t>
            </w:r>
          </w:p>
          <w:p w14:paraId="6E1D2F7F">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原矿通过</w:t>
            </w:r>
            <w:r>
              <w:rPr>
                <w:rFonts w:hint="eastAsia" w:ascii="Times New Roman" w:hAnsi="Times New Roman" w:eastAsia="宋体" w:cs="Times New Roman"/>
                <w:color w:val="auto"/>
                <w:lang w:val="en-US" w:eastAsia="zh-CN"/>
              </w:rPr>
              <w:t>振动</w:t>
            </w:r>
            <w:r>
              <w:rPr>
                <w:rFonts w:hint="default" w:ascii="Times New Roman" w:hAnsi="Times New Roman" w:eastAsia="宋体" w:cs="Times New Roman"/>
                <w:color w:val="auto"/>
                <w:lang w:val="en-US" w:eastAsia="zh-CN"/>
              </w:rPr>
              <w:t>给料机直接落入颚式破碎机（初破），经初破后获得粒径小于80mm物料落入皮带，经皮带进入</w:t>
            </w:r>
            <w:r>
              <w:rPr>
                <w:rFonts w:hint="eastAsia" w:ascii="Times New Roman" w:hAnsi="Times New Roman" w:eastAsia="宋体" w:cs="Times New Roman"/>
                <w:color w:val="auto"/>
                <w:lang w:val="en-US" w:eastAsia="zh-CN"/>
              </w:rPr>
              <w:t>锤破机</w:t>
            </w:r>
            <w:r>
              <w:rPr>
                <w:rFonts w:hint="default" w:ascii="Times New Roman" w:hAnsi="Times New Roman" w:eastAsia="宋体" w:cs="Times New Roman"/>
                <w:color w:val="auto"/>
                <w:lang w:val="en-US" w:eastAsia="zh-CN"/>
              </w:rPr>
              <w:t>，颚式破碎机上方设置集气罩，该工序产生的</w:t>
            </w:r>
            <w:r>
              <w:rPr>
                <w:rFonts w:hint="eastAsia" w:ascii="Times New Roman" w:hAnsi="Times New Roman" w:eastAsia="宋体" w:cs="Times New Roman"/>
                <w:color w:val="auto"/>
                <w:lang w:val="en-US" w:eastAsia="zh-CN"/>
              </w:rPr>
              <w:t>颗粒物</w:t>
            </w:r>
            <w:r>
              <w:rPr>
                <w:rFonts w:hint="default" w:ascii="Times New Roman" w:hAnsi="Times New Roman" w:eastAsia="宋体" w:cs="Times New Roman"/>
                <w:color w:val="auto"/>
                <w:lang w:val="en-US" w:eastAsia="zh-CN"/>
              </w:rPr>
              <w:t>经集气罩收集后，末端布设1套</w:t>
            </w:r>
            <w:r>
              <w:rPr>
                <w:rFonts w:hint="eastAsia" w:ascii="Times New Roman" w:hAnsi="Times New Roman" w:eastAsia="宋体" w:cs="Times New Roman"/>
                <w:color w:val="auto"/>
                <w:lang w:val="en-US" w:eastAsia="zh-CN"/>
              </w:rPr>
              <w:t>布袋除尘器</w:t>
            </w:r>
            <w:r>
              <w:rPr>
                <w:rFonts w:hint="default" w:ascii="Times New Roman" w:hAnsi="Times New Roman" w:eastAsia="宋体" w:cs="Times New Roman"/>
                <w:color w:val="auto"/>
                <w:lang w:val="en-US" w:eastAsia="zh-CN"/>
              </w:rPr>
              <w:t>，经</w:t>
            </w:r>
            <w:r>
              <w:rPr>
                <w:rFonts w:hint="eastAsia" w:ascii="Times New Roman" w:hAnsi="Times New Roman" w:eastAsia="宋体" w:cs="Times New Roman"/>
                <w:color w:val="auto"/>
                <w:lang w:val="en-US" w:eastAsia="zh-CN"/>
              </w:rPr>
              <w:t>布袋除尘器</w:t>
            </w:r>
            <w:r>
              <w:rPr>
                <w:rFonts w:hint="default" w:ascii="Times New Roman" w:hAnsi="Times New Roman" w:eastAsia="宋体" w:cs="Times New Roman"/>
                <w:color w:val="auto"/>
                <w:lang w:val="en-US" w:eastAsia="zh-CN"/>
              </w:rPr>
              <w:t>处理的废气通过1根15m排气筒（DA001）外排，此工序主要污染物为</w:t>
            </w:r>
            <w:r>
              <w:rPr>
                <w:rFonts w:hint="eastAsia" w:ascii="Times New Roman" w:hAnsi="Times New Roman" w:eastAsia="宋体" w:cs="Times New Roman"/>
                <w:color w:val="auto"/>
                <w:lang w:val="en-US" w:eastAsia="zh-CN"/>
              </w:rPr>
              <w:t>颗粒物、</w:t>
            </w:r>
            <w:r>
              <w:rPr>
                <w:rFonts w:hint="default" w:ascii="Times New Roman" w:hAnsi="Times New Roman" w:eastAsia="宋体" w:cs="Times New Roman"/>
                <w:color w:val="auto"/>
                <w:lang w:val="en-US" w:eastAsia="zh-CN"/>
              </w:rPr>
              <w:t>噪声</w:t>
            </w:r>
            <w:r>
              <w:rPr>
                <w:rFonts w:hint="eastAsia" w:ascii="Times New Roman" w:hAnsi="Times New Roman" w:eastAsia="宋体" w:cs="Times New Roman"/>
                <w:color w:val="auto"/>
                <w:lang w:val="en-US" w:eastAsia="zh-CN"/>
              </w:rPr>
              <w:t>、除尘灰</w:t>
            </w:r>
            <w:r>
              <w:rPr>
                <w:rFonts w:hint="default" w:ascii="Times New Roman" w:hAnsi="Times New Roman" w:eastAsia="宋体" w:cs="Times New Roman"/>
                <w:color w:val="auto"/>
                <w:lang w:val="en-US" w:eastAsia="zh-CN"/>
              </w:rPr>
              <w:t>。</w:t>
            </w:r>
          </w:p>
          <w:p w14:paraId="691904EE">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）二破</w:t>
            </w:r>
          </w:p>
          <w:p w14:paraId="18A91437">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经皮带输送机进入</w:t>
            </w:r>
            <w:r>
              <w:rPr>
                <w:rFonts w:hint="eastAsia" w:ascii="Times New Roman" w:hAnsi="Times New Roman" w:eastAsia="宋体" w:cs="Times New Roman"/>
                <w:color w:val="auto"/>
                <w:lang w:val="en-US" w:eastAsia="zh-CN"/>
              </w:rPr>
              <w:t>锤破机</w:t>
            </w:r>
            <w:r>
              <w:rPr>
                <w:rFonts w:hint="default" w:ascii="Times New Roman" w:hAnsi="Times New Roman" w:eastAsia="宋体" w:cs="Times New Roman"/>
                <w:color w:val="auto"/>
                <w:lang w:val="en-US" w:eastAsia="zh-CN"/>
              </w:rPr>
              <w:t>的物料，再一次经过破碎后，经皮带输送进入振动筛进行</w:t>
            </w:r>
            <w:r>
              <w:rPr>
                <w:rFonts w:hint="eastAsia" w:ascii="Times New Roman" w:hAnsi="Times New Roman" w:eastAsia="宋体" w:cs="Times New Roman"/>
                <w:color w:val="auto"/>
                <w:lang w:val="en-US" w:eastAsia="zh-CN"/>
              </w:rPr>
              <w:t>筛分</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二破产生的废气</w:t>
            </w:r>
            <w:r>
              <w:rPr>
                <w:rFonts w:hint="default" w:ascii="Times New Roman" w:hAnsi="Times New Roman" w:eastAsia="宋体" w:cs="Times New Roman"/>
                <w:color w:val="auto"/>
                <w:lang w:val="en-US" w:eastAsia="zh-CN"/>
              </w:rPr>
              <w:t>经集气罩收集后，末端布设1</w:t>
            </w:r>
            <w:r>
              <w:rPr>
                <w:rFonts w:hint="eastAsia" w:cs="Times New Roman"/>
                <w:color w:val="auto"/>
                <w:lang w:val="en-US" w:eastAsia="zh-CN"/>
              </w:rPr>
              <w:t>套</w:t>
            </w:r>
            <w:r>
              <w:rPr>
                <w:rFonts w:hint="eastAsia" w:ascii="Times New Roman" w:hAnsi="Times New Roman" w:eastAsia="宋体" w:cs="Times New Roman"/>
                <w:color w:val="auto"/>
                <w:lang w:val="en-US" w:eastAsia="zh-CN"/>
              </w:rPr>
              <w:t>布袋除尘器</w:t>
            </w:r>
            <w:r>
              <w:rPr>
                <w:rFonts w:hint="default" w:ascii="Times New Roman" w:hAnsi="Times New Roman" w:eastAsia="宋体" w:cs="Times New Roman"/>
                <w:color w:val="auto"/>
                <w:lang w:val="en-US" w:eastAsia="zh-CN"/>
              </w:rPr>
              <w:t>，经处理</w:t>
            </w:r>
            <w:r>
              <w:rPr>
                <w:rFonts w:hint="eastAsia" w:ascii="Times New Roman" w:hAnsi="Times New Roman" w:eastAsia="宋体" w:cs="Times New Roman"/>
                <w:color w:val="auto"/>
                <w:lang w:val="en-US" w:eastAsia="zh-CN"/>
              </w:rPr>
              <w:t>后</w:t>
            </w:r>
            <w:r>
              <w:rPr>
                <w:rFonts w:hint="default" w:ascii="Times New Roman" w:hAnsi="Times New Roman" w:eastAsia="宋体" w:cs="Times New Roman"/>
                <w:color w:val="auto"/>
                <w:lang w:val="en-US" w:eastAsia="zh-CN"/>
              </w:rPr>
              <w:t>的废气通过1根15m排气筒（DA001）外排，此工序主要污染物为</w:t>
            </w:r>
            <w:r>
              <w:rPr>
                <w:rFonts w:hint="eastAsia" w:ascii="Times New Roman" w:hAnsi="Times New Roman" w:eastAsia="宋体" w:cs="Times New Roman"/>
                <w:color w:val="auto"/>
                <w:lang w:val="en-US" w:eastAsia="zh-CN"/>
              </w:rPr>
              <w:t>颗粒物、</w:t>
            </w:r>
            <w:r>
              <w:rPr>
                <w:rFonts w:hint="default" w:ascii="Times New Roman" w:hAnsi="Times New Roman" w:eastAsia="宋体" w:cs="Times New Roman"/>
                <w:color w:val="auto"/>
                <w:lang w:val="en-US" w:eastAsia="zh-CN"/>
              </w:rPr>
              <w:t>噪声</w:t>
            </w:r>
            <w:r>
              <w:rPr>
                <w:rFonts w:hint="eastAsia" w:ascii="Times New Roman" w:hAnsi="Times New Roman" w:eastAsia="宋体" w:cs="Times New Roman"/>
                <w:color w:val="auto"/>
                <w:lang w:val="en-US" w:eastAsia="zh-CN"/>
              </w:rPr>
              <w:t>、除尘灰</w:t>
            </w:r>
            <w:r>
              <w:rPr>
                <w:rFonts w:hint="default" w:ascii="Times New Roman" w:hAnsi="Times New Roman" w:eastAsia="宋体" w:cs="Times New Roman"/>
                <w:color w:val="auto"/>
                <w:lang w:val="en-US" w:eastAsia="zh-CN"/>
              </w:rPr>
              <w:t>。</w:t>
            </w:r>
          </w:p>
          <w:p w14:paraId="64D115D5">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（3）振动筛分</w:t>
            </w:r>
          </w:p>
          <w:p w14:paraId="5F49C14F">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二</w:t>
            </w:r>
            <w:r>
              <w:rPr>
                <w:rFonts w:hint="default" w:ascii="Times New Roman" w:hAnsi="Times New Roman" w:eastAsia="宋体" w:cs="Times New Roman"/>
                <w:color w:val="auto"/>
                <w:lang w:val="en-US" w:eastAsia="zh-CN"/>
              </w:rPr>
              <w:t>破的物料经皮带输送机流入振动筛，粒径小于</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mm的物料直接</w:t>
            </w:r>
            <w:r>
              <w:rPr>
                <w:rFonts w:hint="eastAsia" w:ascii="Times New Roman" w:hAnsi="Times New Roman" w:eastAsia="宋体" w:cs="Times New Roman"/>
                <w:color w:val="auto"/>
                <w:lang w:val="en-US" w:eastAsia="zh-CN"/>
              </w:rPr>
              <w:t>作为成品，暂存于成品堆场，</w:t>
            </w:r>
            <w:r>
              <w:rPr>
                <w:rFonts w:hint="default" w:ascii="Times New Roman" w:hAnsi="Times New Roman" w:eastAsia="宋体" w:cs="Times New Roman"/>
                <w:color w:val="auto"/>
                <w:lang w:val="en-US" w:eastAsia="zh-CN"/>
              </w:rPr>
              <w:t>粒径为</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mm—80mm的物料进入</w:t>
            </w:r>
            <w:r>
              <w:rPr>
                <w:rFonts w:hint="eastAsia" w:ascii="Times New Roman" w:hAnsi="Times New Roman" w:eastAsia="宋体" w:cs="Times New Roman"/>
                <w:color w:val="auto"/>
                <w:lang w:val="en-US" w:eastAsia="zh-CN"/>
              </w:rPr>
              <w:t>砂机进行三破</w:t>
            </w:r>
            <w:r>
              <w:rPr>
                <w:rFonts w:hint="default" w:ascii="Times New Roman" w:hAnsi="Times New Roman" w:eastAsia="宋体" w:cs="Times New Roman"/>
                <w:color w:val="auto"/>
                <w:lang w:val="en-US" w:eastAsia="zh-CN"/>
              </w:rPr>
              <w:t>。该工序产生的废气经集气罩</w:t>
            </w:r>
            <w:r>
              <w:rPr>
                <w:rFonts w:hint="eastAsia" w:ascii="Times New Roman" w:hAnsi="Times New Roman" w:eastAsia="宋体" w:cs="Times New Roman"/>
                <w:color w:val="auto"/>
                <w:lang w:val="en-US" w:eastAsia="zh-CN"/>
              </w:rPr>
              <w:t>+布袋除尘器</w:t>
            </w:r>
            <w:r>
              <w:rPr>
                <w:rFonts w:hint="default" w:ascii="Times New Roman" w:hAnsi="Times New Roman" w:eastAsia="宋体" w:cs="Times New Roman"/>
                <w:color w:val="auto"/>
                <w:lang w:val="en-US" w:eastAsia="zh-CN"/>
              </w:rPr>
              <w:t>处理后，通过1根15m排气筒（DA00</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）外排，该工序主要污染物为</w:t>
            </w:r>
            <w:r>
              <w:rPr>
                <w:rFonts w:hint="eastAsia" w:ascii="Times New Roman" w:hAnsi="Times New Roman" w:eastAsia="宋体" w:cs="Times New Roman"/>
                <w:color w:val="auto"/>
                <w:lang w:val="en-US" w:eastAsia="zh-CN"/>
              </w:rPr>
              <w:t>颗粒物、</w:t>
            </w:r>
            <w:r>
              <w:rPr>
                <w:rFonts w:hint="default" w:ascii="Times New Roman" w:hAnsi="Times New Roman" w:eastAsia="宋体" w:cs="Times New Roman"/>
                <w:color w:val="auto"/>
                <w:lang w:val="en-US" w:eastAsia="zh-CN"/>
              </w:rPr>
              <w:t>噪声</w:t>
            </w:r>
            <w:r>
              <w:rPr>
                <w:rFonts w:hint="eastAsia" w:ascii="Times New Roman" w:hAnsi="Times New Roman" w:eastAsia="宋体" w:cs="Times New Roman"/>
                <w:color w:val="auto"/>
                <w:lang w:val="en-US" w:eastAsia="zh-CN"/>
              </w:rPr>
              <w:t>、除尘灰</w:t>
            </w:r>
            <w:r>
              <w:rPr>
                <w:rFonts w:hint="default" w:ascii="Times New Roman" w:hAnsi="Times New Roman" w:eastAsia="宋体" w:cs="Times New Roman"/>
                <w:color w:val="auto"/>
                <w:lang w:val="en-US" w:eastAsia="zh-CN"/>
              </w:rPr>
              <w:t>。</w:t>
            </w:r>
          </w:p>
          <w:p w14:paraId="3C41FD39">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三破（砂机）</w:t>
            </w:r>
          </w:p>
          <w:p w14:paraId="0C31AA39">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项目筛分后产生的物料（</w:t>
            </w:r>
            <w:r>
              <w:rPr>
                <w:rFonts w:hint="default" w:ascii="Times New Roman" w:hAnsi="Times New Roman" w:eastAsia="宋体" w:cs="Times New Roman"/>
                <w:color w:val="auto"/>
                <w:lang w:val="en-US" w:eastAsia="zh-CN"/>
              </w:rPr>
              <w:t>粒径为</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mm—80mm的物料</w:t>
            </w:r>
            <w:r>
              <w:rPr>
                <w:rFonts w:hint="eastAsia" w:ascii="Times New Roman" w:hAnsi="Times New Roman" w:eastAsia="宋体" w:cs="Times New Roman"/>
                <w:color w:val="auto"/>
                <w:lang w:val="en-US" w:eastAsia="zh-CN"/>
              </w:rPr>
              <w:t>）经皮带输送机转运至砂机进行三破，经破碎后保证粒径小于5</w:t>
            </w:r>
            <w:r>
              <w:rPr>
                <w:rFonts w:hint="default" w:ascii="Times New Roman" w:hAnsi="Times New Roman" w:eastAsia="宋体" w:cs="Times New Roman"/>
                <w:color w:val="auto"/>
                <w:lang w:val="en-US" w:eastAsia="zh-CN"/>
              </w:rPr>
              <w:t>mm</w:t>
            </w:r>
            <w:r>
              <w:rPr>
                <w:rFonts w:hint="eastAsia" w:ascii="Times New Roman" w:hAnsi="Times New Roman" w:eastAsia="宋体" w:cs="Times New Roman"/>
                <w:color w:val="auto"/>
                <w:lang w:val="en-US" w:eastAsia="zh-CN"/>
              </w:rPr>
              <w:t>后，转运至成品堆场暂存待售，</w:t>
            </w:r>
            <w:r>
              <w:rPr>
                <w:rFonts w:hint="default" w:ascii="Times New Roman" w:hAnsi="Times New Roman" w:eastAsia="宋体" w:cs="Times New Roman"/>
                <w:color w:val="auto"/>
                <w:lang w:val="en-US" w:eastAsia="zh-CN"/>
              </w:rPr>
              <w:t>该工序产生的废气经集气罩</w:t>
            </w:r>
            <w:r>
              <w:rPr>
                <w:rFonts w:hint="eastAsia" w:ascii="Times New Roman" w:hAnsi="Times New Roman" w:eastAsia="宋体" w:cs="Times New Roman"/>
                <w:color w:val="auto"/>
                <w:lang w:val="en-US" w:eastAsia="zh-CN"/>
              </w:rPr>
              <w:t>+布袋除尘器</w:t>
            </w:r>
            <w:r>
              <w:rPr>
                <w:rFonts w:hint="default" w:ascii="Times New Roman" w:hAnsi="Times New Roman" w:eastAsia="宋体" w:cs="Times New Roman"/>
                <w:color w:val="auto"/>
                <w:lang w:val="en-US" w:eastAsia="zh-CN"/>
              </w:rPr>
              <w:t>处理后，通过1根15m排气筒（DA00</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）外排，该工序主要污染物为</w:t>
            </w:r>
            <w:r>
              <w:rPr>
                <w:rFonts w:hint="eastAsia" w:ascii="Times New Roman" w:hAnsi="Times New Roman" w:eastAsia="宋体" w:cs="Times New Roman"/>
                <w:color w:val="auto"/>
                <w:lang w:val="en-US" w:eastAsia="zh-CN"/>
              </w:rPr>
              <w:t>颗粒物、</w:t>
            </w:r>
            <w:r>
              <w:rPr>
                <w:rFonts w:hint="default" w:ascii="Times New Roman" w:hAnsi="Times New Roman" w:eastAsia="宋体" w:cs="Times New Roman"/>
                <w:color w:val="auto"/>
                <w:lang w:val="en-US" w:eastAsia="zh-CN"/>
              </w:rPr>
              <w:t>噪声</w:t>
            </w:r>
            <w:r>
              <w:rPr>
                <w:rFonts w:hint="eastAsia" w:ascii="Times New Roman" w:hAnsi="Times New Roman" w:eastAsia="宋体" w:cs="Times New Roman"/>
                <w:color w:val="auto"/>
                <w:lang w:val="en-US" w:eastAsia="zh-CN"/>
              </w:rPr>
              <w:t>、除尘灰。</w:t>
            </w:r>
          </w:p>
          <w:p w14:paraId="50FE8BFA">
            <w:pPr>
              <w:keepNext w:val="0"/>
              <w:keepLines w:val="0"/>
              <w:pageBreakBefore w:val="0"/>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b w:val="0"/>
                <w:bCs w:val="0"/>
                <w:strike w:val="0"/>
                <w:dstrike w:val="0"/>
                <w:color w:val="auto"/>
                <w:sz w:val="24"/>
                <w:szCs w:val="24"/>
              </w:rPr>
            </w:pPr>
            <w:r>
              <w:rPr>
                <w:rFonts w:hint="eastAsia" w:cs="Times New Roman"/>
                <w:b w:val="0"/>
                <w:bCs w:val="0"/>
                <w:strike w:val="0"/>
                <w:dstrike w:val="0"/>
                <w:color w:val="auto"/>
                <w:sz w:val="24"/>
                <w:szCs w:val="24"/>
                <w:lang w:val="en-US" w:eastAsia="zh-CN"/>
              </w:rPr>
              <w:t>项目</w:t>
            </w:r>
            <w:r>
              <w:rPr>
                <w:rFonts w:hint="default" w:ascii="Times New Roman" w:hAnsi="Times New Roman" w:eastAsia="宋体" w:cs="Times New Roman"/>
                <w:b w:val="0"/>
                <w:bCs w:val="0"/>
                <w:strike w:val="0"/>
                <w:dstrike w:val="0"/>
                <w:color w:val="auto"/>
                <w:sz w:val="24"/>
                <w:szCs w:val="24"/>
              </w:rPr>
              <w:t>生产工艺流程及产污节点见图</w:t>
            </w:r>
            <w:r>
              <w:rPr>
                <w:rFonts w:hint="default" w:ascii="Times New Roman" w:hAnsi="Times New Roman" w:eastAsia="宋体" w:cs="Times New Roman"/>
                <w:b w:val="0"/>
                <w:bCs w:val="0"/>
                <w:strike w:val="0"/>
                <w:dstrike w:val="0"/>
                <w:color w:val="auto"/>
                <w:sz w:val="24"/>
                <w:szCs w:val="24"/>
                <w:lang w:val="en-US" w:eastAsia="zh-CN"/>
              </w:rPr>
              <w:t>2-</w:t>
            </w:r>
            <w:r>
              <w:rPr>
                <w:rFonts w:hint="eastAsia" w:cs="Times New Roman"/>
                <w:b w:val="0"/>
                <w:bCs w:val="0"/>
                <w:strike w:val="0"/>
                <w:dstrike w:val="0"/>
                <w:color w:val="auto"/>
                <w:sz w:val="24"/>
                <w:szCs w:val="24"/>
                <w:lang w:val="en-US" w:eastAsia="zh-CN"/>
              </w:rPr>
              <w:t>6</w:t>
            </w:r>
            <w:r>
              <w:rPr>
                <w:rFonts w:hint="default" w:ascii="Times New Roman" w:hAnsi="Times New Roman" w:eastAsia="宋体" w:cs="Times New Roman"/>
                <w:b w:val="0"/>
                <w:bCs w:val="0"/>
                <w:strike w:val="0"/>
                <w:dstrike w:val="0"/>
                <w:color w:val="auto"/>
                <w:sz w:val="24"/>
                <w:szCs w:val="24"/>
              </w:rPr>
              <w:t>。</w:t>
            </w:r>
          </w:p>
          <w:p w14:paraId="76BB64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val="0"/>
                <w:bCs w:val="0"/>
                <w:strike w:val="0"/>
                <w:dstrike w:val="0"/>
                <w:color w:val="auto"/>
                <w:sz w:val="24"/>
                <w:szCs w:val="24"/>
              </w:rPr>
            </w:pPr>
            <w:r>
              <w:rPr>
                <w:rFonts w:hint="default" w:ascii="Times New Roman" w:hAnsi="Times New Roman" w:eastAsia="宋体" w:cs="Times New Roman"/>
                <w:b w:val="0"/>
                <w:bCs w:val="0"/>
                <w:strike w:val="0"/>
                <w:dstrike w:val="0"/>
                <w:color w:val="auto"/>
                <w:sz w:val="24"/>
                <w:szCs w:val="24"/>
              </w:rPr>
              <w:object>
                <v:shape id="_x0000_i1032" o:spt="75" type="#_x0000_t75" style="height:328.25pt;width:392.65pt;" o:ole="t" filled="f" o:preferrelative="t" stroked="f" coordsize="21600,21600">
                  <v:path/>
                  <v:fill on="f" focussize="0,0"/>
                  <v:stroke on="f"/>
                  <v:imagedata r:id="rId25" o:title=""/>
                  <o:lock v:ext="edit" aspectratio="f"/>
                  <w10:wrap type="none"/>
                  <w10:anchorlock/>
                </v:shape>
                <o:OLEObject Type="Embed" ProgID="Visio.Drawing.11" ShapeID="_x0000_i1032" DrawAspect="Content" ObjectID="_1468075732" r:id="rId24">
                  <o:LockedField>false</o:LockedField>
                </o:OLEObject>
              </w:object>
            </w:r>
          </w:p>
          <w:p w14:paraId="0C769B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图2-</w:t>
            </w:r>
            <w:r>
              <w:rPr>
                <w:rFonts w:hint="eastAsia" w:cs="Times New Roman"/>
                <w:b/>
                <w:bCs/>
                <w:color w:val="auto"/>
                <w:kern w:val="2"/>
                <w:sz w:val="24"/>
                <w:szCs w:val="24"/>
                <w:lang w:val="en-US" w:eastAsia="zh-CN" w:bidi="ar-SA"/>
              </w:rPr>
              <w:t>6</w:t>
            </w:r>
            <w:r>
              <w:rPr>
                <w:rFonts w:hint="default"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cs="Times New Roman"/>
                <w:b/>
                <w:bCs/>
                <w:color w:val="auto"/>
                <w:sz w:val="24"/>
                <w:szCs w:val="24"/>
              </w:rPr>
              <w:t>项目生产工艺流程及产污节点示意图</w:t>
            </w:r>
          </w:p>
          <w:p w14:paraId="26944FE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8、在建项目</w:t>
            </w:r>
            <w:r>
              <w:rPr>
                <w:rFonts w:hint="eastAsia"/>
                <w:b/>
                <w:bCs/>
                <w:color w:val="auto"/>
                <w:sz w:val="24"/>
                <w:highlight w:val="none"/>
                <w:lang w:val="en-US" w:eastAsia="zh-CN"/>
              </w:rPr>
              <w:t>污染物排放核算</w:t>
            </w:r>
          </w:p>
          <w:p w14:paraId="2239FE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①废气</w:t>
            </w:r>
          </w:p>
          <w:p w14:paraId="397812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在建</w:t>
            </w:r>
            <w:r>
              <w:rPr>
                <w:rFonts w:hint="default" w:ascii="Times New Roman" w:hAnsi="Times New Roman" w:eastAsia="宋体" w:cs="Times New Roman"/>
                <w:color w:val="auto"/>
                <w:sz w:val="24"/>
                <w:szCs w:val="24"/>
                <w:highlight w:val="none"/>
                <w:lang w:val="en-US" w:eastAsia="zh-CN"/>
              </w:rPr>
              <w:t>项目废气产排情况如下表</w:t>
            </w:r>
            <w:r>
              <w:rPr>
                <w:rFonts w:hint="eastAsia" w:ascii="Times New Roman" w:hAnsi="Times New Roman" w:eastAsia="宋体" w:cs="Times New Roman"/>
                <w:color w:val="auto"/>
                <w:sz w:val="24"/>
                <w:szCs w:val="24"/>
                <w:highlight w:val="none"/>
                <w:lang w:val="en-US" w:eastAsia="zh-CN"/>
              </w:rPr>
              <w:t>。</w:t>
            </w:r>
          </w:p>
          <w:p w14:paraId="58466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表2-1</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项目废气产排情况一览表</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672"/>
              <w:gridCol w:w="414"/>
              <w:gridCol w:w="676"/>
              <w:gridCol w:w="414"/>
              <w:gridCol w:w="1015"/>
              <w:gridCol w:w="693"/>
              <w:gridCol w:w="649"/>
              <w:gridCol w:w="565"/>
              <w:gridCol w:w="663"/>
              <w:gridCol w:w="559"/>
              <w:gridCol w:w="643"/>
            </w:tblGrid>
            <w:tr w14:paraId="09DD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65" w:type="pct"/>
                  <w:vMerge w:val="restart"/>
                  <w:noWrap w:val="0"/>
                  <w:vAlign w:val="center"/>
                </w:tcPr>
                <w:p w14:paraId="3A39104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产排污环节</w:t>
                  </w:r>
                </w:p>
              </w:tc>
              <w:tc>
                <w:tcPr>
                  <w:tcW w:w="371" w:type="pct"/>
                  <w:vMerge w:val="restart"/>
                  <w:noWrap w:val="0"/>
                  <w:vAlign w:val="center"/>
                </w:tcPr>
                <w:p w14:paraId="3868519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排放口</w:t>
                  </w:r>
                </w:p>
              </w:tc>
              <w:tc>
                <w:tcPr>
                  <w:tcW w:w="271" w:type="pct"/>
                  <w:vMerge w:val="restart"/>
                  <w:noWrap w:val="0"/>
                  <w:vAlign w:val="center"/>
                </w:tcPr>
                <w:p w14:paraId="64B107C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污染物种类</w:t>
                  </w:r>
                </w:p>
              </w:tc>
              <w:tc>
                <w:tcPr>
                  <w:tcW w:w="438" w:type="pct"/>
                  <w:vMerge w:val="restart"/>
                  <w:noWrap w:val="0"/>
                  <w:vAlign w:val="center"/>
                </w:tcPr>
                <w:p w14:paraId="2841924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产生量总t/a</w:t>
                  </w:r>
                </w:p>
              </w:tc>
              <w:tc>
                <w:tcPr>
                  <w:tcW w:w="271" w:type="pct"/>
                  <w:vMerge w:val="restart"/>
                  <w:noWrap w:val="0"/>
                  <w:vAlign w:val="center"/>
                </w:tcPr>
                <w:p w14:paraId="69902E0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排放形式</w:t>
                  </w:r>
                </w:p>
                <w:p w14:paraId="6B469F5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525" w:type="pct"/>
                  <w:gridSpan w:val="3"/>
                  <w:noWrap w:val="0"/>
                  <w:vAlign w:val="center"/>
                </w:tcPr>
                <w:p w14:paraId="4681C15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治理措施</w:t>
                  </w:r>
                </w:p>
              </w:tc>
              <w:tc>
                <w:tcPr>
                  <w:tcW w:w="363" w:type="pct"/>
                  <w:vMerge w:val="restart"/>
                  <w:noWrap w:val="0"/>
                  <w:vAlign w:val="center"/>
                </w:tcPr>
                <w:p w14:paraId="473E30D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vertAlign w:val="baseline"/>
                      <w:lang w:val="en-US" w:eastAsia="zh-CN"/>
                    </w:rPr>
                    <w:t>产生量t/a</w:t>
                  </w:r>
                </w:p>
              </w:tc>
              <w:tc>
                <w:tcPr>
                  <w:tcW w:w="1191" w:type="pct"/>
                  <w:gridSpan w:val="3"/>
                  <w:noWrap w:val="0"/>
                  <w:vAlign w:val="center"/>
                </w:tcPr>
                <w:p w14:paraId="3D3FFBB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排放情况</w:t>
                  </w:r>
                </w:p>
              </w:tc>
            </w:tr>
            <w:tr w14:paraId="50AD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565" w:type="pct"/>
                  <w:vMerge w:val="continue"/>
                  <w:noWrap w:val="0"/>
                  <w:vAlign w:val="center"/>
                </w:tcPr>
                <w:p w14:paraId="48F1FAA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371" w:type="pct"/>
                  <w:vMerge w:val="continue"/>
                  <w:noWrap w:val="0"/>
                  <w:vAlign w:val="center"/>
                </w:tcPr>
                <w:p w14:paraId="1129709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271" w:type="pct"/>
                  <w:vMerge w:val="continue"/>
                  <w:noWrap w:val="0"/>
                  <w:vAlign w:val="center"/>
                </w:tcPr>
                <w:p w14:paraId="6B3DF11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38" w:type="pct"/>
                  <w:vMerge w:val="continue"/>
                  <w:noWrap w:val="0"/>
                  <w:vAlign w:val="center"/>
                </w:tcPr>
                <w:p w14:paraId="0F18672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271" w:type="pct"/>
                  <w:vMerge w:val="continue"/>
                  <w:noWrap w:val="0"/>
                  <w:vAlign w:val="center"/>
                </w:tcPr>
                <w:p w14:paraId="2173DC0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655" w:type="pct"/>
                  <w:noWrap w:val="0"/>
                  <w:vAlign w:val="center"/>
                </w:tcPr>
                <w:p w14:paraId="428CCC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处理工艺</w:t>
                  </w:r>
                </w:p>
              </w:tc>
              <w:tc>
                <w:tcPr>
                  <w:tcW w:w="449" w:type="pct"/>
                  <w:noWrap w:val="0"/>
                  <w:vAlign w:val="center"/>
                </w:tcPr>
                <w:p w14:paraId="1FA3C26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收集效率%</w:t>
                  </w:r>
                </w:p>
              </w:tc>
              <w:tc>
                <w:tcPr>
                  <w:tcW w:w="420" w:type="pct"/>
                  <w:noWrap w:val="0"/>
                  <w:vAlign w:val="center"/>
                </w:tcPr>
                <w:p w14:paraId="6BA22CF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去除</w:t>
                  </w:r>
                  <w:r>
                    <w:rPr>
                      <w:rFonts w:hint="default" w:ascii="Times New Roman" w:hAnsi="Times New Roman" w:eastAsia="宋体" w:cs="Times New Roman"/>
                      <w:b/>
                      <w:bCs/>
                      <w:color w:val="auto"/>
                      <w:sz w:val="21"/>
                      <w:szCs w:val="21"/>
                    </w:rPr>
                    <w:t>效率%</w:t>
                  </w:r>
                </w:p>
              </w:tc>
              <w:tc>
                <w:tcPr>
                  <w:tcW w:w="363" w:type="pct"/>
                  <w:vMerge w:val="continue"/>
                  <w:noWrap w:val="0"/>
                  <w:vAlign w:val="center"/>
                </w:tcPr>
                <w:p w14:paraId="02881A2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430" w:type="pct"/>
                  <w:noWrap w:val="0"/>
                  <w:vAlign w:val="center"/>
                </w:tcPr>
                <w:p w14:paraId="1D727B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排放量t/a</w:t>
                  </w:r>
                </w:p>
              </w:tc>
              <w:tc>
                <w:tcPr>
                  <w:tcW w:w="363" w:type="pct"/>
                  <w:noWrap w:val="0"/>
                  <w:vAlign w:val="center"/>
                </w:tcPr>
                <w:p w14:paraId="227195E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14:paraId="592440A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kg/h</w:t>
                  </w:r>
                </w:p>
              </w:tc>
              <w:tc>
                <w:tcPr>
                  <w:tcW w:w="397" w:type="pct"/>
                  <w:noWrap w:val="0"/>
                  <w:vAlign w:val="center"/>
                </w:tcPr>
                <w:p w14:paraId="289FE5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r>
            <w:tr w14:paraId="1306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65" w:type="pct"/>
                  <w:vMerge w:val="restart"/>
                  <w:noWrap w:val="0"/>
                  <w:vAlign w:val="center"/>
                </w:tcPr>
                <w:p w14:paraId="686FCAD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破碎、筛分工段</w:t>
                  </w:r>
                </w:p>
              </w:tc>
              <w:tc>
                <w:tcPr>
                  <w:tcW w:w="371" w:type="pct"/>
                  <w:noWrap w:val="0"/>
                  <w:vAlign w:val="center"/>
                </w:tcPr>
                <w:p w14:paraId="52781EB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DA001</w:t>
                  </w:r>
                </w:p>
              </w:tc>
              <w:tc>
                <w:tcPr>
                  <w:tcW w:w="271" w:type="pct"/>
                  <w:vMerge w:val="restart"/>
                  <w:noWrap w:val="0"/>
                  <w:vAlign w:val="center"/>
                </w:tcPr>
                <w:p w14:paraId="1CB39D3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38" w:type="pct"/>
                  <w:vMerge w:val="restart"/>
                  <w:noWrap w:val="0"/>
                  <w:vAlign w:val="center"/>
                </w:tcPr>
                <w:p w14:paraId="015AB97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79.2</w:t>
                  </w:r>
                </w:p>
              </w:tc>
              <w:tc>
                <w:tcPr>
                  <w:tcW w:w="271" w:type="pct"/>
                  <w:noWrap w:val="0"/>
                  <w:vAlign w:val="center"/>
                </w:tcPr>
                <w:p w14:paraId="23204CC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w:t>
                  </w:r>
                </w:p>
              </w:tc>
              <w:tc>
                <w:tcPr>
                  <w:tcW w:w="655" w:type="pct"/>
                  <w:noWrap w:val="0"/>
                  <w:vAlign w:val="center"/>
                </w:tcPr>
                <w:p w14:paraId="67CB948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集气罩+布袋除尘</w:t>
                  </w:r>
                </w:p>
              </w:tc>
              <w:tc>
                <w:tcPr>
                  <w:tcW w:w="449" w:type="pct"/>
                  <w:noWrap w:val="0"/>
                  <w:vAlign w:val="center"/>
                </w:tcPr>
                <w:p w14:paraId="588D86F6">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420" w:type="pct"/>
                  <w:noWrap w:val="0"/>
                  <w:vAlign w:val="center"/>
                </w:tcPr>
                <w:p w14:paraId="7BCC7A3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98</w:t>
                  </w:r>
                </w:p>
              </w:tc>
              <w:tc>
                <w:tcPr>
                  <w:tcW w:w="363" w:type="pct"/>
                  <w:noWrap w:val="0"/>
                  <w:vAlign w:val="center"/>
                </w:tcPr>
                <w:p w14:paraId="0E504F4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63.36</w:t>
                  </w:r>
                </w:p>
              </w:tc>
              <w:tc>
                <w:tcPr>
                  <w:tcW w:w="430" w:type="pct"/>
                  <w:noWrap w:val="0"/>
                  <w:vAlign w:val="center"/>
                </w:tcPr>
                <w:p w14:paraId="0FDFB19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1.267</w:t>
                  </w:r>
                </w:p>
              </w:tc>
              <w:tc>
                <w:tcPr>
                  <w:tcW w:w="363" w:type="pct"/>
                  <w:noWrap w:val="0"/>
                  <w:vAlign w:val="center"/>
                </w:tcPr>
                <w:p w14:paraId="7010C57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0.264</w:t>
                  </w:r>
                </w:p>
              </w:tc>
              <w:tc>
                <w:tcPr>
                  <w:tcW w:w="397" w:type="pct"/>
                  <w:noWrap w:val="0"/>
                  <w:vAlign w:val="center"/>
                </w:tcPr>
                <w:p w14:paraId="37EB9EA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17.6</w:t>
                  </w:r>
                </w:p>
              </w:tc>
            </w:tr>
            <w:tr w14:paraId="6FB4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565" w:type="pct"/>
                  <w:vMerge w:val="continue"/>
                  <w:noWrap w:val="0"/>
                  <w:vAlign w:val="center"/>
                </w:tcPr>
                <w:p w14:paraId="37EDD35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71" w:type="pct"/>
                  <w:noWrap w:val="0"/>
                  <w:vAlign w:val="center"/>
                </w:tcPr>
                <w:p w14:paraId="51B551C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271" w:type="pct"/>
                  <w:vMerge w:val="continue"/>
                  <w:noWrap w:val="0"/>
                  <w:vAlign w:val="center"/>
                </w:tcPr>
                <w:p w14:paraId="09F5150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38" w:type="pct"/>
                  <w:vMerge w:val="continue"/>
                  <w:noWrap w:val="0"/>
                  <w:vAlign w:val="center"/>
                </w:tcPr>
                <w:p w14:paraId="45EF1805">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71" w:type="pct"/>
                  <w:noWrap w:val="0"/>
                  <w:vAlign w:val="center"/>
                </w:tcPr>
                <w:p w14:paraId="0ACA017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w:t>
                  </w:r>
                </w:p>
              </w:tc>
              <w:tc>
                <w:tcPr>
                  <w:tcW w:w="655" w:type="pct"/>
                  <w:noWrap w:val="0"/>
                  <w:vAlign w:val="center"/>
                </w:tcPr>
                <w:p w14:paraId="2989F1F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封闭</w:t>
                  </w:r>
                  <w:r>
                    <w:rPr>
                      <w:rFonts w:hint="default" w:ascii="Times New Roman" w:hAnsi="Times New Roman" w:eastAsia="宋体" w:cs="Times New Roman"/>
                      <w:color w:val="auto"/>
                      <w:sz w:val="21"/>
                      <w:szCs w:val="21"/>
                      <w:vertAlign w:val="baseline"/>
                      <w:lang w:val="en-US" w:eastAsia="zh-CN"/>
                    </w:rPr>
                    <w:t>车间、洒水降尘</w:t>
                  </w:r>
                </w:p>
              </w:tc>
              <w:tc>
                <w:tcPr>
                  <w:tcW w:w="449" w:type="pct"/>
                  <w:noWrap w:val="0"/>
                  <w:vAlign w:val="center"/>
                </w:tcPr>
                <w:p w14:paraId="2032E24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0" w:type="pct"/>
                  <w:noWrap w:val="0"/>
                  <w:vAlign w:val="center"/>
                </w:tcPr>
                <w:p w14:paraId="0D5127F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363" w:type="pct"/>
                  <w:noWrap w:val="0"/>
                  <w:vAlign w:val="center"/>
                </w:tcPr>
                <w:p w14:paraId="0958A6B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15.84</w:t>
                  </w:r>
                </w:p>
              </w:tc>
              <w:tc>
                <w:tcPr>
                  <w:tcW w:w="430" w:type="pct"/>
                  <w:noWrap w:val="0"/>
                  <w:vAlign w:val="center"/>
                </w:tcPr>
                <w:p w14:paraId="4179548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3.168</w:t>
                  </w:r>
                </w:p>
              </w:tc>
              <w:tc>
                <w:tcPr>
                  <w:tcW w:w="363" w:type="pct"/>
                  <w:noWrap w:val="0"/>
                  <w:vAlign w:val="center"/>
                </w:tcPr>
                <w:p w14:paraId="1A517E1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0.66</w:t>
                  </w:r>
                </w:p>
              </w:tc>
              <w:tc>
                <w:tcPr>
                  <w:tcW w:w="397" w:type="pct"/>
                  <w:noWrap w:val="0"/>
                  <w:vAlign w:val="center"/>
                </w:tcPr>
                <w:p w14:paraId="3638A8F6">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36DD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65" w:type="pct"/>
                  <w:noWrap w:val="0"/>
                  <w:vAlign w:val="center"/>
                </w:tcPr>
                <w:p w14:paraId="51B8760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原料堆场（含装卸粉尘）</w:t>
                  </w:r>
                </w:p>
              </w:tc>
              <w:tc>
                <w:tcPr>
                  <w:tcW w:w="371" w:type="pct"/>
                  <w:noWrap w:val="0"/>
                  <w:vAlign w:val="center"/>
                </w:tcPr>
                <w:p w14:paraId="24BB5DC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271" w:type="pct"/>
                  <w:noWrap w:val="0"/>
                  <w:vAlign w:val="center"/>
                </w:tcPr>
                <w:p w14:paraId="76B3140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颗粒物</w:t>
                  </w:r>
                </w:p>
              </w:tc>
              <w:tc>
                <w:tcPr>
                  <w:tcW w:w="438" w:type="pct"/>
                  <w:noWrap w:val="0"/>
                  <w:vAlign w:val="center"/>
                </w:tcPr>
                <w:p w14:paraId="4EBCA405">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14.59</w:t>
                  </w:r>
                </w:p>
              </w:tc>
              <w:tc>
                <w:tcPr>
                  <w:tcW w:w="271" w:type="pct"/>
                  <w:noWrap w:val="0"/>
                  <w:vAlign w:val="center"/>
                </w:tcPr>
                <w:p w14:paraId="3273518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无组织</w:t>
                  </w:r>
                </w:p>
              </w:tc>
              <w:tc>
                <w:tcPr>
                  <w:tcW w:w="655" w:type="pct"/>
                  <w:noWrap w:val="0"/>
                  <w:vAlign w:val="center"/>
                </w:tcPr>
                <w:p w14:paraId="3E953055">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封闭</w:t>
                  </w:r>
                  <w:r>
                    <w:rPr>
                      <w:rFonts w:hint="default" w:ascii="Times New Roman" w:hAnsi="Times New Roman" w:eastAsia="宋体" w:cs="Times New Roman"/>
                      <w:color w:val="auto"/>
                      <w:sz w:val="21"/>
                      <w:szCs w:val="21"/>
                      <w:vertAlign w:val="baseline"/>
                      <w:lang w:val="en-US" w:eastAsia="zh-CN"/>
                    </w:rPr>
                    <w:t>车间、洒水降尘</w:t>
                  </w:r>
                </w:p>
              </w:tc>
              <w:tc>
                <w:tcPr>
                  <w:tcW w:w="449" w:type="pct"/>
                  <w:noWrap w:val="0"/>
                  <w:vAlign w:val="center"/>
                </w:tcPr>
                <w:p w14:paraId="3C02EA7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20" w:type="pct"/>
                  <w:noWrap w:val="0"/>
                  <w:vAlign w:val="center"/>
                </w:tcPr>
                <w:p w14:paraId="148EE69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89.6</w:t>
                  </w:r>
                </w:p>
              </w:tc>
              <w:tc>
                <w:tcPr>
                  <w:tcW w:w="363" w:type="pct"/>
                  <w:noWrap w:val="0"/>
                  <w:vAlign w:val="center"/>
                </w:tcPr>
                <w:p w14:paraId="7C30B28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14.59</w:t>
                  </w:r>
                </w:p>
              </w:tc>
              <w:tc>
                <w:tcPr>
                  <w:tcW w:w="430" w:type="pct"/>
                  <w:noWrap w:val="0"/>
                  <w:vAlign w:val="center"/>
                </w:tcPr>
                <w:p w14:paraId="742E3C6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1.517</w:t>
                  </w:r>
                </w:p>
              </w:tc>
              <w:tc>
                <w:tcPr>
                  <w:tcW w:w="363" w:type="pct"/>
                  <w:noWrap w:val="0"/>
                  <w:vAlign w:val="center"/>
                </w:tcPr>
                <w:p w14:paraId="42015B9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0.315</w:t>
                  </w:r>
                </w:p>
              </w:tc>
              <w:tc>
                <w:tcPr>
                  <w:tcW w:w="397" w:type="pct"/>
                  <w:noWrap w:val="0"/>
                  <w:vAlign w:val="center"/>
                </w:tcPr>
                <w:p w14:paraId="7A886C9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74A8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65" w:type="pct"/>
                  <w:noWrap w:val="0"/>
                  <w:vAlign w:val="center"/>
                </w:tcPr>
                <w:p w14:paraId="73E506E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成品堆场（含装卸粉尘）</w:t>
                  </w:r>
                </w:p>
              </w:tc>
              <w:tc>
                <w:tcPr>
                  <w:tcW w:w="371" w:type="pct"/>
                  <w:shd w:val="clear" w:color="auto" w:fill="auto"/>
                  <w:noWrap w:val="0"/>
                  <w:vAlign w:val="center"/>
                </w:tcPr>
                <w:p w14:paraId="59439FD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271" w:type="pct"/>
                  <w:shd w:val="clear" w:color="auto" w:fill="auto"/>
                  <w:noWrap w:val="0"/>
                  <w:vAlign w:val="center"/>
                </w:tcPr>
                <w:p w14:paraId="49D67A26">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颗粒物</w:t>
                  </w:r>
                </w:p>
              </w:tc>
              <w:tc>
                <w:tcPr>
                  <w:tcW w:w="438" w:type="pct"/>
                  <w:shd w:val="clear" w:color="auto" w:fill="auto"/>
                  <w:noWrap w:val="0"/>
                  <w:vAlign w:val="center"/>
                </w:tcPr>
                <w:p w14:paraId="666F0375">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14.59</w:t>
                  </w:r>
                </w:p>
              </w:tc>
              <w:tc>
                <w:tcPr>
                  <w:tcW w:w="271" w:type="pct"/>
                  <w:shd w:val="clear" w:color="auto" w:fill="auto"/>
                  <w:noWrap w:val="0"/>
                  <w:vAlign w:val="center"/>
                </w:tcPr>
                <w:p w14:paraId="1A46E63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无组织</w:t>
                  </w:r>
                </w:p>
              </w:tc>
              <w:tc>
                <w:tcPr>
                  <w:tcW w:w="655" w:type="pct"/>
                  <w:shd w:val="clear" w:color="auto" w:fill="auto"/>
                  <w:noWrap w:val="0"/>
                  <w:vAlign w:val="center"/>
                </w:tcPr>
                <w:p w14:paraId="449643D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封闭</w:t>
                  </w:r>
                  <w:r>
                    <w:rPr>
                      <w:rFonts w:hint="default" w:ascii="Times New Roman" w:hAnsi="Times New Roman" w:eastAsia="宋体" w:cs="Times New Roman"/>
                      <w:color w:val="auto"/>
                      <w:sz w:val="21"/>
                      <w:szCs w:val="21"/>
                      <w:vertAlign w:val="baseline"/>
                      <w:lang w:val="en-US" w:eastAsia="zh-CN"/>
                    </w:rPr>
                    <w:t>车间、洒水降尘</w:t>
                  </w:r>
                </w:p>
              </w:tc>
              <w:tc>
                <w:tcPr>
                  <w:tcW w:w="449" w:type="pct"/>
                  <w:shd w:val="clear" w:color="auto" w:fill="auto"/>
                  <w:noWrap w:val="0"/>
                  <w:vAlign w:val="center"/>
                </w:tcPr>
                <w:p w14:paraId="427893D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20" w:type="pct"/>
                  <w:shd w:val="clear" w:color="auto" w:fill="auto"/>
                  <w:noWrap w:val="0"/>
                  <w:vAlign w:val="center"/>
                </w:tcPr>
                <w:p w14:paraId="6D0A6AC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89.6</w:t>
                  </w:r>
                </w:p>
              </w:tc>
              <w:tc>
                <w:tcPr>
                  <w:tcW w:w="363" w:type="pct"/>
                  <w:shd w:val="clear" w:color="auto" w:fill="auto"/>
                  <w:noWrap w:val="0"/>
                  <w:vAlign w:val="center"/>
                </w:tcPr>
                <w:p w14:paraId="6A39946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14.59</w:t>
                  </w:r>
                </w:p>
              </w:tc>
              <w:tc>
                <w:tcPr>
                  <w:tcW w:w="430" w:type="pct"/>
                  <w:shd w:val="clear" w:color="auto" w:fill="auto"/>
                  <w:noWrap w:val="0"/>
                  <w:vAlign w:val="center"/>
                </w:tcPr>
                <w:p w14:paraId="0CEA757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1.517</w:t>
                  </w:r>
                </w:p>
              </w:tc>
              <w:tc>
                <w:tcPr>
                  <w:tcW w:w="363" w:type="pct"/>
                  <w:shd w:val="clear" w:color="auto" w:fill="auto"/>
                  <w:noWrap w:val="0"/>
                  <w:vAlign w:val="center"/>
                </w:tcPr>
                <w:p w14:paraId="4DE83D3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0.315</w:t>
                  </w:r>
                </w:p>
              </w:tc>
              <w:tc>
                <w:tcPr>
                  <w:tcW w:w="397" w:type="pct"/>
                  <w:shd w:val="clear" w:color="auto" w:fill="auto"/>
                  <w:noWrap w:val="0"/>
                  <w:vAlign w:val="center"/>
                </w:tcPr>
                <w:p w14:paraId="2EC7D7B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7F10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65" w:type="pct"/>
                  <w:noWrap w:val="0"/>
                  <w:vAlign w:val="center"/>
                </w:tcPr>
                <w:p w14:paraId="62E5BD6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投料粉尘</w:t>
                  </w:r>
                </w:p>
              </w:tc>
              <w:tc>
                <w:tcPr>
                  <w:tcW w:w="371" w:type="pct"/>
                  <w:shd w:val="clear" w:color="auto" w:fill="auto"/>
                  <w:noWrap w:val="0"/>
                  <w:vAlign w:val="center"/>
                </w:tcPr>
                <w:p w14:paraId="6DD4DE6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271" w:type="pct"/>
                  <w:shd w:val="clear" w:color="auto" w:fill="auto"/>
                  <w:noWrap w:val="0"/>
                  <w:vAlign w:val="center"/>
                </w:tcPr>
                <w:p w14:paraId="146AF52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颗粒物</w:t>
                  </w:r>
                </w:p>
              </w:tc>
              <w:tc>
                <w:tcPr>
                  <w:tcW w:w="438" w:type="pct"/>
                  <w:noWrap w:val="0"/>
                  <w:vAlign w:val="center"/>
                </w:tcPr>
                <w:p w14:paraId="43DF794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0.684</w:t>
                  </w:r>
                </w:p>
              </w:tc>
              <w:tc>
                <w:tcPr>
                  <w:tcW w:w="271" w:type="pct"/>
                  <w:noWrap w:val="0"/>
                  <w:vAlign w:val="center"/>
                </w:tcPr>
                <w:p w14:paraId="4362748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w:t>
                  </w:r>
                </w:p>
              </w:tc>
              <w:tc>
                <w:tcPr>
                  <w:tcW w:w="655" w:type="pct"/>
                  <w:noWrap w:val="0"/>
                  <w:vAlign w:val="center"/>
                </w:tcPr>
                <w:p w14:paraId="598A109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投料口设置拦挡及洒水喷淋、控制高度等措施</w:t>
                  </w:r>
                </w:p>
              </w:tc>
              <w:tc>
                <w:tcPr>
                  <w:tcW w:w="449" w:type="pct"/>
                  <w:noWrap w:val="0"/>
                  <w:vAlign w:val="center"/>
                </w:tcPr>
                <w:p w14:paraId="7F0938DC">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0" w:type="pct"/>
                  <w:noWrap w:val="0"/>
                  <w:vAlign w:val="center"/>
                </w:tcPr>
                <w:p w14:paraId="49215A1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363" w:type="pct"/>
                  <w:noWrap w:val="0"/>
                  <w:vAlign w:val="center"/>
                </w:tcPr>
                <w:p w14:paraId="4650CD1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0.684</w:t>
                  </w:r>
                </w:p>
              </w:tc>
              <w:tc>
                <w:tcPr>
                  <w:tcW w:w="430" w:type="pct"/>
                  <w:noWrap w:val="0"/>
                  <w:vAlign w:val="center"/>
                </w:tcPr>
                <w:p w14:paraId="45E4C87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0.137</w:t>
                  </w:r>
                </w:p>
              </w:tc>
              <w:tc>
                <w:tcPr>
                  <w:tcW w:w="363" w:type="pct"/>
                  <w:noWrap w:val="0"/>
                  <w:vAlign w:val="center"/>
                </w:tcPr>
                <w:p w14:paraId="59593E2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0.029</w:t>
                  </w:r>
                </w:p>
              </w:tc>
              <w:tc>
                <w:tcPr>
                  <w:tcW w:w="397" w:type="pct"/>
                  <w:noWrap w:val="0"/>
                  <w:vAlign w:val="center"/>
                </w:tcPr>
                <w:p w14:paraId="6F6EA07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0795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65" w:type="pct"/>
                  <w:noWrap w:val="0"/>
                  <w:vAlign w:val="center"/>
                </w:tcPr>
                <w:p w14:paraId="6AB92F9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运输扬尘</w:t>
                  </w:r>
                </w:p>
              </w:tc>
              <w:tc>
                <w:tcPr>
                  <w:tcW w:w="371" w:type="pct"/>
                  <w:noWrap w:val="0"/>
                  <w:vAlign w:val="center"/>
                </w:tcPr>
                <w:p w14:paraId="3C476D5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271" w:type="pct"/>
                  <w:noWrap w:val="0"/>
                  <w:vAlign w:val="center"/>
                </w:tcPr>
                <w:p w14:paraId="36EE0AC6">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38" w:type="pct"/>
                  <w:noWrap w:val="0"/>
                  <w:vAlign w:val="center"/>
                </w:tcPr>
                <w:p w14:paraId="106AE14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0.161</w:t>
                  </w:r>
                </w:p>
              </w:tc>
              <w:tc>
                <w:tcPr>
                  <w:tcW w:w="271" w:type="pct"/>
                  <w:noWrap w:val="0"/>
                  <w:vAlign w:val="center"/>
                </w:tcPr>
                <w:p w14:paraId="360388E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w:t>
                  </w:r>
                </w:p>
              </w:tc>
              <w:tc>
                <w:tcPr>
                  <w:tcW w:w="655" w:type="pct"/>
                  <w:noWrap w:val="0"/>
                  <w:vAlign w:val="center"/>
                </w:tcPr>
                <w:p w14:paraId="4E8CFFB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规范车辆装载方式，</w:t>
                  </w:r>
                  <w:r>
                    <w:rPr>
                      <w:rFonts w:hint="default" w:ascii="Times New Roman" w:hAnsi="Times New Roman" w:eastAsia="宋体" w:cs="Times New Roman"/>
                      <w:color w:val="auto"/>
                      <w:sz w:val="21"/>
                      <w:szCs w:val="21"/>
                    </w:rPr>
                    <w:t>洒水降尘、及时清扫运输路面</w:t>
                  </w:r>
                </w:p>
              </w:tc>
              <w:tc>
                <w:tcPr>
                  <w:tcW w:w="449" w:type="pct"/>
                  <w:noWrap w:val="0"/>
                  <w:vAlign w:val="center"/>
                </w:tcPr>
                <w:p w14:paraId="3F18598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0" w:type="pct"/>
                  <w:noWrap w:val="0"/>
                  <w:vAlign w:val="center"/>
                </w:tcPr>
                <w:p w14:paraId="4BAC99F6">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w:t>
                  </w:r>
                </w:p>
              </w:tc>
              <w:tc>
                <w:tcPr>
                  <w:tcW w:w="363" w:type="pct"/>
                  <w:noWrap w:val="0"/>
                  <w:vAlign w:val="center"/>
                </w:tcPr>
                <w:p w14:paraId="4E6DC73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0.161</w:t>
                  </w:r>
                </w:p>
              </w:tc>
              <w:tc>
                <w:tcPr>
                  <w:tcW w:w="430" w:type="pct"/>
                  <w:noWrap w:val="0"/>
                  <w:vAlign w:val="center"/>
                </w:tcPr>
                <w:p w14:paraId="01E15CE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0.048</w:t>
                  </w:r>
                </w:p>
              </w:tc>
              <w:tc>
                <w:tcPr>
                  <w:tcW w:w="363" w:type="pct"/>
                  <w:noWrap w:val="0"/>
                  <w:vAlign w:val="center"/>
                </w:tcPr>
                <w:p w14:paraId="0397A306">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7" w:type="pct"/>
                  <w:noWrap w:val="0"/>
                  <w:vAlign w:val="center"/>
                </w:tcPr>
                <w:p w14:paraId="5DDA511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5A09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808" w:type="pct"/>
                  <w:gridSpan w:val="9"/>
                  <w:noWrap w:val="0"/>
                  <w:vAlign w:val="center"/>
                </w:tcPr>
                <w:p w14:paraId="4CE664A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合计排放量（有组织废气排放量）</w:t>
                  </w:r>
                </w:p>
              </w:tc>
              <w:tc>
                <w:tcPr>
                  <w:tcW w:w="1191" w:type="pct"/>
                  <w:gridSpan w:val="3"/>
                  <w:noWrap w:val="0"/>
                  <w:vAlign w:val="center"/>
                </w:tcPr>
                <w:p w14:paraId="11BB13B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1.267</w:t>
                  </w:r>
                  <w:r>
                    <w:rPr>
                      <w:rFonts w:hint="default" w:ascii="Times New Roman" w:hAnsi="Times New Roman" w:eastAsia="宋体" w:cs="Times New Roman"/>
                      <w:b w:val="0"/>
                      <w:bCs w:val="0"/>
                      <w:i w:val="0"/>
                      <w:iCs/>
                      <w:color w:val="auto"/>
                      <w:kern w:val="2"/>
                      <w:sz w:val="21"/>
                      <w:szCs w:val="21"/>
                      <w:lang w:val="en-US" w:eastAsia="zh-CN" w:bidi="ar-SA"/>
                    </w:rPr>
                    <w:t>t/a</w:t>
                  </w:r>
                </w:p>
              </w:tc>
            </w:tr>
            <w:tr w14:paraId="7208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808" w:type="pct"/>
                  <w:gridSpan w:val="9"/>
                  <w:noWrap w:val="0"/>
                  <w:vAlign w:val="center"/>
                </w:tcPr>
                <w:p w14:paraId="4FBB5EB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合计排放量（无组织废气排放量）</w:t>
                  </w:r>
                </w:p>
              </w:tc>
              <w:tc>
                <w:tcPr>
                  <w:tcW w:w="1191" w:type="pct"/>
                  <w:gridSpan w:val="3"/>
                  <w:noWrap w:val="0"/>
                  <w:vAlign w:val="center"/>
                </w:tcPr>
                <w:p w14:paraId="3D7AE3F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6.387</w:t>
                  </w:r>
                  <w:r>
                    <w:rPr>
                      <w:rFonts w:hint="default" w:ascii="Times New Roman" w:hAnsi="Times New Roman" w:eastAsia="宋体" w:cs="Times New Roman"/>
                      <w:b w:val="0"/>
                      <w:bCs w:val="0"/>
                      <w:i w:val="0"/>
                      <w:iCs/>
                      <w:color w:val="auto"/>
                      <w:kern w:val="2"/>
                      <w:sz w:val="21"/>
                      <w:szCs w:val="21"/>
                      <w:lang w:val="en-US" w:eastAsia="zh-CN" w:bidi="ar-SA"/>
                    </w:rPr>
                    <w:t>t/a</w:t>
                  </w:r>
                </w:p>
              </w:tc>
            </w:tr>
            <w:tr w14:paraId="75BA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808" w:type="pct"/>
                  <w:gridSpan w:val="9"/>
                  <w:noWrap w:val="0"/>
                  <w:vAlign w:val="center"/>
                </w:tcPr>
                <w:p w14:paraId="72ABA3D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总计（有组织+无组织）</w:t>
                  </w:r>
                </w:p>
              </w:tc>
              <w:tc>
                <w:tcPr>
                  <w:tcW w:w="1191" w:type="pct"/>
                  <w:gridSpan w:val="3"/>
                  <w:noWrap w:val="0"/>
                  <w:vAlign w:val="center"/>
                </w:tcPr>
                <w:p w14:paraId="4D52DBE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7.654</w:t>
                  </w:r>
                  <w:r>
                    <w:rPr>
                      <w:rFonts w:hint="default" w:ascii="Times New Roman" w:hAnsi="Times New Roman" w:eastAsia="宋体" w:cs="Times New Roman"/>
                      <w:b w:val="0"/>
                      <w:bCs w:val="0"/>
                      <w:i w:val="0"/>
                      <w:iCs/>
                      <w:color w:val="auto"/>
                      <w:kern w:val="2"/>
                      <w:sz w:val="21"/>
                      <w:szCs w:val="21"/>
                      <w:lang w:val="en-US" w:eastAsia="zh-CN" w:bidi="ar-SA"/>
                    </w:rPr>
                    <w:t>t/a</w:t>
                  </w:r>
                </w:p>
              </w:tc>
            </w:tr>
          </w:tbl>
          <w:p w14:paraId="65804A8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②废水</w:t>
            </w:r>
          </w:p>
          <w:p w14:paraId="03ED622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在建</w:t>
            </w:r>
            <w:r>
              <w:rPr>
                <w:rFonts w:hint="default" w:ascii="Times New Roman" w:hAnsi="Times New Roman" w:eastAsia="宋体" w:cs="Times New Roman"/>
                <w:color w:val="auto"/>
                <w:sz w:val="24"/>
                <w:szCs w:val="24"/>
                <w:lang w:val="en-US" w:eastAsia="zh-CN"/>
              </w:rPr>
              <w:t>项目采用雨污分流，雨水经雨水管网收集后，汇入初期雨水收集池，经沉淀后回用于厂区洒水降尘，不外排，</w:t>
            </w:r>
            <w:r>
              <w:rPr>
                <w:rFonts w:hint="default" w:ascii="Times New Roman" w:hAnsi="Times New Roman" w:eastAsia="宋体" w:cs="Times New Roman"/>
                <w:color w:val="auto"/>
                <w:kern w:val="2"/>
                <w:sz w:val="24"/>
                <w:szCs w:val="24"/>
                <w:lang w:val="en-US" w:eastAsia="zh-CN" w:bidi="ar-SA"/>
              </w:rPr>
              <w:t>生活污水</w:t>
            </w:r>
            <w:r>
              <w:rPr>
                <w:rFonts w:hint="default" w:ascii="Times New Roman" w:hAnsi="Times New Roman" w:eastAsia="宋体" w:cs="Times New Roman"/>
                <w:color w:val="auto"/>
                <w:sz w:val="24"/>
                <w:szCs w:val="24"/>
                <w:lang w:val="en-US" w:eastAsia="zh-CN"/>
              </w:rPr>
              <w:t>经2m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/d的一体化污水处理设施处理达标后，晴天回用于厂区绿化，不外排，雨天暂存于中水池，待晴天后回用于厂区绿化，不外排，生产用水主要为洒水降尘用水，该部分用水全部蒸发，不外排。</w:t>
            </w:r>
          </w:p>
          <w:p w14:paraId="30085D4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w:t>
            </w:r>
            <w:r>
              <w:rPr>
                <w:rFonts w:hint="eastAsia" w:ascii="Times New Roman" w:hAnsi="Times New Roman" w:eastAsia="宋体" w:cs="Times New Roman"/>
                <w:b w:val="0"/>
                <w:bCs w:val="0"/>
                <w:color w:val="auto"/>
                <w:sz w:val="24"/>
                <w:szCs w:val="24"/>
                <w:lang w:val="en-US" w:eastAsia="zh-CN"/>
              </w:rPr>
              <w:t>噪声</w:t>
            </w:r>
          </w:p>
          <w:p w14:paraId="59C3EB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通过预测模型计算，项目厂界噪声的最大值预测结果与达标分析见表</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p>
          <w:p w14:paraId="7C667B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w:t>
            </w:r>
            <w:r>
              <w:rPr>
                <w:rFonts w:hint="eastAsia" w:cs="Times New Roman" w:eastAsiaTheme="minorEastAsia"/>
                <w:b/>
                <w:color w:val="auto"/>
                <w:sz w:val="24"/>
                <w:szCs w:val="24"/>
                <w:lang w:val="en-US" w:eastAsia="zh-CN"/>
              </w:rPr>
              <w:t>2</w:t>
            </w:r>
            <w:r>
              <w:rPr>
                <w:rFonts w:hint="default" w:ascii="Times New Roman" w:hAnsi="Times New Roman" w:cs="Times New Roman" w:eastAsiaTheme="minorEastAsia"/>
                <w:b/>
                <w:color w:val="auto"/>
                <w:sz w:val="24"/>
                <w:szCs w:val="24"/>
              </w:rPr>
              <w:t>-1</w:t>
            </w:r>
            <w:r>
              <w:rPr>
                <w:rFonts w:hint="eastAsia" w:cs="Times New Roman" w:eastAsiaTheme="minorEastAsia"/>
                <w:b/>
                <w:color w:val="auto"/>
                <w:sz w:val="24"/>
                <w:szCs w:val="24"/>
                <w:lang w:val="en-US" w:eastAsia="zh-CN"/>
              </w:rPr>
              <w:t>4</w:t>
            </w:r>
            <w:r>
              <w:rPr>
                <w:rFonts w:hint="default" w:ascii="Times New Roman" w:hAnsi="Times New Roman"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rPr>
              <w:t xml:space="preserve"> 厂界噪声预测结果与达标分析表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988"/>
              <w:gridCol w:w="1230"/>
              <w:gridCol w:w="753"/>
              <w:gridCol w:w="855"/>
              <w:gridCol w:w="1276"/>
              <w:gridCol w:w="1165"/>
              <w:gridCol w:w="710"/>
            </w:tblGrid>
            <w:tr w14:paraId="0787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restart"/>
                  <w:noWrap w:val="0"/>
                  <w:vAlign w:val="center"/>
                </w:tcPr>
                <w:p w14:paraId="679C4DB3">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预测点</w:t>
                  </w:r>
                </w:p>
              </w:tc>
              <w:tc>
                <w:tcPr>
                  <w:tcW w:w="1894" w:type="pct"/>
                  <w:gridSpan w:val="3"/>
                  <w:noWrap w:val="0"/>
                  <w:vAlign w:val="center"/>
                </w:tcPr>
                <w:p w14:paraId="65ECA67E">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空间相对位置/m</w:t>
                  </w:r>
                </w:p>
              </w:tc>
              <w:tc>
                <w:tcPr>
                  <w:tcW w:w="545" w:type="pct"/>
                  <w:vMerge w:val="restart"/>
                  <w:noWrap w:val="0"/>
                  <w:vAlign w:val="center"/>
                </w:tcPr>
                <w:p w14:paraId="57D178C5">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时段</w:t>
                  </w:r>
                </w:p>
              </w:tc>
              <w:tc>
                <w:tcPr>
                  <w:tcW w:w="813" w:type="pct"/>
                  <w:vMerge w:val="restart"/>
                  <w:noWrap w:val="0"/>
                  <w:vAlign w:val="center"/>
                </w:tcPr>
                <w:p w14:paraId="28D7A8B6">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噪声预测贡献值/dB(A)</w:t>
                  </w:r>
                </w:p>
              </w:tc>
              <w:tc>
                <w:tcPr>
                  <w:tcW w:w="743" w:type="pct"/>
                  <w:vMerge w:val="restart"/>
                  <w:noWrap w:val="0"/>
                  <w:vAlign w:val="center"/>
                </w:tcPr>
                <w:p w14:paraId="1DC9C79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噪声标准值/dB(A)</w:t>
                  </w:r>
                </w:p>
              </w:tc>
              <w:tc>
                <w:tcPr>
                  <w:tcW w:w="453" w:type="pct"/>
                  <w:vMerge w:val="restart"/>
                  <w:noWrap w:val="0"/>
                  <w:vAlign w:val="center"/>
                </w:tcPr>
                <w:p w14:paraId="10A060FA">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达标情况</w:t>
                  </w:r>
                </w:p>
              </w:tc>
            </w:tr>
            <w:tr w14:paraId="2407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49" w:type="pct"/>
                  <w:vMerge w:val="continue"/>
                  <w:noWrap w:val="0"/>
                  <w:vAlign w:val="center"/>
                </w:tcPr>
                <w:p w14:paraId="204B953F">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630" w:type="pct"/>
                  <w:noWrap w:val="0"/>
                  <w:vAlign w:val="center"/>
                </w:tcPr>
                <w:p w14:paraId="78732D4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X</w:t>
                  </w:r>
                </w:p>
              </w:tc>
              <w:tc>
                <w:tcPr>
                  <w:tcW w:w="784" w:type="pct"/>
                  <w:noWrap w:val="0"/>
                  <w:vAlign w:val="center"/>
                </w:tcPr>
                <w:p w14:paraId="6451AD4D">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Y</w:t>
                  </w:r>
                </w:p>
              </w:tc>
              <w:tc>
                <w:tcPr>
                  <w:tcW w:w="479" w:type="pct"/>
                  <w:noWrap w:val="0"/>
                  <w:vAlign w:val="center"/>
                </w:tcPr>
                <w:p w14:paraId="3DDD0D19">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Z</w:t>
                  </w:r>
                </w:p>
              </w:tc>
              <w:tc>
                <w:tcPr>
                  <w:tcW w:w="545" w:type="pct"/>
                  <w:vMerge w:val="continue"/>
                  <w:noWrap w:val="0"/>
                  <w:vAlign w:val="center"/>
                </w:tcPr>
                <w:p w14:paraId="591261D4">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813" w:type="pct"/>
                  <w:vMerge w:val="continue"/>
                  <w:noWrap w:val="0"/>
                  <w:vAlign w:val="center"/>
                </w:tcPr>
                <w:p w14:paraId="56964BDC">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743" w:type="pct"/>
                  <w:vMerge w:val="continue"/>
                  <w:noWrap w:val="0"/>
                  <w:vAlign w:val="center"/>
                </w:tcPr>
                <w:p w14:paraId="46BD92E1">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453" w:type="pct"/>
                  <w:vMerge w:val="continue"/>
                  <w:noWrap w:val="0"/>
                  <w:vAlign w:val="center"/>
                </w:tcPr>
                <w:p w14:paraId="06AB03ED">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r>
            <w:tr w14:paraId="175E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49" w:type="pct"/>
                  <w:noWrap w:val="0"/>
                  <w:vAlign w:val="center"/>
                </w:tcPr>
                <w:p w14:paraId="4A21FF51">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东厂界</w:t>
                  </w:r>
                </w:p>
              </w:tc>
              <w:tc>
                <w:tcPr>
                  <w:tcW w:w="630" w:type="pct"/>
                  <w:noWrap w:val="0"/>
                  <w:vAlign w:val="center"/>
                </w:tcPr>
                <w:p w14:paraId="348D7407">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37.56</w:t>
                  </w:r>
                </w:p>
              </w:tc>
              <w:tc>
                <w:tcPr>
                  <w:tcW w:w="784" w:type="pct"/>
                  <w:noWrap w:val="0"/>
                  <w:vAlign w:val="center"/>
                </w:tcPr>
                <w:p w14:paraId="38831E93">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-28.01</w:t>
                  </w:r>
                </w:p>
              </w:tc>
              <w:tc>
                <w:tcPr>
                  <w:tcW w:w="479" w:type="pct"/>
                  <w:noWrap w:val="0"/>
                  <w:vAlign w:val="center"/>
                </w:tcPr>
                <w:p w14:paraId="67207A0A">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rPr>
                  </w:pPr>
                  <w:r>
                    <w:rPr>
                      <w:rFonts w:hint="default" w:ascii="Times New Roman" w:hAnsi="Times New Roman" w:eastAsia="宋体" w:cs="Times New Roman"/>
                      <w:i w:val="0"/>
                      <w:iCs/>
                      <w:color w:val="auto"/>
                      <w:sz w:val="21"/>
                      <w:szCs w:val="21"/>
                    </w:rPr>
                    <w:t>1.2</w:t>
                  </w:r>
                </w:p>
              </w:tc>
              <w:tc>
                <w:tcPr>
                  <w:tcW w:w="545" w:type="pct"/>
                  <w:noWrap w:val="0"/>
                  <w:vAlign w:val="center"/>
                </w:tcPr>
                <w:p w14:paraId="4D5C7E2B">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rPr>
                  </w:pPr>
                  <w:r>
                    <w:rPr>
                      <w:rFonts w:hint="default" w:ascii="Times New Roman" w:hAnsi="Times New Roman" w:eastAsia="宋体" w:cs="Times New Roman"/>
                      <w:i w:val="0"/>
                      <w:iCs/>
                      <w:color w:val="auto"/>
                      <w:sz w:val="21"/>
                      <w:szCs w:val="21"/>
                    </w:rPr>
                    <w:t>昼间</w:t>
                  </w:r>
                </w:p>
              </w:tc>
              <w:tc>
                <w:tcPr>
                  <w:tcW w:w="813" w:type="pct"/>
                  <w:noWrap w:val="0"/>
                  <w:vAlign w:val="center"/>
                </w:tcPr>
                <w:p w14:paraId="1C262DE7">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57.84</w:t>
                  </w:r>
                </w:p>
              </w:tc>
              <w:tc>
                <w:tcPr>
                  <w:tcW w:w="743" w:type="pct"/>
                  <w:noWrap w:val="0"/>
                  <w:vAlign w:val="center"/>
                </w:tcPr>
                <w:p w14:paraId="4A3B5DD8">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60</w:t>
                  </w:r>
                </w:p>
              </w:tc>
              <w:tc>
                <w:tcPr>
                  <w:tcW w:w="453" w:type="pct"/>
                  <w:noWrap w:val="0"/>
                  <w:vAlign w:val="center"/>
                </w:tcPr>
                <w:p w14:paraId="3C071BC4">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达标</w:t>
                  </w:r>
                </w:p>
              </w:tc>
            </w:tr>
            <w:tr w14:paraId="5BF7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49" w:type="pct"/>
                  <w:noWrap w:val="0"/>
                  <w:vAlign w:val="center"/>
                </w:tcPr>
                <w:p w14:paraId="713F6F7B">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南厂界</w:t>
                  </w:r>
                </w:p>
              </w:tc>
              <w:tc>
                <w:tcPr>
                  <w:tcW w:w="630" w:type="pct"/>
                  <w:noWrap w:val="0"/>
                  <w:vAlign w:val="center"/>
                </w:tcPr>
                <w:p w14:paraId="23F5EF39">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-1.62</w:t>
                  </w:r>
                </w:p>
              </w:tc>
              <w:tc>
                <w:tcPr>
                  <w:tcW w:w="784" w:type="pct"/>
                  <w:noWrap w:val="0"/>
                  <w:vAlign w:val="center"/>
                </w:tcPr>
                <w:p w14:paraId="622B6386">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-0.47</w:t>
                  </w:r>
                </w:p>
              </w:tc>
              <w:tc>
                <w:tcPr>
                  <w:tcW w:w="479" w:type="pct"/>
                  <w:noWrap w:val="0"/>
                  <w:vAlign w:val="center"/>
                </w:tcPr>
                <w:p w14:paraId="129BEB9B">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rPr>
                  </w:pPr>
                  <w:r>
                    <w:rPr>
                      <w:rFonts w:hint="default" w:ascii="Times New Roman" w:hAnsi="Times New Roman" w:eastAsia="宋体" w:cs="Times New Roman"/>
                      <w:i w:val="0"/>
                      <w:iCs/>
                      <w:color w:val="auto"/>
                      <w:sz w:val="21"/>
                      <w:szCs w:val="21"/>
                    </w:rPr>
                    <w:t>1.2</w:t>
                  </w:r>
                </w:p>
              </w:tc>
              <w:tc>
                <w:tcPr>
                  <w:tcW w:w="545" w:type="pct"/>
                  <w:noWrap w:val="0"/>
                  <w:vAlign w:val="center"/>
                </w:tcPr>
                <w:p w14:paraId="6A34685F">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kern w:val="2"/>
                      <w:sz w:val="21"/>
                      <w:szCs w:val="21"/>
                      <w:lang w:val="en-US" w:eastAsia="zh-CN"/>
                    </w:rPr>
                  </w:pPr>
                  <w:r>
                    <w:rPr>
                      <w:rFonts w:hint="default" w:ascii="Times New Roman" w:hAnsi="Times New Roman" w:eastAsia="宋体" w:cs="Times New Roman"/>
                      <w:i w:val="0"/>
                      <w:iCs/>
                      <w:color w:val="auto"/>
                      <w:kern w:val="2"/>
                      <w:sz w:val="21"/>
                      <w:szCs w:val="21"/>
                      <w:lang w:val="en-US" w:eastAsia="zh-CN"/>
                    </w:rPr>
                    <w:t>昼间</w:t>
                  </w:r>
                </w:p>
              </w:tc>
              <w:tc>
                <w:tcPr>
                  <w:tcW w:w="813" w:type="pct"/>
                  <w:noWrap w:val="0"/>
                  <w:vAlign w:val="center"/>
                </w:tcPr>
                <w:p w14:paraId="51EC9F2D">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59.3</w:t>
                  </w:r>
                </w:p>
              </w:tc>
              <w:tc>
                <w:tcPr>
                  <w:tcW w:w="743" w:type="pct"/>
                  <w:noWrap w:val="0"/>
                  <w:vAlign w:val="center"/>
                </w:tcPr>
                <w:p w14:paraId="480AE5A6">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60</w:t>
                  </w:r>
                </w:p>
              </w:tc>
              <w:tc>
                <w:tcPr>
                  <w:tcW w:w="453" w:type="pct"/>
                  <w:noWrap w:val="0"/>
                  <w:vAlign w:val="center"/>
                </w:tcPr>
                <w:p w14:paraId="4A1AE81E">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达标</w:t>
                  </w:r>
                </w:p>
              </w:tc>
            </w:tr>
            <w:tr w14:paraId="4B00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9" w:type="pct"/>
                  <w:noWrap w:val="0"/>
                  <w:vAlign w:val="center"/>
                </w:tcPr>
                <w:p w14:paraId="57D69503">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西厂界</w:t>
                  </w:r>
                </w:p>
              </w:tc>
              <w:tc>
                <w:tcPr>
                  <w:tcW w:w="630" w:type="pct"/>
                  <w:noWrap w:val="0"/>
                  <w:vAlign w:val="center"/>
                </w:tcPr>
                <w:p w14:paraId="29083B59">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10.69</w:t>
                  </w:r>
                </w:p>
              </w:tc>
              <w:tc>
                <w:tcPr>
                  <w:tcW w:w="784" w:type="pct"/>
                  <w:noWrap w:val="0"/>
                  <w:vAlign w:val="center"/>
                </w:tcPr>
                <w:p w14:paraId="224A23C2">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16.75</w:t>
                  </w:r>
                </w:p>
              </w:tc>
              <w:tc>
                <w:tcPr>
                  <w:tcW w:w="479" w:type="pct"/>
                  <w:noWrap w:val="0"/>
                  <w:vAlign w:val="center"/>
                </w:tcPr>
                <w:p w14:paraId="3C363673">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1.2</w:t>
                  </w:r>
                </w:p>
              </w:tc>
              <w:tc>
                <w:tcPr>
                  <w:tcW w:w="545" w:type="pct"/>
                  <w:noWrap w:val="0"/>
                  <w:vAlign w:val="center"/>
                </w:tcPr>
                <w:p w14:paraId="21B5676E">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kern w:val="2"/>
                      <w:sz w:val="21"/>
                      <w:szCs w:val="21"/>
                      <w:lang w:val="en-US" w:eastAsia="zh-CN"/>
                    </w:rPr>
                  </w:pPr>
                  <w:r>
                    <w:rPr>
                      <w:rFonts w:hint="default" w:ascii="Times New Roman" w:hAnsi="Times New Roman" w:eastAsia="宋体" w:cs="Times New Roman"/>
                      <w:i w:val="0"/>
                      <w:iCs/>
                      <w:color w:val="auto"/>
                      <w:kern w:val="2"/>
                      <w:sz w:val="21"/>
                      <w:szCs w:val="21"/>
                      <w:lang w:val="en-US" w:eastAsia="zh-CN"/>
                    </w:rPr>
                    <w:t>昼间</w:t>
                  </w:r>
                </w:p>
              </w:tc>
              <w:tc>
                <w:tcPr>
                  <w:tcW w:w="813" w:type="pct"/>
                  <w:noWrap w:val="0"/>
                  <w:vAlign w:val="center"/>
                </w:tcPr>
                <w:p w14:paraId="7973494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58.72</w:t>
                  </w:r>
                </w:p>
              </w:tc>
              <w:tc>
                <w:tcPr>
                  <w:tcW w:w="743" w:type="pct"/>
                  <w:noWrap w:val="0"/>
                  <w:vAlign w:val="center"/>
                </w:tcPr>
                <w:p w14:paraId="15D17926">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60</w:t>
                  </w:r>
                </w:p>
              </w:tc>
              <w:tc>
                <w:tcPr>
                  <w:tcW w:w="453" w:type="pct"/>
                  <w:noWrap w:val="0"/>
                  <w:vAlign w:val="center"/>
                </w:tcPr>
                <w:p w14:paraId="71C66171">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达标</w:t>
                  </w:r>
                </w:p>
              </w:tc>
            </w:tr>
            <w:tr w14:paraId="5658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9" w:type="pct"/>
                  <w:noWrap w:val="0"/>
                  <w:vAlign w:val="center"/>
                </w:tcPr>
                <w:p w14:paraId="4DDFABB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北厂界</w:t>
                  </w:r>
                </w:p>
              </w:tc>
              <w:tc>
                <w:tcPr>
                  <w:tcW w:w="630" w:type="pct"/>
                  <w:noWrap w:val="0"/>
                  <w:vAlign w:val="center"/>
                </w:tcPr>
                <w:p w14:paraId="6B161FDD">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20.73</w:t>
                  </w:r>
                </w:p>
              </w:tc>
              <w:tc>
                <w:tcPr>
                  <w:tcW w:w="784" w:type="pct"/>
                  <w:noWrap w:val="0"/>
                  <w:vAlign w:val="center"/>
                </w:tcPr>
                <w:p w14:paraId="0858E645">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32.30</w:t>
                  </w:r>
                </w:p>
              </w:tc>
              <w:tc>
                <w:tcPr>
                  <w:tcW w:w="479" w:type="pct"/>
                  <w:noWrap w:val="0"/>
                  <w:vAlign w:val="center"/>
                </w:tcPr>
                <w:p w14:paraId="65910B84">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rPr>
                  </w:pPr>
                  <w:r>
                    <w:rPr>
                      <w:rFonts w:hint="default" w:ascii="Times New Roman" w:hAnsi="Times New Roman" w:eastAsia="宋体" w:cs="Times New Roman"/>
                      <w:i w:val="0"/>
                      <w:iCs/>
                      <w:color w:val="auto"/>
                      <w:sz w:val="21"/>
                      <w:szCs w:val="21"/>
                    </w:rPr>
                    <w:t>1.2</w:t>
                  </w:r>
                </w:p>
              </w:tc>
              <w:tc>
                <w:tcPr>
                  <w:tcW w:w="545" w:type="pct"/>
                  <w:noWrap w:val="0"/>
                  <w:vAlign w:val="center"/>
                </w:tcPr>
                <w:p w14:paraId="6455BC65">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kern w:val="2"/>
                      <w:sz w:val="21"/>
                      <w:szCs w:val="21"/>
                      <w:lang w:val="en-US" w:eastAsia="zh-CN"/>
                    </w:rPr>
                  </w:pPr>
                  <w:r>
                    <w:rPr>
                      <w:rFonts w:hint="default" w:ascii="Times New Roman" w:hAnsi="Times New Roman" w:eastAsia="宋体" w:cs="Times New Roman"/>
                      <w:i w:val="0"/>
                      <w:iCs/>
                      <w:color w:val="auto"/>
                      <w:kern w:val="2"/>
                      <w:sz w:val="21"/>
                      <w:szCs w:val="21"/>
                      <w:lang w:val="en-US" w:eastAsia="zh-CN"/>
                    </w:rPr>
                    <w:t>昼间</w:t>
                  </w:r>
                </w:p>
              </w:tc>
              <w:tc>
                <w:tcPr>
                  <w:tcW w:w="813" w:type="pct"/>
                  <w:noWrap w:val="0"/>
                  <w:vAlign w:val="center"/>
                </w:tcPr>
                <w:p w14:paraId="65F85A5C">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59.35</w:t>
                  </w:r>
                </w:p>
              </w:tc>
              <w:tc>
                <w:tcPr>
                  <w:tcW w:w="743" w:type="pct"/>
                  <w:noWrap w:val="0"/>
                  <w:vAlign w:val="center"/>
                </w:tcPr>
                <w:p w14:paraId="0B83CF6F">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60</w:t>
                  </w:r>
                </w:p>
              </w:tc>
              <w:tc>
                <w:tcPr>
                  <w:tcW w:w="453" w:type="pct"/>
                  <w:noWrap w:val="0"/>
                  <w:vAlign w:val="center"/>
                </w:tcPr>
                <w:p w14:paraId="0D5F6E6B">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达标</w:t>
                  </w:r>
                </w:p>
              </w:tc>
            </w:tr>
          </w:tbl>
          <w:p w14:paraId="0384B73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根据上表</w:t>
            </w:r>
            <w:r>
              <w:rPr>
                <w:rFonts w:hint="eastAsia" w:cs="Times New Roman"/>
                <w:color w:val="auto"/>
                <w:sz w:val="24"/>
                <w:szCs w:val="24"/>
                <w:lang w:val="en-US" w:eastAsia="zh-CN"/>
              </w:rPr>
              <w:t>2-13</w:t>
            </w:r>
            <w:r>
              <w:rPr>
                <w:rFonts w:hint="default" w:ascii="Times New Roman" w:hAnsi="Times New Roman" w:eastAsia="宋体" w:cs="Times New Roman"/>
                <w:color w:val="auto"/>
                <w:sz w:val="24"/>
                <w:szCs w:val="24"/>
              </w:rPr>
              <w:t>可知，项目厂界噪声均能达到《工业企业厂界环境噪声排放标准》（GB12348-2008）</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且本项目夜间不进行生产，项目产生的噪声对周边环境影响不大。</w:t>
            </w:r>
          </w:p>
          <w:p w14:paraId="6A68DE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④</w:t>
            </w:r>
            <w:r>
              <w:rPr>
                <w:rFonts w:hint="eastAsia" w:ascii="Times New Roman" w:hAnsi="Times New Roman" w:eastAsia="宋体" w:cs="Times New Roman"/>
                <w:color w:val="auto"/>
                <w:sz w:val="24"/>
                <w:szCs w:val="24"/>
                <w:lang w:val="en-US" w:eastAsia="zh-CN"/>
              </w:rPr>
              <w:t>固废</w:t>
            </w:r>
          </w:p>
          <w:p w14:paraId="2364961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本项目营运期产生的固体废物主要包括</w:t>
            </w:r>
            <w:r>
              <w:rPr>
                <w:rFonts w:hint="eastAsia" w:ascii="Times New Roman" w:hAnsi="Times New Roman" w:eastAsia="宋体" w:cs="Times New Roman"/>
                <w:color w:val="auto"/>
                <w:sz w:val="24"/>
                <w:szCs w:val="24"/>
                <w:lang w:val="en-US" w:eastAsia="zh-CN"/>
              </w:rPr>
              <w:t>废布袋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布袋除尘器收集的粉尘</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生活垃圾</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废机油</w:t>
            </w:r>
            <w:r>
              <w:rPr>
                <w:rFonts w:hint="default" w:ascii="Times New Roman" w:hAnsi="Times New Roman" w:eastAsia="宋体" w:cs="Times New Roman"/>
                <w:color w:val="auto"/>
                <w:sz w:val="24"/>
                <w:szCs w:val="24"/>
                <w:lang w:val="en-US" w:eastAsia="zh-CN"/>
              </w:rPr>
              <w:t>等</w:t>
            </w:r>
            <w:r>
              <w:rPr>
                <w:rFonts w:hint="eastAsia" w:ascii="Times New Roman" w:hAnsi="Times New Roman" w:eastAsia="宋体" w:cs="Times New Roman"/>
                <w:color w:val="auto"/>
                <w:sz w:val="24"/>
                <w:szCs w:val="24"/>
                <w:lang w:val="en-US" w:eastAsia="zh-CN"/>
              </w:rPr>
              <w:t>，其中，</w:t>
            </w:r>
            <w:r>
              <w:rPr>
                <w:rFonts w:hint="default" w:ascii="Times New Roman" w:hAnsi="Times New Roman" w:eastAsia="宋体" w:cs="Times New Roman"/>
                <w:color w:val="auto"/>
                <w:sz w:val="24"/>
                <w:szCs w:val="24"/>
                <w:lang w:val="en-US" w:eastAsia="zh-CN"/>
              </w:rPr>
              <w:t>废布袋</w:t>
            </w:r>
            <w:r>
              <w:rPr>
                <w:rFonts w:hint="default" w:ascii="Times New Roman" w:hAnsi="Times New Roman" w:eastAsia="宋体" w:cs="Times New Roman"/>
                <w:color w:val="auto"/>
                <w:sz w:val="24"/>
                <w:szCs w:val="24"/>
              </w:rPr>
              <w:t>产生量约为 0.</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t/a ，</w:t>
            </w:r>
            <w:r>
              <w:rPr>
                <w:rFonts w:hint="default" w:ascii="Times New Roman" w:hAnsi="Times New Roman" w:eastAsia="宋体" w:cs="Times New Roman"/>
                <w:color w:val="auto"/>
                <w:sz w:val="24"/>
                <w:szCs w:val="24"/>
                <w:lang w:val="en-US" w:eastAsia="zh-CN"/>
              </w:rPr>
              <w:t>统一收集后外售处置</w:t>
            </w:r>
            <w:r>
              <w:rPr>
                <w:rFonts w:hint="eastAsia" w:ascii="Times New Roman" w:hAnsi="Times New Roman" w:eastAsia="宋体" w:cs="Times New Roman"/>
                <w:color w:val="auto"/>
                <w:sz w:val="24"/>
                <w:szCs w:val="24"/>
                <w:lang w:val="en-US" w:eastAsia="zh-CN"/>
              </w:rPr>
              <w:t>；布袋除尘器</w:t>
            </w:r>
            <w:r>
              <w:rPr>
                <w:rFonts w:hint="default" w:ascii="Times New Roman" w:hAnsi="Times New Roman" w:eastAsia="宋体" w:cs="Times New Roman"/>
                <w:color w:val="auto"/>
                <w:sz w:val="24"/>
                <w:szCs w:val="24"/>
                <w:lang w:val="en-US" w:eastAsia="zh-CN"/>
              </w:rPr>
              <w:t>收集的粉尘</w:t>
            </w:r>
            <w:r>
              <w:rPr>
                <w:rFonts w:hint="eastAsia" w:ascii="Times New Roman" w:hAnsi="Times New Roman" w:eastAsia="宋体" w:cs="Times New Roman"/>
                <w:color w:val="auto"/>
                <w:sz w:val="24"/>
                <w:szCs w:val="24"/>
                <w:lang w:val="en-US" w:eastAsia="zh-CN"/>
              </w:rPr>
              <w:t>约为62.093</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统一收集后，</w:t>
            </w:r>
            <w:r>
              <w:rPr>
                <w:rFonts w:hint="eastAsia" w:ascii="Times New Roman" w:hAnsi="Times New Roman" w:eastAsia="宋体" w:cs="Times New Roman"/>
                <w:color w:val="auto"/>
                <w:sz w:val="24"/>
                <w:szCs w:val="24"/>
                <w:lang w:val="en-US" w:eastAsia="zh-CN"/>
              </w:rPr>
              <w:t>作</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成品堆存于成品堆场，外售处置；</w:t>
            </w:r>
            <w:r>
              <w:rPr>
                <w:rFonts w:hint="default" w:ascii="Times New Roman" w:hAnsi="Times New Roman" w:eastAsia="宋体" w:cs="Times New Roman"/>
                <w:color w:val="auto"/>
                <w:sz w:val="24"/>
                <w:szCs w:val="24"/>
                <w:lang w:eastAsia="zh-CN"/>
              </w:rPr>
              <w:t>生活垃圾产生量约</w:t>
            </w:r>
            <w:r>
              <w:rPr>
                <w:rFonts w:hint="eastAsia"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统一袋装收集后，送至附近的垃圾暂存点</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由</w:t>
            </w:r>
            <w:r>
              <w:rPr>
                <w:rFonts w:hint="default" w:ascii="Times New Roman" w:hAnsi="Times New Roman" w:eastAsia="宋体" w:cs="Times New Roman"/>
                <w:color w:val="auto"/>
                <w:sz w:val="24"/>
                <w:szCs w:val="24"/>
                <w:lang w:val="en-US" w:eastAsia="zh-CN"/>
              </w:rPr>
              <w:t>当地</w:t>
            </w:r>
            <w:r>
              <w:rPr>
                <w:rFonts w:hint="default" w:ascii="Times New Roman" w:hAnsi="Times New Roman" w:eastAsia="宋体" w:cs="Times New Roman"/>
                <w:color w:val="auto"/>
                <w:sz w:val="24"/>
                <w:szCs w:val="24"/>
                <w:lang w:eastAsia="zh-CN"/>
              </w:rPr>
              <w:t>环卫部门统一清运</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废机油</w:t>
            </w:r>
            <w:r>
              <w:rPr>
                <w:rFonts w:hint="default" w:ascii="Times New Roman" w:hAnsi="Times New Roman" w:eastAsia="宋体" w:cs="Times New Roman"/>
                <w:color w:val="auto"/>
                <w:sz w:val="24"/>
                <w:szCs w:val="24"/>
                <w:lang w:val="en-US" w:eastAsia="zh-CN"/>
              </w:rPr>
              <w:t>产生量约为0.1t/a，根据《国家危险废物名录（</w:t>
            </w:r>
            <w:r>
              <w:rPr>
                <w:rFonts w:hint="eastAsia" w:ascii="Times New Roman" w:hAnsi="Times New Roman" w:eastAsia="宋体" w:cs="Times New Roman"/>
                <w:color w:val="auto"/>
                <w:sz w:val="24"/>
                <w:szCs w:val="24"/>
                <w:lang w:val="en-US" w:eastAsia="zh-CN"/>
              </w:rPr>
              <w:t>2025年版</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废机油</w:t>
            </w:r>
            <w:r>
              <w:rPr>
                <w:rFonts w:hint="default" w:ascii="Times New Roman" w:hAnsi="Times New Roman" w:eastAsia="宋体" w:cs="Times New Roman"/>
                <w:color w:val="auto"/>
                <w:sz w:val="24"/>
                <w:szCs w:val="24"/>
                <w:lang w:val="en-US" w:eastAsia="zh-CN"/>
              </w:rPr>
              <w:t>属于危险废物，</w:t>
            </w:r>
            <w:r>
              <w:rPr>
                <w:rFonts w:hint="default" w:ascii="Times New Roman" w:hAnsi="Times New Roman" w:eastAsia="宋体" w:cs="Times New Roman"/>
                <w:color w:val="auto"/>
                <w:sz w:val="24"/>
                <w:szCs w:val="24"/>
              </w:rPr>
              <w:t>废物类别为HW08</w:t>
            </w:r>
            <w:r>
              <w:rPr>
                <w:rFonts w:hint="eastAsia" w:ascii="Times New Roman" w:hAnsi="Times New Roman" w:eastAsia="宋体" w:cs="Times New Roman"/>
                <w:color w:val="auto"/>
                <w:sz w:val="24"/>
                <w:szCs w:val="24"/>
                <w:lang w:eastAsia="zh-CN"/>
              </w:rPr>
              <w:t>废机油</w:t>
            </w:r>
            <w:r>
              <w:rPr>
                <w:rFonts w:hint="default" w:ascii="Times New Roman" w:hAnsi="Times New Roman" w:eastAsia="宋体" w:cs="Times New Roman"/>
                <w:color w:val="auto"/>
                <w:sz w:val="24"/>
                <w:szCs w:val="24"/>
              </w:rPr>
              <w:t>与含矿物油废物，危废代码为900-</w:t>
            </w:r>
            <w:r>
              <w:rPr>
                <w:rFonts w:hint="default" w:ascii="Times New Roman" w:hAnsi="Times New Roman" w:eastAsia="宋体" w:cs="Times New Roman"/>
                <w:color w:val="auto"/>
                <w:sz w:val="24"/>
                <w:szCs w:val="24"/>
                <w:lang w:eastAsia="zh-CN"/>
              </w:rPr>
              <w:t>2</w:t>
            </w:r>
            <w:r>
              <w:rPr>
                <w:rFonts w:hint="eastAsia" w:ascii="Times New Roman" w:hAnsi="Times New Roman" w:eastAsia="宋体" w:cs="Times New Roman"/>
                <w:color w:val="auto"/>
                <w:sz w:val="24"/>
                <w:szCs w:val="24"/>
                <w:lang w:val="en-US" w:eastAsia="zh-CN"/>
              </w:rPr>
              <w:t>49</w:t>
            </w:r>
            <w:r>
              <w:rPr>
                <w:rFonts w:hint="default" w:ascii="Times New Roman" w:hAnsi="Times New Roman" w:eastAsia="宋体" w:cs="Times New Roman"/>
                <w:color w:val="auto"/>
                <w:sz w:val="24"/>
                <w:szCs w:val="24"/>
              </w:rPr>
              <w:t>-08，通过收集后暂存于危废暂存间，委托</w:t>
            </w:r>
            <w:r>
              <w:rPr>
                <w:rFonts w:hint="default" w:ascii="Times New Roman" w:hAnsi="Times New Roman" w:eastAsia="宋体" w:cs="Times New Roman"/>
                <w:color w:val="auto"/>
                <w:sz w:val="24"/>
                <w:szCs w:val="24"/>
                <w:lang w:val="en-US" w:eastAsia="zh-CN"/>
              </w:rPr>
              <w:t>有资质的单位进行</w:t>
            </w:r>
            <w:r>
              <w:rPr>
                <w:rFonts w:hint="default" w:ascii="Times New Roman" w:hAnsi="Times New Roman" w:eastAsia="宋体" w:cs="Times New Roman"/>
                <w:color w:val="auto"/>
                <w:sz w:val="24"/>
                <w:szCs w:val="24"/>
              </w:rPr>
              <w:t>处置</w:t>
            </w:r>
            <w:r>
              <w:rPr>
                <w:rFonts w:hint="default" w:ascii="Times New Roman" w:hAnsi="Times New Roman" w:eastAsia="宋体" w:cs="Times New Roman"/>
                <w:color w:val="auto"/>
                <w:sz w:val="24"/>
                <w:szCs w:val="24"/>
                <w:lang w:val="en-US" w:eastAsia="zh-CN"/>
              </w:rPr>
              <w:t>。</w:t>
            </w:r>
          </w:p>
          <w:p w14:paraId="66F1CC7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运营过程</w:t>
            </w:r>
            <w:r>
              <w:rPr>
                <w:rFonts w:hint="default" w:ascii="Times New Roman" w:hAnsi="Times New Roman" w:eastAsia="宋体" w:cs="Times New Roman"/>
                <w:color w:val="auto"/>
                <w:sz w:val="24"/>
                <w:szCs w:val="24"/>
              </w:rPr>
              <w:t xml:space="preserve">中主要固体废物排放及处理方法见表 </w:t>
            </w:r>
            <w:r>
              <w:rPr>
                <w:rFonts w:hint="eastAsia" w:ascii="Times New Roman" w:hAnsi="Times New Roman" w:eastAsia="宋体" w:cs="Times New Roman"/>
                <w:color w:val="auto"/>
                <w:sz w:val="24"/>
                <w:szCs w:val="24"/>
                <w:lang w:val="en-US" w:eastAsia="zh-CN"/>
              </w:rPr>
              <w:t>2-1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w:t>
            </w:r>
          </w:p>
          <w:p w14:paraId="093210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ascii="Times New Roman" w:hAnsi="Times New Roman" w:eastAsia="宋体" w:cs="Times New Roman"/>
                <w:b/>
                <w:color w:val="auto"/>
                <w:kern w:val="2"/>
                <w:sz w:val="24"/>
                <w:szCs w:val="24"/>
                <w:lang w:val="en-US" w:eastAsia="zh-CN" w:bidi="ar-SA"/>
              </w:rPr>
              <w:t xml:space="preserve">表 </w:t>
            </w:r>
            <w:r>
              <w:rPr>
                <w:rFonts w:hint="eastAsia" w:cs="Times New Roman"/>
                <w:b/>
                <w:color w:val="auto"/>
                <w:kern w:val="2"/>
                <w:sz w:val="24"/>
                <w:szCs w:val="24"/>
                <w:lang w:val="en-US" w:eastAsia="zh-CN" w:bidi="ar-SA"/>
              </w:rPr>
              <w:t xml:space="preserve">2-15 </w:t>
            </w:r>
            <w:r>
              <w:rPr>
                <w:rFonts w:hint="default" w:ascii="Times New Roman" w:hAnsi="Times New Roman" w:eastAsia="宋体" w:cs="Times New Roman"/>
                <w:b/>
                <w:color w:val="auto"/>
                <w:kern w:val="2"/>
                <w:sz w:val="24"/>
                <w:szCs w:val="24"/>
                <w:lang w:val="en-US" w:eastAsia="zh-CN" w:bidi="ar-SA"/>
              </w:rPr>
              <w:t xml:space="preserve"> 项目固体废弃物排放量及处置方法</w:t>
            </w:r>
          </w:p>
          <w:tbl>
            <w:tblPr>
              <w:tblStyle w:val="103"/>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2"/>
              <w:gridCol w:w="1140"/>
              <w:gridCol w:w="1524"/>
              <w:gridCol w:w="1229"/>
              <w:gridCol w:w="2281"/>
              <w:gridCol w:w="1035"/>
            </w:tblGrid>
            <w:tr w14:paraId="6074C0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jc w:val="center"/>
              </w:trPr>
              <w:tc>
                <w:tcPr>
                  <w:tcW w:w="397" w:type="pct"/>
                  <w:tcBorders>
                    <w:tl2br w:val="nil"/>
                    <w:tr2bl w:val="nil"/>
                  </w:tcBorders>
                  <w:noWrap w:val="0"/>
                  <w:vAlign w:val="center"/>
                </w:tcPr>
                <w:p w14:paraId="739603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产生环节</w:t>
                  </w:r>
                </w:p>
              </w:tc>
              <w:tc>
                <w:tcPr>
                  <w:tcW w:w="728" w:type="pct"/>
                  <w:tcBorders>
                    <w:tl2br w:val="nil"/>
                    <w:tr2bl w:val="nil"/>
                  </w:tcBorders>
                  <w:noWrap w:val="0"/>
                  <w:vAlign w:val="center"/>
                </w:tcPr>
                <w:p w14:paraId="4A06D4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污染名称</w:t>
                  </w:r>
                </w:p>
              </w:tc>
              <w:tc>
                <w:tcPr>
                  <w:tcW w:w="973" w:type="pct"/>
                  <w:tcBorders>
                    <w:tl2br w:val="nil"/>
                    <w:tr2bl w:val="nil"/>
                  </w:tcBorders>
                  <w:noWrap w:val="0"/>
                  <w:vAlign w:val="center"/>
                </w:tcPr>
                <w:p w14:paraId="7E314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785" w:type="pct"/>
                  <w:tcBorders>
                    <w:tl2br w:val="nil"/>
                    <w:tr2bl w:val="nil"/>
                  </w:tcBorders>
                  <w:noWrap w:val="0"/>
                  <w:vAlign w:val="center"/>
                </w:tcPr>
                <w:p w14:paraId="01DA3A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年产生量</w:t>
                  </w:r>
                </w:p>
                <w:p w14:paraId="586C0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（t/a）</w:t>
                  </w:r>
                </w:p>
              </w:tc>
              <w:tc>
                <w:tcPr>
                  <w:tcW w:w="1456" w:type="pct"/>
                  <w:tcBorders>
                    <w:tl2br w:val="nil"/>
                    <w:tr2bl w:val="nil"/>
                  </w:tcBorders>
                  <w:noWrap w:val="0"/>
                  <w:vAlign w:val="center"/>
                </w:tcPr>
                <w:p w14:paraId="35D2A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利用或处置方式</w:t>
                  </w:r>
                </w:p>
              </w:tc>
              <w:tc>
                <w:tcPr>
                  <w:tcW w:w="657" w:type="pct"/>
                  <w:tcBorders>
                    <w:tl2br w:val="nil"/>
                    <w:tr2bl w:val="nil"/>
                  </w:tcBorders>
                  <w:noWrap w:val="0"/>
                  <w:vAlign w:val="center"/>
                </w:tcPr>
                <w:p w14:paraId="3BC8BD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利用或处置量（t/a）</w:t>
                  </w:r>
                </w:p>
              </w:tc>
            </w:tr>
            <w:tr w14:paraId="41AC9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jc w:val="center"/>
              </w:trPr>
              <w:tc>
                <w:tcPr>
                  <w:tcW w:w="397" w:type="pct"/>
                  <w:vMerge w:val="restart"/>
                  <w:tcBorders>
                    <w:tl2br w:val="nil"/>
                    <w:tr2bl w:val="nil"/>
                  </w:tcBorders>
                  <w:noWrap w:val="0"/>
                  <w:vAlign w:val="center"/>
                </w:tcPr>
                <w:p w14:paraId="0708DA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生产过程</w:t>
                  </w:r>
                </w:p>
              </w:tc>
              <w:tc>
                <w:tcPr>
                  <w:tcW w:w="728" w:type="pct"/>
                  <w:tcBorders>
                    <w:bottom w:val="single" w:color="auto" w:sz="4" w:space="0"/>
                    <w:tl2br w:val="nil"/>
                    <w:tr2bl w:val="nil"/>
                  </w:tcBorders>
                  <w:noWrap w:val="0"/>
                  <w:vAlign w:val="center"/>
                </w:tcPr>
                <w:p w14:paraId="35368B15">
                  <w:pPr>
                    <w:pStyle w:val="17"/>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废布袋</w:t>
                  </w:r>
                </w:p>
              </w:tc>
              <w:tc>
                <w:tcPr>
                  <w:tcW w:w="973" w:type="pct"/>
                  <w:vMerge w:val="restart"/>
                  <w:tcBorders>
                    <w:tl2br w:val="nil"/>
                    <w:tr2bl w:val="nil"/>
                  </w:tcBorders>
                  <w:noWrap w:val="0"/>
                  <w:vAlign w:val="center"/>
                </w:tcPr>
                <w:p w14:paraId="48E88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一般工业固体废物</w:t>
                  </w:r>
                </w:p>
              </w:tc>
              <w:tc>
                <w:tcPr>
                  <w:tcW w:w="785" w:type="pct"/>
                  <w:tcBorders>
                    <w:bottom w:val="single" w:color="auto" w:sz="4" w:space="0"/>
                    <w:tl2br w:val="nil"/>
                    <w:tr2bl w:val="nil"/>
                  </w:tcBorders>
                  <w:noWrap w:val="0"/>
                  <w:vAlign w:val="center"/>
                </w:tcPr>
                <w:p w14:paraId="56B494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c>
                <w:tcPr>
                  <w:tcW w:w="1456" w:type="pct"/>
                  <w:tcBorders>
                    <w:bottom w:val="single" w:color="auto" w:sz="4" w:space="0"/>
                    <w:tl2br w:val="nil"/>
                    <w:tr2bl w:val="nil"/>
                  </w:tcBorders>
                  <w:noWrap w:val="0"/>
                  <w:vAlign w:val="center"/>
                </w:tcPr>
                <w:p w14:paraId="7255F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统一收集后外售</w:t>
                  </w:r>
                </w:p>
              </w:tc>
              <w:tc>
                <w:tcPr>
                  <w:tcW w:w="657" w:type="pct"/>
                  <w:tcBorders>
                    <w:tl2br w:val="nil"/>
                    <w:tr2bl w:val="nil"/>
                  </w:tcBorders>
                  <w:noWrap w:val="0"/>
                  <w:vAlign w:val="center"/>
                </w:tcPr>
                <w:p w14:paraId="28922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r>
            <w:tr w14:paraId="3FECD7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4" w:hRule="atLeast"/>
                <w:jc w:val="center"/>
              </w:trPr>
              <w:tc>
                <w:tcPr>
                  <w:tcW w:w="397" w:type="pct"/>
                  <w:vMerge w:val="continue"/>
                  <w:tcBorders>
                    <w:tl2br w:val="nil"/>
                    <w:tr2bl w:val="nil"/>
                  </w:tcBorders>
                  <w:noWrap w:val="0"/>
                  <w:vAlign w:val="center"/>
                </w:tcPr>
                <w:p w14:paraId="60B921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28" w:type="pct"/>
                  <w:tcBorders>
                    <w:top w:val="single" w:color="auto" w:sz="4" w:space="0"/>
                    <w:bottom w:val="single" w:color="auto" w:sz="4" w:space="0"/>
                    <w:tl2br w:val="nil"/>
                    <w:tr2bl w:val="nil"/>
                  </w:tcBorders>
                  <w:noWrap w:val="0"/>
                  <w:vAlign w:val="center"/>
                </w:tcPr>
                <w:p w14:paraId="3E9EAC66">
                  <w:pPr>
                    <w:pStyle w:val="17"/>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布袋除尘器收集的粉尘</w:t>
                  </w:r>
                </w:p>
              </w:tc>
              <w:tc>
                <w:tcPr>
                  <w:tcW w:w="973" w:type="pct"/>
                  <w:vMerge w:val="continue"/>
                  <w:tcBorders>
                    <w:bottom w:val="single" w:color="auto" w:sz="4" w:space="0"/>
                    <w:tl2br w:val="nil"/>
                    <w:tr2bl w:val="nil"/>
                  </w:tcBorders>
                  <w:noWrap w:val="0"/>
                  <w:vAlign w:val="center"/>
                </w:tcPr>
                <w:p w14:paraId="64581E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85" w:type="pct"/>
                  <w:tcBorders>
                    <w:top w:val="single" w:color="auto" w:sz="4" w:space="0"/>
                    <w:bottom w:val="single" w:color="auto" w:sz="4" w:space="0"/>
                    <w:tl2br w:val="nil"/>
                    <w:tr2bl w:val="nil"/>
                  </w:tcBorders>
                  <w:noWrap w:val="0"/>
                  <w:vAlign w:val="center"/>
                </w:tcPr>
                <w:p w14:paraId="3D8330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62.093</w:t>
                  </w:r>
                </w:p>
              </w:tc>
              <w:tc>
                <w:tcPr>
                  <w:tcW w:w="1456" w:type="pct"/>
                  <w:tcBorders>
                    <w:top w:val="single" w:color="auto" w:sz="4" w:space="0"/>
                    <w:bottom w:val="single" w:color="auto" w:sz="4" w:space="0"/>
                    <w:tl2br w:val="nil"/>
                    <w:tr2bl w:val="nil"/>
                  </w:tcBorders>
                  <w:noWrap w:val="0"/>
                  <w:vAlign w:val="center"/>
                </w:tcPr>
                <w:p w14:paraId="63128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统一收集后，暂存于成品堆场，作为成品外售</w:t>
                  </w:r>
                </w:p>
              </w:tc>
              <w:tc>
                <w:tcPr>
                  <w:tcW w:w="657" w:type="pct"/>
                  <w:tcBorders>
                    <w:tl2br w:val="nil"/>
                    <w:tr2bl w:val="nil"/>
                  </w:tcBorders>
                  <w:noWrap w:val="0"/>
                  <w:vAlign w:val="center"/>
                </w:tcPr>
                <w:p w14:paraId="7D6C14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62.093</w:t>
                  </w:r>
                </w:p>
              </w:tc>
            </w:tr>
            <w:tr w14:paraId="4B6288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3" w:hRule="atLeast"/>
                <w:jc w:val="center"/>
              </w:trPr>
              <w:tc>
                <w:tcPr>
                  <w:tcW w:w="397" w:type="pct"/>
                  <w:tcBorders>
                    <w:tl2br w:val="nil"/>
                    <w:tr2bl w:val="nil"/>
                  </w:tcBorders>
                  <w:noWrap w:val="0"/>
                  <w:vAlign w:val="center"/>
                </w:tcPr>
                <w:p w14:paraId="3A020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职工生活</w:t>
                  </w:r>
                </w:p>
              </w:tc>
              <w:tc>
                <w:tcPr>
                  <w:tcW w:w="728" w:type="pct"/>
                  <w:tcBorders>
                    <w:top w:val="single" w:color="auto" w:sz="4" w:space="0"/>
                    <w:tl2br w:val="nil"/>
                    <w:tr2bl w:val="nil"/>
                  </w:tcBorders>
                  <w:noWrap w:val="0"/>
                  <w:vAlign w:val="center"/>
                </w:tcPr>
                <w:p w14:paraId="5B367A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生活垃圾</w:t>
                  </w:r>
                </w:p>
              </w:tc>
              <w:tc>
                <w:tcPr>
                  <w:tcW w:w="973" w:type="pct"/>
                  <w:tcBorders>
                    <w:top w:val="single" w:color="auto" w:sz="4" w:space="0"/>
                    <w:tl2br w:val="nil"/>
                    <w:tr2bl w:val="nil"/>
                  </w:tcBorders>
                  <w:noWrap w:val="0"/>
                  <w:vAlign w:val="center"/>
                </w:tcPr>
                <w:p w14:paraId="78E298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85" w:type="pct"/>
                  <w:tcBorders>
                    <w:top w:val="single" w:color="auto" w:sz="4" w:space="0"/>
                    <w:tl2br w:val="nil"/>
                    <w:tr2bl w:val="nil"/>
                  </w:tcBorders>
                  <w:noWrap w:val="0"/>
                  <w:vAlign w:val="center"/>
                </w:tcPr>
                <w:p w14:paraId="43F09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1456" w:type="pct"/>
                  <w:tcBorders>
                    <w:top w:val="single" w:color="auto" w:sz="4" w:space="0"/>
                    <w:bottom w:val="single" w:color="auto" w:sz="4" w:space="0"/>
                    <w:tl2br w:val="nil"/>
                    <w:tr2bl w:val="nil"/>
                  </w:tcBorders>
                  <w:noWrap w:val="0"/>
                  <w:vAlign w:val="center"/>
                </w:tcPr>
                <w:p w14:paraId="0CD32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统一袋装收集后，</w:t>
                  </w:r>
                  <w:r>
                    <w:rPr>
                      <w:rFonts w:hint="default" w:ascii="Times New Roman" w:hAnsi="Times New Roman" w:eastAsia="宋体" w:cs="Times New Roman"/>
                      <w:color w:val="auto"/>
                      <w:sz w:val="21"/>
                      <w:szCs w:val="21"/>
                    </w:rPr>
                    <w:t>运至附近垃圾收集点</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由</w:t>
                  </w:r>
                  <w:r>
                    <w:rPr>
                      <w:rFonts w:hint="default" w:ascii="Times New Roman" w:hAnsi="Times New Roman" w:eastAsia="宋体" w:cs="Times New Roman"/>
                      <w:color w:val="auto"/>
                      <w:sz w:val="21"/>
                      <w:szCs w:val="21"/>
                      <w:lang w:val="en-US" w:eastAsia="zh-CN"/>
                    </w:rPr>
                    <w:t>当地</w:t>
                  </w:r>
                  <w:r>
                    <w:rPr>
                      <w:rFonts w:hint="default" w:ascii="Times New Roman" w:hAnsi="Times New Roman" w:eastAsia="宋体" w:cs="Times New Roman"/>
                      <w:color w:val="auto"/>
                      <w:sz w:val="21"/>
                      <w:szCs w:val="21"/>
                      <w:lang w:eastAsia="zh-CN"/>
                    </w:rPr>
                    <w:t>环卫部门统一清运</w:t>
                  </w:r>
                </w:p>
              </w:tc>
              <w:tc>
                <w:tcPr>
                  <w:tcW w:w="657" w:type="pct"/>
                  <w:tcBorders>
                    <w:tl2br w:val="nil"/>
                    <w:tr2bl w:val="nil"/>
                  </w:tcBorders>
                  <w:noWrap w:val="0"/>
                  <w:vAlign w:val="center"/>
                </w:tcPr>
                <w:p w14:paraId="511A35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r>
            <w:tr w14:paraId="72C8F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jc w:val="center"/>
              </w:trPr>
              <w:tc>
                <w:tcPr>
                  <w:tcW w:w="397" w:type="pct"/>
                  <w:tcBorders>
                    <w:tl2br w:val="nil"/>
                    <w:tr2bl w:val="nil"/>
                  </w:tcBorders>
                  <w:noWrap w:val="0"/>
                  <w:vAlign w:val="center"/>
                </w:tcPr>
                <w:p w14:paraId="1D8C2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设备维修</w:t>
                  </w:r>
                </w:p>
              </w:tc>
              <w:tc>
                <w:tcPr>
                  <w:tcW w:w="728" w:type="pct"/>
                  <w:tcBorders>
                    <w:tl2br w:val="nil"/>
                    <w:tr2bl w:val="nil"/>
                  </w:tcBorders>
                  <w:noWrap w:val="0"/>
                  <w:vAlign w:val="center"/>
                </w:tcPr>
                <w:p w14:paraId="77293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废机油</w:t>
                  </w:r>
                </w:p>
              </w:tc>
              <w:tc>
                <w:tcPr>
                  <w:tcW w:w="973" w:type="pct"/>
                  <w:tcBorders>
                    <w:top w:val="single" w:color="auto" w:sz="4" w:space="0"/>
                    <w:tl2br w:val="nil"/>
                    <w:tr2bl w:val="nil"/>
                  </w:tcBorders>
                  <w:noWrap w:val="0"/>
                  <w:vAlign w:val="center"/>
                </w:tcPr>
                <w:p w14:paraId="68E3A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w:t>
                  </w:r>
                  <w:r>
                    <w:rPr>
                      <w:rFonts w:hint="default" w:ascii="Times New Roman" w:hAnsi="Times New Roman" w:eastAsia="宋体" w:cs="Times New Roman"/>
                      <w:b w:val="0"/>
                      <w:bCs w:val="0"/>
                      <w:color w:val="auto"/>
                      <w:sz w:val="21"/>
                      <w:szCs w:val="21"/>
                    </w:rPr>
                    <w:t>HW08</w:t>
                  </w:r>
                  <w:r>
                    <w:rPr>
                      <w:rFonts w:hint="default" w:ascii="Times New Roman" w:hAnsi="Times New Roman" w:eastAsia="宋体" w:cs="Times New Roman"/>
                      <w:b w:val="0"/>
                      <w:bCs w:val="0"/>
                      <w:color w:val="auto"/>
                      <w:sz w:val="21"/>
                      <w:szCs w:val="21"/>
                      <w:lang w:val="en-US"/>
                    </w:rPr>
                    <w:t xml:space="preserve"> 900-</w:t>
                  </w:r>
                  <w:r>
                    <w:rPr>
                      <w:rFonts w:hint="default" w:ascii="Times New Roman" w:hAnsi="Times New Roman" w:eastAsia="宋体" w:cs="Times New Roman"/>
                      <w:b w:val="0"/>
                      <w:bCs w:val="0"/>
                      <w:color w:val="auto"/>
                      <w:sz w:val="21"/>
                      <w:szCs w:val="21"/>
                      <w:lang w:val="en-US" w:eastAsia="zh-CN"/>
                    </w:rPr>
                    <w:t>249</w:t>
                  </w:r>
                  <w:r>
                    <w:rPr>
                      <w:rFonts w:hint="default" w:ascii="Times New Roman" w:hAnsi="Times New Roman" w:eastAsia="宋体" w:cs="Times New Roman"/>
                      <w:b w:val="0"/>
                      <w:bCs w:val="0"/>
                      <w:color w:val="auto"/>
                      <w:sz w:val="21"/>
                      <w:szCs w:val="21"/>
                      <w:lang w:val="en-US"/>
                    </w:rPr>
                    <w:t>-08</w:t>
                  </w:r>
                  <w:r>
                    <w:rPr>
                      <w:rFonts w:hint="default" w:ascii="Times New Roman" w:hAnsi="Times New Roman" w:eastAsia="宋体" w:cs="Times New Roman"/>
                      <w:b w:val="0"/>
                      <w:bCs w:val="0"/>
                      <w:color w:val="auto"/>
                      <w:sz w:val="21"/>
                      <w:szCs w:val="21"/>
                      <w:lang w:val="en-US" w:eastAsia="zh-CN"/>
                    </w:rPr>
                    <w:t>）</w:t>
                  </w:r>
                </w:p>
              </w:tc>
              <w:tc>
                <w:tcPr>
                  <w:tcW w:w="785" w:type="pct"/>
                  <w:tcBorders>
                    <w:bottom w:val="single" w:color="auto" w:sz="4" w:space="0"/>
                    <w:tl2br w:val="nil"/>
                    <w:tr2bl w:val="nil"/>
                  </w:tcBorders>
                  <w:noWrap w:val="0"/>
                  <w:vAlign w:val="center"/>
                </w:tcPr>
                <w:p w14:paraId="05D27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w:t>
                  </w:r>
                </w:p>
              </w:tc>
              <w:tc>
                <w:tcPr>
                  <w:tcW w:w="1456" w:type="pct"/>
                  <w:tcBorders>
                    <w:top w:val="single" w:color="auto" w:sz="4" w:space="0"/>
                    <w:bottom w:val="single" w:color="auto" w:sz="4" w:space="0"/>
                    <w:tl2br w:val="nil"/>
                    <w:tr2bl w:val="nil"/>
                  </w:tcBorders>
                  <w:noWrap w:val="0"/>
                  <w:vAlign w:val="center"/>
                </w:tcPr>
                <w:p w14:paraId="7AD460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暂存于危废暂存间，委托有资质的单位进行处置</w:t>
                  </w:r>
                </w:p>
              </w:tc>
              <w:tc>
                <w:tcPr>
                  <w:tcW w:w="657" w:type="pct"/>
                  <w:tcBorders>
                    <w:tl2br w:val="nil"/>
                    <w:tr2bl w:val="nil"/>
                  </w:tcBorders>
                  <w:noWrap w:val="0"/>
                  <w:vAlign w:val="center"/>
                </w:tcPr>
                <w:p w14:paraId="7E86B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w:t>
                  </w:r>
                </w:p>
              </w:tc>
            </w:tr>
            <w:tr w14:paraId="0213A0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jc w:val="center"/>
              </w:trPr>
              <w:tc>
                <w:tcPr>
                  <w:tcW w:w="5000" w:type="pct"/>
                  <w:gridSpan w:val="6"/>
                  <w:tcBorders>
                    <w:tl2br w:val="nil"/>
                    <w:tr2bl w:val="nil"/>
                  </w:tcBorders>
                  <w:noWrap w:val="0"/>
                  <w:vAlign w:val="center"/>
                </w:tcPr>
                <w:p w14:paraId="332DDA7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备注：</w:t>
                  </w:r>
                  <w:r>
                    <w:rPr>
                      <w:rFonts w:hint="default" w:ascii="Times New Roman" w:hAnsi="Times New Roman" w:eastAsia="宋体" w:cs="Times New Roman"/>
                      <w:b w:val="0"/>
                      <w:bCs w:val="0"/>
                      <w:color w:val="auto"/>
                      <w:kern w:val="2"/>
                      <w:sz w:val="21"/>
                      <w:szCs w:val="21"/>
                      <w:lang w:val="zh-CN" w:eastAsia="zh-CN" w:bidi="ar-SA"/>
                    </w:rPr>
                    <w:t>严格按照</w:t>
                  </w:r>
                  <w:r>
                    <w:rPr>
                      <w:rFonts w:hint="default" w:ascii="Times New Roman" w:hAnsi="Times New Roman" w:eastAsia="宋体" w:cs="Times New Roman"/>
                      <w:b w:val="0"/>
                      <w:bCs w:val="0"/>
                      <w:color w:val="auto"/>
                      <w:kern w:val="2"/>
                      <w:sz w:val="21"/>
                      <w:szCs w:val="21"/>
                      <w:lang w:val="en-US" w:eastAsia="zh-CN" w:bidi="ar-SA"/>
                    </w:rPr>
                    <w:t>《危险废物贮存污染控制标准》（GB 18597-2023）</w:t>
                  </w:r>
                  <w:r>
                    <w:rPr>
                      <w:rFonts w:hint="default" w:ascii="Times New Roman" w:hAnsi="Times New Roman" w:eastAsia="宋体" w:cs="Times New Roman"/>
                      <w:b w:val="0"/>
                      <w:bCs w:val="0"/>
                      <w:color w:val="auto"/>
                      <w:kern w:val="2"/>
                      <w:sz w:val="21"/>
                      <w:szCs w:val="21"/>
                      <w:lang w:val="zh-CN" w:eastAsia="zh-CN" w:bidi="ar-SA"/>
                    </w:rPr>
                    <w:t>中的要求建设危废暂存</w:t>
                  </w:r>
                  <w:r>
                    <w:rPr>
                      <w:rFonts w:hint="default" w:ascii="Times New Roman" w:hAnsi="Times New Roman" w:eastAsia="宋体" w:cs="Times New Roman"/>
                      <w:b w:val="0"/>
                      <w:bCs w:val="0"/>
                      <w:color w:val="auto"/>
                      <w:kern w:val="2"/>
                      <w:sz w:val="21"/>
                      <w:szCs w:val="21"/>
                      <w:lang w:val="en-US" w:eastAsia="zh-CN" w:bidi="ar-SA"/>
                    </w:rPr>
                    <w:t>间</w:t>
                  </w:r>
                </w:p>
              </w:tc>
            </w:tr>
          </w:tbl>
          <w:p w14:paraId="306C3691">
            <w:pPr>
              <w:pStyle w:val="113"/>
              <w:keepNext w:val="0"/>
              <w:keepLines w:val="0"/>
              <w:pageBreakBefore w:val="0"/>
              <w:widowControl w:val="0"/>
              <w:kinsoku/>
              <w:wordWrap/>
              <w:overflowPunct/>
              <w:topLinePunct w:val="0"/>
              <w:autoSpaceDE/>
              <w:autoSpaceDN/>
              <w:bidi w:val="0"/>
              <w:adjustRightInd/>
              <w:snapToGrid/>
              <w:textAlignment w:val="top"/>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9、“三本账”核算</w:t>
            </w:r>
          </w:p>
          <w:p w14:paraId="4A10BCA9">
            <w:pPr>
              <w:pStyle w:val="113"/>
              <w:keepNext w:val="0"/>
              <w:keepLines w:val="0"/>
              <w:pageBreakBefore w:val="0"/>
              <w:widowControl w:val="0"/>
              <w:kinsoku/>
              <w:wordWrap/>
              <w:overflowPunct/>
              <w:topLinePunct w:val="0"/>
              <w:autoSpaceDE/>
              <w:autoSpaceDN/>
              <w:bidi w:val="0"/>
              <w:adjustRightInd/>
              <w:snapToGrid/>
              <w:textAlignment w:val="top"/>
              <w:rPr>
                <w:rFonts w:hint="default" w:ascii="Times New Roman" w:hAnsi="Times New Roman" w:eastAsia="宋体" w:cs="Times New Roman"/>
                <w:i w:val="0"/>
                <w:iCs/>
                <w:color w:val="auto"/>
                <w:kern w:val="2"/>
                <w:sz w:val="24"/>
                <w:szCs w:val="24"/>
                <w:highlight w:val="none"/>
                <w:lang w:val="en-US" w:eastAsia="zh-CN" w:bidi="ar-SA"/>
              </w:rPr>
            </w:pPr>
            <w:r>
              <w:rPr>
                <w:rFonts w:hint="default" w:ascii="Times New Roman" w:hAnsi="Times New Roman" w:eastAsia="宋体" w:cs="Times New Roman"/>
                <w:i w:val="0"/>
                <w:iCs/>
                <w:color w:val="auto"/>
                <w:kern w:val="2"/>
                <w:sz w:val="24"/>
                <w:szCs w:val="24"/>
                <w:highlight w:val="none"/>
                <w:lang w:val="en-US" w:eastAsia="zh-CN" w:bidi="ar-SA"/>
              </w:rPr>
              <w:t>本项目</w:t>
            </w:r>
            <w:r>
              <w:rPr>
                <w:rFonts w:hint="eastAsia" w:cs="Times New Roman"/>
                <w:i w:val="0"/>
                <w:iCs/>
                <w:color w:val="auto"/>
                <w:kern w:val="2"/>
                <w:sz w:val="24"/>
                <w:szCs w:val="24"/>
                <w:highlight w:val="none"/>
                <w:lang w:val="en-US" w:eastAsia="zh-CN" w:bidi="ar-SA"/>
              </w:rPr>
              <w:t>（配煤项目）</w:t>
            </w:r>
            <w:r>
              <w:rPr>
                <w:rFonts w:hint="default" w:ascii="Times New Roman" w:hAnsi="Times New Roman" w:eastAsia="宋体" w:cs="Times New Roman"/>
                <w:i w:val="0"/>
                <w:iCs/>
                <w:color w:val="auto"/>
                <w:kern w:val="2"/>
                <w:sz w:val="24"/>
                <w:szCs w:val="24"/>
                <w:highlight w:val="none"/>
                <w:lang w:val="en-US" w:eastAsia="zh-CN" w:bidi="ar-SA"/>
              </w:rPr>
              <w:t>建设性质为</w:t>
            </w:r>
            <w:r>
              <w:rPr>
                <w:rFonts w:hint="eastAsia" w:cs="Times New Roman"/>
                <w:i w:val="0"/>
                <w:iCs/>
                <w:color w:val="auto"/>
                <w:kern w:val="2"/>
                <w:sz w:val="24"/>
                <w:szCs w:val="24"/>
                <w:highlight w:val="none"/>
                <w:lang w:val="en-US" w:eastAsia="zh-CN" w:bidi="ar-SA"/>
              </w:rPr>
              <w:t>新</w:t>
            </w:r>
            <w:r>
              <w:rPr>
                <w:rFonts w:hint="default" w:ascii="Times New Roman" w:hAnsi="Times New Roman" w:eastAsia="宋体" w:cs="Times New Roman"/>
                <w:i w:val="0"/>
                <w:iCs/>
                <w:color w:val="auto"/>
                <w:kern w:val="2"/>
                <w:sz w:val="24"/>
                <w:szCs w:val="24"/>
                <w:highlight w:val="none"/>
                <w:lang w:val="en-US" w:eastAsia="zh-CN" w:bidi="ar-SA"/>
              </w:rPr>
              <w:t>建，利用玉溪利东商贸有限公司已建设完成的封闭式厂房进行建设，不涉及</w:t>
            </w:r>
            <w:r>
              <w:rPr>
                <w:rFonts w:hint="eastAsia" w:cs="Times New Roman"/>
                <w:i w:val="0"/>
                <w:iCs/>
                <w:color w:val="auto"/>
                <w:kern w:val="2"/>
                <w:sz w:val="24"/>
                <w:szCs w:val="24"/>
                <w:highlight w:val="none"/>
                <w:lang w:val="en-US" w:eastAsia="zh-CN" w:bidi="ar-SA"/>
              </w:rPr>
              <w:t>在建项目（</w:t>
            </w:r>
            <w:r>
              <w:rPr>
                <w:rFonts w:hint="default" w:ascii="Times New Roman" w:hAnsi="Times New Roman" w:eastAsia="宋体" w:cs="Times New Roman"/>
                <w:i w:val="0"/>
                <w:iCs/>
                <w:color w:val="auto"/>
                <w:kern w:val="2"/>
                <w:sz w:val="24"/>
                <w:szCs w:val="24"/>
                <w:highlight w:val="none"/>
                <w:lang w:val="en-US" w:eastAsia="zh-CN" w:bidi="ar-SA"/>
              </w:rPr>
              <w:t>铁矿破碎加工生产线</w:t>
            </w:r>
            <w:r>
              <w:rPr>
                <w:rFonts w:hint="eastAsia" w:cs="Times New Roman"/>
                <w:i w:val="0"/>
                <w:iCs/>
                <w:color w:val="auto"/>
                <w:kern w:val="2"/>
                <w:sz w:val="24"/>
                <w:szCs w:val="24"/>
                <w:highlight w:val="none"/>
                <w:lang w:val="en-US" w:eastAsia="zh-CN" w:bidi="ar-SA"/>
              </w:rPr>
              <w:t>）</w:t>
            </w:r>
            <w:r>
              <w:rPr>
                <w:rFonts w:hint="default" w:ascii="Times New Roman" w:hAnsi="Times New Roman" w:eastAsia="宋体" w:cs="Times New Roman"/>
                <w:i w:val="0"/>
                <w:iCs/>
                <w:color w:val="auto"/>
                <w:kern w:val="2"/>
                <w:sz w:val="24"/>
                <w:szCs w:val="24"/>
                <w:highlight w:val="none"/>
                <w:lang w:val="en-US" w:eastAsia="zh-CN" w:bidi="ar-SA"/>
              </w:rPr>
              <w:t>设备的</w:t>
            </w:r>
            <w:r>
              <w:rPr>
                <w:rFonts w:hint="eastAsia" w:cs="Times New Roman"/>
                <w:i w:val="0"/>
                <w:iCs/>
                <w:color w:val="auto"/>
                <w:kern w:val="2"/>
                <w:sz w:val="24"/>
                <w:szCs w:val="24"/>
                <w:highlight w:val="none"/>
                <w:lang w:val="en-US" w:eastAsia="zh-CN" w:bidi="ar-SA"/>
              </w:rPr>
              <w:t>建设</w:t>
            </w:r>
            <w:r>
              <w:rPr>
                <w:rFonts w:hint="default" w:ascii="Times New Roman" w:hAnsi="Times New Roman" w:eastAsia="宋体" w:cs="Times New Roman"/>
                <w:i w:val="0"/>
                <w:iCs/>
                <w:color w:val="auto"/>
                <w:kern w:val="2"/>
                <w:sz w:val="24"/>
                <w:szCs w:val="24"/>
                <w:highlight w:val="none"/>
                <w:lang w:val="en-US" w:eastAsia="zh-CN" w:bidi="ar-SA"/>
              </w:rPr>
              <w:t>，原厂区内无与本项目有关的主要环境问题，无“以新带老”改进措施，</w:t>
            </w:r>
            <w:r>
              <w:rPr>
                <w:rFonts w:hint="eastAsia" w:cs="Times New Roman"/>
                <w:i w:val="0"/>
                <w:iCs/>
                <w:color w:val="auto"/>
                <w:kern w:val="2"/>
                <w:sz w:val="24"/>
                <w:szCs w:val="24"/>
                <w:highlight w:val="none"/>
                <w:lang w:val="en-US" w:eastAsia="zh-CN" w:bidi="ar-SA"/>
              </w:rPr>
              <w:t>本</w:t>
            </w:r>
            <w:r>
              <w:rPr>
                <w:rFonts w:hint="default" w:ascii="Times New Roman" w:hAnsi="Times New Roman" w:eastAsia="宋体" w:cs="Times New Roman"/>
                <w:i w:val="0"/>
                <w:iCs/>
                <w:color w:val="auto"/>
                <w:kern w:val="2"/>
                <w:sz w:val="24"/>
                <w:szCs w:val="24"/>
                <w:highlight w:val="none"/>
                <w:lang w:val="en-US" w:eastAsia="zh-CN" w:bidi="ar-SA"/>
              </w:rPr>
              <w:t>项目建成后，部分污染物排放量增加，</w:t>
            </w:r>
            <w:r>
              <w:rPr>
                <w:rFonts w:hint="eastAsia" w:cs="Times New Roman"/>
                <w:i w:val="0"/>
                <w:iCs/>
                <w:color w:val="auto"/>
                <w:kern w:val="2"/>
                <w:sz w:val="24"/>
                <w:szCs w:val="24"/>
                <w:highlight w:val="none"/>
                <w:lang w:val="en-US" w:eastAsia="zh-CN" w:bidi="ar-SA"/>
              </w:rPr>
              <w:t>全</w:t>
            </w:r>
            <w:r>
              <w:rPr>
                <w:rFonts w:hint="default" w:ascii="Times New Roman" w:hAnsi="Times New Roman" w:eastAsia="宋体" w:cs="Times New Roman"/>
                <w:i w:val="0"/>
                <w:iCs/>
                <w:color w:val="auto"/>
                <w:kern w:val="2"/>
                <w:sz w:val="24"/>
                <w:szCs w:val="24"/>
                <w:highlight w:val="none"/>
                <w:lang w:val="en-US" w:eastAsia="zh-CN" w:bidi="ar-SA"/>
              </w:rPr>
              <w:t>厂</w:t>
            </w:r>
            <w:r>
              <w:rPr>
                <w:rFonts w:hint="eastAsia" w:cs="Times New Roman"/>
                <w:i w:val="0"/>
                <w:iCs/>
                <w:color w:val="auto"/>
                <w:kern w:val="2"/>
                <w:sz w:val="24"/>
                <w:szCs w:val="24"/>
                <w:highlight w:val="none"/>
                <w:lang w:val="en-US" w:eastAsia="zh-CN" w:bidi="ar-SA"/>
              </w:rPr>
              <w:t>场</w:t>
            </w:r>
            <w:r>
              <w:rPr>
                <w:rFonts w:hint="default" w:ascii="Times New Roman" w:hAnsi="Times New Roman" w:eastAsia="宋体" w:cs="Times New Roman"/>
                <w:i w:val="0"/>
                <w:iCs/>
                <w:color w:val="auto"/>
                <w:kern w:val="2"/>
                <w:sz w:val="24"/>
                <w:szCs w:val="24"/>
                <w:highlight w:val="none"/>
                <w:lang w:val="en-US" w:eastAsia="zh-CN" w:bidi="ar-SA"/>
              </w:rPr>
              <w:t>区内污染物排放“三本账”见下表。</w:t>
            </w:r>
          </w:p>
          <w:p w14:paraId="4EE72C59">
            <w:pPr>
              <w:pStyle w:val="9"/>
              <w:keepNext/>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Cs/>
                <w:color w:val="auto"/>
                <w:spacing w:val="0"/>
                <w:kern w:val="21"/>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表2-1</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本项目建设完成后，全厂</w:t>
            </w:r>
            <w:r>
              <w:rPr>
                <w:rFonts w:hint="default" w:ascii="Times New Roman" w:hAnsi="Times New Roman" w:eastAsia="宋体" w:cs="Times New Roman"/>
                <w:b/>
                <w:bCs/>
                <w:color w:val="auto"/>
                <w:sz w:val="24"/>
                <w:szCs w:val="24"/>
                <w:highlight w:val="none"/>
                <w:lang w:val="en-US" w:eastAsia="zh-CN"/>
              </w:rPr>
              <w:t>“三本账”分析一览表   单位：t/a</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35"/>
              <w:gridCol w:w="1061"/>
              <w:gridCol w:w="1201"/>
              <w:gridCol w:w="1114"/>
              <w:gridCol w:w="1114"/>
              <w:gridCol w:w="1344"/>
              <w:gridCol w:w="1173"/>
            </w:tblGrid>
            <w:tr w14:paraId="1C15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4" w:hRule="atLeast"/>
                <w:tblHeader/>
                <w:jc w:val="center"/>
              </w:trPr>
              <w:tc>
                <w:tcPr>
                  <w:tcW w:w="532" w:type="pct"/>
                  <w:noWrap w:val="0"/>
                  <w:tcMar>
                    <w:top w:w="0" w:type="dxa"/>
                    <w:left w:w="57" w:type="dxa"/>
                    <w:bottom w:w="0" w:type="dxa"/>
                    <w:right w:w="57" w:type="dxa"/>
                  </w:tcMar>
                  <w:vAlign w:val="center"/>
                </w:tcPr>
                <w:p w14:paraId="4FA9538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676" w:type="pct"/>
                  <w:noWrap w:val="0"/>
                  <w:tcMar>
                    <w:top w:w="0" w:type="dxa"/>
                    <w:left w:w="57" w:type="dxa"/>
                    <w:bottom w:w="0" w:type="dxa"/>
                    <w:right w:w="57" w:type="dxa"/>
                  </w:tcMar>
                  <w:vAlign w:val="center"/>
                </w:tcPr>
                <w:p w14:paraId="03DA6E1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p w14:paraId="2C6B96D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765" w:type="pct"/>
                  <w:noWrap w:val="0"/>
                  <w:tcMar>
                    <w:top w:w="0" w:type="dxa"/>
                    <w:left w:w="57" w:type="dxa"/>
                    <w:bottom w:w="0" w:type="dxa"/>
                    <w:right w:w="57" w:type="dxa"/>
                  </w:tcMar>
                  <w:vAlign w:val="center"/>
                </w:tcPr>
                <w:p w14:paraId="10919FB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在建</w:t>
                  </w:r>
                  <w:r>
                    <w:rPr>
                      <w:rFonts w:hint="default" w:ascii="Times New Roman" w:hAnsi="Times New Roman" w:eastAsia="宋体" w:cs="Times New Roman"/>
                      <w:b/>
                      <w:bCs/>
                      <w:color w:val="auto"/>
                      <w:sz w:val="21"/>
                      <w:szCs w:val="21"/>
                      <w:highlight w:val="none"/>
                    </w:rPr>
                    <w:t>项目排放量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固体废物产生量</w:t>
                  </w:r>
                  <w:r>
                    <w:rPr>
                      <w:rFonts w:hint="default" w:ascii="Times New Roman" w:hAnsi="Times New Roman" w:eastAsia="宋体" w:cs="Times New Roman"/>
                      <w:b/>
                      <w:bCs/>
                      <w:color w:val="auto"/>
                      <w:sz w:val="21"/>
                      <w:szCs w:val="21"/>
                      <w:highlight w:val="none"/>
                      <w:lang w:eastAsia="zh-CN"/>
                    </w:rPr>
                    <w:t>）</w:t>
                  </w:r>
                </w:p>
              </w:tc>
              <w:tc>
                <w:tcPr>
                  <w:tcW w:w="710" w:type="pct"/>
                  <w:noWrap w:val="0"/>
                  <w:tcMar>
                    <w:top w:w="0" w:type="dxa"/>
                    <w:left w:w="57" w:type="dxa"/>
                    <w:bottom w:w="0" w:type="dxa"/>
                    <w:right w:w="57" w:type="dxa"/>
                  </w:tcMar>
                  <w:vAlign w:val="center"/>
                </w:tcPr>
                <w:p w14:paraId="6F4003E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本</w:t>
                  </w:r>
                  <w:r>
                    <w:rPr>
                      <w:rFonts w:hint="default" w:ascii="Times New Roman" w:hAnsi="Times New Roman" w:eastAsia="宋体" w:cs="Times New Roman"/>
                      <w:b/>
                      <w:bCs/>
                      <w:color w:val="auto"/>
                      <w:sz w:val="21"/>
                      <w:szCs w:val="21"/>
                      <w:highlight w:val="none"/>
                    </w:rPr>
                    <w:t>项目排放量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固体废物产生量</w:t>
                  </w:r>
                  <w:r>
                    <w:rPr>
                      <w:rFonts w:hint="default" w:ascii="Times New Roman" w:hAnsi="Times New Roman" w:eastAsia="宋体" w:cs="Times New Roman"/>
                      <w:b/>
                      <w:bCs/>
                      <w:color w:val="auto"/>
                      <w:sz w:val="21"/>
                      <w:szCs w:val="21"/>
                      <w:highlight w:val="none"/>
                      <w:lang w:eastAsia="zh-CN"/>
                    </w:rPr>
                    <w:t>）</w:t>
                  </w:r>
                </w:p>
              </w:tc>
              <w:tc>
                <w:tcPr>
                  <w:tcW w:w="710" w:type="pct"/>
                  <w:noWrap w:val="0"/>
                  <w:tcMar>
                    <w:top w:w="0" w:type="dxa"/>
                    <w:left w:w="57" w:type="dxa"/>
                    <w:bottom w:w="0" w:type="dxa"/>
                    <w:right w:w="57" w:type="dxa"/>
                  </w:tcMar>
                  <w:vAlign w:val="center"/>
                </w:tcPr>
                <w:p w14:paraId="37F74A50">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以新带老削减量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固体废物产生量</w:t>
                  </w:r>
                  <w:r>
                    <w:rPr>
                      <w:rFonts w:hint="default" w:ascii="Times New Roman" w:hAnsi="Times New Roman" w:eastAsia="宋体" w:cs="Times New Roman"/>
                      <w:b/>
                      <w:bCs/>
                      <w:color w:val="auto"/>
                      <w:sz w:val="21"/>
                      <w:szCs w:val="21"/>
                      <w:highlight w:val="none"/>
                      <w:lang w:eastAsia="zh-CN"/>
                    </w:rPr>
                    <w:t>）</w:t>
                  </w:r>
                </w:p>
              </w:tc>
              <w:tc>
                <w:tcPr>
                  <w:tcW w:w="856" w:type="pct"/>
                  <w:noWrap w:val="0"/>
                  <w:tcMar>
                    <w:top w:w="0" w:type="dxa"/>
                    <w:left w:w="57" w:type="dxa"/>
                    <w:bottom w:w="0" w:type="dxa"/>
                    <w:right w:w="57" w:type="dxa"/>
                  </w:tcMar>
                  <w:vAlign w:val="center"/>
                </w:tcPr>
                <w:p w14:paraId="7B2ED89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本项目建成后，全厂</w:t>
                  </w:r>
                  <w:r>
                    <w:rPr>
                      <w:rFonts w:hint="default" w:ascii="Times New Roman" w:hAnsi="Times New Roman" w:eastAsia="宋体" w:cs="Times New Roman"/>
                      <w:b/>
                      <w:bCs/>
                      <w:color w:val="auto"/>
                      <w:sz w:val="21"/>
                      <w:szCs w:val="21"/>
                      <w:highlight w:val="none"/>
                    </w:rPr>
                    <w:t>总排放量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固体废物产生量</w:t>
                  </w:r>
                  <w:r>
                    <w:rPr>
                      <w:rFonts w:hint="default" w:ascii="Times New Roman" w:hAnsi="Times New Roman" w:eastAsia="宋体" w:cs="Times New Roman"/>
                      <w:b/>
                      <w:bCs/>
                      <w:color w:val="auto"/>
                      <w:sz w:val="21"/>
                      <w:szCs w:val="21"/>
                      <w:highlight w:val="none"/>
                      <w:lang w:eastAsia="zh-CN"/>
                    </w:rPr>
                    <w:t>）</w:t>
                  </w:r>
                </w:p>
              </w:tc>
              <w:tc>
                <w:tcPr>
                  <w:tcW w:w="747" w:type="pct"/>
                  <w:noWrap w:val="0"/>
                  <w:tcMar>
                    <w:top w:w="0" w:type="dxa"/>
                    <w:left w:w="57" w:type="dxa"/>
                    <w:bottom w:w="0" w:type="dxa"/>
                    <w:right w:w="57" w:type="dxa"/>
                  </w:tcMar>
                  <w:vAlign w:val="center"/>
                </w:tcPr>
                <w:p w14:paraId="72B08F8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排放增减量</w:t>
                  </w:r>
                </w:p>
              </w:tc>
            </w:tr>
            <w:tr w14:paraId="2931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532" w:type="pct"/>
                  <w:noWrap w:val="0"/>
                  <w:tcMar>
                    <w:top w:w="0" w:type="dxa"/>
                    <w:left w:w="57" w:type="dxa"/>
                    <w:bottom w:w="0" w:type="dxa"/>
                    <w:right w:w="57" w:type="dxa"/>
                  </w:tcMar>
                  <w:vAlign w:val="center"/>
                </w:tcPr>
                <w:p w14:paraId="6F17015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大气污染物</w:t>
                  </w:r>
                </w:p>
              </w:tc>
              <w:tc>
                <w:tcPr>
                  <w:tcW w:w="676" w:type="pct"/>
                  <w:noWrap w:val="0"/>
                  <w:tcMar>
                    <w:top w:w="0" w:type="dxa"/>
                    <w:left w:w="57" w:type="dxa"/>
                    <w:bottom w:w="0" w:type="dxa"/>
                    <w:right w:w="57" w:type="dxa"/>
                  </w:tcMar>
                  <w:vAlign w:val="center"/>
                </w:tcPr>
                <w:p w14:paraId="3CC5326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765" w:type="pct"/>
                  <w:noWrap w:val="0"/>
                  <w:tcMar>
                    <w:top w:w="0" w:type="dxa"/>
                    <w:left w:w="57" w:type="dxa"/>
                    <w:bottom w:w="0" w:type="dxa"/>
                    <w:right w:w="57" w:type="dxa"/>
                  </w:tcMar>
                  <w:vAlign w:val="center"/>
                </w:tcPr>
                <w:p w14:paraId="5CD60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7.654</w:t>
                  </w:r>
                  <w:r>
                    <w:rPr>
                      <w:rFonts w:hint="default" w:ascii="Times New Roman" w:hAnsi="Times New Roman" w:eastAsia="宋体" w:cs="Times New Roman"/>
                      <w:color w:val="auto"/>
                      <w:sz w:val="21"/>
                      <w:szCs w:val="21"/>
                      <w:highlight w:val="none"/>
                    </w:rPr>
                    <w:t>t/a</w:t>
                  </w:r>
                </w:p>
              </w:tc>
              <w:tc>
                <w:tcPr>
                  <w:tcW w:w="710" w:type="pct"/>
                  <w:noWrap w:val="0"/>
                  <w:tcMar>
                    <w:top w:w="0" w:type="dxa"/>
                    <w:left w:w="57" w:type="dxa"/>
                    <w:bottom w:w="0" w:type="dxa"/>
                    <w:right w:w="57" w:type="dxa"/>
                  </w:tcMar>
                  <w:vAlign w:val="center"/>
                </w:tcPr>
                <w:p w14:paraId="1BAC4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vertAlign w:val="baseline"/>
                      <w:lang w:val="en-US" w:eastAsia="zh-CN"/>
                    </w:rPr>
                    <w:t>10.998</w:t>
                  </w:r>
                  <w:r>
                    <w:rPr>
                      <w:rFonts w:hint="default" w:ascii="Times New Roman" w:hAnsi="Times New Roman" w:eastAsia="宋体" w:cs="Times New Roman"/>
                      <w:color w:val="auto"/>
                      <w:sz w:val="21"/>
                      <w:szCs w:val="21"/>
                      <w:highlight w:val="none"/>
                    </w:rPr>
                    <w:t>t/a</w:t>
                  </w:r>
                </w:p>
              </w:tc>
              <w:tc>
                <w:tcPr>
                  <w:tcW w:w="710" w:type="pct"/>
                  <w:noWrap w:val="0"/>
                  <w:tcMar>
                    <w:top w:w="0" w:type="dxa"/>
                    <w:left w:w="57" w:type="dxa"/>
                    <w:bottom w:w="0" w:type="dxa"/>
                    <w:right w:w="57" w:type="dxa"/>
                  </w:tcMar>
                  <w:vAlign w:val="center"/>
                </w:tcPr>
                <w:p w14:paraId="608B9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0</w:t>
                  </w:r>
                </w:p>
              </w:tc>
              <w:tc>
                <w:tcPr>
                  <w:tcW w:w="856" w:type="pct"/>
                  <w:noWrap w:val="0"/>
                  <w:tcMar>
                    <w:top w:w="0" w:type="dxa"/>
                    <w:left w:w="57" w:type="dxa"/>
                    <w:bottom w:w="0" w:type="dxa"/>
                    <w:right w:w="57" w:type="dxa"/>
                  </w:tcMar>
                  <w:vAlign w:val="center"/>
                </w:tcPr>
                <w:p w14:paraId="3746EA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18.652</w:t>
                  </w:r>
                  <w:r>
                    <w:rPr>
                      <w:rFonts w:hint="default" w:ascii="Times New Roman" w:hAnsi="Times New Roman" w:eastAsia="宋体" w:cs="Times New Roman"/>
                      <w:color w:val="auto"/>
                      <w:sz w:val="21"/>
                      <w:szCs w:val="21"/>
                      <w:highlight w:val="none"/>
                    </w:rPr>
                    <w:t>t/a</w:t>
                  </w:r>
                </w:p>
              </w:tc>
              <w:tc>
                <w:tcPr>
                  <w:tcW w:w="747" w:type="pct"/>
                  <w:noWrap w:val="0"/>
                  <w:tcMar>
                    <w:top w:w="0" w:type="dxa"/>
                    <w:left w:w="57" w:type="dxa"/>
                    <w:bottom w:w="0" w:type="dxa"/>
                    <w:right w:w="57" w:type="dxa"/>
                  </w:tcMar>
                  <w:vAlign w:val="center"/>
                </w:tcPr>
                <w:p w14:paraId="10C275C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10.998</w:t>
                  </w:r>
                  <w:r>
                    <w:rPr>
                      <w:rFonts w:hint="default" w:ascii="Times New Roman" w:hAnsi="Times New Roman" w:eastAsia="宋体" w:cs="Times New Roman"/>
                      <w:color w:val="auto"/>
                      <w:sz w:val="21"/>
                      <w:szCs w:val="21"/>
                      <w:highlight w:val="none"/>
                    </w:rPr>
                    <w:t>t/a</w:t>
                  </w:r>
                </w:p>
              </w:tc>
            </w:tr>
            <w:tr w14:paraId="384E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32" w:type="pct"/>
                  <w:vMerge w:val="restart"/>
                  <w:noWrap w:val="0"/>
                  <w:tcMar>
                    <w:top w:w="0" w:type="dxa"/>
                    <w:left w:w="57" w:type="dxa"/>
                    <w:bottom w:w="0" w:type="dxa"/>
                    <w:right w:w="57" w:type="dxa"/>
                  </w:tcMar>
                  <w:vAlign w:val="center"/>
                </w:tcPr>
                <w:p w14:paraId="6429EAE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废水</w:t>
                  </w:r>
                </w:p>
              </w:tc>
              <w:tc>
                <w:tcPr>
                  <w:tcW w:w="676" w:type="pct"/>
                  <w:noWrap w:val="0"/>
                  <w:tcMar>
                    <w:top w:w="0" w:type="dxa"/>
                    <w:left w:w="57" w:type="dxa"/>
                    <w:bottom w:w="0" w:type="dxa"/>
                    <w:right w:w="57" w:type="dxa"/>
                  </w:tcMar>
                  <w:vAlign w:val="center"/>
                </w:tcPr>
                <w:p w14:paraId="6FED432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765" w:type="pct"/>
                  <w:noWrap w:val="0"/>
                  <w:tcMar>
                    <w:top w:w="0" w:type="dxa"/>
                    <w:left w:w="57" w:type="dxa"/>
                    <w:bottom w:w="0" w:type="dxa"/>
                    <w:right w:w="57" w:type="dxa"/>
                  </w:tcMar>
                  <w:vAlign w:val="center"/>
                </w:tcPr>
                <w:p w14:paraId="25B12EB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0，不外排</w:t>
                  </w:r>
                </w:p>
              </w:tc>
              <w:tc>
                <w:tcPr>
                  <w:tcW w:w="710" w:type="pct"/>
                  <w:noWrap w:val="0"/>
                  <w:tcMar>
                    <w:top w:w="0" w:type="dxa"/>
                    <w:left w:w="57" w:type="dxa"/>
                    <w:bottom w:w="0" w:type="dxa"/>
                    <w:right w:w="57" w:type="dxa"/>
                  </w:tcMar>
                  <w:vAlign w:val="center"/>
                </w:tcPr>
                <w:p w14:paraId="04714B9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0，不外排</w:t>
                  </w:r>
                </w:p>
              </w:tc>
              <w:tc>
                <w:tcPr>
                  <w:tcW w:w="710" w:type="pct"/>
                  <w:noWrap w:val="0"/>
                  <w:tcMar>
                    <w:top w:w="0" w:type="dxa"/>
                    <w:left w:w="57" w:type="dxa"/>
                    <w:bottom w:w="0" w:type="dxa"/>
                    <w:right w:w="57" w:type="dxa"/>
                  </w:tcMar>
                  <w:vAlign w:val="center"/>
                </w:tcPr>
                <w:p w14:paraId="2269657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56" w:type="pct"/>
                  <w:noWrap w:val="0"/>
                  <w:tcMar>
                    <w:top w:w="0" w:type="dxa"/>
                    <w:left w:w="57" w:type="dxa"/>
                    <w:bottom w:w="0" w:type="dxa"/>
                    <w:right w:w="57" w:type="dxa"/>
                  </w:tcMar>
                  <w:vAlign w:val="center"/>
                </w:tcPr>
                <w:p w14:paraId="6CFF25F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0，不外排</w:t>
                  </w:r>
                </w:p>
              </w:tc>
              <w:tc>
                <w:tcPr>
                  <w:tcW w:w="747" w:type="pct"/>
                  <w:noWrap w:val="0"/>
                  <w:tcMar>
                    <w:top w:w="0" w:type="dxa"/>
                    <w:left w:w="57" w:type="dxa"/>
                    <w:bottom w:w="0" w:type="dxa"/>
                    <w:right w:w="57" w:type="dxa"/>
                  </w:tcMar>
                  <w:vAlign w:val="center"/>
                </w:tcPr>
                <w:p w14:paraId="05BB7D5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F12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 w:hRule="atLeast"/>
                <w:jc w:val="center"/>
              </w:trPr>
              <w:tc>
                <w:tcPr>
                  <w:tcW w:w="532" w:type="pct"/>
                  <w:vMerge w:val="continue"/>
                  <w:noWrap w:val="0"/>
                  <w:tcMar>
                    <w:top w:w="0" w:type="dxa"/>
                    <w:left w:w="57" w:type="dxa"/>
                    <w:bottom w:w="0" w:type="dxa"/>
                    <w:right w:w="57" w:type="dxa"/>
                  </w:tcMar>
                  <w:vAlign w:val="center"/>
                </w:tcPr>
                <w:p w14:paraId="4FFC688B">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76" w:type="pct"/>
                  <w:noWrap w:val="0"/>
                  <w:tcMar>
                    <w:top w:w="0" w:type="dxa"/>
                    <w:left w:w="57" w:type="dxa"/>
                    <w:bottom w:w="0" w:type="dxa"/>
                    <w:right w:w="57" w:type="dxa"/>
                  </w:tcMar>
                  <w:vAlign w:val="center"/>
                </w:tcPr>
                <w:p w14:paraId="30F3DD4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w:t>
                  </w:r>
                </w:p>
              </w:tc>
              <w:tc>
                <w:tcPr>
                  <w:tcW w:w="765" w:type="pct"/>
                  <w:shd w:val="clear" w:color="auto" w:fill="auto"/>
                  <w:noWrap w:val="0"/>
                  <w:tcMar>
                    <w:top w:w="0" w:type="dxa"/>
                    <w:left w:w="57" w:type="dxa"/>
                    <w:bottom w:w="0" w:type="dxa"/>
                    <w:right w:w="57" w:type="dxa"/>
                  </w:tcMar>
                  <w:vAlign w:val="center"/>
                </w:tcPr>
                <w:p w14:paraId="6557853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0，不外排</w:t>
                  </w:r>
                </w:p>
              </w:tc>
              <w:tc>
                <w:tcPr>
                  <w:tcW w:w="710" w:type="pct"/>
                  <w:shd w:val="clear" w:color="auto" w:fill="auto"/>
                  <w:noWrap w:val="0"/>
                  <w:tcMar>
                    <w:top w:w="0" w:type="dxa"/>
                    <w:left w:w="57" w:type="dxa"/>
                    <w:bottom w:w="0" w:type="dxa"/>
                    <w:right w:w="57" w:type="dxa"/>
                  </w:tcMar>
                  <w:vAlign w:val="center"/>
                </w:tcPr>
                <w:p w14:paraId="4F13B09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0，不外排</w:t>
                  </w:r>
                </w:p>
              </w:tc>
              <w:tc>
                <w:tcPr>
                  <w:tcW w:w="710" w:type="pct"/>
                  <w:shd w:val="clear" w:color="auto" w:fill="auto"/>
                  <w:noWrap w:val="0"/>
                  <w:tcMar>
                    <w:top w:w="0" w:type="dxa"/>
                    <w:left w:w="57" w:type="dxa"/>
                    <w:bottom w:w="0" w:type="dxa"/>
                    <w:right w:w="57" w:type="dxa"/>
                  </w:tcMar>
                  <w:vAlign w:val="center"/>
                </w:tcPr>
                <w:p w14:paraId="6292378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56" w:type="pct"/>
                  <w:shd w:val="clear" w:color="auto" w:fill="auto"/>
                  <w:noWrap w:val="0"/>
                  <w:tcMar>
                    <w:top w:w="0" w:type="dxa"/>
                    <w:left w:w="57" w:type="dxa"/>
                    <w:bottom w:w="0" w:type="dxa"/>
                    <w:right w:w="57" w:type="dxa"/>
                  </w:tcMar>
                  <w:vAlign w:val="center"/>
                </w:tcPr>
                <w:p w14:paraId="45F6E61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0，不外排</w:t>
                  </w:r>
                </w:p>
              </w:tc>
              <w:tc>
                <w:tcPr>
                  <w:tcW w:w="747" w:type="pct"/>
                  <w:shd w:val="clear" w:color="auto" w:fill="auto"/>
                  <w:noWrap w:val="0"/>
                  <w:tcMar>
                    <w:top w:w="0" w:type="dxa"/>
                    <w:left w:w="57" w:type="dxa"/>
                    <w:bottom w:w="0" w:type="dxa"/>
                    <w:right w:w="57" w:type="dxa"/>
                  </w:tcMar>
                  <w:vAlign w:val="center"/>
                </w:tcPr>
                <w:p w14:paraId="7B4EEFA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152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2" w:type="pct"/>
                  <w:vMerge w:val="restart"/>
                  <w:noWrap w:val="0"/>
                  <w:tcMar>
                    <w:top w:w="0" w:type="dxa"/>
                    <w:left w:w="57" w:type="dxa"/>
                    <w:bottom w:w="0" w:type="dxa"/>
                    <w:right w:w="57" w:type="dxa"/>
                  </w:tcMar>
                  <w:vAlign w:val="center"/>
                </w:tcPr>
                <w:p w14:paraId="012ED2E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676" w:type="pct"/>
                  <w:noWrap w:val="0"/>
                  <w:tcMar>
                    <w:top w:w="0" w:type="dxa"/>
                    <w:left w:w="57" w:type="dxa"/>
                    <w:bottom w:w="0" w:type="dxa"/>
                    <w:right w:w="57" w:type="dxa"/>
                  </w:tcMar>
                  <w:vAlign w:val="center"/>
                </w:tcPr>
                <w:p w14:paraId="16183392">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生活垃圾</w:t>
                  </w:r>
                </w:p>
              </w:tc>
              <w:tc>
                <w:tcPr>
                  <w:tcW w:w="765" w:type="pct"/>
                  <w:noWrap w:val="0"/>
                  <w:tcMar>
                    <w:top w:w="0" w:type="dxa"/>
                    <w:left w:w="57" w:type="dxa"/>
                    <w:bottom w:w="0" w:type="dxa"/>
                    <w:right w:w="57" w:type="dxa"/>
                  </w:tcMar>
                  <w:vAlign w:val="center"/>
                </w:tcPr>
                <w:p w14:paraId="0BA6A512">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t/a</w:t>
                  </w:r>
                </w:p>
              </w:tc>
              <w:tc>
                <w:tcPr>
                  <w:tcW w:w="710" w:type="pct"/>
                  <w:noWrap w:val="0"/>
                  <w:tcMar>
                    <w:top w:w="0" w:type="dxa"/>
                    <w:left w:w="57" w:type="dxa"/>
                    <w:bottom w:w="0" w:type="dxa"/>
                    <w:right w:w="57" w:type="dxa"/>
                  </w:tcMar>
                  <w:vAlign w:val="center"/>
                </w:tcPr>
                <w:p w14:paraId="7645616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t/a</w:t>
                  </w:r>
                </w:p>
              </w:tc>
              <w:tc>
                <w:tcPr>
                  <w:tcW w:w="710" w:type="pct"/>
                  <w:noWrap w:val="0"/>
                  <w:tcMar>
                    <w:top w:w="0" w:type="dxa"/>
                    <w:left w:w="57" w:type="dxa"/>
                    <w:bottom w:w="0" w:type="dxa"/>
                    <w:right w:w="57" w:type="dxa"/>
                  </w:tcMar>
                  <w:vAlign w:val="center"/>
                </w:tcPr>
                <w:p w14:paraId="3D0DD8A0">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856" w:type="pct"/>
                  <w:noWrap w:val="0"/>
                  <w:tcMar>
                    <w:top w:w="0" w:type="dxa"/>
                    <w:left w:w="57" w:type="dxa"/>
                    <w:bottom w:w="0" w:type="dxa"/>
                    <w:right w:w="57" w:type="dxa"/>
                  </w:tcMar>
                  <w:vAlign w:val="center"/>
                </w:tcPr>
                <w:p w14:paraId="76CE0EE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t/a</w:t>
                  </w:r>
                </w:p>
              </w:tc>
              <w:tc>
                <w:tcPr>
                  <w:tcW w:w="747" w:type="pct"/>
                  <w:noWrap w:val="0"/>
                  <w:tcMar>
                    <w:top w:w="0" w:type="dxa"/>
                    <w:left w:w="57" w:type="dxa"/>
                    <w:bottom w:w="0" w:type="dxa"/>
                    <w:right w:w="57" w:type="dxa"/>
                  </w:tcMar>
                  <w:vAlign w:val="center"/>
                </w:tcPr>
                <w:p w14:paraId="7EF71A3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t/a</w:t>
                  </w:r>
                </w:p>
              </w:tc>
            </w:tr>
            <w:tr w14:paraId="13F9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2" w:type="pct"/>
                  <w:vMerge w:val="continue"/>
                  <w:noWrap w:val="0"/>
                  <w:tcMar>
                    <w:top w:w="0" w:type="dxa"/>
                    <w:left w:w="57" w:type="dxa"/>
                    <w:bottom w:w="0" w:type="dxa"/>
                    <w:right w:w="57" w:type="dxa"/>
                  </w:tcMar>
                  <w:vAlign w:val="center"/>
                </w:tcPr>
                <w:p w14:paraId="08E5ED6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76" w:type="pct"/>
                  <w:shd w:val="clear" w:color="auto" w:fill="auto"/>
                  <w:noWrap w:val="0"/>
                  <w:tcMar>
                    <w:top w:w="0" w:type="dxa"/>
                    <w:left w:w="57" w:type="dxa"/>
                    <w:bottom w:w="0" w:type="dxa"/>
                    <w:right w:w="57" w:type="dxa"/>
                  </w:tcMar>
                  <w:vAlign w:val="center"/>
                </w:tcPr>
                <w:p w14:paraId="130FCAD1">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一般工业固废</w:t>
                  </w:r>
                </w:p>
              </w:tc>
              <w:tc>
                <w:tcPr>
                  <w:tcW w:w="765" w:type="pct"/>
                  <w:shd w:val="clear" w:color="auto" w:fill="auto"/>
                  <w:noWrap w:val="0"/>
                  <w:tcMar>
                    <w:top w:w="0" w:type="dxa"/>
                    <w:left w:w="57" w:type="dxa"/>
                    <w:bottom w:w="0" w:type="dxa"/>
                    <w:right w:w="57" w:type="dxa"/>
                  </w:tcMar>
                  <w:vAlign w:val="center"/>
                </w:tcPr>
                <w:p w14:paraId="3D4B456C">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62.243</w:t>
                  </w:r>
                  <w:r>
                    <w:rPr>
                      <w:rFonts w:hint="default" w:ascii="Times New Roman" w:hAnsi="Times New Roman" w:eastAsia="宋体" w:cs="Times New Roman"/>
                      <w:color w:val="auto"/>
                      <w:sz w:val="21"/>
                      <w:szCs w:val="21"/>
                      <w:highlight w:val="none"/>
                    </w:rPr>
                    <w:t>t/a</w:t>
                  </w:r>
                </w:p>
              </w:tc>
              <w:tc>
                <w:tcPr>
                  <w:tcW w:w="710" w:type="pct"/>
                  <w:shd w:val="clear" w:color="auto" w:fill="auto"/>
                  <w:noWrap w:val="0"/>
                  <w:tcMar>
                    <w:top w:w="0" w:type="dxa"/>
                    <w:left w:w="57" w:type="dxa"/>
                    <w:bottom w:w="0" w:type="dxa"/>
                    <w:right w:w="57" w:type="dxa"/>
                  </w:tcMar>
                  <w:vAlign w:val="center"/>
                </w:tcPr>
                <w:p w14:paraId="1EA165E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rPr>
                    <w:t>t/a</w:t>
                  </w:r>
                </w:p>
              </w:tc>
              <w:tc>
                <w:tcPr>
                  <w:tcW w:w="710" w:type="pct"/>
                  <w:shd w:val="clear" w:color="auto" w:fill="auto"/>
                  <w:noWrap w:val="0"/>
                  <w:tcMar>
                    <w:top w:w="0" w:type="dxa"/>
                    <w:left w:w="57" w:type="dxa"/>
                    <w:bottom w:w="0" w:type="dxa"/>
                    <w:right w:w="57" w:type="dxa"/>
                  </w:tcMar>
                  <w:vAlign w:val="center"/>
                </w:tcPr>
                <w:p w14:paraId="6D680D49">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856" w:type="pct"/>
                  <w:shd w:val="clear" w:color="auto" w:fill="auto"/>
                  <w:noWrap w:val="0"/>
                  <w:tcMar>
                    <w:top w:w="0" w:type="dxa"/>
                    <w:left w:w="57" w:type="dxa"/>
                    <w:bottom w:w="0" w:type="dxa"/>
                    <w:right w:w="57" w:type="dxa"/>
                  </w:tcMar>
                  <w:vAlign w:val="center"/>
                </w:tcPr>
                <w:p w14:paraId="7719D0B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62.743</w:t>
                  </w:r>
                  <w:r>
                    <w:rPr>
                      <w:rFonts w:hint="default" w:ascii="Times New Roman" w:hAnsi="Times New Roman" w:eastAsia="宋体" w:cs="Times New Roman"/>
                      <w:color w:val="auto"/>
                      <w:sz w:val="21"/>
                      <w:szCs w:val="21"/>
                      <w:highlight w:val="none"/>
                    </w:rPr>
                    <w:t>t/a</w:t>
                  </w:r>
                </w:p>
              </w:tc>
              <w:tc>
                <w:tcPr>
                  <w:tcW w:w="747" w:type="pct"/>
                  <w:shd w:val="clear" w:color="auto" w:fill="auto"/>
                  <w:noWrap w:val="0"/>
                  <w:tcMar>
                    <w:top w:w="0" w:type="dxa"/>
                    <w:left w:w="57" w:type="dxa"/>
                    <w:bottom w:w="0" w:type="dxa"/>
                    <w:right w:w="57" w:type="dxa"/>
                  </w:tcMar>
                  <w:vAlign w:val="center"/>
                </w:tcPr>
                <w:p w14:paraId="32F7361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0.5</w:t>
                  </w:r>
                  <w:r>
                    <w:rPr>
                      <w:rFonts w:hint="default" w:ascii="Times New Roman" w:hAnsi="Times New Roman" w:eastAsia="宋体" w:cs="Times New Roman"/>
                      <w:color w:val="auto"/>
                      <w:sz w:val="21"/>
                      <w:szCs w:val="21"/>
                      <w:highlight w:val="none"/>
                    </w:rPr>
                    <w:t>t/a</w:t>
                  </w:r>
                </w:p>
              </w:tc>
            </w:tr>
            <w:tr w14:paraId="0DB7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2" w:type="pct"/>
                  <w:vMerge w:val="continue"/>
                  <w:noWrap w:val="0"/>
                  <w:tcMar>
                    <w:top w:w="0" w:type="dxa"/>
                    <w:left w:w="57" w:type="dxa"/>
                    <w:bottom w:w="0" w:type="dxa"/>
                    <w:right w:w="57" w:type="dxa"/>
                  </w:tcMar>
                  <w:vAlign w:val="center"/>
                </w:tcPr>
                <w:p w14:paraId="6A41803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76" w:type="pct"/>
                  <w:noWrap w:val="0"/>
                  <w:tcMar>
                    <w:top w:w="0" w:type="dxa"/>
                    <w:left w:w="57" w:type="dxa"/>
                    <w:bottom w:w="0" w:type="dxa"/>
                    <w:right w:w="57" w:type="dxa"/>
                  </w:tcMar>
                  <w:vAlign w:val="center"/>
                </w:tcPr>
                <w:p w14:paraId="51F5DCCC">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r>
                    <w:rPr>
                      <w:rFonts w:hint="eastAsia" w:cs="Times New Roman"/>
                      <w:color w:val="auto"/>
                      <w:sz w:val="21"/>
                      <w:szCs w:val="21"/>
                      <w:highlight w:val="none"/>
                      <w:lang w:val="en-US" w:eastAsia="zh-CN"/>
                    </w:rPr>
                    <w:t>（废机油）</w:t>
                  </w:r>
                </w:p>
              </w:tc>
              <w:tc>
                <w:tcPr>
                  <w:tcW w:w="765" w:type="pct"/>
                  <w:noWrap w:val="0"/>
                  <w:tcMar>
                    <w:top w:w="0" w:type="dxa"/>
                    <w:left w:w="57" w:type="dxa"/>
                    <w:bottom w:w="0" w:type="dxa"/>
                    <w:right w:w="57" w:type="dxa"/>
                  </w:tcMar>
                  <w:vAlign w:val="center"/>
                </w:tcPr>
                <w:p w14:paraId="6E390304">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rPr>
                    <w:t>t/a</w:t>
                  </w:r>
                </w:p>
              </w:tc>
              <w:tc>
                <w:tcPr>
                  <w:tcW w:w="710" w:type="pct"/>
                  <w:noWrap w:val="0"/>
                  <w:tcMar>
                    <w:top w:w="0" w:type="dxa"/>
                    <w:left w:w="57" w:type="dxa"/>
                    <w:bottom w:w="0" w:type="dxa"/>
                    <w:right w:w="57" w:type="dxa"/>
                  </w:tcMar>
                  <w:vAlign w:val="center"/>
                </w:tcPr>
                <w:p w14:paraId="42DD7F5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rPr>
                    <w:t>t/a</w:t>
                  </w:r>
                </w:p>
              </w:tc>
              <w:tc>
                <w:tcPr>
                  <w:tcW w:w="710" w:type="pct"/>
                  <w:noWrap w:val="0"/>
                  <w:tcMar>
                    <w:top w:w="0" w:type="dxa"/>
                    <w:left w:w="57" w:type="dxa"/>
                    <w:bottom w:w="0" w:type="dxa"/>
                    <w:right w:w="57" w:type="dxa"/>
                  </w:tcMar>
                  <w:vAlign w:val="center"/>
                </w:tcPr>
                <w:p w14:paraId="20CA774E">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856" w:type="pct"/>
                  <w:noWrap w:val="0"/>
                  <w:tcMar>
                    <w:top w:w="0" w:type="dxa"/>
                    <w:left w:w="57" w:type="dxa"/>
                    <w:bottom w:w="0" w:type="dxa"/>
                    <w:right w:w="57" w:type="dxa"/>
                  </w:tcMar>
                  <w:vAlign w:val="center"/>
                </w:tcPr>
                <w:p w14:paraId="2E52DF8A">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0.2</w:t>
                  </w:r>
                  <w:r>
                    <w:rPr>
                      <w:rFonts w:hint="default" w:ascii="Times New Roman" w:hAnsi="Times New Roman" w:eastAsia="宋体" w:cs="Times New Roman"/>
                      <w:color w:val="auto"/>
                      <w:sz w:val="21"/>
                      <w:szCs w:val="21"/>
                      <w:highlight w:val="none"/>
                    </w:rPr>
                    <w:t>t/a</w:t>
                  </w:r>
                </w:p>
              </w:tc>
              <w:tc>
                <w:tcPr>
                  <w:tcW w:w="747" w:type="pct"/>
                  <w:noWrap w:val="0"/>
                  <w:tcMar>
                    <w:top w:w="0" w:type="dxa"/>
                    <w:left w:w="57" w:type="dxa"/>
                    <w:bottom w:w="0" w:type="dxa"/>
                    <w:right w:w="57" w:type="dxa"/>
                  </w:tcMar>
                  <w:vAlign w:val="center"/>
                </w:tcPr>
                <w:p w14:paraId="704B41C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default" w:ascii="Times New Roman" w:hAnsi="Times New Roman" w:eastAsia="宋体" w:cs="Times New Roman"/>
                      <w:color w:val="auto"/>
                      <w:sz w:val="21"/>
                      <w:szCs w:val="21"/>
                      <w:highlight w:val="none"/>
                    </w:rPr>
                    <w:t>t/a</w:t>
                  </w:r>
                </w:p>
              </w:tc>
            </w:tr>
          </w:tbl>
          <w:p w14:paraId="250719A0">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6292762F">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6E6E7223">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2B2363B4">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21D0E4EA">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7EC6C687">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0777ADC2">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6C238777">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6909A394">
            <w:pPr>
              <w:keepNext w:val="0"/>
              <w:keepLines w:val="0"/>
              <w:pageBreakBefore w:val="0"/>
              <w:numPr>
                <w:ilvl w:val="0"/>
                <w:numId w:val="0"/>
              </w:numPr>
              <w:kinsoku/>
              <w:wordWrap/>
              <w:overflowPunct/>
              <w:topLinePunct w:val="0"/>
              <w:autoSpaceDE/>
              <w:autoSpaceDN/>
              <w:bidi w:val="0"/>
              <w:textAlignment w:val="auto"/>
              <w:rPr>
                <w:rFonts w:hint="default" w:ascii="Times New Roman" w:hAnsi="Times New Roman" w:cs="Times New Roman" w:eastAsiaTheme="minorEastAsia"/>
                <w:b w:val="0"/>
                <w:bCs w:val="0"/>
                <w:i w:val="0"/>
                <w:iCs w:val="0"/>
                <w:color w:val="auto"/>
                <w:sz w:val="24"/>
                <w:szCs w:val="24"/>
                <w:lang w:val="en-US" w:eastAsia="zh-CN"/>
              </w:rPr>
            </w:pPr>
          </w:p>
          <w:p w14:paraId="37216ABE">
            <w:pPr>
              <w:pStyle w:val="42"/>
              <w:jc w:val="both"/>
              <w:rPr>
                <w:rFonts w:hint="default" w:ascii="Times New Roman" w:hAnsi="Times New Roman" w:eastAsia="宋体" w:cs="Times New Roman"/>
                <w:strike w:val="0"/>
                <w:dstrike w:val="0"/>
                <w:color w:val="auto"/>
                <w:lang w:eastAsia="zh-CN"/>
              </w:rPr>
            </w:pPr>
          </w:p>
        </w:tc>
      </w:tr>
    </w:tbl>
    <w:p w14:paraId="61D17D1B">
      <w:pPr>
        <w:ind w:left="0" w:leftChars="0" w:firstLine="0" w:firstLineChars="0"/>
        <w:rPr>
          <w:rFonts w:hint="default" w:ascii="Times New Roman" w:hAnsi="Times New Roman" w:cs="Times New Roman"/>
          <w:color w:val="auto"/>
        </w:rPr>
        <w:sectPr>
          <w:footerReference r:id="rId8" w:type="default"/>
          <w:pgSz w:w="11906" w:h="16838"/>
          <w:pgMar w:top="1440" w:right="1800" w:bottom="1440" w:left="1800" w:header="851" w:footer="992" w:gutter="0"/>
          <w:pgNumType w:fmt="decimal" w:start="1"/>
          <w:cols w:space="720" w:num="1"/>
          <w:docGrid w:type="lines" w:linePitch="312" w:charSpace="0"/>
        </w:sectPr>
      </w:pPr>
    </w:p>
    <w:p w14:paraId="346B8D1D">
      <w:pPr>
        <w:pStyle w:val="2"/>
        <w:numPr>
          <w:ilvl w:val="0"/>
          <w:numId w:val="0"/>
        </w:numPr>
        <w:ind w:firstLine="0" w:firstLineChars="0"/>
        <w:jc w:val="center"/>
        <w:rPr>
          <w:rFonts w:hint="default" w:ascii="Times New Roman" w:hAnsi="Times New Roman" w:eastAsia="黑体" w:cs="Times New Roman"/>
          <w:b/>
          <w:color w:val="auto"/>
          <w:kern w:val="44"/>
          <w:sz w:val="32"/>
          <w:szCs w:val="32"/>
          <w:lang w:val="en-US" w:eastAsia="zh-CN" w:bidi="ar-SA"/>
        </w:rPr>
      </w:pPr>
      <w:bookmarkStart w:id="14" w:name="_Toc4973"/>
      <w:r>
        <w:rPr>
          <w:rFonts w:hint="default" w:ascii="Times New Roman" w:hAnsi="Times New Roman" w:eastAsia="黑体" w:cs="Times New Roman"/>
          <w:b/>
          <w:color w:val="auto"/>
          <w:kern w:val="44"/>
          <w:sz w:val="32"/>
          <w:szCs w:val="32"/>
          <w:lang w:val="en-US" w:eastAsia="zh-CN" w:bidi="ar-SA"/>
        </w:rPr>
        <w:t>三、区域环境质量现状、环境保护目标及评价标准</w:t>
      </w:r>
      <w:bookmarkEnd w:id="14"/>
    </w:p>
    <w:tbl>
      <w:tblPr>
        <w:tblStyle w:val="28"/>
        <w:tblW w:w="500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072"/>
      </w:tblGrid>
      <w:tr w14:paraId="6116F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Align w:val="center"/>
          </w:tcPr>
          <w:p w14:paraId="4FBDF183">
            <w:pPr>
              <w:ind w:firstLine="0" w:firstLineChars="0"/>
              <w:rPr>
                <w:rFonts w:hint="default" w:ascii="Times New Roman" w:hAnsi="Times New Roman" w:cs="Times New Roman"/>
                <w:color w:val="auto"/>
              </w:rPr>
            </w:pPr>
            <w:r>
              <w:rPr>
                <w:rFonts w:hint="default" w:ascii="Times New Roman" w:hAnsi="Times New Roman" w:cs="Times New Roman"/>
                <w:color w:val="auto"/>
              </w:rPr>
              <w:t>区域</w:t>
            </w:r>
          </w:p>
          <w:p w14:paraId="040ABA13">
            <w:pPr>
              <w:ind w:firstLine="0" w:firstLineChars="0"/>
              <w:rPr>
                <w:rFonts w:hint="default" w:ascii="Times New Roman" w:hAnsi="Times New Roman" w:cs="Times New Roman"/>
                <w:color w:val="auto"/>
              </w:rPr>
            </w:pPr>
            <w:r>
              <w:rPr>
                <w:rFonts w:hint="default" w:ascii="Times New Roman" w:hAnsi="Times New Roman" w:cs="Times New Roman"/>
                <w:color w:val="auto"/>
              </w:rPr>
              <w:t>环境</w:t>
            </w:r>
          </w:p>
          <w:p w14:paraId="27F71FC3">
            <w:pPr>
              <w:ind w:firstLine="0" w:firstLineChars="0"/>
              <w:rPr>
                <w:rFonts w:hint="default" w:ascii="Times New Roman" w:hAnsi="Times New Roman" w:cs="Times New Roman"/>
                <w:color w:val="auto"/>
              </w:rPr>
            </w:pPr>
            <w:r>
              <w:rPr>
                <w:rFonts w:hint="default" w:ascii="Times New Roman" w:hAnsi="Times New Roman" w:cs="Times New Roman"/>
                <w:color w:val="auto"/>
              </w:rPr>
              <w:t>质量</w:t>
            </w:r>
          </w:p>
          <w:p w14:paraId="6BF9BCE4">
            <w:pPr>
              <w:ind w:firstLine="0" w:firstLineChars="0"/>
              <w:rPr>
                <w:rFonts w:hint="default" w:ascii="Times New Roman" w:hAnsi="Times New Roman" w:cs="Times New Roman"/>
                <w:color w:val="auto"/>
              </w:rPr>
            </w:pPr>
            <w:r>
              <w:rPr>
                <w:rFonts w:hint="default" w:ascii="Times New Roman" w:hAnsi="Times New Roman" w:cs="Times New Roman"/>
                <w:color w:val="auto"/>
              </w:rPr>
              <w:t>现状</w:t>
            </w:r>
          </w:p>
        </w:tc>
        <w:tc>
          <w:tcPr>
            <w:tcW w:w="4733" w:type="pct"/>
          </w:tcPr>
          <w:p w14:paraId="5C2A537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1</w:t>
            </w:r>
            <w:r>
              <w:rPr>
                <w:rFonts w:hint="eastAsia" w:cs="Times New Roman"/>
                <w:b/>
                <w:bCs/>
                <w:color w:val="auto"/>
                <w:lang w:eastAsia="zh-CN"/>
              </w:rPr>
              <w:t>、</w:t>
            </w:r>
            <w:r>
              <w:rPr>
                <w:rFonts w:hint="default" w:ascii="Times New Roman" w:hAnsi="Times New Roman" w:cs="Times New Roman"/>
                <w:b/>
                <w:bCs/>
                <w:color w:val="auto"/>
              </w:rPr>
              <w:t>环境空气质量现状</w:t>
            </w:r>
          </w:p>
          <w:p w14:paraId="24FA6623">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（1）环境空气执行标准</w:t>
            </w:r>
          </w:p>
          <w:p w14:paraId="7D191A16">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项目区属环境空气功能区二类区，环境空气质量六项基本因子执行《环境空气质量标准》（GB3095-2</w:t>
            </w:r>
            <w:r>
              <w:rPr>
                <w:rFonts w:hint="eastAsia" w:ascii="Times New Roman" w:hAnsi="Times New Roman" w:eastAsia="宋体" w:cs="Times New Roman"/>
                <w:color w:val="auto"/>
                <w:sz w:val="24"/>
                <w:szCs w:val="24"/>
                <w:lang w:val="en-US" w:eastAsia="zh-CN"/>
              </w:rPr>
              <w:t>026</w:t>
            </w:r>
            <w:r>
              <w:rPr>
                <w:rFonts w:hint="default" w:ascii="Times New Roman" w:hAnsi="Times New Roman" w:eastAsia="宋体" w:cs="Times New Roman"/>
                <w:color w:val="auto"/>
                <w:sz w:val="24"/>
                <w:szCs w:val="24"/>
              </w:rPr>
              <w:t>）二级标准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其中</w:t>
            </w:r>
            <w:r>
              <w:rPr>
                <w:rFonts w:hint="default" w:ascii="Times New Roman" w:hAnsi="Times New Roman" w:eastAsia="宋体" w:cs="Times New Roman"/>
                <w:color w:val="auto"/>
                <w:sz w:val="24"/>
                <w:szCs w:val="24"/>
              </w:rPr>
              <w:t>，自本标准实施之日</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本标准自2026年03月01日实施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起至2030年12月31日止，</w:t>
            </w:r>
            <w:r>
              <w:rPr>
                <w:rFonts w:hint="eastAsia" w:ascii="Times New Roman" w:hAnsi="Times New Roman" w:eastAsia="宋体" w:cs="Times New Roman"/>
                <w:color w:val="auto"/>
                <w:sz w:val="24"/>
                <w:szCs w:val="24"/>
                <w:lang w:val="en-US" w:eastAsia="zh-CN"/>
              </w:rPr>
              <w:t>执行（</w:t>
            </w:r>
            <w:r>
              <w:rPr>
                <w:rFonts w:hint="default" w:ascii="Times New Roman" w:hAnsi="Times New Roman" w:eastAsia="宋体" w:cs="Times New Roman"/>
                <w:color w:val="auto"/>
                <w:sz w:val="24"/>
                <w:szCs w:val="24"/>
              </w:rPr>
              <w:t>表1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实施过渡阶段浓度限值</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自2031年1月1日起，在全国范围内实施基本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表1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浓度限值。标准值见表3-1。</w:t>
            </w:r>
          </w:p>
          <w:p w14:paraId="46440B7B">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表3-1  环境空气质量标准</w:t>
            </w:r>
          </w:p>
          <w:tbl>
            <w:tblPr>
              <w:tblStyle w:val="28"/>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769"/>
              <w:gridCol w:w="1606"/>
              <w:gridCol w:w="2072"/>
              <w:gridCol w:w="1402"/>
            </w:tblGrid>
            <w:tr w14:paraId="7C31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41" w:type="pct"/>
                  <w:vAlign w:val="center"/>
                </w:tcPr>
                <w:p w14:paraId="1CFD0488">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污染物名称</w:t>
                  </w:r>
                </w:p>
              </w:tc>
              <w:tc>
                <w:tcPr>
                  <w:tcW w:w="1125" w:type="pct"/>
                  <w:vAlign w:val="center"/>
                </w:tcPr>
                <w:p w14:paraId="7EFDD2D9">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取值时间</w:t>
                  </w:r>
                </w:p>
              </w:tc>
              <w:tc>
                <w:tcPr>
                  <w:tcW w:w="1022" w:type="pct"/>
                  <w:vAlign w:val="center"/>
                </w:tcPr>
                <w:p w14:paraId="12B996E0">
                  <w:pPr>
                    <w:pStyle w:val="58"/>
                    <w:keepNext w:val="0"/>
                    <w:keepLines w:val="0"/>
                    <w:pageBreakBefore w:val="0"/>
                    <w:widowControl w:val="0"/>
                    <w:kinsoku/>
                    <w:wordWrap/>
                    <w:overflowPunct/>
                    <w:topLinePunct w:val="0"/>
                    <w:autoSpaceDE/>
                    <w:autoSpaceDN/>
                    <w:bidi w:val="0"/>
                    <w:adjustRightInd/>
                    <w:snapToGrid/>
                    <w:textAlignment w:val="auto"/>
                    <w:rPr>
                      <w:rFonts w:hint="eastAsia" w:cs="Times New Roman" w:eastAsiaTheme="minorEastAsia"/>
                      <w:b/>
                      <w:bCs w:val="0"/>
                      <w:color w:val="auto"/>
                      <w:sz w:val="21"/>
                      <w:szCs w:val="21"/>
                      <w:lang w:val="en-US" w:eastAsia="zh-CN"/>
                    </w:rPr>
                  </w:pPr>
                  <w:r>
                    <w:rPr>
                      <w:rFonts w:hint="eastAsia" w:cs="Times New Roman" w:eastAsiaTheme="minorEastAsia"/>
                      <w:b/>
                      <w:bCs w:val="0"/>
                      <w:color w:val="auto"/>
                      <w:sz w:val="21"/>
                      <w:szCs w:val="21"/>
                      <w:lang w:val="en-US" w:eastAsia="zh-CN"/>
                    </w:rPr>
                    <w:t>过渡阶段</w:t>
                  </w:r>
                </w:p>
                <w:p w14:paraId="625303A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rPr>
                    <w:t>标准浓度限值</w:t>
                  </w:r>
                </w:p>
              </w:tc>
              <w:tc>
                <w:tcPr>
                  <w:tcW w:w="1318" w:type="pct"/>
                  <w:vAlign w:val="center"/>
                </w:tcPr>
                <w:p w14:paraId="44235C81">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val="en-US" w:eastAsia="zh-CN"/>
                    </w:rPr>
                  </w:pPr>
                  <w:r>
                    <w:rPr>
                      <w:rFonts w:hint="eastAsia" w:cs="Times New Roman" w:eastAsiaTheme="minorEastAsia"/>
                      <w:b/>
                      <w:bCs w:val="0"/>
                      <w:color w:val="auto"/>
                      <w:sz w:val="21"/>
                      <w:szCs w:val="21"/>
                      <w:lang w:val="en-US" w:eastAsia="zh-CN"/>
                    </w:rPr>
                    <w:t>浓度限值</w:t>
                  </w:r>
                </w:p>
              </w:tc>
              <w:tc>
                <w:tcPr>
                  <w:tcW w:w="892" w:type="pct"/>
                  <w:vAlign w:val="center"/>
                </w:tcPr>
                <w:p w14:paraId="17CF30CF">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执行标准</w:t>
                  </w:r>
                </w:p>
              </w:tc>
            </w:tr>
            <w:tr w14:paraId="672E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restart"/>
                  <w:vAlign w:val="center"/>
                </w:tcPr>
                <w:p w14:paraId="086F328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SO</w:t>
                  </w:r>
                  <w:r>
                    <w:rPr>
                      <w:rFonts w:hint="default" w:ascii="Times New Roman" w:hAnsi="Times New Roman" w:cs="Times New Roman" w:eastAsiaTheme="minorEastAsia"/>
                      <w:bCs/>
                      <w:color w:val="auto"/>
                      <w:sz w:val="21"/>
                      <w:szCs w:val="21"/>
                      <w:vertAlign w:val="subscript"/>
                    </w:rPr>
                    <w:t>2</w:t>
                  </w:r>
                </w:p>
              </w:tc>
              <w:tc>
                <w:tcPr>
                  <w:tcW w:w="1125" w:type="pct"/>
                  <w:vAlign w:val="center"/>
                </w:tcPr>
                <w:p w14:paraId="178D8853">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年平均</w:t>
                  </w:r>
                </w:p>
              </w:tc>
              <w:tc>
                <w:tcPr>
                  <w:tcW w:w="1022" w:type="pct"/>
                  <w:vAlign w:val="center"/>
                </w:tcPr>
                <w:p w14:paraId="43D3808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60ug/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6D28CAFC">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20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restart"/>
                  <w:vAlign w:val="center"/>
                </w:tcPr>
                <w:p w14:paraId="6FDB572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《环境空气质量标准》（GB3095-20</w:t>
                  </w:r>
                  <w:r>
                    <w:rPr>
                      <w:rFonts w:hint="eastAsia" w:cs="Times New Roman" w:eastAsiaTheme="minorEastAsia"/>
                      <w:bCs/>
                      <w:color w:val="auto"/>
                      <w:sz w:val="21"/>
                      <w:szCs w:val="21"/>
                      <w:lang w:val="en-US" w:eastAsia="zh-CN"/>
                    </w:rPr>
                    <w:t>26</w:t>
                  </w:r>
                  <w:r>
                    <w:rPr>
                      <w:rFonts w:hint="default" w:ascii="Times New Roman" w:hAnsi="Times New Roman" w:cs="Times New Roman" w:eastAsiaTheme="minorEastAsia"/>
                      <w:bCs/>
                      <w:color w:val="auto"/>
                      <w:sz w:val="21"/>
                      <w:szCs w:val="21"/>
                    </w:rPr>
                    <w:t>）二级标准</w:t>
                  </w:r>
                  <w:r>
                    <w:rPr>
                      <w:rFonts w:hint="eastAsia" w:cs="Times New Roman" w:eastAsiaTheme="minorEastAsia"/>
                      <w:bCs/>
                      <w:color w:val="auto"/>
                      <w:sz w:val="21"/>
                      <w:szCs w:val="21"/>
                      <w:lang w:val="en-US" w:eastAsia="zh-CN"/>
                    </w:rPr>
                    <w:t xml:space="preserve">和 </w:t>
                  </w:r>
                  <w:r>
                    <w:rPr>
                      <w:rFonts w:hint="default" w:ascii="Times New Roman" w:hAnsi="Times New Roman" w:cs="Times New Roman" w:eastAsiaTheme="minorEastAsia"/>
                      <w:bCs/>
                      <w:color w:val="auto"/>
                      <w:sz w:val="21"/>
                      <w:szCs w:val="21"/>
                    </w:rPr>
                    <w:t>《环境空气质量标准》（GB3095-20</w:t>
                  </w:r>
                  <w:r>
                    <w:rPr>
                      <w:rFonts w:hint="eastAsia" w:cs="Times New Roman" w:eastAsiaTheme="minorEastAsia"/>
                      <w:bCs/>
                      <w:color w:val="auto"/>
                      <w:sz w:val="21"/>
                      <w:szCs w:val="21"/>
                      <w:lang w:val="en-US" w:eastAsia="zh-CN"/>
                    </w:rPr>
                    <w:t>26</w:t>
                  </w:r>
                  <w:r>
                    <w:rPr>
                      <w:rFonts w:hint="default" w:ascii="Times New Roman" w:hAnsi="Times New Roman" w:cs="Times New Roman" w:eastAsiaTheme="minorEastAsia"/>
                      <w:bCs/>
                      <w:color w:val="auto"/>
                      <w:sz w:val="21"/>
                      <w:szCs w:val="21"/>
                    </w:rPr>
                    <w:t>）</w:t>
                  </w:r>
                  <w:r>
                    <w:rPr>
                      <w:rFonts w:hint="eastAsia" w:cs="Times New Roman" w:eastAsiaTheme="minorEastAsia"/>
                      <w:bCs/>
                      <w:color w:val="auto"/>
                      <w:sz w:val="21"/>
                      <w:szCs w:val="21"/>
                      <w:lang w:val="en-US" w:eastAsia="zh-CN"/>
                    </w:rPr>
                    <w:t>表2中二级标准</w:t>
                  </w:r>
                </w:p>
              </w:tc>
            </w:tr>
            <w:tr w14:paraId="4B36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continue"/>
                  <w:vAlign w:val="center"/>
                </w:tcPr>
                <w:p w14:paraId="125AF727">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125" w:type="pct"/>
                  <w:vAlign w:val="center"/>
                </w:tcPr>
                <w:p w14:paraId="3A62FDC7">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22" w:type="pct"/>
                  <w:vAlign w:val="center"/>
                </w:tcPr>
                <w:p w14:paraId="39DB2768">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150ug/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2A053873">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50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3E6B897A">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2648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continue"/>
                  <w:vAlign w:val="center"/>
                </w:tcPr>
                <w:p w14:paraId="3BB9C45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125" w:type="pct"/>
                  <w:vAlign w:val="center"/>
                </w:tcPr>
                <w:p w14:paraId="4A987220">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1小时平均</w:t>
                  </w:r>
                </w:p>
              </w:tc>
              <w:tc>
                <w:tcPr>
                  <w:tcW w:w="1022" w:type="pct"/>
                  <w:vAlign w:val="center"/>
                </w:tcPr>
                <w:p w14:paraId="53DC3431">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500ug/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4DDB3279">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150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631FE3FE">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16C0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restart"/>
                  <w:vAlign w:val="center"/>
                </w:tcPr>
                <w:p w14:paraId="0CE60573">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NO</w:t>
                  </w:r>
                  <w:r>
                    <w:rPr>
                      <w:rFonts w:hint="default" w:ascii="Times New Roman" w:hAnsi="Times New Roman" w:cs="Times New Roman" w:eastAsiaTheme="minorEastAsia"/>
                      <w:bCs/>
                      <w:color w:val="auto"/>
                      <w:sz w:val="21"/>
                      <w:szCs w:val="21"/>
                      <w:vertAlign w:val="subscript"/>
                    </w:rPr>
                    <w:t>2</w:t>
                  </w:r>
                </w:p>
              </w:tc>
              <w:tc>
                <w:tcPr>
                  <w:tcW w:w="1125" w:type="pct"/>
                  <w:vAlign w:val="center"/>
                </w:tcPr>
                <w:p w14:paraId="3D78F06B">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年平均</w:t>
                  </w:r>
                </w:p>
              </w:tc>
              <w:tc>
                <w:tcPr>
                  <w:tcW w:w="1022" w:type="pct"/>
                  <w:vAlign w:val="center"/>
                </w:tcPr>
                <w:p w14:paraId="4BE4875A">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40ug/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6F191C27">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30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1419729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53E1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continue"/>
                  <w:vAlign w:val="center"/>
                </w:tcPr>
                <w:p w14:paraId="4F164AD7">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125" w:type="pct"/>
                  <w:vAlign w:val="center"/>
                </w:tcPr>
                <w:p w14:paraId="5D60D040">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22" w:type="pct"/>
                  <w:vAlign w:val="center"/>
                </w:tcPr>
                <w:p w14:paraId="6A3B4223">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80ug/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19AEB9DD">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50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412B5A4D">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78AA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continue"/>
                  <w:vAlign w:val="center"/>
                </w:tcPr>
                <w:p w14:paraId="6E04A4BD">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125" w:type="pct"/>
                  <w:vAlign w:val="center"/>
                </w:tcPr>
                <w:p w14:paraId="795A50DC">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1小时平均</w:t>
                  </w:r>
                </w:p>
              </w:tc>
              <w:tc>
                <w:tcPr>
                  <w:tcW w:w="1022" w:type="pct"/>
                  <w:vAlign w:val="center"/>
                </w:tcPr>
                <w:p w14:paraId="66F4774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200ug/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462D2EBC">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200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61AF4FF6">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7AA3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restart"/>
                  <w:vAlign w:val="center"/>
                </w:tcPr>
                <w:p w14:paraId="68766B5B">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CO</w:t>
                  </w:r>
                </w:p>
              </w:tc>
              <w:tc>
                <w:tcPr>
                  <w:tcW w:w="1125" w:type="pct"/>
                  <w:vAlign w:val="center"/>
                </w:tcPr>
                <w:p w14:paraId="287C6BB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22" w:type="pct"/>
                  <w:vAlign w:val="center"/>
                </w:tcPr>
                <w:p w14:paraId="6CFA267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4</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p>
              </w:tc>
              <w:tc>
                <w:tcPr>
                  <w:tcW w:w="1318" w:type="pct"/>
                  <w:shd w:val="clear" w:color="auto" w:fill="auto"/>
                  <w:vAlign w:val="center"/>
                </w:tcPr>
                <w:p w14:paraId="7AF6D248">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4</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3DF5A2BD">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05AB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continue"/>
                  <w:vAlign w:val="center"/>
                </w:tcPr>
                <w:p w14:paraId="39DD8ACF">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125" w:type="pct"/>
                  <w:vAlign w:val="center"/>
                </w:tcPr>
                <w:p w14:paraId="38E6C57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1小时平均</w:t>
                  </w:r>
                </w:p>
              </w:tc>
              <w:tc>
                <w:tcPr>
                  <w:tcW w:w="1022" w:type="pct"/>
                  <w:vAlign w:val="center"/>
                </w:tcPr>
                <w:p w14:paraId="295B46C1">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10</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p>
              </w:tc>
              <w:tc>
                <w:tcPr>
                  <w:tcW w:w="1318" w:type="pct"/>
                  <w:shd w:val="clear" w:color="auto" w:fill="auto"/>
                  <w:vAlign w:val="center"/>
                </w:tcPr>
                <w:p w14:paraId="190E509E">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10</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4E718719">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08B8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41" w:type="pct"/>
                  <w:vMerge w:val="restart"/>
                  <w:vAlign w:val="center"/>
                </w:tcPr>
                <w:p w14:paraId="0DF8894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O</w:t>
                  </w:r>
                  <w:r>
                    <w:rPr>
                      <w:rFonts w:hint="default" w:ascii="Times New Roman" w:hAnsi="Times New Roman" w:cs="Times New Roman" w:eastAsiaTheme="minorEastAsia"/>
                      <w:bCs/>
                      <w:color w:val="auto"/>
                      <w:sz w:val="21"/>
                      <w:szCs w:val="21"/>
                      <w:vertAlign w:val="subscript"/>
                    </w:rPr>
                    <w:t>3</w:t>
                  </w:r>
                </w:p>
              </w:tc>
              <w:tc>
                <w:tcPr>
                  <w:tcW w:w="1125" w:type="pct"/>
                  <w:vAlign w:val="center"/>
                </w:tcPr>
                <w:p w14:paraId="4E6F343B">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日最大8小时平均</w:t>
                  </w:r>
                </w:p>
              </w:tc>
              <w:tc>
                <w:tcPr>
                  <w:tcW w:w="1022" w:type="pct"/>
                  <w:vAlign w:val="center"/>
                </w:tcPr>
                <w:p w14:paraId="0966C8C6">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160ug/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shd w:val="clear" w:color="auto" w:fill="auto"/>
                  <w:vAlign w:val="center"/>
                </w:tcPr>
                <w:p w14:paraId="39532A13">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160ug/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697351C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2D00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continue"/>
                  <w:vAlign w:val="center"/>
                </w:tcPr>
                <w:p w14:paraId="72B737EE">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125" w:type="pct"/>
                  <w:vAlign w:val="center"/>
                </w:tcPr>
                <w:p w14:paraId="2BE8A88B">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1小时平均</w:t>
                  </w:r>
                </w:p>
              </w:tc>
              <w:tc>
                <w:tcPr>
                  <w:tcW w:w="1022" w:type="pct"/>
                  <w:vAlign w:val="center"/>
                </w:tcPr>
                <w:p w14:paraId="0BA396E8">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200ug/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shd w:val="clear" w:color="auto" w:fill="auto"/>
                  <w:vAlign w:val="center"/>
                </w:tcPr>
                <w:p w14:paraId="47A2F3A7">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200ug/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7B7B1F60">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6921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restart"/>
                  <w:vAlign w:val="center"/>
                </w:tcPr>
                <w:p w14:paraId="4791E96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PM</w:t>
                  </w:r>
                  <w:r>
                    <w:rPr>
                      <w:rFonts w:hint="default" w:ascii="Times New Roman" w:hAnsi="Times New Roman" w:cs="Times New Roman" w:eastAsiaTheme="minorEastAsia"/>
                      <w:bCs/>
                      <w:color w:val="auto"/>
                      <w:sz w:val="21"/>
                      <w:szCs w:val="21"/>
                      <w:vertAlign w:val="subscript"/>
                    </w:rPr>
                    <w:t>10</w:t>
                  </w:r>
                </w:p>
              </w:tc>
              <w:tc>
                <w:tcPr>
                  <w:tcW w:w="1125" w:type="pct"/>
                  <w:vAlign w:val="center"/>
                </w:tcPr>
                <w:p w14:paraId="0DCB25A8">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年平均</w:t>
                  </w:r>
                </w:p>
              </w:tc>
              <w:tc>
                <w:tcPr>
                  <w:tcW w:w="1022" w:type="pct"/>
                  <w:vAlign w:val="center"/>
                </w:tcPr>
                <w:p w14:paraId="10C7627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6</w:t>
                  </w:r>
                  <w:r>
                    <w:rPr>
                      <w:rFonts w:hint="default" w:ascii="Times New Roman" w:hAnsi="Times New Roman" w:cs="Times New Roman" w:eastAsiaTheme="minorEastAsia"/>
                      <w:bCs/>
                      <w:color w:val="auto"/>
                      <w:sz w:val="21"/>
                      <w:szCs w:val="21"/>
                    </w:rPr>
                    <w:t>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09744B4B">
                  <w:pPr>
                    <w:pStyle w:val="58"/>
                    <w:keepNext w:val="0"/>
                    <w:keepLines w:val="0"/>
                    <w:pageBreakBefore w:val="0"/>
                    <w:widowControl w:val="0"/>
                    <w:kinsoku/>
                    <w:wordWrap/>
                    <w:overflowPunct/>
                    <w:topLinePunct w:val="0"/>
                    <w:autoSpaceDE/>
                    <w:autoSpaceDN/>
                    <w:bidi w:val="0"/>
                    <w:adjustRightInd/>
                    <w:snapToGrid/>
                    <w:textAlignment w:val="auto"/>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50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1B1D56EA">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148D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continue"/>
                  <w:vAlign w:val="center"/>
                </w:tcPr>
                <w:p w14:paraId="58FE181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125" w:type="pct"/>
                  <w:vAlign w:val="center"/>
                </w:tcPr>
                <w:p w14:paraId="5DCBBD01">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22" w:type="pct"/>
                  <w:vAlign w:val="center"/>
                </w:tcPr>
                <w:p w14:paraId="1CFEBE68">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w:t>
                  </w:r>
                  <w:r>
                    <w:rPr>
                      <w:rFonts w:hint="eastAsia" w:cs="Times New Roman" w:eastAsiaTheme="minorEastAsia"/>
                      <w:bCs/>
                      <w:color w:val="auto"/>
                      <w:sz w:val="21"/>
                      <w:szCs w:val="21"/>
                      <w:lang w:val="en-US" w:eastAsia="zh-CN"/>
                    </w:rPr>
                    <w:t>2</w:t>
                  </w:r>
                  <w:r>
                    <w:rPr>
                      <w:rFonts w:hint="default" w:ascii="Times New Roman" w:hAnsi="Times New Roman" w:cs="Times New Roman" w:eastAsiaTheme="minorEastAsia"/>
                      <w:bCs/>
                      <w:color w:val="auto"/>
                      <w:sz w:val="21"/>
                      <w:szCs w:val="21"/>
                    </w:rPr>
                    <w:t>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6870D8D9">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100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3A626B09">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1FF1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restart"/>
                  <w:vAlign w:val="center"/>
                </w:tcPr>
                <w:p w14:paraId="641C8B18">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P</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bscript"/>
                    </w:rPr>
                    <w:t>2</w:t>
                  </w:r>
                  <w:r>
                    <w:rPr>
                      <w:rFonts w:hint="default" w:ascii="Times New Roman" w:hAnsi="Times New Roman" w:cs="Times New Roman" w:eastAsiaTheme="minorEastAsia"/>
                      <w:bCs/>
                      <w:color w:val="auto"/>
                      <w:sz w:val="21"/>
                      <w:szCs w:val="21"/>
                      <w:vertAlign w:val="subscript"/>
                    </w:rPr>
                    <w:t>.5</w:t>
                  </w:r>
                </w:p>
              </w:tc>
              <w:tc>
                <w:tcPr>
                  <w:tcW w:w="1125" w:type="pct"/>
                  <w:vAlign w:val="center"/>
                </w:tcPr>
                <w:p w14:paraId="36B56FA8">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年平均</w:t>
                  </w:r>
                </w:p>
              </w:tc>
              <w:tc>
                <w:tcPr>
                  <w:tcW w:w="1022" w:type="pct"/>
                  <w:vAlign w:val="center"/>
                </w:tcPr>
                <w:p w14:paraId="574F8883">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30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32D1A916">
                  <w:pPr>
                    <w:pStyle w:val="58"/>
                    <w:keepNext w:val="0"/>
                    <w:keepLines w:val="0"/>
                    <w:pageBreakBefore w:val="0"/>
                    <w:widowControl w:val="0"/>
                    <w:kinsoku/>
                    <w:wordWrap/>
                    <w:overflowPunct/>
                    <w:topLinePunct w:val="0"/>
                    <w:autoSpaceDE/>
                    <w:autoSpaceDN/>
                    <w:bidi w:val="0"/>
                    <w:adjustRightInd/>
                    <w:snapToGrid/>
                    <w:textAlignment w:val="auto"/>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25</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5EC412F1">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3E90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41" w:type="pct"/>
                  <w:vMerge w:val="continue"/>
                  <w:vAlign w:val="center"/>
                </w:tcPr>
                <w:p w14:paraId="7C1A6F9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125" w:type="pct"/>
                  <w:vAlign w:val="center"/>
                </w:tcPr>
                <w:p w14:paraId="3B064E1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22" w:type="pct"/>
                  <w:vAlign w:val="center"/>
                </w:tcPr>
                <w:p w14:paraId="05B9DC9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eastAsia" w:cs="Times New Roman" w:eastAsiaTheme="minorEastAsia"/>
                      <w:bCs/>
                      <w:color w:val="auto"/>
                      <w:sz w:val="21"/>
                      <w:szCs w:val="21"/>
                      <w:lang w:val="en-US" w:eastAsia="zh-CN"/>
                    </w:rPr>
                    <w:t>60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7C80D61F">
                  <w:pPr>
                    <w:pStyle w:val="58"/>
                    <w:keepNext w:val="0"/>
                    <w:keepLines w:val="0"/>
                    <w:pageBreakBefore w:val="0"/>
                    <w:widowControl w:val="0"/>
                    <w:kinsoku/>
                    <w:wordWrap/>
                    <w:overflowPunct/>
                    <w:topLinePunct w:val="0"/>
                    <w:autoSpaceDE/>
                    <w:autoSpaceDN/>
                    <w:bidi w:val="0"/>
                    <w:adjustRightInd/>
                    <w:snapToGrid/>
                    <w:textAlignment w:val="auto"/>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50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67782516">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1A70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41" w:type="pct"/>
                  <w:vAlign w:val="center"/>
                </w:tcPr>
                <w:p w14:paraId="1372F8D2">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TSP</w:t>
                  </w:r>
                </w:p>
              </w:tc>
              <w:tc>
                <w:tcPr>
                  <w:tcW w:w="1125" w:type="pct"/>
                  <w:vAlign w:val="center"/>
                </w:tcPr>
                <w:p w14:paraId="22BB1CD8">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rPr>
                    <w:t>24小时平均</w:t>
                  </w:r>
                </w:p>
              </w:tc>
              <w:tc>
                <w:tcPr>
                  <w:tcW w:w="1022" w:type="pct"/>
                  <w:vAlign w:val="center"/>
                </w:tcPr>
                <w:p w14:paraId="16D25722">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300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318" w:type="pct"/>
                  <w:vAlign w:val="center"/>
                </w:tcPr>
                <w:p w14:paraId="7F314DEC">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300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892" w:type="pct"/>
                  <w:vMerge w:val="continue"/>
                  <w:vAlign w:val="center"/>
                </w:tcPr>
                <w:p w14:paraId="3D1DB82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highlight w:val="yellow"/>
                    </w:rPr>
                  </w:pPr>
                </w:p>
              </w:tc>
            </w:tr>
          </w:tbl>
          <w:p w14:paraId="67FB702C">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（2）环境空气质量现状</w:t>
            </w:r>
          </w:p>
          <w:p w14:paraId="6830EE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eastAsia"/>
                <w:color w:val="auto"/>
                <w:sz w:val="24"/>
                <w:szCs w:val="24"/>
                <w:lang w:val="en-US" w:eastAsia="zh-CN"/>
              </w:rPr>
              <w:t>项目位于</w:t>
            </w:r>
            <w:r>
              <w:rPr>
                <w:rFonts w:hint="eastAsia" w:cs="Times New Roman"/>
                <w:color w:val="auto"/>
                <w:lang w:eastAsia="zh-CN"/>
              </w:rPr>
              <w:t>云南省玉溪市峨山彝族自治县化念镇</w:t>
            </w:r>
            <w:r>
              <w:rPr>
                <w:rFonts w:hint="eastAsia"/>
                <w:color w:val="auto"/>
                <w:sz w:val="24"/>
                <w:szCs w:val="24"/>
                <w:lang w:val="en-US" w:eastAsia="zh-CN"/>
              </w:rPr>
              <w:t>，属于环境空气二类功能区，区域环境空气质量执行《环境空气质量标准》（GB3095-2026）的二级标准。</w:t>
            </w:r>
            <w:r>
              <w:rPr>
                <w:rFonts w:hint="default" w:ascii="Times New Roman" w:hAnsi="Times New Roman" w:cs="Times New Roman" w:eastAsiaTheme="minorEastAsia"/>
                <w:color w:val="auto"/>
                <w:sz w:val="24"/>
                <w:szCs w:val="24"/>
                <w:lang w:val="en-US" w:eastAsia="zh-CN"/>
              </w:rPr>
              <w:t>本次评价引用峨山</w:t>
            </w:r>
            <w:r>
              <w:rPr>
                <w:rFonts w:hint="default" w:ascii="Times New Roman" w:hAnsi="Times New Roman" w:cs="Times New Roman" w:eastAsiaTheme="minorEastAsia"/>
                <w:color w:val="auto"/>
                <w:sz w:val="24"/>
                <w:szCs w:val="24"/>
              </w:rPr>
              <w:t>县环境空气质量自动监测站</w:t>
            </w:r>
            <w:r>
              <w:rPr>
                <w:rFonts w:hint="default" w:ascii="Times New Roman" w:hAnsi="Times New Roman" w:cs="Times New Roman" w:eastAsiaTheme="minorEastAsia"/>
                <w:color w:val="auto"/>
                <w:sz w:val="24"/>
                <w:szCs w:val="24"/>
                <w:lang w:val="en-US" w:eastAsia="zh-CN"/>
              </w:rPr>
              <w:t>202</w:t>
            </w:r>
            <w:r>
              <w:rPr>
                <w:rFonts w:hint="eastAsia"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年全年长期监测数据对项目区域</w:t>
            </w:r>
            <w:r>
              <w:rPr>
                <w:rFonts w:hint="default" w:ascii="Times New Roman" w:hAnsi="Times New Roman" w:cs="Times New Roman" w:eastAsiaTheme="minorEastAsia"/>
                <w:color w:val="auto"/>
                <w:sz w:val="24"/>
                <w:szCs w:val="24"/>
              </w:rPr>
              <w:t>基本污染物环境质量</w:t>
            </w:r>
            <w:r>
              <w:rPr>
                <w:rFonts w:hint="default" w:ascii="Times New Roman" w:hAnsi="Times New Roman" w:cs="Times New Roman" w:eastAsiaTheme="minorEastAsia"/>
                <w:color w:val="auto"/>
                <w:sz w:val="24"/>
                <w:szCs w:val="24"/>
                <w:lang w:val="en-US" w:eastAsia="zh-CN"/>
              </w:rPr>
              <w:t>现状进行评价，</w:t>
            </w:r>
            <w:r>
              <w:rPr>
                <w:rFonts w:hint="default" w:ascii="Times New Roman" w:hAnsi="Times New Roman" w:cs="Times New Roman" w:eastAsiaTheme="minorEastAsia"/>
                <w:color w:val="auto"/>
              </w:rPr>
              <w:t>监测点位于峨山县政府，距离本项目</w:t>
            </w:r>
            <w:r>
              <w:rPr>
                <w:rFonts w:hint="default" w:ascii="Times New Roman" w:hAnsi="Times New Roman" w:cs="Times New Roman" w:eastAsiaTheme="minorEastAsia"/>
                <w:color w:val="auto"/>
                <w:lang w:val="en-US" w:eastAsia="zh-CN"/>
              </w:rPr>
              <w:t>20</w:t>
            </w:r>
            <w:r>
              <w:rPr>
                <w:rFonts w:hint="default" w:ascii="Times New Roman" w:hAnsi="Times New Roman" w:cs="Times New Roman" w:eastAsiaTheme="minorEastAsia"/>
                <w:color w:val="auto"/>
              </w:rPr>
              <w:t>km</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sz w:val="24"/>
                <w:szCs w:val="24"/>
                <w:lang w:val="en-US" w:eastAsia="zh-CN"/>
              </w:rPr>
              <w:t>202</w:t>
            </w:r>
            <w:r>
              <w:rPr>
                <w:rFonts w:hint="eastAsia"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年峨山</w:t>
            </w:r>
            <w:r>
              <w:rPr>
                <w:rFonts w:hint="default" w:ascii="Times New Roman" w:hAnsi="Times New Roman" w:cs="Times New Roman" w:eastAsiaTheme="minorEastAsia"/>
                <w:color w:val="auto"/>
                <w:sz w:val="24"/>
                <w:szCs w:val="24"/>
              </w:rPr>
              <w:t>县环境空气质量自动监测站</w:t>
            </w:r>
            <w:r>
              <w:rPr>
                <w:rFonts w:hint="default" w:ascii="Times New Roman" w:hAnsi="Times New Roman" w:cs="Times New Roman" w:eastAsiaTheme="minorEastAsia"/>
                <w:color w:val="auto"/>
                <w:sz w:val="24"/>
                <w:szCs w:val="24"/>
                <w:lang w:val="en-US" w:eastAsia="zh-CN"/>
              </w:rPr>
              <w:t>基本污染物</w:t>
            </w:r>
            <w:r>
              <w:rPr>
                <w:rFonts w:hint="default" w:ascii="Times New Roman" w:hAnsi="Times New Roman" w:cs="Times New Roman" w:eastAsiaTheme="minorEastAsia"/>
                <w:color w:val="auto"/>
                <w:sz w:val="24"/>
                <w:szCs w:val="24"/>
              </w:rPr>
              <w:t>监测结果统计</w:t>
            </w:r>
            <w:r>
              <w:rPr>
                <w:rFonts w:hint="default" w:ascii="Times New Roman" w:hAnsi="Times New Roman" w:cs="Times New Roman" w:eastAsiaTheme="minorEastAsia"/>
                <w:color w:val="auto"/>
                <w:sz w:val="24"/>
                <w:szCs w:val="24"/>
                <w:lang w:val="en-US" w:eastAsia="zh-CN"/>
              </w:rPr>
              <w:t>见表3-2。</w:t>
            </w:r>
          </w:p>
          <w:p w14:paraId="181D1CBF">
            <w:pPr>
              <w:spacing w:line="240" w:lineRule="auto"/>
              <w:jc w:val="center"/>
              <w:textAlignment w:val="baseline"/>
              <w:rPr>
                <w:b/>
                <w:bCs/>
                <w:color w:val="auto"/>
                <w:kern w:val="0"/>
                <w:sz w:val="24"/>
                <w:szCs w:val="24"/>
              </w:rPr>
            </w:pPr>
            <w:r>
              <w:rPr>
                <w:b/>
                <w:bCs/>
                <w:color w:val="auto"/>
                <w:kern w:val="0"/>
                <w:sz w:val="24"/>
                <w:szCs w:val="24"/>
              </w:rPr>
              <w:t>表</w:t>
            </w:r>
            <w:r>
              <w:rPr>
                <w:rFonts w:hint="eastAsia"/>
                <w:b/>
                <w:bCs/>
                <w:color w:val="auto"/>
                <w:kern w:val="0"/>
                <w:sz w:val="24"/>
                <w:szCs w:val="24"/>
                <w:lang w:val="en-US" w:eastAsia="zh-CN"/>
              </w:rPr>
              <w:t>3-2</w:t>
            </w:r>
            <w:r>
              <w:rPr>
                <w:b/>
                <w:bCs/>
                <w:color w:val="auto"/>
                <w:kern w:val="0"/>
                <w:sz w:val="24"/>
                <w:szCs w:val="24"/>
              </w:rPr>
              <w:t xml:space="preserve">   基本污染物环境质量现状</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856"/>
              <w:gridCol w:w="1634"/>
              <w:gridCol w:w="1538"/>
              <w:gridCol w:w="1001"/>
              <w:gridCol w:w="907"/>
            </w:tblGrid>
            <w:tr w14:paraId="67F2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578" w:type="pct"/>
                  <w:tcBorders>
                    <w:tl2br w:val="nil"/>
                    <w:tr2bl w:val="nil"/>
                  </w:tcBorders>
                  <w:noWrap w:val="0"/>
                  <w:vAlign w:val="center"/>
                </w:tcPr>
                <w:p w14:paraId="1A19D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污染物</w:t>
                  </w:r>
                </w:p>
              </w:tc>
              <w:tc>
                <w:tcPr>
                  <w:tcW w:w="1183" w:type="pct"/>
                  <w:tcBorders>
                    <w:tl2br w:val="nil"/>
                    <w:tr2bl w:val="nil"/>
                  </w:tcBorders>
                  <w:noWrap w:val="0"/>
                  <w:vAlign w:val="center"/>
                </w:tcPr>
                <w:p w14:paraId="5E2C10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年评价指标</w:t>
                  </w:r>
                </w:p>
              </w:tc>
              <w:tc>
                <w:tcPr>
                  <w:tcW w:w="1041" w:type="pct"/>
                  <w:tcBorders>
                    <w:tl2br w:val="nil"/>
                    <w:tr2bl w:val="nil"/>
                  </w:tcBorders>
                  <w:noWrap w:val="0"/>
                  <w:vAlign w:val="center"/>
                </w:tcPr>
                <w:p w14:paraId="7F4E4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现状浓度</w:t>
                  </w:r>
                </w:p>
                <w:p w14:paraId="199254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（µg/m</w:t>
                  </w:r>
                  <w:r>
                    <w:rPr>
                      <w:rFonts w:hint="default" w:ascii="Times New Roman" w:hAnsi="Times New Roman" w:cs="Times New Roman" w:eastAsiaTheme="minorEastAsia"/>
                      <w:b w:val="0"/>
                      <w:bCs w:val="0"/>
                      <w:color w:val="auto"/>
                      <w:sz w:val="21"/>
                      <w:szCs w:val="21"/>
                      <w:vertAlign w:val="superscript"/>
                      <w:lang w:val="en-US" w:eastAsia="zh-CN"/>
                    </w:rPr>
                    <w:t>3</w:t>
                  </w:r>
                  <w:r>
                    <w:rPr>
                      <w:rFonts w:hint="default" w:ascii="Times New Roman" w:hAnsi="Times New Roman" w:cs="Times New Roman" w:eastAsiaTheme="minorEastAsia"/>
                      <w:b w:val="0"/>
                      <w:bCs w:val="0"/>
                      <w:color w:val="auto"/>
                      <w:sz w:val="21"/>
                      <w:szCs w:val="21"/>
                      <w:lang w:val="en-US" w:eastAsia="zh-CN"/>
                    </w:rPr>
                    <w:t>）</w:t>
                  </w:r>
                </w:p>
              </w:tc>
              <w:tc>
                <w:tcPr>
                  <w:tcW w:w="980" w:type="pct"/>
                  <w:tcBorders>
                    <w:tl2br w:val="nil"/>
                    <w:tr2bl w:val="nil"/>
                  </w:tcBorders>
                  <w:noWrap w:val="0"/>
                  <w:vAlign w:val="center"/>
                </w:tcPr>
                <w:p w14:paraId="38575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标准值</w:t>
                  </w:r>
                </w:p>
                <w:p w14:paraId="39C3C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（µg/m</w:t>
                  </w:r>
                  <w:r>
                    <w:rPr>
                      <w:rFonts w:hint="default" w:ascii="Times New Roman" w:hAnsi="Times New Roman" w:cs="Times New Roman" w:eastAsiaTheme="minorEastAsia"/>
                      <w:b w:val="0"/>
                      <w:bCs w:val="0"/>
                      <w:color w:val="auto"/>
                      <w:sz w:val="21"/>
                      <w:szCs w:val="21"/>
                      <w:vertAlign w:val="superscript"/>
                      <w:lang w:val="en-US" w:eastAsia="zh-CN"/>
                    </w:rPr>
                    <w:t>3</w:t>
                  </w:r>
                  <w:r>
                    <w:rPr>
                      <w:rFonts w:hint="default" w:ascii="Times New Roman" w:hAnsi="Times New Roman" w:cs="Times New Roman" w:eastAsiaTheme="minorEastAsia"/>
                      <w:b w:val="0"/>
                      <w:bCs w:val="0"/>
                      <w:color w:val="auto"/>
                      <w:sz w:val="21"/>
                      <w:szCs w:val="21"/>
                      <w:lang w:val="en-US" w:eastAsia="zh-CN"/>
                    </w:rPr>
                    <w:t>）</w:t>
                  </w:r>
                </w:p>
              </w:tc>
              <w:tc>
                <w:tcPr>
                  <w:tcW w:w="638" w:type="pct"/>
                  <w:tcBorders>
                    <w:tl2br w:val="nil"/>
                    <w:tr2bl w:val="nil"/>
                  </w:tcBorders>
                  <w:noWrap w:val="0"/>
                  <w:vAlign w:val="center"/>
                </w:tcPr>
                <w:p w14:paraId="3DC570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占标率/%</w:t>
                  </w:r>
                </w:p>
              </w:tc>
              <w:tc>
                <w:tcPr>
                  <w:tcW w:w="578" w:type="pct"/>
                  <w:tcBorders>
                    <w:tl2br w:val="nil"/>
                    <w:tr2bl w:val="nil"/>
                  </w:tcBorders>
                  <w:noWrap w:val="0"/>
                  <w:vAlign w:val="center"/>
                </w:tcPr>
                <w:p w14:paraId="3CCC6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达标情况</w:t>
                  </w:r>
                </w:p>
              </w:tc>
            </w:tr>
            <w:tr w14:paraId="297B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578" w:type="pct"/>
                  <w:vMerge w:val="restart"/>
                  <w:tcBorders>
                    <w:tl2br w:val="nil"/>
                    <w:tr2bl w:val="nil"/>
                  </w:tcBorders>
                  <w:noWrap w:val="0"/>
                  <w:vAlign w:val="center"/>
                </w:tcPr>
                <w:p w14:paraId="4608F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SO</w:t>
                  </w:r>
                  <w:r>
                    <w:rPr>
                      <w:rFonts w:hint="default" w:ascii="Times New Roman" w:hAnsi="Times New Roman" w:cs="Times New Roman" w:eastAsiaTheme="minorEastAsia"/>
                      <w:b w:val="0"/>
                      <w:bCs w:val="0"/>
                      <w:color w:val="auto"/>
                      <w:sz w:val="21"/>
                      <w:szCs w:val="21"/>
                      <w:vertAlign w:val="subscript"/>
                      <w:lang w:val="en-US" w:eastAsia="zh-CN"/>
                    </w:rPr>
                    <w:t>2</w:t>
                  </w:r>
                </w:p>
              </w:tc>
              <w:tc>
                <w:tcPr>
                  <w:tcW w:w="1183" w:type="pct"/>
                  <w:tcBorders>
                    <w:tl2br w:val="nil"/>
                    <w:tr2bl w:val="nil"/>
                  </w:tcBorders>
                  <w:noWrap w:val="0"/>
                  <w:vAlign w:val="center"/>
                </w:tcPr>
                <w:p w14:paraId="6A602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1041" w:type="pct"/>
                  <w:tcBorders>
                    <w:tl2br w:val="nil"/>
                    <w:tr2bl w:val="nil"/>
                  </w:tcBorders>
                  <w:noWrap w:val="0"/>
                  <w:vAlign w:val="center"/>
                </w:tcPr>
                <w:p w14:paraId="15460F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6.91</w:t>
                  </w:r>
                </w:p>
              </w:tc>
              <w:tc>
                <w:tcPr>
                  <w:tcW w:w="980" w:type="pct"/>
                  <w:tcBorders>
                    <w:tl2br w:val="nil"/>
                    <w:tr2bl w:val="nil"/>
                  </w:tcBorders>
                  <w:noWrap w:val="0"/>
                  <w:vAlign w:val="center"/>
                </w:tcPr>
                <w:p w14:paraId="7351D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60</w:t>
                  </w:r>
                </w:p>
              </w:tc>
              <w:tc>
                <w:tcPr>
                  <w:tcW w:w="638" w:type="pct"/>
                  <w:tcBorders>
                    <w:tl2br w:val="nil"/>
                    <w:tr2bl w:val="nil"/>
                  </w:tcBorders>
                  <w:noWrap w:val="0"/>
                  <w:vAlign w:val="center"/>
                </w:tcPr>
                <w:p w14:paraId="1436D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11.52</w:t>
                  </w:r>
                </w:p>
              </w:tc>
              <w:tc>
                <w:tcPr>
                  <w:tcW w:w="578" w:type="pct"/>
                  <w:tcBorders>
                    <w:tl2br w:val="nil"/>
                    <w:tr2bl w:val="nil"/>
                  </w:tcBorders>
                  <w:noWrap w:val="0"/>
                  <w:vAlign w:val="center"/>
                </w:tcPr>
                <w:p w14:paraId="26EEA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7D2B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578" w:type="pct"/>
                  <w:vMerge w:val="continue"/>
                  <w:tcBorders>
                    <w:tl2br w:val="nil"/>
                    <w:tr2bl w:val="nil"/>
                  </w:tcBorders>
                  <w:noWrap w:val="0"/>
                  <w:vAlign w:val="center"/>
                </w:tcPr>
                <w:p w14:paraId="3AEA4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183" w:type="pct"/>
                  <w:tcBorders>
                    <w:tl2br w:val="nil"/>
                    <w:tr2bl w:val="nil"/>
                  </w:tcBorders>
                  <w:noWrap w:val="0"/>
                  <w:vAlign w:val="center"/>
                </w:tcPr>
                <w:p w14:paraId="3C752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24h平均第98百分位数</w:t>
                  </w:r>
                </w:p>
              </w:tc>
              <w:tc>
                <w:tcPr>
                  <w:tcW w:w="1041" w:type="pct"/>
                  <w:tcBorders>
                    <w:tl2br w:val="nil"/>
                    <w:tr2bl w:val="nil"/>
                  </w:tcBorders>
                  <w:noWrap w:val="0"/>
                  <w:vAlign w:val="center"/>
                </w:tcPr>
                <w:p w14:paraId="7289B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10.0</w:t>
                  </w:r>
                </w:p>
              </w:tc>
              <w:tc>
                <w:tcPr>
                  <w:tcW w:w="980" w:type="pct"/>
                  <w:tcBorders>
                    <w:tl2br w:val="nil"/>
                    <w:tr2bl w:val="nil"/>
                  </w:tcBorders>
                  <w:noWrap w:val="0"/>
                  <w:vAlign w:val="center"/>
                </w:tcPr>
                <w:p w14:paraId="6E3A6E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150</w:t>
                  </w:r>
                </w:p>
              </w:tc>
              <w:tc>
                <w:tcPr>
                  <w:tcW w:w="638" w:type="pct"/>
                  <w:tcBorders>
                    <w:tl2br w:val="nil"/>
                    <w:tr2bl w:val="nil"/>
                  </w:tcBorders>
                  <w:noWrap w:val="0"/>
                  <w:vAlign w:val="center"/>
                </w:tcPr>
                <w:p w14:paraId="56D2D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6.67</w:t>
                  </w:r>
                </w:p>
              </w:tc>
              <w:tc>
                <w:tcPr>
                  <w:tcW w:w="578" w:type="pct"/>
                  <w:tcBorders>
                    <w:tl2br w:val="nil"/>
                    <w:tr2bl w:val="nil"/>
                  </w:tcBorders>
                  <w:noWrap w:val="0"/>
                  <w:vAlign w:val="center"/>
                </w:tcPr>
                <w:p w14:paraId="6E95D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4D89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8" w:type="pct"/>
                  <w:vMerge w:val="restart"/>
                  <w:tcBorders>
                    <w:tl2br w:val="nil"/>
                    <w:tr2bl w:val="nil"/>
                  </w:tcBorders>
                  <w:noWrap w:val="0"/>
                  <w:vAlign w:val="center"/>
                </w:tcPr>
                <w:p w14:paraId="49493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NO</w:t>
                  </w:r>
                  <w:r>
                    <w:rPr>
                      <w:rFonts w:hint="default" w:ascii="Times New Roman" w:hAnsi="Times New Roman" w:cs="Times New Roman" w:eastAsiaTheme="minorEastAsia"/>
                      <w:b w:val="0"/>
                      <w:bCs w:val="0"/>
                      <w:color w:val="auto"/>
                      <w:sz w:val="21"/>
                      <w:szCs w:val="21"/>
                      <w:vertAlign w:val="subscript"/>
                      <w:lang w:val="en-US" w:eastAsia="zh-CN"/>
                    </w:rPr>
                    <w:t>2</w:t>
                  </w:r>
                </w:p>
              </w:tc>
              <w:tc>
                <w:tcPr>
                  <w:tcW w:w="1183" w:type="pct"/>
                  <w:tcBorders>
                    <w:tl2br w:val="nil"/>
                    <w:tr2bl w:val="nil"/>
                  </w:tcBorders>
                  <w:noWrap w:val="0"/>
                  <w:vAlign w:val="center"/>
                </w:tcPr>
                <w:p w14:paraId="66094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1041" w:type="pct"/>
                  <w:tcBorders>
                    <w:tl2br w:val="nil"/>
                    <w:tr2bl w:val="nil"/>
                  </w:tcBorders>
                  <w:noWrap w:val="0"/>
                  <w:vAlign w:val="center"/>
                </w:tcPr>
                <w:p w14:paraId="2B9F19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19.35</w:t>
                  </w:r>
                </w:p>
              </w:tc>
              <w:tc>
                <w:tcPr>
                  <w:tcW w:w="980" w:type="pct"/>
                  <w:tcBorders>
                    <w:tl2br w:val="nil"/>
                    <w:tr2bl w:val="nil"/>
                  </w:tcBorders>
                  <w:noWrap w:val="0"/>
                  <w:vAlign w:val="center"/>
                </w:tcPr>
                <w:p w14:paraId="3CBD0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40</w:t>
                  </w:r>
                </w:p>
              </w:tc>
              <w:tc>
                <w:tcPr>
                  <w:tcW w:w="638" w:type="pct"/>
                  <w:tcBorders>
                    <w:tl2br w:val="nil"/>
                    <w:tr2bl w:val="nil"/>
                  </w:tcBorders>
                  <w:noWrap w:val="0"/>
                  <w:vAlign w:val="center"/>
                </w:tcPr>
                <w:p w14:paraId="27515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48.38</w:t>
                  </w:r>
                </w:p>
              </w:tc>
              <w:tc>
                <w:tcPr>
                  <w:tcW w:w="578" w:type="pct"/>
                  <w:tcBorders>
                    <w:tl2br w:val="nil"/>
                    <w:tr2bl w:val="nil"/>
                  </w:tcBorders>
                  <w:noWrap w:val="0"/>
                  <w:vAlign w:val="center"/>
                </w:tcPr>
                <w:p w14:paraId="35646A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7473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578" w:type="pct"/>
                  <w:vMerge w:val="continue"/>
                  <w:tcBorders>
                    <w:tl2br w:val="nil"/>
                    <w:tr2bl w:val="nil"/>
                  </w:tcBorders>
                  <w:noWrap w:val="0"/>
                  <w:vAlign w:val="center"/>
                </w:tcPr>
                <w:p w14:paraId="33355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183" w:type="pct"/>
                  <w:tcBorders>
                    <w:tl2br w:val="nil"/>
                    <w:tr2bl w:val="nil"/>
                  </w:tcBorders>
                  <w:noWrap w:val="0"/>
                  <w:vAlign w:val="center"/>
                </w:tcPr>
                <w:p w14:paraId="493D3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24h平均第98百分位数</w:t>
                  </w:r>
                </w:p>
              </w:tc>
              <w:tc>
                <w:tcPr>
                  <w:tcW w:w="1041" w:type="pct"/>
                  <w:tcBorders>
                    <w:tl2br w:val="nil"/>
                    <w:tr2bl w:val="nil"/>
                  </w:tcBorders>
                  <w:noWrap w:val="0"/>
                  <w:vAlign w:val="center"/>
                </w:tcPr>
                <w:p w14:paraId="68342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42.0</w:t>
                  </w:r>
                </w:p>
              </w:tc>
              <w:tc>
                <w:tcPr>
                  <w:tcW w:w="980" w:type="pct"/>
                  <w:tcBorders>
                    <w:tl2br w:val="nil"/>
                    <w:tr2bl w:val="nil"/>
                  </w:tcBorders>
                  <w:noWrap w:val="0"/>
                  <w:vAlign w:val="center"/>
                </w:tcPr>
                <w:p w14:paraId="43838A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80</w:t>
                  </w:r>
                </w:p>
              </w:tc>
              <w:tc>
                <w:tcPr>
                  <w:tcW w:w="638" w:type="pct"/>
                  <w:tcBorders>
                    <w:tl2br w:val="nil"/>
                    <w:tr2bl w:val="nil"/>
                  </w:tcBorders>
                  <w:noWrap w:val="0"/>
                  <w:vAlign w:val="center"/>
                </w:tcPr>
                <w:p w14:paraId="69D57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52.50</w:t>
                  </w:r>
                </w:p>
              </w:tc>
              <w:tc>
                <w:tcPr>
                  <w:tcW w:w="578" w:type="pct"/>
                  <w:tcBorders>
                    <w:tl2br w:val="nil"/>
                    <w:tr2bl w:val="nil"/>
                  </w:tcBorders>
                  <w:noWrap w:val="0"/>
                  <w:vAlign w:val="center"/>
                </w:tcPr>
                <w:p w14:paraId="74C09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6EE1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8" w:type="pct"/>
                  <w:vMerge w:val="restart"/>
                  <w:tcBorders>
                    <w:tl2br w:val="nil"/>
                    <w:tr2bl w:val="nil"/>
                  </w:tcBorders>
                  <w:noWrap w:val="0"/>
                  <w:vAlign w:val="center"/>
                </w:tcPr>
                <w:p w14:paraId="69263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PM</w:t>
                  </w:r>
                  <w:r>
                    <w:rPr>
                      <w:rFonts w:hint="default" w:ascii="Times New Roman" w:hAnsi="Times New Roman" w:cs="Times New Roman" w:eastAsiaTheme="minorEastAsia"/>
                      <w:b w:val="0"/>
                      <w:bCs w:val="0"/>
                      <w:color w:val="auto"/>
                      <w:sz w:val="21"/>
                      <w:szCs w:val="21"/>
                      <w:vertAlign w:val="subscript"/>
                      <w:lang w:val="en-US" w:eastAsia="zh-CN"/>
                    </w:rPr>
                    <w:t>10</w:t>
                  </w:r>
                </w:p>
              </w:tc>
              <w:tc>
                <w:tcPr>
                  <w:tcW w:w="1183" w:type="pct"/>
                  <w:tcBorders>
                    <w:tl2br w:val="nil"/>
                    <w:tr2bl w:val="nil"/>
                  </w:tcBorders>
                  <w:noWrap w:val="0"/>
                  <w:vAlign w:val="center"/>
                </w:tcPr>
                <w:p w14:paraId="3C949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1041" w:type="pct"/>
                  <w:tcBorders>
                    <w:tl2br w:val="nil"/>
                    <w:tr2bl w:val="nil"/>
                  </w:tcBorders>
                  <w:noWrap w:val="0"/>
                  <w:vAlign w:val="center"/>
                </w:tcPr>
                <w:p w14:paraId="62BED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29.57</w:t>
                  </w:r>
                </w:p>
              </w:tc>
              <w:tc>
                <w:tcPr>
                  <w:tcW w:w="980" w:type="pct"/>
                  <w:tcBorders>
                    <w:tl2br w:val="nil"/>
                    <w:tr2bl w:val="nil"/>
                  </w:tcBorders>
                  <w:noWrap w:val="0"/>
                  <w:vAlign w:val="center"/>
                </w:tcPr>
                <w:p w14:paraId="71BEB0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70</w:t>
                  </w:r>
                </w:p>
              </w:tc>
              <w:tc>
                <w:tcPr>
                  <w:tcW w:w="638" w:type="pct"/>
                  <w:tcBorders>
                    <w:tl2br w:val="nil"/>
                    <w:tr2bl w:val="nil"/>
                  </w:tcBorders>
                  <w:noWrap w:val="0"/>
                  <w:vAlign w:val="center"/>
                </w:tcPr>
                <w:p w14:paraId="022FB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42.24</w:t>
                  </w:r>
                </w:p>
              </w:tc>
              <w:tc>
                <w:tcPr>
                  <w:tcW w:w="578" w:type="pct"/>
                  <w:tcBorders>
                    <w:tl2br w:val="nil"/>
                    <w:tr2bl w:val="nil"/>
                  </w:tcBorders>
                  <w:noWrap w:val="0"/>
                  <w:vAlign w:val="center"/>
                </w:tcPr>
                <w:p w14:paraId="6D4EA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420B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578" w:type="pct"/>
                  <w:vMerge w:val="continue"/>
                  <w:tcBorders>
                    <w:tl2br w:val="nil"/>
                    <w:tr2bl w:val="nil"/>
                  </w:tcBorders>
                  <w:noWrap w:val="0"/>
                  <w:vAlign w:val="center"/>
                </w:tcPr>
                <w:p w14:paraId="00DD6A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183" w:type="pct"/>
                  <w:tcBorders>
                    <w:tl2br w:val="nil"/>
                    <w:tr2bl w:val="nil"/>
                  </w:tcBorders>
                  <w:noWrap w:val="0"/>
                  <w:vAlign w:val="center"/>
                </w:tcPr>
                <w:p w14:paraId="32349B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24h平均第95百分位数</w:t>
                  </w:r>
                </w:p>
              </w:tc>
              <w:tc>
                <w:tcPr>
                  <w:tcW w:w="1041" w:type="pct"/>
                  <w:tcBorders>
                    <w:tl2br w:val="nil"/>
                    <w:tr2bl w:val="nil"/>
                  </w:tcBorders>
                  <w:noWrap w:val="0"/>
                  <w:vAlign w:val="center"/>
                </w:tcPr>
                <w:p w14:paraId="03E5D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58.0</w:t>
                  </w:r>
                </w:p>
              </w:tc>
              <w:tc>
                <w:tcPr>
                  <w:tcW w:w="980" w:type="pct"/>
                  <w:tcBorders>
                    <w:tl2br w:val="nil"/>
                    <w:tr2bl w:val="nil"/>
                  </w:tcBorders>
                  <w:noWrap w:val="0"/>
                  <w:vAlign w:val="center"/>
                </w:tcPr>
                <w:p w14:paraId="7948E8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150</w:t>
                  </w:r>
                </w:p>
              </w:tc>
              <w:tc>
                <w:tcPr>
                  <w:tcW w:w="638" w:type="pct"/>
                  <w:tcBorders>
                    <w:tl2br w:val="nil"/>
                    <w:tr2bl w:val="nil"/>
                  </w:tcBorders>
                  <w:noWrap w:val="0"/>
                  <w:vAlign w:val="center"/>
                </w:tcPr>
                <w:p w14:paraId="1224F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38.67</w:t>
                  </w:r>
                </w:p>
              </w:tc>
              <w:tc>
                <w:tcPr>
                  <w:tcW w:w="578" w:type="pct"/>
                  <w:tcBorders>
                    <w:tl2br w:val="nil"/>
                    <w:tr2bl w:val="nil"/>
                  </w:tcBorders>
                  <w:noWrap w:val="0"/>
                  <w:vAlign w:val="center"/>
                </w:tcPr>
                <w:p w14:paraId="1D786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7E06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78" w:type="pct"/>
                  <w:vMerge w:val="restart"/>
                  <w:tcBorders>
                    <w:tl2br w:val="nil"/>
                    <w:tr2bl w:val="nil"/>
                  </w:tcBorders>
                  <w:noWrap w:val="0"/>
                  <w:vAlign w:val="center"/>
                </w:tcPr>
                <w:p w14:paraId="6ECCFC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CO</w:t>
                  </w:r>
                </w:p>
              </w:tc>
              <w:tc>
                <w:tcPr>
                  <w:tcW w:w="1183" w:type="pct"/>
                  <w:tcBorders>
                    <w:tl2br w:val="nil"/>
                    <w:tr2bl w:val="nil"/>
                  </w:tcBorders>
                  <w:noWrap w:val="0"/>
                  <w:vAlign w:val="center"/>
                </w:tcPr>
                <w:p w14:paraId="06A54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1041" w:type="pct"/>
                  <w:tcBorders>
                    <w:tl2br w:val="nil"/>
                    <w:tr2bl w:val="nil"/>
                  </w:tcBorders>
                  <w:noWrap w:val="0"/>
                  <w:vAlign w:val="center"/>
                </w:tcPr>
                <w:p w14:paraId="45B3E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600</w:t>
                  </w:r>
                </w:p>
              </w:tc>
              <w:tc>
                <w:tcPr>
                  <w:tcW w:w="980" w:type="pct"/>
                  <w:tcBorders>
                    <w:tl2br w:val="nil"/>
                    <w:tr2bl w:val="nil"/>
                  </w:tcBorders>
                  <w:noWrap w:val="0"/>
                  <w:vAlign w:val="center"/>
                </w:tcPr>
                <w:p w14:paraId="38715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638" w:type="pct"/>
                  <w:tcBorders>
                    <w:tl2br w:val="nil"/>
                    <w:tr2bl w:val="nil"/>
                  </w:tcBorders>
                  <w:noWrap w:val="0"/>
                  <w:vAlign w:val="center"/>
                </w:tcPr>
                <w:p w14:paraId="06D5B6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578" w:type="pct"/>
                  <w:tcBorders>
                    <w:tl2br w:val="nil"/>
                    <w:tr2bl w:val="nil"/>
                  </w:tcBorders>
                  <w:noWrap w:val="0"/>
                  <w:vAlign w:val="center"/>
                </w:tcPr>
                <w:p w14:paraId="521AC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w:t>
                  </w:r>
                </w:p>
              </w:tc>
            </w:tr>
            <w:tr w14:paraId="549A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578" w:type="pct"/>
                  <w:vMerge w:val="continue"/>
                  <w:tcBorders>
                    <w:tl2br w:val="nil"/>
                    <w:tr2bl w:val="nil"/>
                  </w:tcBorders>
                  <w:noWrap w:val="0"/>
                  <w:vAlign w:val="center"/>
                </w:tcPr>
                <w:p w14:paraId="7D5D8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183" w:type="pct"/>
                  <w:tcBorders>
                    <w:tl2br w:val="nil"/>
                    <w:tr2bl w:val="nil"/>
                  </w:tcBorders>
                  <w:noWrap w:val="0"/>
                  <w:vAlign w:val="center"/>
                </w:tcPr>
                <w:p w14:paraId="6530A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24h平均第95百分位数</w:t>
                  </w:r>
                </w:p>
              </w:tc>
              <w:tc>
                <w:tcPr>
                  <w:tcW w:w="1041" w:type="pct"/>
                  <w:tcBorders>
                    <w:tl2br w:val="nil"/>
                    <w:tr2bl w:val="nil"/>
                  </w:tcBorders>
                  <w:noWrap w:val="0"/>
                  <w:vAlign w:val="center"/>
                </w:tcPr>
                <w:p w14:paraId="006E9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700</w:t>
                  </w:r>
                </w:p>
              </w:tc>
              <w:tc>
                <w:tcPr>
                  <w:tcW w:w="980" w:type="pct"/>
                  <w:tcBorders>
                    <w:tl2br w:val="nil"/>
                    <w:tr2bl w:val="nil"/>
                  </w:tcBorders>
                  <w:noWrap w:val="0"/>
                  <w:vAlign w:val="center"/>
                </w:tcPr>
                <w:p w14:paraId="63312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4000</w:t>
                  </w:r>
                </w:p>
              </w:tc>
              <w:tc>
                <w:tcPr>
                  <w:tcW w:w="638" w:type="pct"/>
                  <w:tcBorders>
                    <w:tl2br w:val="nil"/>
                    <w:tr2bl w:val="nil"/>
                  </w:tcBorders>
                  <w:noWrap w:val="0"/>
                  <w:vAlign w:val="center"/>
                </w:tcPr>
                <w:p w14:paraId="601A4A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17.50</w:t>
                  </w:r>
                </w:p>
              </w:tc>
              <w:tc>
                <w:tcPr>
                  <w:tcW w:w="578" w:type="pct"/>
                  <w:tcBorders>
                    <w:tl2br w:val="nil"/>
                    <w:tr2bl w:val="nil"/>
                  </w:tcBorders>
                  <w:noWrap w:val="0"/>
                  <w:vAlign w:val="center"/>
                </w:tcPr>
                <w:p w14:paraId="75906E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095E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578" w:type="pct"/>
                  <w:tcBorders>
                    <w:tl2br w:val="nil"/>
                    <w:tr2bl w:val="nil"/>
                  </w:tcBorders>
                  <w:noWrap w:val="0"/>
                  <w:vAlign w:val="center"/>
                </w:tcPr>
                <w:p w14:paraId="5850D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O</w:t>
                  </w:r>
                  <w:r>
                    <w:rPr>
                      <w:rFonts w:hint="default" w:ascii="Times New Roman" w:hAnsi="Times New Roman" w:cs="Times New Roman" w:eastAsiaTheme="minorEastAsia"/>
                      <w:b w:val="0"/>
                      <w:bCs w:val="0"/>
                      <w:color w:val="auto"/>
                      <w:sz w:val="21"/>
                      <w:szCs w:val="21"/>
                      <w:vertAlign w:val="subscript"/>
                      <w:lang w:val="en-US" w:eastAsia="zh-CN"/>
                    </w:rPr>
                    <w:t>3</w:t>
                  </w:r>
                </w:p>
              </w:tc>
              <w:tc>
                <w:tcPr>
                  <w:tcW w:w="1183" w:type="pct"/>
                  <w:tcBorders>
                    <w:tl2br w:val="nil"/>
                    <w:tr2bl w:val="nil"/>
                  </w:tcBorders>
                  <w:noWrap w:val="0"/>
                  <w:vAlign w:val="center"/>
                </w:tcPr>
                <w:p w14:paraId="60A96A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8小时平均第90百分位数</w:t>
                  </w:r>
                </w:p>
              </w:tc>
              <w:tc>
                <w:tcPr>
                  <w:tcW w:w="1041" w:type="pct"/>
                  <w:tcBorders>
                    <w:tl2br w:val="nil"/>
                    <w:tr2bl w:val="nil"/>
                  </w:tcBorders>
                  <w:noWrap w:val="0"/>
                  <w:vAlign w:val="center"/>
                </w:tcPr>
                <w:p w14:paraId="176C3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86.82</w:t>
                  </w:r>
                </w:p>
              </w:tc>
              <w:tc>
                <w:tcPr>
                  <w:tcW w:w="980" w:type="pct"/>
                  <w:tcBorders>
                    <w:tl2br w:val="nil"/>
                    <w:tr2bl w:val="nil"/>
                  </w:tcBorders>
                  <w:noWrap w:val="0"/>
                  <w:vAlign w:val="center"/>
                </w:tcPr>
                <w:p w14:paraId="76CE3C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160</w:t>
                  </w:r>
                </w:p>
              </w:tc>
              <w:tc>
                <w:tcPr>
                  <w:tcW w:w="638" w:type="pct"/>
                  <w:tcBorders>
                    <w:tl2br w:val="nil"/>
                    <w:tr2bl w:val="nil"/>
                  </w:tcBorders>
                  <w:noWrap w:val="0"/>
                  <w:vAlign w:val="center"/>
                </w:tcPr>
                <w:p w14:paraId="2851E1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54.26</w:t>
                  </w:r>
                </w:p>
              </w:tc>
              <w:tc>
                <w:tcPr>
                  <w:tcW w:w="578" w:type="pct"/>
                  <w:tcBorders>
                    <w:tl2br w:val="nil"/>
                    <w:tr2bl w:val="nil"/>
                  </w:tcBorders>
                  <w:noWrap w:val="0"/>
                  <w:vAlign w:val="center"/>
                </w:tcPr>
                <w:p w14:paraId="2B629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0CAF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578" w:type="pct"/>
                  <w:vMerge w:val="restart"/>
                  <w:tcBorders>
                    <w:tl2br w:val="nil"/>
                    <w:tr2bl w:val="nil"/>
                  </w:tcBorders>
                  <w:noWrap w:val="0"/>
                  <w:vAlign w:val="center"/>
                </w:tcPr>
                <w:p w14:paraId="3C3B6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PM</w:t>
                  </w:r>
                  <w:r>
                    <w:rPr>
                      <w:rFonts w:hint="default" w:ascii="Times New Roman" w:hAnsi="Times New Roman" w:cs="Times New Roman" w:eastAsiaTheme="minorEastAsia"/>
                      <w:b w:val="0"/>
                      <w:bCs w:val="0"/>
                      <w:color w:val="auto"/>
                      <w:sz w:val="21"/>
                      <w:szCs w:val="21"/>
                      <w:vertAlign w:val="subscript"/>
                      <w:lang w:val="en-US" w:eastAsia="zh-CN"/>
                    </w:rPr>
                    <w:t>2.5</w:t>
                  </w:r>
                </w:p>
              </w:tc>
              <w:tc>
                <w:tcPr>
                  <w:tcW w:w="1183" w:type="pct"/>
                  <w:tcBorders>
                    <w:tl2br w:val="nil"/>
                    <w:tr2bl w:val="nil"/>
                  </w:tcBorders>
                  <w:noWrap w:val="0"/>
                  <w:vAlign w:val="center"/>
                </w:tcPr>
                <w:p w14:paraId="5ADAA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1041" w:type="pct"/>
                  <w:tcBorders>
                    <w:tl2br w:val="nil"/>
                    <w:tr2bl w:val="nil"/>
                  </w:tcBorders>
                  <w:noWrap w:val="0"/>
                  <w:vAlign w:val="center"/>
                </w:tcPr>
                <w:p w14:paraId="5255A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17.0</w:t>
                  </w:r>
                </w:p>
              </w:tc>
              <w:tc>
                <w:tcPr>
                  <w:tcW w:w="980" w:type="pct"/>
                  <w:tcBorders>
                    <w:tl2br w:val="nil"/>
                    <w:tr2bl w:val="nil"/>
                  </w:tcBorders>
                  <w:noWrap w:val="0"/>
                  <w:vAlign w:val="center"/>
                </w:tcPr>
                <w:p w14:paraId="564BD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35</w:t>
                  </w:r>
                </w:p>
              </w:tc>
              <w:tc>
                <w:tcPr>
                  <w:tcW w:w="638" w:type="pct"/>
                  <w:tcBorders>
                    <w:tl2br w:val="nil"/>
                    <w:tr2bl w:val="nil"/>
                  </w:tcBorders>
                  <w:noWrap w:val="0"/>
                  <w:vAlign w:val="center"/>
                </w:tcPr>
                <w:p w14:paraId="1ED8C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48.57</w:t>
                  </w:r>
                </w:p>
              </w:tc>
              <w:tc>
                <w:tcPr>
                  <w:tcW w:w="578" w:type="pct"/>
                  <w:tcBorders>
                    <w:tl2br w:val="nil"/>
                    <w:tr2bl w:val="nil"/>
                  </w:tcBorders>
                  <w:noWrap w:val="0"/>
                  <w:vAlign w:val="center"/>
                </w:tcPr>
                <w:p w14:paraId="7395BC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61A0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jc w:val="center"/>
              </w:trPr>
              <w:tc>
                <w:tcPr>
                  <w:tcW w:w="578" w:type="pct"/>
                  <w:vMerge w:val="continue"/>
                  <w:tcBorders>
                    <w:tl2br w:val="nil"/>
                    <w:tr2bl w:val="nil"/>
                  </w:tcBorders>
                  <w:noWrap w:val="0"/>
                  <w:vAlign w:val="center"/>
                </w:tcPr>
                <w:p w14:paraId="7EC46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183" w:type="pct"/>
                  <w:tcBorders>
                    <w:tl2br w:val="nil"/>
                    <w:tr2bl w:val="nil"/>
                  </w:tcBorders>
                  <w:noWrap w:val="0"/>
                  <w:vAlign w:val="center"/>
                </w:tcPr>
                <w:p w14:paraId="1304D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24h平均第95百分位数</w:t>
                  </w:r>
                </w:p>
              </w:tc>
              <w:tc>
                <w:tcPr>
                  <w:tcW w:w="1041" w:type="pct"/>
                  <w:tcBorders>
                    <w:tl2br w:val="nil"/>
                    <w:tr2bl w:val="nil"/>
                  </w:tcBorders>
                  <w:noWrap w:val="0"/>
                  <w:vAlign w:val="center"/>
                </w:tcPr>
                <w:p w14:paraId="65F637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33.0</w:t>
                  </w:r>
                </w:p>
              </w:tc>
              <w:tc>
                <w:tcPr>
                  <w:tcW w:w="980" w:type="pct"/>
                  <w:tcBorders>
                    <w:tl2br w:val="nil"/>
                    <w:tr2bl w:val="nil"/>
                  </w:tcBorders>
                  <w:noWrap w:val="0"/>
                  <w:vAlign w:val="center"/>
                </w:tcPr>
                <w:p w14:paraId="11CA2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75</w:t>
                  </w:r>
                </w:p>
              </w:tc>
              <w:tc>
                <w:tcPr>
                  <w:tcW w:w="638" w:type="pct"/>
                  <w:tcBorders>
                    <w:tl2br w:val="nil"/>
                    <w:tr2bl w:val="nil"/>
                  </w:tcBorders>
                  <w:noWrap w:val="0"/>
                  <w:vAlign w:val="center"/>
                </w:tcPr>
                <w:p w14:paraId="7A42F3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44</w:t>
                  </w:r>
                </w:p>
              </w:tc>
              <w:tc>
                <w:tcPr>
                  <w:tcW w:w="578" w:type="pct"/>
                  <w:tcBorders>
                    <w:tl2br w:val="nil"/>
                    <w:tr2bl w:val="nil"/>
                  </w:tcBorders>
                  <w:noWrap w:val="0"/>
                  <w:vAlign w:val="center"/>
                </w:tcPr>
                <w:p w14:paraId="444CF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bl>
          <w:p w14:paraId="018DF31D">
            <w:pPr>
              <w:keepNext w:val="0"/>
              <w:keepLines w:val="0"/>
              <w:pageBreakBefore w:val="0"/>
              <w:widowControl w:val="0"/>
              <w:kinsoku/>
              <w:wordWrap/>
              <w:overflowPunct/>
              <w:topLinePunct w:val="0"/>
              <w:autoSpaceDE/>
              <w:autoSpaceDN/>
              <w:bidi w:val="0"/>
              <w:adjustRightInd/>
              <w:snapToGrid/>
              <w:ind w:firstLine="480"/>
              <w:textAlignment w:val="auto"/>
              <w:rPr>
                <w:rFonts w:hint="default"/>
                <w:color w:val="auto"/>
              </w:rPr>
            </w:pPr>
            <w:r>
              <w:rPr>
                <w:rFonts w:hint="eastAsia" w:ascii="Times New Roman" w:hAnsi="Times New Roman" w:cs="Times New Roman"/>
                <w:color w:val="auto"/>
                <w:sz w:val="24"/>
                <w:szCs w:val="24"/>
                <w:lang w:val="en-US" w:eastAsia="zh-CN"/>
              </w:rPr>
              <w:t>根据上表可知，202</w:t>
            </w:r>
            <w:r>
              <w:rPr>
                <w:rFonts w:hint="eastAsia" w:cs="Times New Roman"/>
                <w:color w:val="auto"/>
                <w:sz w:val="24"/>
                <w:szCs w:val="24"/>
                <w:lang w:val="en-US" w:eastAsia="zh-CN"/>
              </w:rPr>
              <w:t>4</w:t>
            </w:r>
            <w:r>
              <w:rPr>
                <w:rFonts w:hint="eastAsia" w:ascii="Times New Roman" w:hAnsi="Times New Roman" w:cs="Times New Roman"/>
                <w:color w:val="auto"/>
                <w:sz w:val="24"/>
                <w:szCs w:val="24"/>
                <w:lang w:val="en-US" w:eastAsia="zh-CN"/>
              </w:rPr>
              <w:t>年峨山</w:t>
            </w:r>
            <w:r>
              <w:rPr>
                <w:rFonts w:hint="eastAsia" w:ascii="Times New Roman" w:hAnsi="Times New Roman" w:cs="Times New Roman"/>
                <w:color w:val="auto"/>
                <w:sz w:val="24"/>
                <w:szCs w:val="24"/>
              </w:rPr>
              <w:t>县环境空气质量自动监测站</w:t>
            </w:r>
            <w:r>
              <w:rPr>
                <w:rFonts w:hint="eastAsia" w:ascii="Times New Roman" w:hAnsi="Times New Roman" w:cs="Times New Roman"/>
                <w:color w:val="auto"/>
                <w:sz w:val="24"/>
                <w:szCs w:val="24"/>
                <w:lang w:val="en-US" w:eastAsia="zh-CN"/>
              </w:rPr>
              <w:t>SO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、NO</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、PM</w:t>
            </w:r>
            <w:r>
              <w:rPr>
                <w:rFonts w:hint="eastAsia" w:ascii="Times New Roman" w:hAnsi="Times New Roman" w:cs="Times New Roman"/>
                <w:color w:val="auto"/>
                <w:sz w:val="24"/>
                <w:szCs w:val="24"/>
                <w:vertAlign w:val="subscript"/>
                <w:lang w:val="en-US" w:eastAsia="zh-CN"/>
              </w:rPr>
              <w:t>10</w:t>
            </w:r>
            <w:r>
              <w:rPr>
                <w:rFonts w:hint="eastAsia" w:ascii="Times New Roman" w:hAnsi="Times New Roman" w:cs="Times New Roman"/>
                <w:color w:val="auto"/>
                <w:sz w:val="24"/>
                <w:szCs w:val="24"/>
                <w:lang w:val="en-US" w:eastAsia="zh-CN"/>
              </w:rPr>
              <w:t>、PM</w:t>
            </w:r>
            <w:r>
              <w:rPr>
                <w:rFonts w:hint="eastAsia" w:ascii="Times New Roman" w:hAnsi="Times New Roman" w:cs="Times New Roman"/>
                <w:color w:val="auto"/>
                <w:sz w:val="24"/>
                <w:szCs w:val="24"/>
                <w:vertAlign w:val="subscript"/>
                <w:lang w:val="en-US" w:eastAsia="zh-CN"/>
              </w:rPr>
              <w:t>2.5</w:t>
            </w:r>
            <w:r>
              <w:rPr>
                <w:rFonts w:hint="eastAsia" w:ascii="Times New Roman" w:hAnsi="Times New Roman" w:cs="Times New Roman"/>
                <w:color w:val="auto"/>
                <w:sz w:val="24"/>
                <w:szCs w:val="24"/>
                <w:lang w:val="en-US" w:eastAsia="zh-CN"/>
              </w:rPr>
              <w:t>、O</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、CO年平均质量浓度和百分位数日平均或8h平均质量浓度均满足《环境空气质量标准》（</w:t>
            </w:r>
            <w:r>
              <w:rPr>
                <w:rFonts w:hint="eastAsia" w:cs="Times New Roman"/>
                <w:color w:val="auto"/>
                <w:sz w:val="24"/>
                <w:szCs w:val="24"/>
                <w:lang w:val="en-US" w:eastAsia="zh-CN"/>
              </w:rPr>
              <w:t>GB3095-2012</w:t>
            </w:r>
            <w:r>
              <w:rPr>
                <w:rFonts w:hint="eastAsia" w:ascii="Times New Roman" w:hAnsi="Times New Roman" w:cs="Times New Roman"/>
                <w:color w:val="auto"/>
                <w:sz w:val="24"/>
                <w:szCs w:val="24"/>
                <w:lang w:val="en-US" w:eastAsia="zh-CN"/>
              </w:rPr>
              <w:t>）二级标准要求，项目区属环境空气质量达标区。</w:t>
            </w:r>
          </w:p>
          <w:p w14:paraId="5DAFF536">
            <w:pPr>
              <w:pStyle w:val="13"/>
              <w:keepNext w:val="0"/>
              <w:keepLines w:val="0"/>
              <w:pageBreakBefore w:val="0"/>
              <w:widowControl/>
              <w:kinsoku/>
              <w:wordWrap w:val="0"/>
              <w:overflowPunct/>
              <w:topLinePunct w:val="0"/>
              <w:autoSpaceDE/>
              <w:autoSpaceDN/>
              <w:bidi w:val="0"/>
              <w:adjustRightInd/>
              <w:snapToGrid/>
              <w:spacing w:before="0" w:after="0" w:line="360" w:lineRule="auto"/>
              <w:ind w:right="0" w:firstLine="482" w:firstLineChars="200"/>
              <w:jc w:val="left"/>
              <w:textAlignment w:val="auto"/>
              <w:rPr>
                <w:rFonts w:hint="default" w:ascii="Times New Roman" w:hAnsi="Times New Roman" w:eastAsia="宋体" w:cs="Times New Roman"/>
                <w:b/>
                <w:bCs/>
                <w:i w:val="0"/>
                <w:color w:val="auto"/>
                <w:kern w:val="2"/>
                <w:sz w:val="24"/>
                <w:szCs w:val="24"/>
                <w:lang w:val="en-US" w:eastAsia="zh-CN" w:bidi="ar-SA"/>
              </w:rPr>
            </w:pPr>
            <w:r>
              <w:rPr>
                <w:rFonts w:hint="default" w:ascii="Times New Roman" w:hAnsi="Times New Roman" w:eastAsia="宋体" w:cs="Times New Roman"/>
                <w:b/>
                <w:bCs/>
                <w:i w:val="0"/>
                <w:color w:val="auto"/>
                <w:kern w:val="2"/>
                <w:sz w:val="24"/>
                <w:szCs w:val="24"/>
                <w:lang w:val="en-US" w:eastAsia="zh-CN" w:bidi="ar-SA"/>
              </w:rPr>
              <w:t>（3）特征污染物</w:t>
            </w:r>
          </w:p>
          <w:p w14:paraId="76401D9F">
            <w:pPr>
              <w:keepNext w:val="0"/>
              <w:keepLines w:val="0"/>
              <w:pageBreakBefore w:val="0"/>
              <w:kinsoku/>
              <w:overflowPunct/>
              <w:topLinePunct w:val="0"/>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w:t>
            </w:r>
          </w:p>
          <w:p w14:paraId="31654BCB">
            <w:pPr>
              <w:keepNext w:val="0"/>
              <w:keepLines w:val="0"/>
              <w:pageBreakBefore w:val="0"/>
              <w:kinsoku/>
              <w:overflowPunct/>
              <w:topLinePunct w:val="0"/>
              <w:autoSpaceDE/>
              <w:autoSpaceDN/>
              <w:bidi w:val="0"/>
              <w:adjustRightInd/>
              <w:snapToGrid/>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本项目特征评价因子为</w:t>
            </w:r>
            <w:r>
              <w:rPr>
                <w:rFonts w:hint="eastAsia" w:cs="Times New Roman"/>
                <w:color w:val="auto"/>
                <w:sz w:val="24"/>
                <w:szCs w:val="24"/>
                <w:lang w:val="en-US" w:eastAsia="zh-CN"/>
              </w:rPr>
              <w:t>TSP</w:t>
            </w:r>
            <w:r>
              <w:rPr>
                <w:rFonts w:hint="default" w:ascii="Times New Roman" w:hAnsi="Times New Roman" w:eastAsia="宋体" w:cs="Times New Roman"/>
                <w:color w:val="auto"/>
                <w:sz w:val="24"/>
                <w:szCs w:val="24"/>
              </w:rPr>
              <w:t>，为充分了解项目区域</w:t>
            </w:r>
            <w:r>
              <w:rPr>
                <w:rFonts w:hint="eastAsia" w:cs="Times New Roman"/>
                <w:color w:val="auto"/>
                <w:sz w:val="24"/>
                <w:szCs w:val="24"/>
                <w:lang w:val="en-US" w:eastAsia="zh-CN"/>
              </w:rPr>
              <w:t>TSP</w:t>
            </w:r>
            <w:r>
              <w:rPr>
                <w:rFonts w:hint="default" w:ascii="Times New Roman" w:hAnsi="Times New Roman" w:eastAsia="宋体" w:cs="Times New Roman"/>
                <w:color w:val="auto"/>
                <w:sz w:val="24"/>
                <w:szCs w:val="24"/>
              </w:rPr>
              <w:t>环境质量现状，</w:t>
            </w:r>
            <w:r>
              <w:rPr>
                <w:rFonts w:hint="default" w:ascii="Times New Roman" w:hAnsi="Times New Roman" w:eastAsia="宋体" w:cs="Times New Roman"/>
                <w:color w:val="auto"/>
              </w:rPr>
              <w:t>本次评价引用《</w:t>
            </w:r>
            <w:r>
              <w:rPr>
                <w:rFonts w:hint="default" w:ascii="Times New Roman" w:hAnsi="Times New Roman" w:eastAsia="宋体" w:cs="Times New Roman"/>
                <w:b w:val="0"/>
                <w:bCs w:val="0"/>
                <w:color w:val="auto"/>
                <w:sz w:val="24"/>
                <w:szCs w:val="24"/>
                <w:highlight w:val="none"/>
                <w:lang w:eastAsia="zh-CN"/>
              </w:rPr>
              <w:t>云南玉溪玉昆钢铁集团有限公司</w:t>
            </w:r>
            <w:r>
              <w:rPr>
                <w:rFonts w:hint="eastAsia" w:cs="Times New Roman"/>
                <w:b w:val="0"/>
                <w:bCs w:val="0"/>
                <w:color w:val="auto"/>
                <w:sz w:val="24"/>
                <w:szCs w:val="24"/>
                <w:highlight w:val="none"/>
                <w:lang w:val="en-US" w:eastAsia="zh-CN"/>
              </w:rPr>
              <w:t>精炼炉工程项目环境影响报告书</w:t>
            </w:r>
            <w:r>
              <w:rPr>
                <w:rFonts w:hint="default" w:ascii="Times New Roman" w:hAnsi="Times New Roman" w:eastAsia="宋体" w:cs="Times New Roman"/>
                <w:color w:val="auto"/>
              </w:rPr>
              <w:t>》中监测数据</w:t>
            </w:r>
            <w:r>
              <w:rPr>
                <w:rFonts w:hint="eastAsia" w:cs="Times New Roman"/>
                <w:color w:val="auto"/>
                <w:lang w:eastAsia="zh-CN"/>
              </w:rPr>
              <w:t>，</w:t>
            </w:r>
            <w:r>
              <w:rPr>
                <w:rFonts w:hint="eastAsia" w:cs="Times New Roman"/>
                <w:color w:val="auto"/>
                <w:lang w:val="en-US" w:eastAsia="zh-CN"/>
              </w:rPr>
              <w:t>监测时间为</w:t>
            </w:r>
            <w:r>
              <w:rPr>
                <w:rFonts w:hint="default" w:ascii="Times New Roman" w:hAnsi="Times New Roman" w:eastAsia="宋体" w:cs="Times New Roman"/>
                <w:b w:val="0"/>
                <w:bCs w:val="0"/>
                <w:color w:val="auto"/>
                <w:sz w:val="24"/>
                <w:szCs w:val="24"/>
                <w:highlight w:val="none"/>
              </w:rPr>
              <w:t>2</w:t>
            </w:r>
            <w:r>
              <w:rPr>
                <w:rFonts w:hint="default" w:ascii="Times New Roman" w:hAnsi="Times New Roman" w:eastAsia="宋体" w:cs="Times New Roman"/>
                <w:b w:val="0"/>
                <w:bCs w:val="0"/>
                <w:color w:val="auto"/>
                <w:sz w:val="24"/>
                <w:szCs w:val="24"/>
                <w:highlight w:val="none"/>
                <w:lang w:val="en-US" w:eastAsia="zh-CN"/>
              </w:rPr>
              <w:t>02</w:t>
            </w: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年</w:t>
            </w:r>
            <w:r>
              <w:rPr>
                <w:rFonts w:hint="default" w:ascii="Times New Roman" w:hAnsi="Times New Roman"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月</w:t>
            </w:r>
            <w:r>
              <w:rPr>
                <w:rFonts w:hint="eastAsia" w:cs="Times New Roman"/>
                <w:b w:val="0"/>
                <w:bCs w:val="0"/>
                <w:color w:val="auto"/>
                <w:sz w:val="24"/>
                <w:szCs w:val="24"/>
                <w:highlight w:val="none"/>
                <w:lang w:val="en-US" w:eastAsia="zh-CN"/>
              </w:rPr>
              <w:t>01</w:t>
            </w:r>
            <w:r>
              <w:rPr>
                <w:rFonts w:hint="default" w:ascii="Times New Roman" w:hAnsi="Times New Roman" w:eastAsia="宋体" w:cs="Times New Roman"/>
                <w:b w:val="0"/>
                <w:bCs w:val="0"/>
                <w:color w:val="auto"/>
                <w:sz w:val="24"/>
                <w:szCs w:val="24"/>
                <w:highlight w:val="none"/>
              </w:rPr>
              <w:t>日</w:t>
            </w:r>
            <w:r>
              <w:rPr>
                <w:rFonts w:hint="default" w:ascii="Times New Roman" w:hAnsi="Times New Roman" w:cs="Times New Roman"/>
                <w:b w:val="0"/>
                <w:bCs w:val="0"/>
                <w:color w:val="auto"/>
                <w:sz w:val="24"/>
                <w:szCs w:val="24"/>
                <w:highlight w:val="none"/>
                <w:lang w:val="en-US" w:eastAsia="zh-CN"/>
              </w:rPr>
              <w:t>至</w:t>
            </w:r>
            <w:r>
              <w:rPr>
                <w:rFonts w:hint="default" w:ascii="Times New Roman" w:hAnsi="Times New Roman" w:eastAsia="宋体" w:cs="Times New Roman"/>
                <w:b w:val="0"/>
                <w:bCs w:val="0"/>
                <w:color w:val="auto"/>
                <w:sz w:val="24"/>
                <w:szCs w:val="24"/>
                <w:highlight w:val="none"/>
              </w:rPr>
              <w:t>2</w:t>
            </w:r>
            <w:r>
              <w:rPr>
                <w:rFonts w:hint="default" w:ascii="Times New Roman" w:hAnsi="Times New Roman" w:eastAsia="宋体" w:cs="Times New Roman"/>
                <w:b w:val="0"/>
                <w:bCs w:val="0"/>
                <w:color w:val="auto"/>
                <w:sz w:val="24"/>
                <w:szCs w:val="24"/>
                <w:highlight w:val="none"/>
                <w:lang w:val="en-US" w:eastAsia="zh-CN"/>
              </w:rPr>
              <w:t>02</w:t>
            </w: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年</w:t>
            </w:r>
            <w:r>
              <w:rPr>
                <w:rFonts w:hint="eastAsia" w:cs="Times New Roman"/>
                <w:b w:val="0"/>
                <w:bCs w:val="0"/>
                <w:color w:val="auto"/>
                <w:sz w:val="24"/>
                <w:szCs w:val="24"/>
                <w:highlight w:val="none"/>
                <w:lang w:val="en-US" w:eastAsia="zh-CN"/>
              </w:rPr>
              <w:t>12</w:t>
            </w:r>
            <w:r>
              <w:rPr>
                <w:rFonts w:hint="default" w:ascii="Times New Roman" w:hAnsi="Times New Roman" w:eastAsia="宋体" w:cs="Times New Roman"/>
                <w:b w:val="0"/>
                <w:bCs w:val="0"/>
                <w:color w:val="auto"/>
                <w:sz w:val="24"/>
                <w:szCs w:val="24"/>
                <w:highlight w:val="none"/>
              </w:rPr>
              <w:t>月</w:t>
            </w:r>
            <w:r>
              <w:rPr>
                <w:rFonts w:hint="eastAsia" w:cs="Times New Roman"/>
                <w:b w:val="0"/>
                <w:bCs w:val="0"/>
                <w:color w:val="auto"/>
                <w:sz w:val="24"/>
                <w:szCs w:val="24"/>
                <w:highlight w:val="none"/>
                <w:lang w:val="en-US" w:eastAsia="zh-CN"/>
              </w:rPr>
              <w:t>07</w:t>
            </w:r>
            <w:r>
              <w:rPr>
                <w:rFonts w:hint="default" w:ascii="Times New Roman" w:hAnsi="Times New Roman" w:eastAsia="宋体" w:cs="Times New Roman"/>
                <w:b w:val="0"/>
                <w:bCs w:val="0"/>
                <w:color w:val="auto"/>
                <w:sz w:val="24"/>
                <w:szCs w:val="24"/>
                <w:highlight w:val="none"/>
              </w:rPr>
              <w:t>日</w:t>
            </w:r>
            <w:r>
              <w:rPr>
                <w:rFonts w:hint="eastAsia" w:cs="Times New Roman"/>
                <w:color w:val="auto"/>
                <w:sz w:val="24"/>
                <w:szCs w:val="24"/>
                <w:lang w:val="en-US" w:eastAsia="zh-CN"/>
              </w:rPr>
              <w:t>，监测点位位于项目西南侧1.2km处，</w:t>
            </w:r>
            <w:r>
              <w:rPr>
                <w:rFonts w:hint="default" w:ascii="Times New Roman" w:hAnsi="Times New Roman" w:eastAsia="宋体" w:cs="Times New Roman"/>
                <w:color w:val="auto"/>
              </w:rPr>
              <w:t>本项目引用的监测数据在</w:t>
            </w:r>
            <w:r>
              <w:rPr>
                <w:rFonts w:hint="default" w:ascii="Times New Roman" w:hAnsi="Times New Roman" w:eastAsia="宋体" w:cs="Times New Roman"/>
                <w:color w:val="auto"/>
                <w:lang w:val="en-US" w:eastAsia="zh-CN"/>
              </w:rPr>
              <w:t>3年</w:t>
            </w:r>
            <w:r>
              <w:rPr>
                <w:rFonts w:hint="default" w:ascii="Times New Roman" w:hAnsi="Times New Roman" w:eastAsia="宋体" w:cs="Times New Roman"/>
                <w:color w:val="auto"/>
              </w:rPr>
              <w:t>有效期内，</w:t>
            </w:r>
            <w:r>
              <w:rPr>
                <w:rFonts w:hint="default" w:ascii="Times New Roman" w:hAnsi="Times New Roman" w:eastAsia="宋体" w:cs="Times New Roman"/>
                <w:color w:val="auto"/>
                <w:lang w:eastAsia="zh-CN"/>
              </w:rPr>
              <w:t>监测点位于项目</w:t>
            </w:r>
            <w:r>
              <w:rPr>
                <w:rFonts w:hint="default" w:ascii="Times New Roman" w:hAnsi="Times New Roman" w:eastAsia="宋体" w:cs="Times New Roman"/>
                <w:color w:val="auto"/>
                <w:lang w:val="en-US" w:eastAsia="zh-CN"/>
              </w:rPr>
              <w:t>5km范围内</w:t>
            </w:r>
            <w:r>
              <w:rPr>
                <w:rFonts w:hint="default" w:ascii="Times New Roman" w:hAnsi="Times New Roman" w:eastAsia="宋体" w:cs="Times New Roman"/>
                <w:color w:val="auto"/>
                <w:sz w:val="24"/>
                <w:szCs w:val="24"/>
                <w:lang w:val="en-US" w:eastAsia="zh-CN"/>
              </w:rPr>
              <w:t>，符合引用条件。监测结果详见下表</w:t>
            </w:r>
            <w:r>
              <w:rPr>
                <w:rFonts w:hint="eastAsia" w:ascii="Times New Roman" w:hAnsi="Times New Roman" w:eastAsia="宋体" w:cs="Times New Roman"/>
                <w:color w:val="auto"/>
                <w:sz w:val="24"/>
                <w:szCs w:val="24"/>
                <w:lang w:val="en-US" w:eastAsia="zh-CN"/>
              </w:rPr>
              <w:t>3-3</w:t>
            </w:r>
            <w:r>
              <w:rPr>
                <w:rFonts w:hint="default" w:ascii="Times New Roman" w:hAnsi="Times New Roman" w:eastAsia="宋体" w:cs="Times New Roman"/>
                <w:color w:val="auto"/>
                <w:sz w:val="24"/>
                <w:szCs w:val="24"/>
                <w:lang w:val="en-US" w:eastAsia="zh-CN"/>
              </w:rPr>
              <w:t>，引用监测布点图详见下图3-1。</w:t>
            </w:r>
          </w:p>
          <w:p w14:paraId="257EF9F9">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rPr>
              <w:t>表3-</w:t>
            </w:r>
            <w:r>
              <w:rPr>
                <w:rFonts w:hint="eastAsia" w:cs="Times New Roman"/>
                <w:color w:val="auto"/>
                <w:sz w:val="24"/>
                <w:szCs w:val="32"/>
                <w:lang w:val="en-US" w:eastAsia="zh-CN"/>
              </w:rPr>
              <w:t>3</w:t>
            </w:r>
            <w:r>
              <w:rPr>
                <w:rFonts w:hint="default" w:ascii="Times New Roman" w:hAnsi="Times New Roman" w:eastAsia="宋体" w:cs="Times New Roman"/>
                <w:color w:val="auto"/>
                <w:sz w:val="24"/>
                <w:szCs w:val="32"/>
                <w:lang w:val="en-US" w:eastAsia="zh-CN"/>
              </w:rPr>
              <w:t xml:space="preserve">  </w:t>
            </w:r>
            <w:r>
              <w:rPr>
                <w:rFonts w:hint="default" w:ascii="Times New Roman" w:hAnsi="Times New Roman" w:eastAsia="宋体" w:cs="Times New Roman"/>
                <w:color w:val="auto"/>
                <w:sz w:val="24"/>
                <w:szCs w:val="32"/>
              </w:rPr>
              <w:t>环境空气（</w:t>
            </w:r>
            <w:r>
              <w:rPr>
                <w:rFonts w:hint="eastAsia" w:cs="Times New Roman"/>
                <w:color w:val="auto"/>
                <w:sz w:val="24"/>
                <w:szCs w:val="32"/>
                <w:lang w:val="en-US" w:eastAsia="zh-CN"/>
              </w:rPr>
              <w:t>TSP</w:t>
            </w:r>
            <w:r>
              <w:rPr>
                <w:rFonts w:hint="default" w:ascii="Times New Roman" w:hAnsi="Times New Roman" w:eastAsia="宋体" w:cs="Times New Roman"/>
                <w:color w:val="auto"/>
                <w:sz w:val="24"/>
                <w:szCs w:val="32"/>
              </w:rPr>
              <w:t>）检测结果</w:t>
            </w:r>
            <w:r>
              <w:rPr>
                <w:rFonts w:hint="default" w:ascii="Times New Roman" w:hAnsi="Times New Roman" w:eastAsia="宋体" w:cs="Times New Roman"/>
                <w:color w:val="auto"/>
                <w:sz w:val="24"/>
                <w:szCs w:val="32"/>
                <w:lang w:val="en-US" w:eastAsia="zh-CN"/>
              </w:rPr>
              <w:t>一览表</w:t>
            </w:r>
          </w:p>
          <w:tbl>
            <w:tblPr>
              <w:tblStyle w:val="29"/>
              <w:tblW w:w="7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765"/>
              <w:gridCol w:w="2206"/>
              <w:gridCol w:w="1214"/>
              <w:gridCol w:w="1140"/>
              <w:gridCol w:w="870"/>
              <w:gridCol w:w="691"/>
            </w:tblGrid>
            <w:tr w14:paraId="4257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3E6878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监测点位</w:t>
                  </w:r>
                </w:p>
              </w:tc>
              <w:tc>
                <w:tcPr>
                  <w:tcW w:w="765" w:type="dxa"/>
                  <w:vAlign w:val="center"/>
                </w:tcPr>
                <w:p w14:paraId="209FC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监测因子</w:t>
                  </w:r>
                </w:p>
              </w:tc>
              <w:tc>
                <w:tcPr>
                  <w:tcW w:w="2206" w:type="dxa"/>
                  <w:vAlign w:val="center"/>
                </w:tcPr>
                <w:p w14:paraId="3F2F3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采样时间</w:t>
                  </w:r>
                </w:p>
              </w:tc>
              <w:tc>
                <w:tcPr>
                  <w:tcW w:w="1214" w:type="dxa"/>
                  <w:vAlign w:val="center"/>
                </w:tcPr>
                <w:p w14:paraId="7652D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监测结果（mg/m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lang w:val="en-US" w:eastAsia="zh-CN"/>
                    </w:rPr>
                    <w:t>）</w:t>
                  </w:r>
                </w:p>
              </w:tc>
              <w:tc>
                <w:tcPr>
                  <w:tcW w:w="1140" w:type="dxa"/>
                  <w:vAlign w:val="center"/>
                </w:tcPr>
                <w:p w14:paraId="3E2FFE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标准限值（mg/m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lang w:val="en-US" w:eastAsia="zh-CN"/>
                    </w:rPr>
                    <w:t>）</w:t>
                  </w:r>
                </w:p>
              </w:tc>
              <w:tc>
                <w:tcPr>
                  <w:tcW w:w="870" w:type="dxa"/>
                  <w:vAlign w:val="center"/>
                </w:tcPr>
                <w:p w14:paraId="0107E7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占标率（%）</w:t>
                  </w:r>
                </w:p>
              </w:tc>
              <w:tc>
                <w:tcPr>
                  <w:tcW w:w="691" w:type="dxa"/>
                  <w:vAlign w:val="center"/>
                </w:tcPr>
                <w:p w14:paraId="19A1A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达标情况</w:t>
                  </w:r>
                </w:p>
              </w:tc>
            </w:tr>
            <w:tr w14:paraId="4377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restart"/>
                  <w:vAlign w:val="center"/>
                </w:tcPr>
                <w:p w14:paraId="7729A1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化念镇（距离项目1.2km）</w:t>
                  </w:r>
                </w:p>
              </w:tc>
              <w:tc>
                <w:tcPr>
                  <w:tcW w:w="765" w:type="dxa"/>
                  <w:vMerge w:val="restart"/>
                  <w:vAlign w:val="center"/>
                </w:tcPr>
                <w:p w14:paraId="30BAC8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TSP</w:t>
                  </w:r>
                </w:p>
              </w:tc>
              <w:tc>
                <w:tcPr>
                  <w:tcW w:w="2206" w:type="dxa"/>
                  <w:shd w:val="clear" w:color="auto" w:fill="auto"/>
                  <w:vAlign w:val="center"/>
                </w:tcPr>
                <w:p w14:paraId="5385E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2024.12.01(16:00)~2024. 12.02(16:00)</w:t>
                  </w:r>
                </w:p>
              </w:tc>
              <w:tc>
                <w:tcPr>
                  <w:tcW w:w="1214" w:type="dxa"/>
                  <w:shd w:val="clear" w:color="auto" w:fill="auto"/>
                  <w:vAlign w:val="center"/>
                </w:tcPr>
                <w:p w14:paraId="41F12D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0.103</w:t>
                  </w:r>
                </w:p>
              </w:tc>
              <w:tc>
                <w:tcPr>
                  <w:tcW w:w="1140" w:type="dxa"/>
                  <w:shd w:val="clear" w:color="auto" w:fill="auto"/>
                  <w:vAlign w:val="center"/>
                </w:tcPr>
                <w:p w14:paraId="1D9B84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0.3</w:t>
                  </w:r>
                </w:p>
              </w:tc>
              <w:tc>
                <w:tcPr>
                  <w:tcW w:w="870" w:type="dxa"/>
                  <w:shd w:val="clear" w:color="auto" w:fill="auto"/>
                  <w:vAlign w:val="center"/>
                </w:tcPr>
                <w:p w14:paraId="718544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34.33</w:t>
                  </w:r>
                </w:p>
              </w:tc>
              <w:tc>
                <w:tcPr>
                  <w:tcW w:w="691" w:type="dxa"/>
                  <w:shd w:val="clear" w:color="auto" w:fill="auto"/>
                  <w:vAlign w:val="center"/>
                </w:tcPr>
                <w:p w14:paraId="5C6BC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达标</w:t>
                  </w:r>
                </w:p>
              </w:tc>
            </w:tr>
            <w:tr w14:paraId="0540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continue"/>
                  <w:vAlign w:val="center"/>
                </w:tcPr>
                <w:p w14:paraId="7706B3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65" w:type="dxa"/>
                  <w:vMerge w:val="continue"/>
                  <w:vAlign w:val="center"/>
                </w:tcPr>
                <w:p w14:paraId="72FDF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2206" w:type="dxa"/>
                  <w:shd w:val="clear" w:color="auto" w:fill="auto"/>
                  <w:vAlign w:val="center"/>
                </w:tcPr>
                <w:p w14:paraId="62829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2024.12.02(16:10)~2024. 12.03(16:10)</w:t>
                  </w:r>
                </w:p>
              </w:tc>
              <w:tc>
                <w:tcPr>
                  <w:tcW w:w="1214" w:type="dxa"/>
                  <w:shd w:val="clear" w:color="auto" w:fill="auto"/>
                  <w:vAlign w:val="center"/>
                </w:tcPr>
                <w:p w14:paraId="3A4F3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0.087</w:t>
                  </w:r>
                </w:p>
              </w:tc>
              <w:tc>
                <w:tcPr>
                  <w:tcW w:w="1140" w:type="dxa"/>
                  <w:shd w:val="clear" w:color="auto" w:fill="auto"/>
                  <w:vAlign w:val="center"/>
                </w:tcPr>
                <w:p w14:paraId="11E25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0.3</w:t>
                  </w:r>
                </w:p>
              </w:tc>
              <w:tc>
                <w:tcPr>
                  <w:tcW w:w="870" w:type="dxa"/>
                  <w:shd w:val="clear" w:color="auto" w:fill="auto"/>
                  <w:vAlign w:val="center"/>
                </w:tcPr>
                <w:p w14:paraId="73138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29.00</w:t>
                  </w:r>
                </w:p>
              </w:tc>
              <w:tc>
                <w:tcPr>
                  <w:tcW w:w="691" w:type="dxa"/>
                  <w:shd w:val="clear" w:color="auto" w:fill="auto"/>
                  <w:vAlign w:val="center"/>
                </w:tcPr>
                <w:p w14:paraId="6A8D70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达标</w:t>
                  </w:r>
                </w:p>
              </w:tc>
            </w:tr>
            <w:tr w14:paraId="76D7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continue"/>
                  <w:vAlign w:val="center"/>
                </w:tcPr>
                <w:p w14:paraId="39A6F4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65" w:type="dxa"/>
                  <w:vMerge w:val="continue"/>
                  <w:vAlign w:val="center"/>
                </w:tcPr>
                <w:p w14:paraId="3A9AF4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2206" w:type="dxa"/>
                  <w:shd w:val="clear" w:color="auto" w:fill="auto"/>
                  <w:vAlign w:val="center"/>
                </w:tcPr>
                <w:p w14:paraId="6C294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2024.12.03(16:20)~2024. 12.04(16:20)</w:t>
                  </w:r>
                </w:p>
              </w:tc>
              <w:tc>
                <w:tcPr>
                  <w:tcW w:w="1214" w:type="dxa"/>
                  <w:shd w:val="clear" w:color="auto" w:fill="auto"/>
                  <w:vAlign w:val="center"/>
                </w:tcPr>
                <w:p w14:paraId="1263C1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0.099</w:t>
                  </w:r>
                </w:p>
              </w:tc>
              <w:tc>
                <w:tcPr>
                  <w:tcW w:w="1140" w:type="dxa"/>
                  <w:shd w:val="clear" w:color="auto" w:fill="auto"/>
                  <w:vAlign w:val="center"/>
                </w:tcPr>
                <w:p w14:paraId="23CDD1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0.3</w:t>
                  </w:r>
                </w:p>
              </w:tc>
              <w:tc>
                <w:tcPr>
                  <w:tcW w:w="870" w:type="dxa"/>
                  <w:shd w:val="clear" w:color="auto" w:fill="auto"/>
                  <w:vAlign w:val="center"/>
                </w:tcPr>
                <w:p w14:paraId="716D4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33.00</w:t>
                  </w:r>
                </w:p>
              </w:tc>
              <w:tc>
                <w:tcPr>
                  <w:tcW w:w="691" w:type="dxa"/>
                  <w:shd w:val="clear" w:color="auto" w:fill="auto"/>
                  <w:vAlign w:val="center"/>
                </w:tcPr>
                <w:p w14:paraId="7AAA0D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达标</w:t>
                  </w:r>
                </w:p>
              </w:tc>
            </w:tr>
            <w:tr w14:paraId="516F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continue"/>
                  <w:vAlign w:val="center"/>
                </w:tcPr>
                <w:p w14:paraId="7AD0E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65" w:type="dxa"/>
                  <w:vMerge w:val="continue"/>
                  <w:vAlign w:val="center"/>
                </w:tcPr>
                <w:p w14:paraId="3FE1E2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2206" w:type="dxa"/>
                  <w:shd w:val="clear" w:color="auto" w:fill="auto"/>
                  <w:vAlign w:val="center"/>
                </w:tcPr>
                <w:p w14:paraId="7EBAB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2024.12.04(16:30)~2024. 12.05(16:30)</w:t>
                  </w:r>
                </w:p>
              </w:tc>
              <w:tc>
                <w:tcPr>
                  <w:tcW w:w="1214" w:type="dxa"/>
                  <w:shd w:val="clear" w:color="auto" w:fill="auto"/>
                  <w:vAlign w:val="center"/>
                </w:tcPr>
                <w:p w14:paraId="035044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0.082</w:t>
                  </w:r>
                </w:p>
              </w:tc>
              <w:tc>
                <w:tcPr>
                  <w:tcW w:w="1140" w:type="dxa"/>
                  <w:shd w:val="clear" w:color="auto" w:fill="auto"/>
                  <w:vAlign w:val="center"/>
                </w:tcPr>
                <w:p w14:paraId="4745E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0.3</w:t>
                  </w:r>
                </w:p>
              </w:tc>
              <w:tc>
                <w:tcPr>
                  <w:tcW w:w="870" w:type="dxa"/>
                  <w:shd w:val="clear" w:color="auto" w:fill="auto"/>
                  <w:vAlign w:val="center"/>
                </w:tcPr>
                <w:p w14:paraId="71720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27.33</w:t>
                  </w:r>
                </w:p>
              </w:tc>
              <w:tc>
                <w:tcPr>
                  <w:tcW w:w="691" w:type="dxa"/>
                  <w:shd w:val="clear" w:color="auto" w:fill="auto"/>
                  <w:vAlign w:val="center"/>
                </w:tcPr>
                <w:p w14:paraId="3B93C4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达标</w:t>
                  </w:r>
                </w:p>
              </w:tc>
            </w:tr>
            <w:tr w14:paraId="2BCB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continue"/>
                  <w:vAlign w:val="center"/>
                </w:tcPr>
                <w:p w14:paraId="0EA06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65" w:type="dxa"/>
                  <w:vMerge w:val="continue"/>
                  <w:vAlign w:val="center"/>
                </w:tcPr>
                <w:p w14:paraId="31C34F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2206" w:type="dxa"/>
                  <w:shd w:val="clear" w:color="auto" w:fill="auto"/>
                  <w:vAlign w:val="center"/>
                </w:tcPr>
                <w:p w14:paraId="3288A7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2024.12.05(16:40)~2024. 12.06(16:40)</w:t>
                  </w:r>
                </w:p>
              </w:tc>
              <w:tc>
                <w:tcPr>
                  <w:tcW w:w="1214" w:type="dxa"/>
                  <w:shd w:val="clear" w:color="auto" w:fill="auto"/>
                  <w:vAlign w:val="center"/>
                </w:tcPr>
                <w:p w14:paraId="35A68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0.100</w:t>
                  </w:r>
                </w:p>
              </w:tc>
              <w:tc>
                <w:tcPr>
                  <w:tcW w:w="1140" w:type="dxa"/>
                  <w:shd w:val="clear" w:color="auto" w:fill="auto"/>
                  <w:vAlign w:val="center"/>
                </w:tcPr>
                <w:p w14:paraId="19DA64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0.3</w:t>
                  </w:r>
                </w:p>
              </w:tc>
              <w:tc>
                <w:tcPr>
                  <w:tcW w:w="870" w:type="dxa"/>
                  <w:shd w:val="clear" w:color="auto" w:fill="auto"/>
                  <w:vAlign w:val="center"/>
                </w:tcPr>
                <w:p w14:paraId="7B229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33.33</w:t>
                  </w:r>
                </w:p>
              </w:tc>
              <w:tc>
                <w:tcPr>
                  <w:tcW w:w="691" w:type="dxa"/>
                  <w:shd w:val="clear" w:color="auto" w:fill="auto"/>
                  <w:vAlign w:val="center"/>
                </w:tcPr>
                <w:p w14:paraId="2A5DC7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达标</w:t>
                  </w:r>
                </w:p>
              </w:tc>
            </w:tr>
            <w:tr w14:paraId="68E8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continue"/>
                  <w:vAlign w:val="center"/>
                </w:tcPr>
                <w:p w14:paraId="67100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65" w:type="dxa"/>
                  <w:vMerge w:val="continue"/>
                  <w:vAlign w:val="center"/>
                </w:tcPr>
                <w:p w14:paraId="3BBFA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2206" w:type="dxa"/>
                  <w:shd w:val="clear" w:color="auto" w:fill="auto"/>
                  <w:vAlign w:val="center"/>
                </w:tcPr>
                <w:p w14:paraId="29CD50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2024.12.06(16:50)~2024. 12.07(16:50)</w:t>
                  </w:r>
                </w:p>
              </w:tc>
              <w:tc>
                <w:tcPr>
                  <w:tcW w:w="1214" w:type="dxa"/>
                  <w:shd w:val="clear" w:color="auto" w:fill="auto"/>
                  <w:vAlign w:val="center"/>
                </w:tcPr>
                <w:p w14:paraId="4EA0E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0.126</w:t>
                  </w:r>
                </w:p>
              </w:tc>
              <w:tc>
                <w:tcPr>
                  <w:tcW w:w="1140" w:type="dxa"/>
                  <w:shd w:val="clear" w:color="auto" w:fill="auto"/>
                  <w:vAlign w:val="center"/>
                </w:tcPr>
                <w:p w14:paraId="44013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0.3</w:t>
                  </w:r>
                </w:p>
              </w:tc>
              <w:tc>
                <w:tcPr>
                  <w:tcW w:w="870" w:type="dxa"/>
                  <w:shd w:val="clear" w:color="auto" w:fill="auto"/>
                  <w:vAlign w:val="center"/>
                </w:tcPr>
                <w:p w14:paraId="7D6EF7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42.00</w:t>
                  </w:r>
                </w:p>
              </w:tc>
              <w:tc>
                <w:tcPr>
                  <w:tcW w:w="691" w:type="dxa"/>
                  <w:shd w:val="clear" w:color="auto" w:fill="auto"/>
                  <w:vAlign w:val="center"/>
                </w:tcPr>
                <w:p w14:paraId="4562EE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达标</w:t>
                  </w:r>
                </w:p>
              </w:tc>
            </w:tr>
            <w:tr w14:paraId="3989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continue"/>
                  <w:vAlign w:val="center"/>
                </w:tcPr>
                <w:p w14:paraId="2101A2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65" w:type="dxa"/>
                  <w:vMerge w:val="continue"/>
                  <w:vAlign w:val="center"/>
                </w:tcPr>
                <w:p w14:paraId="0398A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2206" w:type="dxa"/>
                  <w:shd w:val="clear" w:color="auto" w:fill="auto"/>
                  <w:vAlign w:val="center"/>
                </w:tcPr>
                <w:p w14:paraId="170EE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2024.12.07(17:00)~2024. 12.08(17:00)</w:t>
                  </w:r>
                </w:p>
              </w:tc>
              <w:tc>
                <w:tcPr>
                  <w:tcW w:w="1214" w:type="dxa"/>
                  <w:shd w:val="clear" w:color="auto" w:fill="auto"/>
                  <w:vAlign w:val="center"/>
                </w:tcPr>
                <w:p w14:paraId="64688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0.108</w:t>
                  </w:r>
                </w:p>
              </w:tc>
              <w:tc>
                <w:tcPr>
                  <w:tcW w:w="1140" w:type="dxa"/>
                  <w:shd w:val="clear" w:color="auto" w:fill="auto"/>
                  <w:vAlign w:val="center"/>
                </w:tcPr>
                <w:p w14:paraId="342C0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0.3</w:t>
                  </w:r>
                </w:p>
              </w:tc>
              <w:tc>
                <w:tcPr>
                  <w:tcW w:w="870" w:type="dxa"/>
                  <w:shd w:val="clear" w:color="auto" w:fill="auto"/>
                  <w:vAlign w:val="center"/>
                </w:tcPr>
                <w:p w14:paraId="7508F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36.00</w:t>
                  </w:r>
                </w:p>
              </w:tc>
              <w:tc>
                <w:tcPr>
                  <w:tcW w:w="691" w:type="dxa"/>
                  <w:shd w:val="clear" w:color="auto" w:fill="auto"/>
                  <w:vAlign w:val="center"/>
                </w:tcPr>
                <w:p w14:paraId="67522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达标</w:t>
                  </w:r>
                </w:p>
              </w:tc>
            </w:tr>
          </w:tbl>
          <w:p w14:paraId="1357FC22">
            <w:pPr>
              <w:pStyle w:val="8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从监测结果来看，项目所在区域环境空气中的TSP</w:t>
            </w:r>
            <w:r>
              <w:rPr>
                <w:rFonts w:hint="eastAsia" w:cs="Times New Roman"/>
                <w:color w:val="auto"/>
                <w:kern w:val="2"/>
                <w:sz w:val="24"/>
                <w:szCs w:val="24"/>
                <w:lang w:val="en-US" w:eastAsia="zh-CN" w:bidi="ar-SA"/>
              </w:rPr>
              <w:t>日均浓度</w:t>
            </w:r>
            <w:r>
              <w:rPr>
                <w:rFonts w:hint="default" w:ascii="Times New Roman" w:hAnsi="Times New Roman" w:eastAsia="宋体" w:cs="Times New Roman"/>
                <w:color w:val="auto"/>
                <w:kern w:val="2"/>
                <w:sz w:val="24"/>
                <w:szCs w:val="24"/>
                <w:lang w:val="en-US" w:eastAsia="zh-CN" w:bidi="ar-SA"/>
              </w:rPr>
              <w:t>满足《环境空气质量标准》</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GB3095-20</w:t>
            </w:r>
            <w:r>
              <w:rPr>
                <w:rFonts w:hint="eastAsia"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t>的二级标准要求</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故项目区域环境空气环境质量为达标区。</w:t>
            </w:r>
          </w:p>
          <w:p w14:paraId="12C5E5FD">
            <w:pPr>
              <w:pStyle w:val="8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引用监测布点图详见下图3-1。</w:t>
            </w:r>
          </w:p>
          <w:p w14:paraId="08C4B0B9">
            <w:pPr>
              <w:pStyle w:val="8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color w:val="auto"/>
                <w:sz w:val="24"/>
                <w:lang w:eastAsia="zh-CN"/>
              </w:rPr>
              <w:drawing>
                <wp:anchor distT="0" distB="0" distL="114935" distR="114935" simplePos="0" relativeHeight="251665408" behindDoc="0" locked="0" layoutInCell="1" allowOverlap="1">
                  <wp:simplePos x="0" y="0"/>
                  <wp:positionH relativeFrom="column">
                    <wp:posOffset>6985</wp:posOffset>
                  </wp:positionH>
                  <wp:positionV relativeFrom="paragraph">
                    <wp:posOffset>85725</wp:posOffset>
                  </wp:positionV>
                  <wp:extent cx="901065" cy="869950"/>
                  <wp:effectExtent l="0" t="0" r="13335" b="6350"/>
                  <wp:wrapNone/>
                  <wp:docPr id="25" name="图片 24" descr="174133052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1741330525911"/>
                          <pic:cNvPicPr>
                            <a:picLocks noChangeAspect="1"/>
                          </pic:cNvPicPr>
                        </pic:nvPicPr>
                        <pic:blipFill>
                          <a:blip r:embed="rId26"/>
                          <a:stretch>
                            <a:fillRect/>
                          </a:stretch>
                        </pic:blipFill>
                        <pic:spPr>
                          <a:xfrm>
                            <a:off x="0" y="0"/>
                            <a:ext cx="901065" cy="869950"/>
                          </a:xfrm>
                          <a:prstGeom prst="rect">
                            <a:avLst/>
                          </a:prstGeom>
                          <a:noFill/>
                          <a:ln>
                            <a:noFill/>
                          </a:ln>
                        </pic:spPr>
                      </pic:pic>
                    </a:graphicData>
                  </a:graphic>
                </wp:anchor>
              </w:drawing>
            </w:r>
            <w:r>
              <w:rPr>
                <w:color w:val="auto"/>
              </w:rPr>
              <w:drawing>
                <wp:inline distT="0" distB="0" distL="114300" distR="114300">
                  <wp:extent cx="5043170" cy="2816225"/>
                  <wp:effectExtent l="0" t="0" r="5080" b="3175"/>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27"/>
                          <a:stretch>
                            <a:fillRect/>
                          </a:stretch>
                        </pic:blipFill>
                        <pic:spPr>
                          <a:xfrm>
                            <a:off x="0" y="0"/>
                            <a:ext cx="5043170" cy="2816225"/>
                          </a:xfrm>
                          <a:prstGeom prst="rect">
                            <a:avLst/>
                          </a:prstGeom>
                          <a:noFill/>
                          <a:ln>
                            <a:noFill/>
                          </a:ln>
                        </pic:spPr>
                      </pic:pic>
                    </a:graphicData>
                  </a:graphic>
                </wp:inline>
              </w:drawing>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1916430</wp:posOffset>
                      </wp:positionH>
                      <wp:positionV relativeFrom="paragraph">
                        <wp:posOffset>818515</wp:posOffset>
                      </wp:positionV>
                      <wp:extent cx="533400" cy="285750"/>
                      <wp:effectExtent l="40005" t="121920" r="55245" b="125730"/>
                      <wp:wrapNone/>
                      <wp:docPr id="19" name="文本框 19"/>
                      <wp:cNvGraphicFramePr/>
                      <a:graphic xmlns:a="http://schemas.openxmlformats.org/drawingml/2006/main">
                        <a:graphicData uri="http://schemas.microsoft.com/office/word/2010/wordprocessingShape">
                          <wps:wsp>
                            <wps:cNvSpPr txBox="1"/>
                            <wps:spPr>
                              <a:xfrm rot="19740000">
                                <a:off x="0" y="0"/>
                                <a:ext cx="5334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D6DE4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1.2km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9pt;margin-top:64.45pt;height:22.5pt;width:42pt;rotation:-2031616f;z-index:251664384;mso-width-relative:page;mso-height-relative:page;" fillcolor="#FFFFFF [3201]" filled="t" stroked="t" coordsize="21600,21600" o:gfxdata="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vl0HaAAAACwEAAA8AAAAAAAAAAQAgAAAAIgAAAGRycy9kb3ducmV2LnhtbFBLAQIUABQA&#10;AAAIAIdO4kCDJRz5YAIAAMcEAAAOAAAAAAAAAAEAIAAAACkBAABkcnMvZTJvRG9jLnhtbFBLBQYA&#10;AAAABgAGAFkBAAD7BQAAAAA=&#10;">
                      <v:fill on="t" focussize="0,0"/>
                      <v:stroke weight="0.5pt" color="#000000 [3204]" joinstyle="round"/>
                      <v:imagedata o:title=""/>
                      <o:lock v:ext="edit" aspectratio="f"/>
                      <v:textbox>
                        <w:txbxContent>
                          <w:p w14:paraId="35D6DE40">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1.2km</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3507105</wp:posOffset>
                      </wp:positionH>
                      <wp:positionV relativeFrom="paragraph">
                        <wp:posOffset>704215</wp:posOffset>
                      </wp:positionV>
                      <wp:extent cx="866775" cy="294640"/>
                      <wp:effectExtent l="5080" t="5080" r="4445" b="5080"/>
                      <wp:wrapNone/>
                      <wp:docPr id="4" name="文本框 4"/>
                      <wp:cNvGraphicFramePr/>
                      <a:graphic xmlns:a="http://schemas.openxmlformats.org/drawingml/2006/main">
                        <a:graphicData uri="http://schemas.microsoft.com/office/word/2010/wordprocessingShape">
                          <wps:wsp>
                            <wps:cNvSpPr txBox="1"/>
                            <wps:spPr>
                              <a:xfrm>
                                <a:off x="4699635" y="3279775"/>
                                <a:ext cx="866775"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B7226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15pt;margin-top:55.45pt;height:23.2pt;width:68.25pt;z-index:251662336;mso-width-relative:page;mso-height-relative:page;" fillcolor="#FFFFFF [3201]" filled="t" stroked="t" coordsize="21600,21600" o:gfxdata="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Wra7tcAAAALAQAADwAAAAAAAAABACAAAAAiAAAAZHJzL2Rvd25yZXYueG1sUEsBAhQA&#10;FAAAAAgAh07iQCoGeFllAgAAwgQAAA4AAAAAAAAAAQAgAAAAJgEAAGRycy9lMm9Eb2MueG1sUEsF&#10;BgAAAAAGAAYAWQEAAP0FAAAAAA==&#10;">
                      <v:fill on="t" focussize="0,0"/>
                      <v:stroke weight="0.5pt" color="#000000 [3204]" joinstyle="round"/>
                      <v:imagedata o:title=""/>
                      <o:lock v:ext="edit" aspectratio="f"/>
                      <v:textbox>
                        <w:txbxContent>
                          <w:p w14:paraId="59B7226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eastAsia="宋体"/>
                                <w:sz w:val="21"/>
                                <w:szCs w:val="21"/>
                                <w:lang w:val="en-US" w:eastAsia="zh-CN"/>
                              </w:rPr>
                            </w:pPr>
                            <w:r>
                              <w:rPr>
                                <w:rFonts w:hint="eastAsia"/>
                                <w:sz w:val="21"/>
                                <w:szCs w:val="21"/>
                                <w:lang w:val="en-US" w:eastAsia="zh-CN"/>
                              </w:rPr>
                              <w:t>项目所在地</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611505</wp:posOffset>
                      </wp:positionH>
                      <wp:positionV relativeFrom="paragraph">
                        <wp:posOffset>1942465</wp:posOffset>
                      </wp:positionV>
                      <wp:extent cx="1619885" cy="294640"/>
                      <wp:effectExtent l="5080" t="4445" r="13335" b="5715"/>
                      <wp:wrapNone/>
                      <wp:docPr id="7" name="文本框 7"/>
                      <wp:cNvGraphicFramePr/>
                      <a:graphic xmlns:a="http://schemas.openxmlformats.org/drawingml/2006/main">
                        <a:graphicData uri="http://schemas.microsoft.com/office/word/2010/wordprocessingShape">
                          <wps:wsp>
                            <wps:cNvSpPr txBox="1"/>
                            <wps:spPr>
                              <a:xfrm>
                                <a:off x="0" y="0"/>
                                <a:ext cx="1619885"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94B154">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化念镇（引用监测点位）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15pt;margin-top:152.95pt;height:23.2pt;width:127.55pt;z-index:251663360;mso-width-relative:page;mso-height-relative:page;" fillcolor="#FFFFFF [3201]" filled="t" stroked="t" coordsize="21600,21600" o:gfxdata="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8fWE&#10;1wAAAAoBAAAPAAAAAAAAAAEAIAAAACIAAABkcnMvZG93bnJldi54bWxQSwECFAAUAAAACACHTuJA&#10;A+Z1plsCAAC3BAAADgAAAAAAAAABACAAAAAmAQAAZHJzL2Uyb0RvYy54bWxQSwUGAAAAAAYABgBZ&#10;AQAA8wUAAAAA&#10;">
                      <v:fill on="t" focussize="0,0"/>
                      <v:stroke weight="0.5pt" color="#000000 [3204]" joinstyle="round"/>
                      <v:imagedata o:title=""/>
                      <o:lock v:ext="edit" aspectratio="f"/>
                      <v:textbox>
                        <w:txbxContent>
                          <w:p w14:paraId="1294B154">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sz w:val="21"/>
                                <w:szCs w:val="21"/>
                                <w:lang w:val="en-US" w:eastAsia="zh-CN"/>
                              </w:rPr>
                            </w:pPr>
                            <w:r>
                              <w:rPr>
                                <w:rFonts w:hint="eastAsia"/>
                                <w:sz w:val="21"/>
                                <w:szCs w:val="21"/>
                                <w:lang w:val="en-US" w:eastAsia="zh-CN"/>
                              </w:rPr>
                              <w:t>化念镇（引用监测点位）</w:t>
                            </w:r>
                          </w:p>
                        </w:txbxContent>
                      </v:textbox>
                    </v:shape>
                  </w:pict>
                </mc:Fallback>
              </mc:AlternateContent>
            </w:r>
            <w:r>
              <w:rPr>
                <w:rFonts w:hint="default" w:ascii="Times New Roman" w:hAnsi="Times New Roman" w:cs="Times New Roman" w:eastAsiaTheme="minorEastAsia"/>
                <w:b/>
                <w:bCs/>
                <w:color w:val="auto"/>
                <w:kern w:val="2"/>
                <w:sz w:val="24"/>
                <w:szCs w:val="24"/>
                <w:lang w:val="en-US" w:eastAsia="zh-CN" w:bidi="ar-SA"/>
              </w:rPr>
              <w:t>图3-1 项目引用监测点位图</w:t>
            </w:r>
          </w:p>
          <w:p w14:paraId="0AB985F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eastAsia" w:cs="Times New Roman"/>
                <w:b/>
                <w:bCs/>
                <w:color w:val="auto"/>
                <w:lang w:val="en-US" w:eastAsia="zh-CN"/>
              </w:rPr>
              <w:t>2、</w:t>
            </w:r>
            <w:r>
              <w:rPr>
                <w:rFonts w:hint="default" w:ascii="Times New Roman" w:hAnsi="Times New Roman" w:cs="Times New Roman"/>
                <w:b/>
                <w:bCs/>
                <w:color w:val="auto"/>
              </w:rPr>
              <w:t>地表水环境</w:t>
            </w:r>
          </w:p>
          <w:p w14:paraId="49A7982D">
            <w:pPr>
              <w:ind w:firstLine="480"/>
              <w:rPr>
                <w:rFonts w:hint="default" w:ascii="Times New Roman" w:hAnsi="Times New Roman" w:cs="Times New Roman"/>
                <w:b/>
                <w:bCs/>
                <w:color w:val="auto"/>
              </w:rPr>
            </w:pPr>
            <w:r>
              <w:rPr>
                <w:rFonts w:hint="default" w:ascii="Times New Roman" w:hAnsi="Times New Roman" w:cs="Times New Roman"/>
                <w:b/>
                <w:bCs/>
                <w:color w:val="auto"/>
              </w:rPr>
              <w:t>（1）地表水环境执行标准</w:t>
            </w:r>
          </w:p>
          <w:p w14:paraId="0A22CEC5">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项目区最近地表水为</w:t>
            </w:r>
            <w:r>
              <w:rPr>
                <w:rFonts w:hint="default" w:ascii="Times New Roman" w:hAnsi="Times New Roman" w:eastAsia="宋体" w:cs="Times New Roman"/>
                <w:color w:val="auto"/>
                <w:lang w:val="zh-CN" w:eastAsia="zh-CN"/>
              </w:rPr>
              <w:t>西侧</w:t>
            </w:r>
            <w:r>
              <w:rPr>
                <w:rFonts w:hint="eastAsia" w:cs="Times New Roman"/>
                <w:color w:val="auto"/>
                <w:lang w:val="en-US" w:eastAsia="zh-CN"/>
              </w:rPr>
              <w:t>560m的化念东大沟，化念</w:t>
            </w:r>
            <w:r>
              <w:rPr>
                <w:rFonts w:hint="default" w:ascii="Times New Roman" w:hAnsi="Times New Roman" w:eastAsia="宋体" w:cs="Times New Roman"/>
                <w:color w:val="auto"/>
              </w:rPr>
              <w:t>东大沟</w:t>
            </w:r>
            <w:r>
              <w:rPr>
                <w:rFonts w:hint="default" w:ascii="Times New Roman" w:hAnsi="Times New Roman" w:eastAsia="宋体" w:cs="Times New Roman"/>
                <w:color w:val="auto"/>
                <w:lang w:val="en-US" w:eastAsia="zh-CN"/>
              </w:rPr>
              <w:t>由</w:t>
            </w:r>
            <w:r>
              <w:rPr>
                <w:rFonts w:hint="default" w:ascii="Times New Roman" w:hAnsi="Times New Roman" w:eastAsia="宋体" w:cs="Times New Roman"/>
                <w:color w:val="auto"/>
              </w:rPr>
              <w:t>北向南径流，最终进入</w:t>
            </w:r>
            <w:r>
              <w:rPr>
                <w:rFonts w:hint="default" w:ascii="Times New Roman" w:hAnsi="Times New Roman" w:eastAsia="宋体" w:cs="Times New Roman"/>
                <w:color w:val="auto"/>
                <w:lang w:eastAsia="zh-CN"/>
              </w:rPr>
              <w:t>化念河</w:t>
            </w:r>
            <w:r>
              <w:rPr>
                <w:rFonts w:hint="default" w:ascii="Times New Roman" w:hAnsi="Times New Roman" w:eastAsia="宋体" w:cs="Times New Roman"/>
                <w:b w:val="0"/>
                <w:bCs w:val="0"/>
                <w:color w:val="auto"/>
                <w:lang w:val="zh-CN" w:eastAsia="zh-CN"/>
              </w:rPr>
              <w:t>，</w:t>
            </w:r>
            <w:r>
              <w:rPr>
                <w:rFonts w:hint="default" w:ascii="Times New Roman" w:hAnsi="Times New Roman" w:eastAsia="宋体" w:cs="Times New Roman"/>
                <w:color w:val="auto"/>
              </w:rPr>
              <w:t>化念河由北向南流入小河底河，小河底河由西北向东南再向西南汇入元江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根据《云南省水功能区划（</w:t>
            </w:r>
            <w:r>
              <w:rPr>
                <w:rFonts w:hint="eastAsia" w:ascii="Times New Roman" w:hAnsi="Times New Roman" w:eastAsia="宋体" w:cs="Times New Roman"/>
                <w:color w:val="auto"/>
                <w:lang w:eastAsia="zh-CN"/>
              </w:rPr>
              <w:t>2014年修订</w:t>
            </w:r>
            <w:r>
              <w:rPr>
                <w:rFonts w:hint="default" w:ascii="Times New Roman" w:hAnsi="Times New Roman" w:eastAsia="宋体" w:cs="Times New Roman"/>
                <w:color w:val="auto"/>
              </w:rPr>
              <w:t>）》，该河段为红河巍山-河口保留区中段</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元江段</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水质目标为</w:t>
            </w:r>
            <w:r>
              <w:rPr>
                <w:rFonts w:hint="default" w:ascii="Times New Roman" w:hAnsi="Times New Roman" w:eastAsia="宋体" w:cs="Times New Roman"/>
                <w:color w:val="auto"/>
              </w:rPr>
              <w:t>Ⅲ</w:t>
            </w:r>
            <w:r>
              <w:rPr>
                <w:rFonts w:hint="eastAsia" w:ascii="Times New Roman" w:hAnsi="Times New Roman" w:eastAsia="宋体" w:cs="Times New Roman"/>
                <w:color w:val="auto"/>
                <w:lang w:val="en-US" w:eastAsia="zh-CN"/>
              </w:rPr>
              <w:t>类</w:t>
            </w:r>
            <w:r>
              <w:rPr>
                <w:rFonts w:hint="default" w:ascii="Times New Roman" w:hAnsi="Times New Roman" w:eastAsia="宋体" w:cs="Times New Roman"/>
                <w:color w:val="auto"/>
                <w:lang w:val="zh-CN"/>
              </w:rPr>
              <w:t>，</w:t>
            </w:r>
            <w:r>
              <w:rPr>
                <w:rFonts w:hint="eastAsia" w:cs="Times New Roman"/>
                <w:color w:val="auto"/>
                <w:lang w:val="en-US" w:eastAsia="zh-CN"/>
              </w:rPr>
              <w:t>2030年</w:t>
            </w:r>
            <w:r>
              <w:rPr>
                <w:rFonts w:hint="eastAsia" w:ascii="Times New Roman" w:hAnsi="Times New Roman" w:eastAsia="宋体" w:cs="Times New Roman"/>
                <w:color w:val="auto"/>
                <w:lang w:val="en-US" w:eastAsia="zh-CN"/>
              </w:rPr>
              <w:t>水质目标为</w:t>
            </w:r>
            <w:r>
              <w:rPr>
                <w:rFonts w:hint="default" w:ascii="Times New Roman" w:hAnsi="Times New Roman" w:eastAsia="宋体" w:cs="Times New Roman"/>
                <w:color w:val="auto"/>
              </w:rPr>
              <w:t>Ⅲ</w:t>
            </w:r>
            <w:r>
              <w:rPr>
                <w:rFonts w:hint="eastAsia" w:ascii="Times New Roman" w:hAnsi="Times New Roman" w:eastAsia="宋体" w:cs="Times New Roman"/>
                <w:color w:val="auto"/>
                <w:lang w:val="en-US" w:eastAsia="zh-CN"/>
              </w:rPr>
              <w:t>类</w:t>
            </w:r>
            <w:r>
              <w:rPr>
                <w:rFonts w:hint="eastAsia" w:cs="Times New Roman"/>
                <w:color w:val="auto"/>
                <w:lang w:val="en-US" w:eastAsia="zh-CN"/>
              </w:rPr>
              <w:t>，</w:t>
            </w:r>
            <w:r>
              <w:rPr>
                <w:rFonts w:hint="default" w:ascii="Times New Roman" w:hAnsi="Times New Roman" w:eastAsia="宋体" w:cs="Times New Roman"/>
                <w:color w:val="auto"/>
              </w:rPr>
              <w:t>水环境功能类别</w:t>
            </w:r>
            <w:r>
              <w:rPr>
                <w:rFonts w:hint="default" w:ascii="Times New Roman" w:hAnsi="Times New Roman" w:eastAsia="宋体" w:cs="Times New Roman"/>
                <w:color w:val="auto"/>
                <w:lang w:val="zh-CN"/>
              </w:rPr>
              <w:t>为GB3838-2002《地表水环境质量标准》中</w:t>
            </w:r>
            <w:r>
              <w:rPr>
                <w:rFonts w:hint="default" w:ascii="Times New Roman" w:hAnsi="Times New Roman" w:eastAsia="宋体" w:cs="Times New Roman"/>
                <w:color w:val="auto"/>
              </w:rPr>
              <w:t>Ⅲ</w:t>
            </w:r>
            <w:r>
              <w:rPr>
                <w:rFonts w:hint="default" w:ascii="Times New Roman" w:hAnsi="Times New Roman" w:eastAsia="宋体" w:cs="Times New Roman"/>
                <w:color w:val="auto"/>
                <w:lang w:val="zh-CN"/>
              </w:rPr>
              <w:t>类</w:t>
            </w:r>
            <w:r>
              <w:rPr>
                <w:rFonts w:hint="default" w:ascii="Times New Roman" w:hAnsi="Times New Roman" w:eastAsia="宋体" w:cs="Times New Roman"/>
                <w:color w:val="auto"/>
              </w:rPr>
              <w:t>。具体指标见表3-</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w:t>
            </w:r>
          </w:p>
          <w:p w14:paraId="5DA7502D">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eastAsia" w:cs="Times New Roman"/>
                <w:color w:val="auto"/>
                <w:sz w:val="24"/>
                <w:szCs w:val="32"/>
                <w:lang w:val="en-US" w:eastAsia="zh-CN"/>
              </w:rPr>
              <w:t>4</w:t>
            </w:r>
            <w:r>
              <w:rPr>
                <w:rFonts w:hint="default" w:ascii="Times New Roman" w:hAnsi="Times New Roman" w:eastAsia="宋体" w:cs="Times New Roman"/>
                <w:color w:val="auto"/>
                <w:sz w:val="24"/>
                <w:szCs w:val="32"/>
              </w:rPr>
              <w:t xml:space="preserve">  《地表水环境质量标准》  单位：mg/L，pH除外</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075"/>
              <w:gridCol w:w="1262"/>
              <w:gridCol w:w="1301"/>
              <w:gridCol w:w="1282"/>
              <w:gridCol w:w="1180"/>
            </w:tblGrid>
            <w:tr w14:paraId="6F60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779867FD">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783F7E65">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804" w:type="pct"/>
                  <w:tcBorders>
                    <w:top w:val="single" w:color="auto" w:sz="4" w:space="0"/>
                    <w:left w:val="single" w:color="auto" w:sz="4" w:space="0"/>
                    <w:bottom w:val="single" w:color="auto" w:sz="4" w:space="0"/>
                    <w:right w:val="single" w:color="auto" w:sz="4" w:space="0"/>
                  </w:tcBorders>
                  <w:vAlign w:val="center"/>
                </w:tcPr>
                <w:p w14:paraId="475F1B77">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829" w:type="pct"/>
                  <w:tcBorders>
                    <w:top w:val="single" w:color="auto" w:sz="4" w:space="0"/>
                    <w:left w:val="single" w:color="auto" w:sz="4" w:space="0"/>
                    <w:bottom w:val="single" w:color="auto" w:sz="4" w:space="0"/>
                    <w:right w:val="single" w:color="auto" w:sz="4" w:space="0"/>
                  </w:tcBorders>
                  <w:vAlign w:val="center"/>
                </w:tcPr>
                <w:p w14:paraId="22D441A9">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817" w:type="pct"/>
                  <w:tcBorders>
                    <w:top w:val="single" w:color="auto" w:sz="4" w:space="0"/>
                    <w:left w:val="single" w:color="auto" w:sz="4" w:space="0"/>
                    <w:bottom w:val="single" w:color="auto" w:sz="4" w:space="0"/>
                    <w:right w:val="single" w:color="auto" w:sz="4" w:space="0"/>
                  </w:tcBorders>
                  <w:vAlign w:val="center"/>
                </w:tcPr>
                <w:p w14:paraId="3159AB10">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52" w:type="pct"/>
                  <w:tcBorders>
                    <w:top w:val="single" w:color="auto" w:sz="4" w:space="0"/>
                    <w:left w:val="single" w:color="auto" w:sz="4" w:space="0"/>
                    <w:bottom w:val="single" w:color="auto" w:sz="4" w:space="0"/>
                    <w:right w:val="single" w:color="auto" w:sz="4" w:space="0"/>
                  </w:tcBorders>
                  <w:vAlign w:val="center"/>
                </w:tcPr>
                <w:p w14:paraId="78365ED9">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r>
            <w:tr w14:paraId="3F8B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1436AF56">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eastAsia="zh-CN"/>
                    </w:rPr>
                    <w:t>Ⅲ</w:t>
                  </w:r>
                  <w:r>
                    <w:rPr>
                      <w:rFonts w:hint="default" w:ascii="Times New Roman" w:hAnsi="Times New Roman" w:eastAsia="宋体" w:cs="Times New Roman"/>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43CC1254">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804" w:type="pct"/>
                  <w:tcBorders>
                    <w:top w:val="single" w:color="auto" w:sz="4" w:space="0"/>
                    <w:left w:val="single" w:color="auto" w:sz="4" w:space="0"/>
                    <w:bottom w:val="single" w:color="auto" w:sz="4" w:space="0"/>
                    <w:right w:val="single" w:color="auto" w:sz="4" w:space="0"/>
                  </w:tcBorders>
                  <w:vAlign w:val="center"/>
                </w:tcPr>
                <w:p w14:paraId="4DC9943B">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829" w:type="pct"/>
                  <w:tcBorders>
                    <w:top w:val="single" w:color="auto" w:sz="4" w:space="0"/>
                    <w:left w:val="single" w:color="auto" w:sz="4" w:space="0"/>
                    <w:bottom w:val="single" w:color="auto" w:sz="4" w:space="0"/>
                    <w:right w:val="single" w:color="auto" w:sz="4" w:space="0"/>
                  </w:tcBorders>
                  <w:vAlign w:val="center"/>
                </w:tcPr>
                <w:p w14:paraId="6A21B57E">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4</w:t>
                  </w:r>
                </w:p>
              </w:tc>
              <w:tc>
                <w:tcPr>
                  <w:tcW w:w="817" w:type="pct"/>
                  <w:tcBorders>
                    <w:top w:val="single" w:color="auto" w:sz="4" w:space="0"/>
                    <w:left w:val="single" w:color="auto" w:sz="4" w:space="0"/>
                    <w:bottom w:val="single" w:color="auto" w:sz="4" w:space="0"/>
                    <w:right w:val="single" w:color="auto" w:sz="4" w:space="0"/>
                  </w:tcBorders>
                  <w:vAlign w:val="center"/>
                </w:tcPr>
                <w:p w14:paraId="7A4DD414">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752" w:type="pct"/>
                  <w:tcBorders>
                    <w:top w:val="single" w:color="auto" w:sz="4" w:space="0"/>
                    <w:left w:val="single" w:color="auto" w:sz="4" w:space="0"/>
                    <w:bottom w:val="single" w:color="auto" w:sz="4" w:space="0"/>
                    <w:right w:val="single" w:color="auto" w:sz="4" w:space="0"/>
                  </w:tcBorders>
                  <w:vAlign w:val="center"/>
                </w:tcPr>
                <w:p w14:paraId="0B05132C">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lang w:val="en-US" w:eastAsia="zh-CN"/>
                    </w:rPr>
                    <w:t>2</w:t>
                  </w:r>
                </w:p>
              </w:tc>
            </w:tr>
            <w:tr w14:paraId="44B4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1B26C6A3">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2AF55640">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804" w:type="pct"/>
                  <w:tcBorders>
                    <w:top w:val="single" w:color="auto" w:sz="4" w:space="0"/>
                    <w:left w:val="single" w:color="auto" w:sz="4" w:space="0"/>
                    <w:bottom w:val="single" w:color="auto" w:sz="4" w:space="0"/>
                    <w:right w:val="single" w:color="auto" w:sz="4" w:space="0"/>
                  </w:tcBorders>
                  <w:vAlign w:val="center"/>
                </w:tcPr>
                <w:p w14:paraId="44EA2716">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829" w:type="pct"/>
                  <w:tcBorders>
                    <w:top w:val="single" w:color="auto" w:sz="4" w:space="0"/>
                    <w:left w:val="single" w:color="auto" w:sz="4" w:space="0"/>
                    <w:bottom w:val="single" w:color="auto" w:sz="4" w:space="0"/>
                    <w:right w:val="single" w:color="auto" w:sz="4" w:space="0"/>
                  </w:tcBorders>
                  <w:vAlign w:val="center"/>
                </w:tcPr>
                <w:p w14:paraId="5B8396A2">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总锌</w:t>
                  </w:r>
                </w:p>
              </w:tc>
              <w:tc>
                <w:tcPr>
                  <w:tcW w:w="817" w:type="pct"/>
                  <w:tcBorders>
                    <w:top w:val="single" w:color="auto" w:sz="4" w:space="0"/>
                    <w:left w:val="single" w:color="auto" w:sz="4" w:space="0"/>
                    <w:bottom w:val="single" w:color="auto" w:sz="4" w:space="0"/>
                    <w:right w:val="single" w:color="auto" w:sz="4" w:space="0"/>
                  </w:tcBorders>
                  <w:vAlign w:val="center"/>
                </w:tcPr>
                <w:p w14:paraId="5059A031">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752" w:type="pct"/>
                  <w:tcBorders>
                    <w:top w:val="single" w:color="auto" w:sz="4" w:space="0"/>
                    <w:left w:val="single" w:color="auto" w:sz="4" w:space="0"/>
                    <w:bottom w:val="single" w:color="auto" w:sz="4" w:space="0"/>
                    <w:right w:val="single" w:color="auto" w:sz="4" w:space="0"/>
                  </w:tcBorders>
                  <w:vAlign w:val="center"/>
                </w:tcPr>
                <w:p w14:paraId="190626CF">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r>
            <w:tr w14:paraId="55DD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25D1C1D2">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eastAsia="zh-CN"/>
                    </w:rPr>
                    <w:t>Ⅲ</w:t>
                  </w:r>
                  <w:r>
                    <w:rPr>
                      <w:rFonts w:hint="default" w:ascii="Times New Roman" w:hAnsi="Times New Roman" w:eastAsia="宋体" w:cs="Times New Roman"/>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39B069C4">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804" w:type="pct"/>
                  <w:tcBorders>
                    <w:top w:val="single" w:color="auto" w:sz="4" w:space="0"/>
                    <w:left w:val="single" w:color="auto" w:sz="4" w:space="0"/>
                    <w:bottom w:val="single" w:color="auto" w:sz="4" w:space="0"/>
                    <w:right w:val="single" w:color="auto" w:sz="4" w:space="0"/>
                  </w:tcBorders>
                  <w:vAlign w:val="center"/>
                </w:tcPr>
                <w:p w14:paraId="397CE542">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29" w:type="pct"/>
                  <w:tcBorders>
                    <w:top w:val="single" w:color="auto" w:sz="4" w:space="0"/>
                    <w:left w:val="single" w:color="auto" w:sz="4" w:space="0"/>
                    <w:bottom w:val="single" w:color="auto" w:sz="4" w:space="0"/>
                    <w:right w:val="single" w:color="auto" w:sz="4" w:space="0"/>
                  </w:tcBorders>
                  <w:vAlign w:val="center"/>
                </w:tcPr>
                <w:p w14:paraId="5B1A9BFE">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1.0</w:t>
                  </w:r>
                </w:p>
              </w:tc>
              <w:tc>
                <w:tcPr>
                  <w:tcW w:w="817" w:type="pct"/>
                  <w:tcBorders>
                    <w:top w:val="single" w:color="auto" w:sz="4" w:space="0"/>
                    <w:left w:val="single" w:color="auto" w:sz="4" w:space="0"/>
                    <w:bottom w:val="single" w:color="auto" w:sz="4" w:space="0"/>
                    <w:right w:val="single" w:color="auto" w:sz="4" w:space="0"/>
                  </w:tcBorders>
                  <w:vAlign w:val="center"/>
                </w:tcPr>
                <w:p w14:paraId="2C740AE3">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752" w:type="pct"/>
                  <w:tcBorders>
                    <w:top w:val="single" w:color="auto" w:sz="4" w:space="0"/>
                    <w:left w:val="single" w:color="auto" w:sz="4" w:space="0"/>
                    <w:bottom w:val="single" w:color="auto" w:sz="4" w:space="0"/>
                    <w:right w:val="single" w:color="auto" w:sz="4" w:space="0"/>
                  </w:tcBorders>
                  <w:vAlign w:val="center"/>
                </w:tcPr>
                <w:p w14:paraId="32FF02C8">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lang w:val="en-US" w:eastAsia="zh-CN"/>
                    </w:rPr>
                    <w:t>05</w:t>
                  </w:r>
                </w:p>
              </w:tc>
            </w:tr>
            <w:tr w14:paraId="6BF7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77DEC8F3">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01D74D59">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804" w:type="pct"/>
                  <w:tcBorders>
                    <w:top w:val="single" w:color="auto" w:sz="4" w:space="0"/>
                    <w:left w:val="single" w:color="auto" w:sz="4" w:space="0"/>
                    <w:bottom w:val="single" w:color="auto" w:sz="4" w:space="0"/>
                    <w:right w:val="single" w:color="auto" w:sz="4" w:space="0"/>
                  </w:tcBorders>
                  <w:vAlign w:val="center"/>
                </w:tcPr>
                <w:p w14:paraId="6FE1E8FC">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829" w:type="pct"/>
                  <w:tcBorders>
                    <w:top w:val="single" w:color="auto" w:sz="4" w:space="0"/>
                    <w:left w:val="single" w:color="auto" w:sz="4" w:space="0"/>
                    <w:bottom w:val="single" w:color="auto" w:sz="4" w:space="0"/>
                    <w:right w:val="single" w:color="auto" w:sz="4" w:space="0"/>
                  </w:tcBorders>
                  <w:vAlign w:val="center"/>
                </w:tcPr>
                <w:p w14:paraId="238209B2">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817" w:type="pct"/>
                  <w:tcBorders>
                    <w:top w:val="single" w:color="auto" w:sz="4" w:space="0"/>
                    <w:left w:val="single" w:color="auto" w:sz="4" w:space="0"/>
                    <w:bottom w:val="single" w:color="auto" w:sz="4" w:space="0"/>
                    <w:right w:val="single" w:color="auto" w:sz="4" w:space="0"/>
                  </w:tcBorders>
                  <w:vAlign w:val="center"/>
                </w:tcPr>
                <w:p w14:paraId="3400282F">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752" w:type="pct"/>
                  <w:tcBorders>
                    <w:top w:val="single" w:color="auto" w:sz="4" w:space="0"/>
                    <w:left w:val="single" w:color="auto" w:sz="4" w:space="0"/>
                    <w:bottom w:val="single" w:color="auto" w:sz="4" w:space="0"/>
                    <w:right w:val="single" w:color="auto" w:sz="4" w:space="0"/>
                  </w:tcBorders>
                  <w:vAlign w:val="center"/>
                </w:tcPr>
                <w:p w14:paraId="60E77164">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r>
            <w:tr w14:paraId="5641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540555BD">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eastAsia="zh-CN"/>
                    </w:rPr>
                    <w:t>Ⅲ</w:t>
                  </w:r>
                  <w:r>
                    <w:rPr>
                      <w:rFonts w:hint="default" w:ascii="Times New Roman" w:hAnsi="Times New Roman" w:eastAsia="宋体" w:cs="Times New Roman"/>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6D4DADF2">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1</w:t>
                  </w:r>
                </w:p>
              </w:tc>
              <w:tc>
                <w:tcPr>
                  <w:tcW w:w="804" w:type="pct"/>
                  <w:tcBorders>
                    <w:top w:val="single" w:color="auto" w:sz="4" w:space="0"/>
                    <w:left w:val="single" w:color="auto" w:sz="4" w:space="0"/>
                    <w:bottom w:val="single" w:color="auto" w:sz="4" w:space="0"/>
                    <w:right w:val="single" w:color="auto" w:sz="4" w:space="0"/>
                  </w:tcBorders>
                  <w:vAlign w:val="center"/>
                </w:tcPr>
                <w:p w14:paraId="71B3AAF5">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829" w:type="pct"/>
                  <w:tcBorders>
                    <w:top w:val="single" w:color="auto" w:sz="4" w:space="0"/>
                    <w:left w:val="single" w:color="auto" w:sz="4" w:space="0"/>
                    <w:bottom w:val="single" w:color="auto" w:sz="4" w:space="0"/>
                    <w:right w:val="single" w:color="auto" w:sz="4" w:space="0"/>
                  </w:tcBorders>
                  <w:vAlign w:val="center"/>
                </w:tcPr>
                <w:p w14:paraId="56293F91">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817" w:type="pct"/>
                  <w:tcBorders>
                    <w:top w:val="single" w:color="auto" w:sz="4" w:space="0"/>
                    <w:left w:val="single" w:color="auto" w:sz="4" w:space="0"/>
                    <w:bottom w:val="single" w:color="auto" w:sz="4" w:space="0"/>
                    <w:right w:val="single" w:color="auto" w:sz="4" w:space="0"/>
                  </w:tcBorders>
                  <w:vAlign w:val="center"/>
                </w:tcPr>
                <w:p w14:paraId="70455282">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752" w:type="pct"/>
                  <w:tcBorders>
                    <w:top w:val="single" w:color="auto" w:sz="4" w:space="0"/>
                    <w:left w:val="single" w:color="auto" w:sz="4" w:space="0"/>
                    <w:bottom w:val="single" w:color="auto" w:sz="4" w:space="0"/>
                    <w:right w:val="single" w:color="auto" w:sz="4" w:space="0"/>
                  </w:tcBorders>
                  <w:vAlign w:val="center"/>
                </w:tcPr>
                <w:p w14:paraId="451C2AAF">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r>
            <w:tr w14:paraId="56F5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7227D686">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0F3707A8">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804" w:type="pct"/>
                  <w:tcBorders>
                    <w:top w:val="single" w:color="auto" w:sz="4" w:space="0"/>
                    <w:left w:val="single" w:color="auto" w:sz="4" w:space="0"/>
                    <w:bottom w:val="single" w:color="auto" w:sz="4" w:space="0"/>
                    <w:right w:val="single" w:color="auto" w:sz="4" w:space="0"/>
                  </w:tcBorders>
                  <w:vAlign w:val="center"/>
                </w:tcPr>
                <w:p w14:paraId="62D4F2AC">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829" w:type="pct"/>
                  <w:tcBorders>
                    <w:top w:val="single" w:color="auto" w:sz="4" w:space="0"/>
                    <w:left w:val="single" w:color="auto" w:sz="4" w:space="0"/>
                    <w:bottom w:val="single" w:color="auto" w:sz="4" w:space="0"/>
                    <w:right w:val="single" w:color="auto" w:sz="4" w:space="0"/>
                  </w:tcBorders>
                  <w:vAlign w:val="center"/>
                </w:tcPr>
                <w:p w14:paraId="528167AD">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817" w:type="pct"/>
                  <w:tcBorders>
                    <w:top w:val="single" w:color="auto" w:sz="4" w:space="0"/>
                    <w:left w:val="single" w:color="auto" w:sz="4" w:space="0"/>
                    <w:bottom w:val="single" w:color="auto" w:sz="4" w:space="0"/>
                    <w:right w:val="single" w:color="auto" w:sz="4" w:space="0"/>
                  </w:tcBorders>
                  <w:vAlign w:val="center"/>
                </w:tcPr>
                <w:p w14:paraId="3B06D20D">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硫化物</w:t>
                  </w:r>
                </w:p>
              </w:tc>
              <w:tc>
                <w:tcPr>
                  <w:tcW w:w="752" w:type="pct"/>
                  <w:tcBorders>
                    <w:top w:val="single" w:color="auto" w:sz="4" w:space="0"/>
                    <w:left w:val="single" w:color="auto" w:sz="4" w:space="0"/>
                    <w:bottom w:val="single" w:color="auto" w:sz="4" w:space="0"/>
                    <w:right w:val="single" w:color="auto" w:sz="4" w:space="0"/>
                  </w:tcBorders>
                  <w:vAlign w:val="center"/>
                </w:tcPr>
                <w:p w14:paraId="43424140">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粪大肠菌落（个/L）</w:t>
                  </w:r>
                </w:p>
              </w:tc>
            </w:tr>
            <w:tr w14:paraId="2F3C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05C44E0D">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eastAsia="zh-CN"/>
                    </w:rPr>
                    <w:t>Ⅲ</w:t>
                  </w:r>
                  <w:r>
                    <w:rPr>
                      <w:rFonts w:hint="default" w:ascii="Times New Roman" w:hAnsi="Times New Roman" w:eastAsia="宋体" w:cs="Times New Roman"/>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4F19C1DD">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default" w:ascii="Times New Roman" w:hAnsi="Times New Roman" w:cs="Times New Roman"/>
                      <w:color w:val="auto"/>
                      <w:sz w:val="21"/>
                      <w:szCs w:val="21"/>
                      <w:lang w:val="en-US" w:eastAsia="zh-CN"/>
                    </w:rPr>
                    <w:t>05</w:t>
                  </w:r>
                </w:p>
              </w:tc>
              <w:tc>
                <w:tcPr>
                  <w:tcW w:w="804" w:type="pct"/>
                  <w:tcBorders>
                    <w:top w:val="single" w:color="auto" w:sz="4" w:space="0"/>
                    <w:left w:val="single" w:color="auto" w:sz="4" w:space="0"/>
                    <w:bottom w:val="single" w:color="auto" w:sz="4" w:space="0"/>
                    <w:right w:val="single" w:color="auto" w:sz="4" w:space="0"/>
                  </w:tcBorders>
                  <w:vAlign w:val="center"/>
                </w:tcPr>
                <w:p w14:paraId="2C0D25B9">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5</w:t>
                  </w:r>
                </w:p>
              </w:tc>
              <w:tc>
                <w:tcPr>
                  <w:tcW w:w="829" w:type="pct"/>
                  <w:tcBorders>
                    <w:top w:val="single" w:color="auto" w:sz="4" w:space="0"/>
                    <w:left w:val="single" w:color="auto" w:sz="4" w:space="0"/>
                    <w:bottom w:val="single" w:color="auto" w:sz="4" w:space="0"/>
                    <w:right w:val="single" w:color="auto" w:sz="4" w:space="0"/>
                  </w:tcBorders>
                  <w:vAlign w:val="center"/>
                </w:tcPr>
                <w:p w14:paraId="27AF032C">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lang w:val="en-US" w:eastAsia="zh-CN"/>
                    </w:rPr>
                    <w:t>2</w:t>
                  </w:r>
                </w:p>
              </w:tc>
              <w:tc>
                <w:tcPr>
                  <w:tcW w:w="817" w:type="pct"/>
                  <w:tcBorders>
                    <w:top w:val="single" w:color="auto" w:sz="4" w:space="0"/>
                    <w:left w:val="single" w:color="auto" w:sz="4" w:space="0"/>
                    <w:bottom w:val="single" w:color="auto" w:sz="4" w:space="0"/>
                    <w:right w:val="single" w:color="auto" w:sz="4" w:space="0"/>
                  </w:tcBorders>
                  <w:vAlign w:val="center"/>
                </w:tcPr>
                <w:p w14:paraId="4308B991">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cs="Times New Roman"/>
                      <w:color w:val="auto"/>
                      <w:sz w:val="21"/>
                      <w:szCs w:val="21"/>
                      <w:lang w:val="en-US" w:eastAsia="zh-CN"/>
                    </w:rPr>
                    <w:t>2</w:t>
                  </w:r>
                </w:p>
              </w:tc>
              <w:tc>
                <w:tcPr>
                  <w:tcW w:w="752" w:type="pct"/>
                  <w:tcBorders>
                    <w:top w:val="single" w:color="auto" w:sz="4" w:space="0"/>
                    <w:left w:val="single" w:color="auto" w:sz="4" w:space="0"/>
                    <w:bottom w:val="single" w:color="auto" w:sz="4" w:space="0"/>
                    <w:right w:val="single" w:color="auto" w:sz="4" w:space="0"/>
                  </w:tcBorders>
                  <w:vAlign w:val="center"/>
                </w:tcPr>
                <w:p w14:paraId="0DE2060A">
                  <w:pPr>
                    <w:pStyle w:val="4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rPr>
                    <w:t>0000</w:t>
                  </w:r>
                </w:p>
              </w:tc>
            </w:tr>
          </w:tbl>
          <w:p w14:paraId="30459B6F">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（2）地表水环境质量现状</w:t>
            </w:r>
          </w:p>
          <w:p w14:paraId="261C7ECE">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lang w:eastAsia="zh-CN"/>
              </w:rPr>
              <w:t>项目区最近地表水为</w:t>
            </w:r>
            <w:r>
              <w:rPr>
                <w:rFonts w:hint="default" w:ascii="Times New Roman" w:hAnsi="Times New Roman" w:eastAsia="宋体" w:cs="Times New Roman"/>
                <w:color w:val="auto"/>
                <w:lang w:val="zh-CN" w:eastAsia="zh-CN"/>
              </w:rPr>
              <w:t>西侧</w:t>
            </w:r>
            <w:r>
              <w:rPr>
                <w:rFonts w:hint="eastAsia" w:cs="Times New Roman"/>
                <w:color w:val="auto"/>
                <w:lang w:val="en-US" w:eastAsia="zh-CN"/>
              </w:rPr>
              <w:t>560m的化念东大沟，化念</w:t>
            </w:r>
            <w:r>
              <w:rPr>
                <w:rFonts w:hint="default" w:ascii="Times New Roman" w:hAnsi="Times New Roman" w:eastAsia="宋体" w:cs="Times New Roman"/>
                <w:color w:val="auto"/>
              </w:rPr>
              <w:t>东大沟</w:t>
            </w:r>
            <w:r>
              <w:rPr>
                <w:rFonts w:hint="default" w:ascii="Times New Roman" w:hAnsi="Times New Roman" w:eastAsia="宋体" w:cs="Times New Roman"/>
                <w:color w:val="auto"/>
                <w:lang w:val="en-US" w:eastAsia="zh-CN"/>
              </w:rPr>
              <w:t>由</w:t>
            </w:r>
            <w:r>
              <w:rPr>
                <w:rFonts w:hint="default" w:ascii="Times New Roman" w:hAnsi="Times New Roman" w:eastAsia="宋体" w:cs="Times New Roman"/>
                <w:color w:val="auto"/>
              </w:rPr>
              <w:t>北向南径流，最终进入</w:t>
            </w:r>
            <w:r>
              <w:rPr>
                <w:rFonts w:hint="default" w:ascii="Times New Roman" w:hAnsi="Times New Roman" w:eastAsia="宋体" w:cs="Times New Roman"/>
                <w:color w:val="auto"/>
                <w:lang w:eastAsia="zh-CN"/>
              </w:rPr>
              <w:t>化念河</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化念河由北向南流入小河底河，小河底河由西北向东南再向西南汇入元江</w:t>
            </w:r>
            <w:r>
              <w:rPr>
                <w:rFonts w:hint="eastAsia" w:ascii="Times New Roman" w:hAnsi="Times New Roman" w:eastAsia="宋体" w:cs="Times New Roman"/>
                <w:color w:val="auto"/>
                <w:lang w:eastAsia="zh-CN"/>
              </w:rPr>
              <w:t>，</w:t>
            </w:r>
            <w:r>
              <w:rPr>
                <w:rFonts w:hint="eastAsia" w:cs="Times New Roman"/>
                <w:color w:val="auto"/>
                <w:lang w:val="en-US" w:eastAsia="zh-CN"/>
              </w:rPr>
              <w:t>化念东大沟、</w:t>
            </w:r>
            <w:r>
              <w:rPr>
                <w:rFonts w:hint="default" w:ascii="Times New Roman" w:hAnsi="Times New Roman" w:eastAsia="宋体" w:cs="Times New Roman"/>
                <w:color w:val="auto"/>
              </w:rPr>
              <w:t>化念河</w:t>
            </w:r>
            <w:r>
              <w:rPr>
                <w:rFonts w:hint="default" w:ascii="Times New Roman" w:hAnsi="Times New Roman" w:eastAsia="宋体" w:cs="Times New Roman"/>
                <w:color w:val="auto"/>
                <w:sz w:val="24"/>
                <w:szCs w:val="24"/>
                <w:lang w:val="en-US" w:eastAsia="zh-CN"/>
              </w:rPr>
              <w:t>水质类别执行</w:t>
            </w:r>
            <w:r>
              <w:rPr>
                <w:rFonts w:hint="default" w:ascii="Times New Roman" w:hAnsi="Times New Roman" w:eastAsia="宋体" w:cs="Times New Roman"/>
                <w:b w:val="0"/>
                <w:bCs w:val="0"/>
                <w:color w:val="auto"/>
                <w:lang w:val="zh-CN" w:eastAsia="zh-CN"/>
              </w:rPr>
              <w:t>Ⅲ</w:t>
            </w:r>
            <w:r>
              <w:rPr>
                <w:rFonts w:hint="default" w:ascii="Times New Roman" w:hAnsi="Times New Roman" w:eastAsia="宋体" w:cs="Times New Roman"/>
                <w:color w:val="auto"/>
                <w:sz w:val="24"/>
                <w:szCs w:val="24"/>
                <w:lang w:val="en-US" w:eastAsia="zh-CN"/>
              </w:rPr>
              <w:t>类水质标准，</w:t>
            </w:r>
            <w:r>
              <w:rPr>
                <w:rFonts w:hint="default" w:ascii="Times New Roman" w:hAnsi="Times New Roman" w:eastAsia="宋体" w:cs="Times New Roman"/>
                <w:color w:val="auto"/>
                <w:sz w:val="24"/>
                <w:szCs w:val="24"/>
                <w:lang w:val="zh-CN" w:eastAsia="zh-CN"/>
              </w:rPr>
              <w:t>根据《202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zh-CN" w:eastAsia="zh-CN"/>
              </w:rPr>
              <w:t>年度</w:t>
            </w:r>
            <w:r>
              <w:rPr>
                <w:rFonts w:hint="eastAsia" w:cs="Times New Roman"/>
                <w:color w:val="auto"/>
                <w:sz w:val="24"/>
                <w:szCs w:val="24"/>
                <w:lang w:val="en-US" w:eastAsia="zh-CN"/>
              </w:rPr>
              <w:t>玉溪</w:t>
            </w:r>
            <w:r>
              <w:rPr>
                <w:rFonts w:hint="default" w:ascii="Times New Roman" w:hAnsi="Times New Roman" w:eastAsia="宋体" w:cs="Times New Roman"/>
                <w:color w:val="auto"/>
                <w:sz w:val="24"/>
                <w:szCs w:val="24"/>
                <w:lang w:val="zh-CN" w:eastAsia="zh-CN"/>
              </w:rPr>
              <w:t>市生态环境状况公报》，化念水库（小河底河）：202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zh-CN" w:eastAsia="zh-CN"/>
              </w:rPr>
              <w:t xml:space="preserve"> 年水质类别为</w:t>
            </w:r>
            <w:r>
              <w:rPr>
                <w:rFonts w:hint="default" w:ascii="Times New Roman" w:hAnsi="Times New Roman" w:eastAsia="宋体" w:cs="Times New Roman"/>
                <w:color w:val="auto"/>
              </w:rPr>
              <w:t>Ⅲ</w:t>
            </w:r>
            <w:r>
              <w:rPr>
                <w:rFonts w:hint="default" w:ascii="Times New Roman" w:hAnsi="Times New Roman" w:eastAsia="宋体" w:cs="Times New Roman"/>
                <w:color w:val="auto"/>
                <w:sz w:val="24"/>
                <w:szCs w:val="24"/>
                <w:lang w:val="zh-CN" w:eastAsia="zh-CN"/>
              </w:rPr>
              <w:t>类</w:t>
            </w:r>
            <w:r>
              <w:rPr>
                <w:rFonts w:hint="eastAsia"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故项目所在区域地表水水体为达标区</w:t>
            </w:r>
            <w:r>
              <w:rPr>
                <w:rFonts w:hint="eastAsia" w:ascii="Times New Roman" w:hAnsi="Times New Roman" w:eastAsia="宋体" w:cs="Times New Roman"/>
                <w:color w:val="auto"/>
                <w:sz w:val="24"/>
                <w:szCs w:val="24"/>
                <w:lang w:val="en-US" w:eastAsia="zh-CN"/>
              </w:rPr>
              <w:t>。</w:t>
            </w:r>
          </w:p>
          <w:p w14:paraId="2AF2053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3</w:t>
            </w:r>
            <w:r>
              <w:rPr>
                <w:rFonts w:hint="eastAsia" w:cs="Times New Roman"/>
                <w:b/>
                <w:bCs/>
                <w:color w:val="auto"/>
                <w:lang w:eastAsia="zh-CN"/>
              </w:rPr>
              <w:t>、</w:t>
            </w:r>
            <w:r>
              <w:rPr>
                <w:rFonts w:hint="default" w:ascii="Times New Roman" w:hAnsi="Times New Roman" w:cs="Times New Roman"/>
                <w:b/>
                <w:bCs/>
                <w:color w:val="auto"/>
              </w:rPr>
              <w:t>声环境</w:t>
            </w:r>
          </w:p>
          <w:p w14:paraId="41ABFE53">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（1）声环境质量执行标准</w:t>
            </w:r>
          </w:p>
          <w:p w14:paraId="769687F6">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位于</w:t>
            </w:r>
            <w:r>
              <w:rPr>
                <w:rFonts w:hint="eastAsia" w:cs="Times New Roman"/>
                <w:color w:val="auto"/>
                <w:kern w:val="2"/>
                <w:sz w:val="24"/>
                <w:szCs w:val="24"/>
                <w:lang w:val="en-US" w:eastAsia="zh-CN" w:bidi="ar-SA"/>
              </w:rPr>
              <w:t>云南省玉溪市峨山彝族自治县化念镇，属于居住、商业、工业混杂区，为</w:t>
            </w:r>
            <w:r>
              <w:rPr>
                <w:rFonts w:hint="default" w:ascii="Times New Roman" w:hAnsi="Times New Roman" w:cs="Times New Roman"/>
                <w:color w:val="auto"/>
              </w:rPr>
              <w:t>声环境功能</w:t>
            </w:r>
            <w:r>
              <w:rPr>
                <w:rFonts w:hint="eastAsia" w:cs="Times New Roman"/>
                <w:color w:val="auto"/>
                <w:lang w:val="en-US" w:eastAsia="zh-CN"/>
              </w:rPr>
              <w:t>2</w:t>
            </w:r>
            <w:r>
              <w:rPr>
                <w:rFonts w:hint="default" w:ascii="Times New Roman" w:hAnsi="Times New Roman" w:cs="Times New Roman"/>
                <w:color w:val="auto"/>
              </w:rPr>
              <w:t>类区，执行《声环境质量标准》（GB3096-2008）</w:t>
            </w:r>
            <w:r>
              <w:rPr>
                <w:rFonts w:hint="eastAsia" w:cs="Times New Roman"/>
                <w:color w:val="auto"/>
                <w:lang w:val="en-US" w:eastAsia="zh-CN"/>
              </w:rPr>
              <w:t>2</w:t>
            </w:r>
            <w:r>
              <w:rPr>
                <w:rFonts w:hint="default" w:ascii="Times New Roman" w:hAnsi="Times New Roman" w:cs="Times New Roman"/>
                <w:color w:val="auto"/>
              </w:rPr>
              <w:t>类标准，标准值见表3-</w:t>
            </w:r>
            <w:r>
              <w:rPr>
                <w:rFonts w:hint="eastAsia" w:cs="Times New Roman"/>
                <w:color w:val="auto"/>
                <w:lang w:val="en-US" w:eastAsia="zh-CN"/>
              </w:rPr>
              <w:t>5</w:t>
            </w:r>
            <w:r>
              <w:rPr>
                <w:rFonts w:hint="default" w:ascii="Times New Roman" w:hAnsi="Times New Roman" w:cs="Times New Roman"/>
                <w:color w:val="auto"/>
              </w:rPr>
              <w:t>。</w:t>
            </w:r>
          </w:p>
          <w:p w14:paraId="7B779235">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eastAsia" w:cs="Times New Roman"/>
                <w:color w:val="auto"/>
                <w:sz w:val="24"/>
                <w:szCs w:val="32"/>
                <w:lang w:val="en-US" w:eastAsia="zh-CN"/>
              </w:rPr>
              <w:t>5</w:t>
            </w:r>
            <w:r>
              <w:rPr>
                <w:rFonts w:hint="default" w:ascii="Times New Roman" w:hAnsi="Times New Roman" w:eastAsia="宋体" w:cs="Times New Roman"/>
                <w:color w:val="auto"/>
                <w:sz w:val="24"/>
                <w:szCs w:val="32"/>
              </w:rPr>
              <w:t xml:space="preserve">  声环境质量标准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418"/>
              <w:gridCol w:w="1985"/>
              <w:gridCol w:w="1987"/>
            </w:tblGrid>
            <w:tr w14:paraId="2589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926" w:type="pct"/>
                  <w:vMerge w:val="restart"/>
                  <w:tcBorders>
                    <w:top w:val="single" w:color="auto" w:sz="4" w:space="0"/>
                    <w:left w:val="single" w:color="auto" w:sz="4" w:space="0"/>
                    <w:bottom w:val="single" w:color="auto" w:sz="4" w:space="0"/>
                    <w:right w:val="single" w:color="auto" w:sz="4" w:space="0"/>
                  </w:tcBorders>
                  <w:vAlign w:val="center"/>
                </w:tcPr>
                <w:p w14:paraId="24117C1E">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541" w:type="pct"/>
                  <w:vMerge w:val="restart"/>
                  <w:tcBorders>
                    <w:top w:val="single" w:color="auto" w:sz="4" w:space="0"/>
                    <w:left w:val="single" w:color="auto" w:sz="4" w:space="0"/>
                    <w:bottom w:val="single" w:color="auto" w:sz="4" w:space="0"/>
                    <w:right w:val="single" w:color="auto" w:sz="4" w:space="0"/>
                  </w:tcBorders>
                  <w:vAlign w:val="center"/>
                </w:tcPr>
                <w:p w14:paraId="7109478F">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适用区域</w:t>
                  </w:r>
                </w:p>
              </w:tc>
              <w:tc>
                <w:tcPr>
                  <w:tcW w:w="2531" w:type="pct"/>
                  <w:gridSpan w:val="2"/>
                  <w:tcBorders>
                    <w:top w:val="single" w:color="auto" w:sz="4" w:space="0"/>
                    <w:left w:val="single" w:color="auto" w:sz="4" w:space="0"/>
                    <w:bottom w:val="single" w:color="auto" w:sz="4" w:space="0"/>
                    <w:right w:val="single" w:color="auto" w:sz="4" w:space="0"/>
                  </w:tcBorders>
                  <w:vAlign w:val="center"/>
                </w:tcPr>
                <w:p w14:paraId="2CC4D519">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等效声级</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A</w:t>
                  </w:r>
                  <w:r>
                    <w:rPr>
                      <w:rFonts w:hint="default" w:ascii="Times New Roman" w:hAnsi="Times New Roman" w:eastAsia="宋体" w:cs="Times New Roman"/>
                      <w:b/>
                      <w:bCs/>
                      <w:color w:val="auto"/>
                      <w:sz w:val="21"/>
                      <w:szCs w:val="21"/>
                      <w:lang w:eastAsia="zh-CN"/>
                    </w:rPr>
                    <w:t>）〕</w:t>
                  </w:r>
                </w:p>
              </w:tc>
            </w:tr>
            <w:tr w14:paraId="3B35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926" w:type="pct"/>
                  <w:vMerge w:val="continue"/>
                  <w:tcBorders>
                    <w:top w:val="single" w:color="auto" w:sz="4" w:space="0"/>
                    <w:left w:val="single" w:color="auto" w:sz="4" w:space="0"/>
                    <w:bottom w:val="single" w:color="auto" w:sz="4" w:space="0"/>
                    <w:right w:val="single" w:color="auto" w:sz="4" w:space="0"/>
                  </w:tcBorders>
                  <w:vAlign w:val="center"/>
                </w:tcPr>
                <w:p w14:paraId="1CA47F00">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p>
              </w:tc>
              <w:tc>
                <w:tcPr>
                  <w:tcW w:w="1541" w:type="pct"/>
                  <w:vMerge w:val="continue"/>
                  <w:tcBorders>
                    <w:top w:val="single" w:color="auto" w:sz="4" w:space="0"/>
                    <w:left w:val="single" w:color="auto" w:sz="4" w:space="0"/>
                    <w:bottom w:val="single" w:color="auto" w:sz="4" w:space="0"/>
                    <w:right w:val="single" w:color="auto" w:sz="4" w:space="0"/>
                  </w:tcBorders>
                  <w:vAlign w:val="center"/>
                </w:tcPr>
                <w:p w14:paraId="54638224">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p>
              </w:tc>
              <w:tc>
                <w:tcPr>
                  <w:tcW w:w="1265" w:type="pct"/>
                  <w:tcBorders>
                    <w:top w:val="single" w:color="auto" w:sz="4" w:space="0"/>
                    <w:left w:val="single" w:color="auto" w:sz="4" w:space="0"/>
                    <w:bottom w:val="single" w:color="auto" w:sz="4" w:space="0"/>
                    <w:right w:val="single" w:color="auto" w:sz="4" w:space="0"/>
                  </w:tcBorders>
                  <w:vAlign w:val="center"/>
                </w:tcPr>
                <w:p w14:paraId="218786C0">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266" w:type="pct"/>
                  <w:tcBorders>
                    <w:top w:val="single" w:color="auto" w:sz="4" w:space="0"/>
                    <w:left w:val="single" w:color="auto" w:sz="4" w:space="0"/>
                    <w:bottom w:val="single" w:color="auto" w:sz="4" w:space="0"/>
                    <w:right w:val="single" w:color="auto" w:sz="4" w:space="0"/>
                  </w:tcBorders>
                  <w:vAlign w:val="center"/>
                </w:tcPr>
                <w:p w14:paraId="27BA6148">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2A9A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14:paraId="524334E2">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1541" w:type="pct"/>
                  <w:tcBorders>
                    <w:top w:val="single" w:color="auto" w:sz="4" w:space="0"/>
                    <w:left w:val="single" w:color="auto" w:sz="4" w:space="0"/>
                    <w:bottom w:val="single" w:color="auto" w:sz="4" w:space="0"/>
                    <w:right w:val="single" w:color="auto" w:sz="4" w:space="0"/>
                  </w:tcBorders>
                  <w:vAlign w:val="center"/>
                </w:tcPr>
                <w:p w14:paraId="1C0617B5">
                  <w:pPr>
                    <w:pStyle w:val="5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14:paraId="19DC33D9">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60</w:t>
                  </w: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7E93BB7F">
                  <w:pPr>
                    <w:pStyle w:val="5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r>
          </w:tbl>
          <w:p w14:paraId="2956E7CA">
            <w:pPr>
              <w:pStyle w:val="11"/>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b/>
                <w:bCs/>
                <w:color w:val="auto"/>
                <w:kern w:val="0"/>
                <w:sz w:val="24"/>
                <w:szCs w:val="20"/>
              </w:rPr>
            </w:pPr>
            <w:r>
              <w:rPr>
                <w:rFonts w:hint="default"/>
                <w:b/>
                <w:bCs/>
                <w:color w:val="auto"/>
                <w:kern w:val="0"/>
                <w:sz w:val="24"/>
                <w:szCs w:val="20"/>
              </w:rPr>
              <w:t>（2）声环境质量现状</w:t>
            </w:r>
          </w:p>
          <w:p w14:paraId="3EE55507">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本项目位于</w:t>
            </w:r>
            <w:r>
              <w:rPr>
                <w:rFonts w:hint="eastAsia" w:ascii="Times New Roman" w:hAnsi="Times New Roman" w:eastAsia="宋体" w:cs="Times New Roman"/>
                <w:color w:val="auto"/>
                <w:lang w:eastAsia="zh-CN"/>
              </w:rPr>
              <w:t>云南省玉溪市峨山彝族自治县化念镇化念</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属于居住、商业、工业混杂区</w:t>
            </w:r>
            <w:r>
              <w:rPr>
                <w:rFonts w:hint="eastAsia" w:ascii="Times New Roman" w:hAnsi="Times New Roman" w:eastAsia="宋体" w:cs="Times New Roman"/>
                <w:color w:val="auto"/>
              </w:rPr>
              <w:t>，声环境功能区划为2类区，根据声环境功能区的划分要求以及现场调查，本项目厂界外周边50米范围内不存在声环境保护目标，项目区周围没有较大噪声源，声环境可以达到《声环境质量标准》（GB3096-2008）2 类标准，满足声环境质量的要求</w:t>
            </w:r>
            <w:r>
              <w:rPr>
                <w:rFonts w:hint="eastAsia" w:ascii="Times New Roman" w:hAnsi="Times New Roman" w:eastAsia="宋体" w:cs="Times New Roman"/>
                <w:color w:val="auto"/>
                <w:lang w:val="zh-CN"/>
              </w:rPr>
              <w:t>，项目</w:t>
            </w:r>
            <w:r>
              <w:rPr>
                <w:rFonts w:hint="eastAsia" w:ascii="Times New Roman" w:hAnsi="Times New Roman" w:eastAsia="宋体" w:cs="Times New Roman"/>
                <w:color w:val="auto"/>
              </w:rPr>
              <w:t>区域</w:t>
            </w:r>
            <w:r>
              <w:rPr>
                <w:rFonts w:hint="eastAsia" w:ascii="Times New Roman" w:hAnsi="Times New Roman" w:eastAsia="宋体" w:cs="Times New Roman"/>
                <w:color w:val="auto"/>
                <w:lang w:val="zh-CN"/>
              </w:rPr>
              <w:t>声环境质量现状良好</w:t>
            </w:r>
            <w:r>
              <w:rPr>
                <w:rFonts w:hint="eastAsia" w:ascii="Times New Roman" w:hAnsi="Times New Roman" w:eastAsia="宋体" w:cs="Times New Roman"/>
                <w:color w:val="auto"/>
              </w:rPr>
              <w:t>。</w:t>
            </w:r>
          </w:p>
          <w:p w14:paraId="69324F14">
            <w:pPr>
              <w:keepNext w:val="0"/>
              <w:keepLines w:val="0"/>
              <w:pageBreakBefore w:val="0"/>
              <w:widowControl w:val="0"/>
              <w:tabs>
                <w:tab w:val="left" w:pos="4830"/>
              </w:tabs>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w:t>
            </w:r>
            <w:r>
              <w:rPr>
                <w:rFonts w:hint="eastAsia" w:cs="Times New Roman"/>
                <w:b/>
                <w:color w:val="auto"/>
                <w:sz w:val="24"/>
                <w:lang w:eastAsia="zh-CN"/>
              </w:rPr>
              <w:t>、</w:t>
            </w:r>
            <w:r>
              <w:rPr>
                <w:rFonts w:hint="default" w:ascii="Times New Roman" w:hAnsi="Times New Roman" w:cs="Times New Roman"/>
                <w:b/>
                <w:color w:val="auto"/>
                <w:sz w:val="24"/>
              </w:rPr>
              <w:t>生态环境</w:t>
            </w:r>
          </w:p>
          <w:p w14:paraId="299C9D38">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eastAsia" w:ascii="Times New Roman" w:hAnsi="Times New Roman" w:eastAsia="宋体" w:cs="Times New Roman"/>
                <w:color w:val="auto"/>
                <w:lang w:val="en-US" w:eastAsia="zh-CN"/>
              </w:rPr>
              <w:t>利用</w:t>
            </w:r>
            <w:r>
              <w:rPr>
                <w:rFonts w:hint="default" w:ascii="Times New Roman" w:hAnsi="Times New Roman" w:eastAsia="宋体" w:cs="Times New Roman"/>
                <w:color w:val="auto"/>
                <w:lang w:val="en-US" w:eastAsia="zh-CN"/>
              </w:rPr>
              <w:t>玉溪利东商贸有限公司</w:t>
            </w:r>
            <w:r>
              <w:rPr>
                <w:rFonts w:hint="eastAsia" w:ascii="Times New Roman" w:hAnsi="Times New Roman" w:eastAsia="宋体" w:cs="Times New Roman"/>
                <w:color w:val="auto"/>
                <w:lang w:val="en-US" w:eastAsia="zh-CN"/>
              </w:rPr>
              <w:t>已建设完成的封闭式厂房进行建设，位于</w:t>
            </w:r>
            <w:r>
              <w:rPr>
                <w:rFonts w:hint="eastAsia" w:ascii="Times New Roman" w:hAnsi="Times New Roman" w:eastAsia="宋体" w:cs="Times New Roman"/>
                <w:color w:val="auto"/>
                <w:lang w:eastAsia="zh-CN"/>
              </w:rPr>
              <w:t>云南省玉溪市峨山彝族自治县化念镇化念</w:t>
            </w:r>
            <w:r>
              <w:rPr>
                <w:rFonts w:hint="default" w:ascii="Times New Roman" w:hAnsi="Times New Roman" w:eastAsia="宋体" w:cs="Times New Roman"/>
                <w:color w:val="auto"/>
              </w:rPr>
              <w:t>，不新增占地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根据现场踏勘和相关资料，大部分土地为山地，没有国家规定保护的野生植物。项目200m范围内不涉及自然保护区、风景名胜区等生态敏感区，评价区内无名木古树、无古建筑和文物保护单位</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受人为活动影响，区内生态环境受到一定影响，缺乏野生动物栖息生存场所</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区域内常</w:t>
            </w:r>
            <w:r>
              <w:rPr>
                <w:rFonts w:hint="eastAsia" w:ascii="Times New Roman" w:hAnsi="Times New Roman" w:eastAsia="宋体" w:cs="Times New Roman"/>
                <w:color w:val="auto"/>
                <w:lang w:val="en-US" w:eastAsia="zh-CN"/>
              </w:rPr>
              <w:t>见的野生动物主要有</w:t>
            </w:r>
            <w:r>
              <w:rPr>
                <w:rFonts w:hint="default" w:ascii="Times New Roman" w:hAnsi="Times New Roman" w:eastAsia="宋体" w:cs="Times New Roman"/>
                <w:color w:val="auto"/>
              </w:rPr>
              <w:t>野兔、蛇、松鼠</w:t>
            </w:r>
            <w:r>
              <w:rPr>
                <w:rFonts w:hint="eastAsia" w:ascii="Times New Roman" w:hAnsi="Times New Roman" w:eastAsia="宋体" w:cs="Times New Roman"/>
                <w:color w:val="auto"/>
                <w:lang w:val="en-US" w:eastAsia="zh-CN"/>
              </w:rPr>
              <w:t>以及</w:t>
            </w:r>
            <w:r>
              <w:rPr>
                <w:rFonts w:hint="default" w:ascii="Times New Roman" w:hAnsi="Times New Roman" w:eastAsia="宋体" w:cs="Times New Roman"/>
                <w:color w:val="auto"/>
              </w:rPr>
              <w:t>鸟类</w:t>
            </w:r>
            <w:r>
              <w:rPr>
                <w:rFonts w:hint="eastAsia" w:ascii="Times New Roman" w:hAnsi="Times New Roman" w:eastAsia="宋体" w:cs="Times New Roman"/>
                <w:color w:val="auto"/>
                <w:lang w:val="en-US" w:eastAsia="zh-CN"/>
              </w:rPr>
              <w:t>等</w:t>
            </w:r>
            <w:r>
              <w:rPr>
                <w:rFonts w:hint="default" w:ascii="Times New Roman" w:hAnsi="Times New Roman" w:eastAsia="宋体" w:cs="Times New Roman"/>
                <w:color w:val="auto"/>
              </w:rPr>
              <w:t>，无其他</w:t>
            </w:r>
            <w:r>
              <w:rPr>
                <w:rFonts w:hint="eastAsia" w:ascii="Times New Roman" w:hAnsi="Times New Roman" w:eastAsia="宋体" w:cs="Times New Roman"/>
                <w:color w:val="auto"/>
                <w:lang w:val="en-US" w:eastAsia="zh-CN"/>
              </w:rPr>
              <w:t>大型</w:t>
            </w:r>
            <w:r>
              <w:rPr>
                <w:rFonts w:hint="default" w:ascii="Times New Roman" w:hAnsi="Times New Roman" w:eastAsia="宋体" w:cs="Times New Roman"/>
                <w:color w:val="auto"/>
              </w:rPr>
              <w:t>野生动物分布，也没发现重点保护野生动物</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项目</w:t>
            </w:r>
            <w:r>
              <w:rPr>
                <w:rFonts w:hint="default" w:ascii="Times New Roman" w:hAnsi="Times New Roman" w:eastAsia="宋体" w:cs="Times New Roman"/>
                <w:color w:val="auto"/>
              </w:rPr>
              <w:t>评价区域生态环境质量一般。</w:t>
            </w:r>
          </w:p>
          <w:p w14:paraId="51577E4B">
            <w:pPr>
              <w:keepNext w:val="0"/>
              <w:keepLines w:val="0"/>
              <w:pageBreakBefore w:val="0"/>
              <w:widowControl w:val="0"/>
              <w:tabs>
                <w:tab w:val="left" w:pos="4830"/>
              </w:tabs>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rPr>
            </w:pPr>
            <w:r>
              <w:rPr>
                <w:rFonts w:hint="default" w:ascii="Times New Roman" w:hAnsi="Times New Roman" w:cs="Times New Roman"/>
                <w:b/>
                <w:color w:val="auto"/>
                <w:sz w:val="24"/>
              </w:rPr>
              <w:t>5、地下水环境</w:t>
            </w:r>
          </w:p>
          <w:p w14:paraId="130A871B">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地下水</w:t>
            </w:r>
            <w:r>
              <w:rPr>
                <w:rFonts w:hint="eastAsia" w:ascii="Times New Roman" w:hAnsi="Times New Roman" w:eastAsia="宋体" w:cs="Times New Roman"/>
                <w:color w:val="auto"/>
                <w:lang w:val="en-US" w:eastAsia="zh-CN"/>
              </w:rPr>
              <w:t>环境执行标准</w:t>
            </w:r>
          </w:p>
          <w:p w14:paraId="217533A6">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项目所在区域地下水现状执行《地下水质量标准》</w:t>
            </w:r>
            <w:r>
              <w:rPr>
                <w:rFonts w:hint="eastAsia" w:cs="Times New Roman"/>
                <w:color w:val="auto"/>
                <w:lang w:val="en-US" w:eastAsia="zh-CN"/>
              </w:rPr>
              <w:t>（</w:t>
            </w:r>
            <w:r>
              <w:rPr>
                <w:rFonts w:hint="eastAsia" w:ascii="Times New Roman" w:hAnsi="Times New Roman" w:eastAsia="宋体" w:cs="Times New Roman"/>
                <w:color w:val="auto"/>
                <w:lang w:val="en-US" w:eastAsia="zh-CN"/>
              </w:rPr>
              <w:t>GB/T14848-2017</w:t>
            </w:r>
            <w:r>
              <w:rPr>
                <w:rFonts w:hint="eastAsia" w:cs="Times New Roman"/>
                <w:color w:val="auto"/>
                <w:lang w:val="en-US" w:eastAsia="zh-CN"/>
              </w:rPr>
              <w:t>）</w:t>
            </w:r>
            <w:r>
              <w:rPr>
                <w:rFonts w:hint="eastAsia" w:ascii="Times New Roman" w:hAnsi="Times New Roman" w:eastAsia="宋体" w:cs="Times New Roman"/>
                <w:color w:val="auto"/>
                <w:lang w:val="en-US" w:eastAsia="zh-CN"/>
              </w:rPr>
              <w:t>中的Ⅲ类标准，具体标准限值见表3-6所示。</w:t>
            </w:r>
          </w:p>
          <w:p w14:paraId="1F849F99">
            <w:pPr>
              <w:spacing w:line="240" w:lineRule="auto"/>
              <w:jc w:val="center"/>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3-6</w:t>
            </w:r>
            <w:r>
              <w:rPr>
                <w:rFonts w:hint="eastAsia" w:ascii="Times New Roman" w:hAnsi="Times New Roman" w:eastAsia="宋体" w:cs="Times New Roman"/>
                <w:b/>
                <w:color w:val="auto"/>
                <w:sz w:val="24"/>
                <w:szCs w:val="24"/>
              </w:rPr>
              <w:t xml:space="preserve">  地下水质量标准（摘录）    单位：mg/L（pH无量纲）</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259"/>
              <w:gridCol w:w="1397"/>
              <w:gridCol w:w="2531"/>
              <w:gridCol w:w="1656"/>
            </w:tblGrid>
            <w:tr w14:paraId="5265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2" w:hRule="atLeast"/>
                <w:jc w:val="center"/>
              </w:trPr>
              <w:tc>
                <w:tcPr>
                  <w:tcW w:w="1440" w:type="pct"/>
                  <w:tcBorders>
                    <w:tl2br w:val="nil"/>
                    <w:tr2bl w:val="nil"/>
                  </w:tcBorders>
                  <w:noWrap w:val="0"/>
                  <w:vAlign w:val="center"/>
                </w:tcPr>
                <w:p w14:paraId="6000CE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caps w:val="0"/>
                      <w:color w:val="auto"/>
                      <w:sz w:val="21"/>
                      <w:szCs w:val="21"/>
                      <w:highlight w:val="none"/>
                    </w:rPr>
                  </w:pPr>
                  <w:r>
                    <w:rPr>
                      <w:rFonts w:hint="default" w:ascii="Times New Roman" w:hAnsi="Times New Roman" w:cs="Times New Roman" w:eastAsiaTheme="minorEastAsia"/>
                      <w:b/>
                      <w:bCs/>
                      <w:caps w:val="0"/>
                      <w:color w:val="auto"/>
                      <w:sz w:val="21"/>
                      <w:szCs w:val="21"/>
                      <w:highlight w:val="none"/>
                    </w:rPr>
                    <w:t>项目</w:t>
                  </w:r>
                </w:p>
              </w:tc>
              <w:tc>
                <w:tcPr>
                  <w:tcW w:w="890" w:type="pct"/>
                  <w:tcBorders>
                    <w:tl2br w:val="nil"/>
                    <w:tr2bl w:val="nil"/>
                  </w:tcBorders>
                  <w:noWrap w:val="0"/>
                  <w:vAlign w:val="center"/>
                </w:tcPr>
                <w:p w14:paraId="23C39B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caps w:val="0"/>
                      <w:color w:val="auto"/>
                      <w:sz w:val="21"/>
                      <w:szCs w:val="21"/>
                      <w:highlight w:val="none"/>
                    </w:rPr>
                  </w:pPr>
                  <w:r>
                    <w:rPr>
                      <w:rFonts w:hint="default" w:ascii="Times New Roman" w:hAnsi="Times New Roman" w:cs="Times New Roman" w:eastAsiaTheme="minorEastAsia"/>
                      <w:b/>
                      <w:bCs/>
                      <w:caps w:val="0"/>
                      <w:color w:val="auto"/>
                      <w:sz w:val="21"/>
                      <w:szCs w:val="21"/>
                      <w:highlight w:val="none"/>
                    </w:rPr>
                    <w:t>Ⅲ类标准</w:t>
                  </w:r>
                </w:p>
              </w:tc>
              <w:tc>
                <w:tcPr>
                  <w:tcW w:w="1613" w:type="pct"/>
                  <w:tcBorders>
                    <w:tl2br w:val="nil"/>
                    <w:tr2bl w:val="nil"/>
                  </w:tcBorders>
                  <w:noWrap w:val="0"/>
                  <w:vAlign w:val="center"/>
                </w:tcPr>
                <w:p w14:paraId="71C6B8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caps w:val="0"/>
                      <w:color w:val="auto"/>
                      <w:sz w:val="21"/>
                      <w:szCs w:val="21"/>
                      <w:highlight w:val="none"/>
                    </w:rPr>
                  </w:pPr>
                  <w:r>
                    <w:rPr>
                      <w:rFonts w:hint="default" w:ascii="Times New Roman" w:hAnsi="Times New Roman" w:cs="Times New Roman" w:eastAsiaTheme="minorEastAsia"/>
                      <w:b/>
                      <w:bCs/>
                      <w:caps w:val="0"/>
                      <w:color w:val="auto"/>
                      <w:sz w:val="21"/>
                      <w:szCs w:val="21"/>
                      <w:highlight w:val="none"/>
                    </w:rPr>
                    <w:t>项目</w:t>
                  </w:r>
                </w:p>
              </w:tc>
              <w:tc>
                <w:tcPr>
                  <w:tcW w:w="1055" w:type="pct"/>
                  <w:tcBorders>
                    <w:tl2br w:val="nil"/>
                    <w:tr2bl w:val="nil"/>
                  </w:tcBorders>
                  <w:noWrap w:val="0"/>
                  <w:vAlign w:val="center"/>
                </w:tcPr>
                <w:p w14:paraId="7FA9FA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caps w:val="0"/>
                      <w:color w:val="auto"/>
                      <w:sz w:val="21"/>
                      <w:szCs w:val="21"/>
                      <w:highlight w:val="none"/>
                    </w:rPr>
                  </w:pPr>
                  <w:r>
                    <w:rPr>
                      <w:rFonts w:hint="default" w:ascii="Times New Roman" w:hAnsi="Times New Roman" w:cs="Times New Roman" w:eastAsiaTheme="minorEastAsia"/>
                      <w:b/>
                      <w:bCs/>
                      <w:caps w:val="0"/>
                      <w:color w:val="auto"/>
                      <w:sz w:val="21"/>
                      <w:szCs w:val="21"/>
                      <w:highlight w:val="none"/>
                    </w:rPr>
                    <w:t>Ⅲ类标准</w:t>
                  </w:r>
                </w:p>
              </w:tc>
            </w:tr>
            <w:tr w14:paraId="0417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1440" w:type="pct"/>
                  <w:tcBorders>
                    <w:tl2br w:val="nil"/>
                    <w:tr2bl w:val="nil"/>
                  </w:tcBorders>
                  <w:noWrap w:val="0"/>
                  <w:vAlign w:val="center"/>
                </w:tcPr>
                <w:p w14:paraId="5EF701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pH（无量纲）</w:t>
                  </w:r>
                </w:p>
              </w:tc>
              <w:tc>
                <w:tcPr>
                  <w:tcW w:w="890" w:type="pct"/>
                  <w:tcBorders>
                    <w:tl2br w:val="nil"/>
                    <w:tr2bl w:val="nil"/>
                  </w:tcBorders>
                  <w:noWrap w:val="0"/>
                  <w:vAlign w:val="center"/>
                </w:tcPr>
                <w:p w14:paraId="2AC7F5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6.5-8.5</w:t>
                  </w:r>
                </w:p>
              </w:tc>
              <w:tc>
                <w:tcPr>
                  <w:tcW w:w="1613" w:type="pct"/>
                  <w:tcBorders>
                    <w:tl2br w:val="nil"/>
                    <w:tr2bl w:val="nil"/>
                  </w:tcBorders>
                  <w:noWrap w:val="0"/>
                  <w:vAlign w:val="center"/>
                </w:tcPr>
                <w:p w14:paraId="1F2622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Hg（mg/L）</w:t>
                  </w:r>
                </w:p>
              </w:tc>
              <w:tc>
                <w:tcPr>
                  <w:tcW w:w="1055" w:type="pct"/>
                  <w:tcBorders>
                    <w:tl2br w:val="nil"/>
                    <w:tr2bl w:val="nil"/>
                  </w:tcBorders>
                  <w:noWrap w:val="0"/>
                  <w:vAlign w:val="center"/>
                </w:tcPr>
                <w:p w14:paraId="5525C1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≤0.001</w:t>
                  </w:r>
                </w:p>
              </w:tc>
            </w:tr>
            <w:tr w14:paraId="35C8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0" w:type="pct"/>
                  <w:tcBorders>
                    <w:tl2br w:val="nil"/>
                    <w:tr2bl w:val="nil"/>
                  </w:tcBorders>
                  <w:noWrap w:val="0"/>
                  <w:vAlign w:val="center"/>
                </w:tcPr>
                <w:p w14:paraId="595C6D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NH</w:t>
                  </w:r>
                  <w:r>
                    <w:rPr>
                      <w:rFonts w:hint="default" w:ascii="Times New Roman" w:hAnsi="Times New Roman" w:cs="Times New Roman" w:eastAsiaTheme="minorEastAsia"/>
                      <w:caps w:val="0"/>
                      <w:color w:val="auto"/>
                      <w:sz w:val="21"/>
                      <w:szCs w:val="21"/>
                      <w:highlight w:val="none"/>
                      <w:vertAlign w:val="subscript"/>
                    </w:rPr>
                    <w:t>3</w:t>
                  </w:r>
                  <w:r>
                    <w:rPr>
                      <w:rFonts w:hint="default" w:ascii="Times New Roman" w:hAnsi="Times New Roman" w:cs="Times New Roman" w:eastAsiaTheme="minorEastAsia"/>
                      <w:caps w:val="0"/>
                      <w:color w:val="auto"/>
                      <w:sz w:val="21"/>
                      <w:szCs w:val="21"/>
                      <w:highlight w:val="none"/>
                    </w:rPr>
                    <w:t>-N（mg/L）</w:t>
                  </w:r>
                </w:p>
              </w:tc>
              <w:tc>
                <w:tcPr>
                  <w:tcW w:w="890" w:type="pct"/>
                  <w:tcBorders>
                    <w:tl2br w:val="nil"/>
                    <w:tr2bl w:val="nil"/>
                  </w:tcBorders>
                  <w:noWrap w:val="0"/>
                  <w:vAlign w:val="center"/>
                </w:tcPr>
                <w:p w14:paraId="0762DC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≤0.5</w:t>
                  </w:r>
                </w:p>
              </w:tc>
              <w:tc>
                <w:tcPr>
                  <w:tcW w:w="1613" w:type="pct"/>
                  <w:tcBorders>
                    <w:tl2br w:val="nil"/>
                    <w:tr2bl w:val="nil"/>
                  </w:tcBorders>
                  <w:noWrap w:val="0"/>
                  <w:vAlign w:val="center"/>
                </w:tcPr>
                <w:p w14:paraId="104A45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Mn（mg/L）</w:t>
                  </w:r>
                </w:p>
              </w:tc>
              <w:tc>
                <w:tcPr>
                  <w:tcW w:w="1055" w:type="pct"/>
                  <w:tcBorders>
                    <w:tl2br w:val="nil"/>
                    <w:tr2bl w:val="nil"/>
                  </w:tcBorders>
                  <w:noWrap w:val="0"/>
                  <w:vAlign w:val="center"/>
                </w:tcPr>
                <w:p w14:paraId="22E070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≤0.1</w:t>
                  </w:r>
                </w:p>
              </w:tc>
            </w:tr>
            <w:tr w14:paraId="7690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40" w:type="pct"/>
                  <w:tcBorders>
                    <w:tl2br w:val="nil"/>
                    <w:tr2bl w:val="nil"/>
                  </w:tcBorders>
                  <w:noWrap w:val="0"/>
                  <w:vAlign w:val="center"/>
                </w:tcPr>
                <w:p w14:paraId="2C05A5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硝酸盐（mg/L）</w:t>
                  </w:r>
                </w:p>
              </w:tc>
              <w:tc>
                <w:tcPr>
                  <w:tcW w:w="890" w:type="pct"/>
                  <w:tcBorders>
                    <w:tl2br w:val="nil"/>
                    <w:tr2bl w:val="nil"/>
                  </w:tcBorders>
                  <w:noWrap w:val="0"/>
                  <w:vAlign w:val="center"/>
                </w:tcPr>
                <w:p w14:paraId="42061D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≤20</w:t>
                  </w:r>
                </w:p>
              </w:tc>
              <w:tc>
                <w:tcPr>
                  <w:tcW w:w="1613" w:type="pct"/>
                  <w:tcBorders>
                    <w:tl2br w:val="nil"/>
                    <w:tr2bl w:val="nil"/>
                  </w:tcBorders>
                  <w:noWrap w:val="0"/>
                  <w:vAlign w:val="center"/>
                </w:tcPr>
                <w:p w14:paraId="70BE15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氟化物（mg/L）</w:t>
                  </w:r>
                </w:p>
              </w:tc>
              <w:tc>
                <w:tcPr>
                  <w:tcW w:w="1055" w:type="pct"/>
                  <w:tcBorders>
                    <w:tl2br w:val="nil"/>
                    <w:tr2bl w:val="nil"/>
                  </w:tcBorders>
                  <w:noWrap w:val="0"/>
                  <w:vAlign w:val="center"/>
                </w:tcPr>
                <w:p w14:paraId="1DA35C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≤1.0</w:t>
                  </w:r>
                </w:p>
              </w:tc>
            </w:tr>
            <w:tr w14:paraId="7AD2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40" w:type="pct"/>
                  <w:tcBorders>
                    <w:tl2br w:val="nil"/>
                    <w:tr2bl w:val="nil"/>
                  </w:tcBorders>
                  <w:noWrap w:val="0"/>
                  <w:vAlign w:val="center"/>
                </w:tcPr>
                <w:p w14:paraId="352A55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lang w:val="en-US" w:eastAsia="zh-CN"/>
                    </w:rPr>
                  </w:pPr>
                  <w:r>
                    <w:rPr>
                      <w:rFonts w:hint="default" w:ascii="Times New Roman" w:hAnsi="Times New Roman" w:cs="Times New Roman" w:eastAsiaTheme="minorEastAsia"/>
                      <w:caps w:val="0"/>
                      <w:color w:val="auto"/>
                      <w:sz w:val="21"/>
                      <w:szCs w:val="21"/>
                      <w:highlight w:val="none"/>
                      <w:lang w:val="en-US" w:eastAsia="zh-CN"/>
                    </w:rPr>
                    <w:t>铜</w:t>
                  </w:r>
                </w:p>
              </w:tc>
              <w:tc>
                <w:tcPr>
                  <w:tcW w:w="890" w:type="pct"/>
                  <w:tcBorders>
                    <w:tl2br w:val="nil"/>
                    <w:tr2bl w:val="nil"/>
                  </w:tcBorders>
                  <w:noWrap w:val="0"/>
                  <w:vAlign w:val="center"/>
                </w:tcPr>
                <w:p w14:paraId="0CDB4F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lang w:val="en-US" w:eastAsia="zh-CN"/>
                    </w:rPr>
                  </w:pPr>
                  <w:r>
                    <w:rPr>
                      <w:rFonts w:hint="default" w:ascii="Times New Roman" w:hAnsi="Times New Roman" w:cs="Times New Roman" w:eastAsiaTheme="minorEastAsia"/>
                      <w:caps w:val="0"/>
                      <w:color w:val="auto"/>
                      <w:sz w:val="21"/>
                      <w:szCs w:val="21"/>
                      <w:highlight w:val="none"/>
                    </w:rPr>
                    <w:t>≤</w:t>
                  </w:r>
                  <w:r>
                    <w:rPr>
                      <w:rFonts w:hint="default" w:ascii="Times New Roman" w:hAnsi="Times New Roman" w:cs="Times New Roman" w:eastAsiaTheme="minorEastAsia"/>
                      <w:caps w:val="0"/>
                      <w:color w:val="auto"/>
                      <w:sz w:val="21"/>
                      <w:szCs w:val="21"/>
                      <w:highlight w:val="none"/>
                      <w:lang w:val="en-US" w:eastAsia="zh-CN"/>
                    </w:rPr>
                    <w:t>1.0</w:t>
                  </w:r>
                </w:p>
              </w:tc>
              <w:tc>
                <w:tcPr>
                  <w:tcW w:w="1613" w:type="pct"/>
                  <w:tcBorders>
                    <w:tl2br w:val="nil"/>
                    <w:tr2bl w:val="nil"/>
                  </w:tcBorders>
                  <w:noWrap w:val="0"/>
                  <w:vAlign w:val="center"/>
                </w:tcPr>
                <w:p w14:paraId="606521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氰化物（mg/L）</w:t>
                  </w:r>
                </w:p>
              </w:tc>
              <w:tc>
                <w:tcPr>
                  <w:tcW w:w="1055" w:type="pct"/>
                  <w:tcBorders>
                    <w:tl2br w:val="nil"/>
                    <w:tr2bl w:val="nil"/>
                  </w:tcBorders>
                  <w:noWrap w:val="0"/>
                  <w:vAlign w:val="center"/>
                </w:tcPr>
                <w:p w14:paraId="7A7C2A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≤0.05</w:t>
                  </w:r>
                </w:p>
              </w:tc>
            </w:tr>
            <w:tr w14:paraId="7661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40" w:type="pct"/>
                  <w:tcBorders>
                    <w:tl2br w:val="nil"/>
                    <w:tr2bl w:val="nil"/>
                  </w:tcBorders>
                  <w:noWrap w:val="0"/>
                  <w:vAlign w:val="center"/>
                </w:tcPr>
                <w:p w14:paraId="66E127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挥发酚（mg/L）</w:t>
                  </w:r>
                </w:p>
              </w:tc>
              <w:tc>
                <w:tcPr>
                  <w:tcW w:w="890" w:type="pct"/>
                  <w:tcBorders>
                    <w:tl2br w:val="nil"/>
                    <w:tr2bl w:val="nil"/>
                  </w:tcBorders>
                  <w:noWrap w:val="0"/>
                  <w:vAlign w:val="center"/>
                </w:tcPr>
                <w:p w14:paraId="4D8D11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≤0.002</w:t>
                  </w:r>
                </w:p>
              </w:tc>
              <w:tc>
                <w:tcPr>
                  <w:tcW w:w="1613" w:type="pct"/>
                  <w:tcBorders>
                    <w:tl2br w:val="nil"/>
                    <w:tr2bl w:val="nil"/>
                  </w:tcBorders>
                  <w:noWrap w:val="0"/>
                  <w:vAlign w:val="center"/>
                </w:tcPr>
                <w:p w14:paraId="32BFDA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六价铬（mg/L）</w:t>
                  </w:r>
                </w:p>
              </w:tc>
              <w:tc>
                <w:tcPr>
                  <w:tcW w:w="1055" w:type="pct"/>
                  <w:tcBorders>
                    <w:tl2br w:val="nil"/>
                    <w:tr2bl w:val="nil"/>
                  </w:tcBorders>
                  <w:noWrap w:val="0"/>
                  <w:vAlign w:val="center"/>
                </w:tcPr>
                <w:p w14:paraId="748B43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≤0.05</w:t>
                  </w:r>
                </w:p>
              </w:tc>
            </w:tr>
            <w:tr w14:paraId="3712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40" w:type="pct"/>
                  <w:tcBorders>
                    <w:tl2br w:val="nil"/>
                    <w:tr2bl w:val="nil"/>
                  </w:tcBorders>
                  <w:noWrap w:val="0"/>
                  <w:vAlign w:val="center"/>
                </w:tcPr>
                <w:p w14:paraId="0D7307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As（mg/L）</w:t>
                  </w:r>
                </w:p>
              </w:tc>
              <w:tc>
                <w:tcPr>
                  <w:tcW w:w="890" w:type="pct"/>
                  <w:tcBorders>
                    <w:tl2br w:val="nil"/>
                    <w:tr2bl w:val="nil"/>
                  </w:tcBorders>
                  <w:noWrap w:val="0"/>
                  <w:vAlign w:val="center"/>
                </w:tcPr>
                <w:p w14:paraId="05A5A0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≤0.01</w:t>
                  </w:r>
                </w:p>
              </w:tc>
              <w:tc>
                <w:tcPr>
                  <w:tcW w:w="1613" w:type="pct"/>
                  <w:tcBorders>
                    <w:tl2br w:val="nil"/>
                    <w:tr2bl w:val="nil"/>
                  </w:tcBorders>
                  <w:noWrap w:val="0"/>
                  <w:vAlign w:val="center"/>
                </w:tcPr>
                <w:p w14:paraId="6DC65F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总硬度（mg/L）</w:t>
                  </w:r>
                </w:p>
              </w:tc>
              <w:tc>
                <w:tcPr>
                  <w:tcW w:w="1055" w:type="pct"/>
                  <w:tcBorders>
                    <w:tl2br w:val="nil"/>
                    <w:tr2bl w:val="nil"/>
                  </w:tcBorders>
                  <w:noWrap w:val="0"/>
                  <w:vAlign w:val="center"/>
                </w:tcPr>
                <w:p w14:paraId="6CDDD6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≤450</w:t>
                  </w:r>
                </w:p>
              </w:tc>
            </w:tr>
            <w:tr w14:paraId="0E1E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40" w:type="pct"/>
                  <w:tcBorders>
                    <w:tl2br w:val="nil"/>
                    <w:tr2bl w:val="nil"/>
                  </w:tcBorders>
                  <w:noWrap w:val="0"/>
                  <w:vAlign w:val="center"/>
                </w:tcPr>
                <w:p w14:paraId="18A8B9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Pb（mg/L）</w:t>
                  </w:r>
                </w:p>
              </w:tc>
              <w:tc>
                <w:tcPr>
                  <w:tcW w:w="890" w:type="pct"/>
                  <w:tcBorders>
                    <w:tl2br w:val="nil"/>
                    <w:tr2bl w:val="nil"/>
                  </w:tcBorders>
                  <w:noWrap w:val="0"/>
                  <w:vAlign w:val="center"/>
                </w:tcPr>
                <w:p w14:paraId="50B18C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≤0.01</w:t>
                  </w:r>
                </w:p>
              </w:tc>
              <w:tc>
                <w:tcPr>
                  <w:tcW w:w="1613" w:type="pct"/>
                  <w:tcBorders>
                    <w:tl2br w:val="nil"/>
                    <w:tr2bl w:val="nil"/>
                  </w:tcBorders>
                  <w:noWrap w:val="0"/>
                  <w:vAlign w:val="center"/>
                </w:tcPr>
                <w:p w14:paraId="096B7D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溶解性总固体（mg/L）</w:t>
                  </w:r>
                </w:p>
              </w:tc>
              <w:tc>
                <w:tcPr>
                  <w:tcW w:w="1055" w:type="pct"/>
                  <w:tcBorders>
                    <w:tl2br w:val="nil"/>
                    <w:tr2bl w:val="nil"/>
                  </w:tcBorders>
                  <w:noWrap w:val="0"/>
                  <w:vAlign w:val="center"/>
                </w:tcPr>
                <w:p w14:paraId="165B50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≤1000</w:t>
                  </w:r>
                </w:p>
              </w:tc>
            </w:tr>
            <w:tr w14:paraId="25C6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40" w:type="pct"/>
                  <w:tcBorders>
                    <w:tl2br w:val="nil"/>
                    <w:tr2bl w:val="nil"/>
                  </w:tcBorders>
                  <w:noWrap w:val="0"/>
                  <w:vAlign w:val="center"/>
                </w:tcPr>
                <w:p w14:paraId="2DBCBD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Cd（mg/L）</w:t>
                  </w:r>
                </w:p>
              </w:tc>
              <w:tc>
                <w:tcPr>
                  <w:tcW w:w="890" w:type="pct"/>
                  <w:tcBorders>
                    <w:tl2br w:val="nil"/>
                    <w:tr2bl w:val="nil"/>
                  </w:tcBorders>
                  <w:noWrap w:val="0"/>
                  <w:vAlign w:val="center"/>
                </w:tcPr>
                <w:p w14:paraId="692FE8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≤0.005</w:t>
                  </w:r>
                </w:p>
              </w:tc>
              <w:tc>
                <w:tcPr>
                  <w:tcW w:w="1613" w:type="pct"/>
                  <w:tcBorders>
                    <w:tl2br w:val="nil"/>
                    <w:tr2bl w:val="nil"/>
                  </w:tcBorders>
                  <w:noWrap w:val="0"/>
                  <w:vAlign w:val="center"/>
                </w:tcPr>
                <w:p w14:paraId="06F67E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耗氧量（mg/L）</w:t>
                  </w:r>
                </w:p>
              </w:tc>
              <w:tc>
                <w:tcPr>
                  <w:tcW w:w="1055" w:type="pct"/>
                  <w:tcBorders>
                    <w:tl2br w:val="nil"/>
                    <w:tr2bl w:val="nil"/>
                  </w:tcBorders>
                  <w:noWrap w:val="0"/>
                  <w:vAlign w:val="center"/>
                </w:tcPr>
                <w:p w14:paraId="5B9BE9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≤3.0</w:t>
                  </w:r>
                </w:p>
              </w:tc>
            </w:tr>
            <w:tr w14:paraId="0BA4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40" w:type="pct"/>
                  <w:tcBorders>
                    <w:tl2br w:val="nil"/>
                    <w:tr2bl w:val="nil"/>
                  </w:tcBorders>
                  <w:noWrap w:val="0"/>
                  <w:vAlign w:val="center"/>
                </w:tcPr>
                <w:p w14:paraId="36B080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Fe（mg/L）</w:t>
                  </w:r>
                </w:p>
              </w:tc>
              <w:tc>
                <w:tcPr>
                  <w:tcW w:w="890" w:type="pct"/>
                  <w:tcBorders>
                    <w:tl2br w:val="nil"/>
                    <w:tr2bl w:val="nil"/>
                  </w:tcBorders>
                  <w:noWrap w:val="0"/>
                  <w:vAlign w:val="center"/>
                </w:tcPr>
                <w:p w14:paraId="78A010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≤0.3</w:t>
                  </w:r>
                </w:p>
              </w:tc>
              <w:tc>
                <w:tcPr>
                  <w:tcW w:w="1613" w:type="pct"/>
                  <w:tcBorders>
                    <w:tl2br w:val="nil"/>
                    <w:tr2bl w:val="nil"/>
                  </w:tcBorders>
                  <w:noWrap w:val="0"/>
                  <w:vAlign w:val="center"/>
                </w:tcPr>
                <w:p w14:paraId="117B4B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kern w:val="2"/>
                      <w:sz w:val="21"/>
                      <w:szCs w:val="21"/>
                      <w:highlight w:val="none"/>
                      <w:lang w:val="en-US" w:eastAsia="zh-CN" w:bidi="ar-SA"/>
                    </w:rPr>
                  </w:pPr>
                  <w:r>
                    <w:rPr>
                      <w:rFonts w:hint="default" w:ascii="Times New Roman" w:hAnsi="Times New Roman" w:cs="Times New Roman" w:eastAsiaTheme="minorEastAsia"/>
                      <w:caps w:val="0"/>
                      <w:color w:val="auto"/>
                      <w:sz w:val="21"/>
                      <w:szCs w:val="21"/>
                      <w:highlight w:val="none"/>
                      <w:lang w:val="en-US" w:eastAsia="zh-CN"/>
                    </w:rPr>
                    <w:t>锌</w:t>
                  </w:r>
                </w:p>
              </w:tc>
              <w:tc>
                <w:tcPr>
                  <w:tcW w:w="1055" w:type="pct"/>
                  <w:tcBorders>
                    <w:tl2br w:val="nil"/>
                    <w:tr2bl w:val="nil"/>
                  </w:tcBorders>
                  <w:noWrap w:val="0"/>
                  <w:vAlign w:val="center"/>
                </w:tcPr>
                <w:p w14:paraId="7119B7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kern w:val="2"/>
                      <w:sz w:val="21"/>
                      <w:szCs w:val="21"/>
                      <w:highlight w:val="none"/>
                      <w:lang w:val="en-US" w:eastAsia="zh-CN" w:bidi="ar-SA"/>
                    </w:rPr>
                  </w:pPr>
                  <w:r>
                    <w:rPr>
                      <w:rFonts w:hint="default" w:ascii="Times New Roman" w:hAnsi="Times New Roman" w:cs="Times New Roman" w:eastAsiaTheme="minorEastAsia"/>
                      <w:caps w:val="0"/>
                      <w:color w:val="auto"/>
                      <w:sz w:val="21"/>
                      <w:szCs w:val="21"/>
                      <w:highlight w:val="none"/>
                    </w:rPr>
                    <w:t>≤</w:t>
                  </w:r>
                  <w:r>
                    <w:rPr>
                      <w:rFonts w:hint="default" w:ascii="Times New Roman" w:hAnsi="Times New Roman" w:cs="Times New Roman" w:eastAsiaTheme="minorEastAsia"/>
                      <w:caps w:val="0"/>
                      <w:color w:val="auto"/>
                      <w:sz w:val="21"/>
                      <w:szCs w:val="21"/>
                      <w:highlight w:val="none"/>
                      <w:lang w:val="en-US" w:eastAsia="zh-CN"/>
                    </w:rPr>
                    <w:t>1.0</w:t>
                  </w:r>
                </w:p>
              </w:tc>
            </w:tr>
            <w:tr w14:paraId="3B53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40" w:type="pct"/>
                  <w:tcBorders>
                    <w:tl2br w:val="nil"/>
                    <w:tr2bl w:val="nil"/>
                  </w:tcBorders>
                  <w:noWrap w:val="0"/>
                  <w:vAlign w:val="center"/>
                </w:tcPr>
                <w:p w14:paraId="73A74A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氯化物（mg/L）</w:t>
                  </w:r>
                </w:p>
              </w:tc>
              <w:tc>
                <w:tcPr>
                  <w:tcW w:w="890" w:type="pct"/>
                  <w:tcBorders>
                    <w:tl2br w:val="nil"/>
                    <w:tr2bl w:val="nil"/>
                  </w:tcBorders>
                  <w:noWrap w:val="0"/>
                  <w:vAlign w:val="center"/>
                </w:tcPr>
                <w:p w14:paraId="1D3B8A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≤250</w:t>
                  </w:r>
                </w:p>
              </w:tc>
              <w:tc>
                <w:tcPr>
                  <w:tcW w:w="1613" w:type="pct"/>
                  <w:tcBorders>
                    <w:tl2br w:val="nil"/>
                    <w:tr2bl w:val="nil"/>
                  </w:tcBorders>
                  <w:noWrap w:val="0"/>
                  <w:vAlign w:val="center"/>
                </w:tcPr>
                <w:p w14:paraId="1924B7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总大肠菌群（CPUc/100mL）</w:t>
                  </w:r>
                </w:p>
              </w:tc>
              <w:tc>
                <w:tcPr>
                  <w:tcW w:w="1055" w:type="pct"/>
                  <w:tcBorders>
                    <w:tl2br w:val="nil"/>
                    <w:tr2bl w:val="nil"/>
                  </w:tcBorders>
                  <w:noWrap w:val="0"/>
                  <w:vAlign w:val="center"/>
                </w:tcPr>
                <w:p w14:paraId="515FA2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≤3.0</w:t>
                  </w:r>
                </w:p>
              </w:tc>
            </w:tr>
            <w:tr w14:paraId="2DC3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40" w:type="pct"/>
                  <w:tcBorders>
                    <w:tl2br w:val="nil"/>
                    <w:tr2bl w:val="nil"/>
                  </w:tcBorders>
                  <w:noWrap w:val="0"/>
                  <w:vAlign w:val="center"/>
                </w:tcPr>
                <w:p w14:paraId="6AC220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硫酸盐（mg/L）</w:t>
                  </w:r>
                </w:p>
              </w:tc>
              <w:tc>
                <w:tcPr>
                  <w:tcW w:w="890" w:type="pct"/>
                  <w:tcBorders>
                    <w:tl2br w:val="nil"/>
                    <w:tr2bl w:val="nil"/>
                  </w:tcBorders>
                  <w:noWrap w:val="0"/>
                  <w:vAlign w:val="center"/>
                </w:tcPr>
                <w:p w14:paraId="0D871E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rPr>
                  </w:pPr>
                  <w:r>
                    <w:rPr>
                      <w:rFonts w:hint="default" w:ascii="Times New Roman" w:hAnsi="Times New Roman" w:cs="Times New Roman" w:eastAsiaTheme="minorEastAsia"/>
                      <w:caps w:val="0"/>
                      <w:color w:val="auto"/>
                      <w:sz w:val="21"/>
                      <w:szCs w:val="21"/>
                      <w:highlight w:val="none"/>
                    </w:rPr>
                    <w:t>≤250</w:t>
                  </w:r>
                </w:p>
              </w:tc>
              <w:tc>
                <w:tcPr>
                  <w:tcW w:w="1613" w:type="pct"/>
                  <w:tcBorders>
                    <w:tl2br w:val="nil"/>
                    <w:tr2bl w:val="nil"/>
                  </w:tcBorders>
                  <w:noWrap w:val="0"/>
                  <w:vAlign w:val="center"/>
                </w:tcPr>
                <w:p w14:paraId="7549C5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lang w:val="en-US" w:eastAsia="zh-CN"/>
                    </w:rPr>
                  </w:pPr>
                  <w:r>
                    <w:rPr>
                      <w:rFonts w:hint="default" w:ascii="Times New Roman" w:hAnsi="Times New Roman" w:cs="Times New Roman" w:eastAsiaTheme="minorEastAsia"/>
                      <w:caps w:val="0"/>
                      <w:color w:val="auto"/>
                      <w:sz w:val="21"/>
                      <w:szCs w:val="21"/>
                      <w:highlight w:val="none"/>
                      <w:lang w:val="en-US" w:eastAsia="zh-CN"/>
                    </w:rPr>
                    <w:t>/</w:t>
                  </w:r>
                </w:p>
              </w:tc>
              <w:tc>
                <w:tcPr>
                  <w:tcW w:w="1055" w:type="pct"/>
                  <w:tcBorders>
                    <w:tl2br w:val="nil"/>
                    <w:tr2bl w:val="nil"/>
                  </w:tcBorders>
                  <w:noWrap w:val="0"/>
                  <w:vAlign w:val="center"/>
                </w:tcPr>
                <w:p w14:paraId="6E1164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aps w:val="0"/>
                      <w:color w:val="auto"/>
                      <w:sz w:val="21"/>
                      <w:szCs w:val="21"/>
                      <w:highlight w:val="none"/>
                      <w:lang w:val="en-US" w:eastAsia="zh-CN"/>
                    </w:rPr>
                  </w:pPr>
                  <w:r>
                    <w:rPr>
                      <w:rFonts w:hint="default" w:ascii="Times New Roman" w:hAnsi="Times New Roman" w:cs="Times New Roman" w:eastAsiaTheme="minorEastAsia"/>
                      <w:caps w:val="0"/>
                      <w:color w:val="auto"/>
                      <w:sz w:val="21"/>
                      <w:szCs w:val="21"/>
                      <w:highlight w:val="none"/>
                      <w:lang w:val="en-US" w:eastAsia="zh-CN"/>
                    </w:rPr>
                    <w:t>/</w:t>
                  </w:r>
                </w:p>
              </w:tc>
            </w:tr>
          </w:tbl>
          <w:p w14:paraId="4F43898A">
            <w:pPr>
              <w:keepNext w:val="0"/>
              <w:keepLines w:val="0"/>
              <w:pageBreakBefore w:val="0"/>
              <w:widowControl w:val="0"/>
              <w:tabs>
                <w:tab w:val="left" w:pos="4830"/>
              </w:tabs>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6、土壤环境</w:t>
            </w:r>
          </w:p>
          <w:p w14:paraId="554F5386">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auto"/>
                <w:szCs w:val="28"/>
                <w:lang w:val="en-US" w:eastAsia="zh-CN"/>
              </w:rPr>
            </w:pPr>
            <w:r>
              <w:rPr>
                <w:rFonts w:hint="eastAsia" w:cs="Times New Roman"/>
                <w:b w:val="0"/>
                <w:bCs/>
                <w:color w:val="auto"/>
                <w:szCs w:val="28"/>
                <w:lang w:val="en-US" w:eastAsia="zh-CN"/>
              </w:rPr>
              <w:t>（1）土壤环境执行标准</w:t>
            </w:r>
          </w:p>
          <w:p w14:paraId="1C5B393E">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本项目占地范围内土壤环境质量标准执行《土壤环境质量 建设用地土壤污染风险管控标准（试行）》（GB 36600-2018）中第二类用地筛选值；占地范围外空地参照执行《土壤环境质量 农用地土壤污染风险管控标准（试行）》（GB15618-2018）中 “其他用地”筛选值标准，具体见表3-7和3-8。</w:t>
            </w:r>
          </w:p>
          <w:p w14:paraId="4B74647B">
            <w:pPr>
              <w:spacing w:line="240" w:lineRule="auto"/>
              <w:jc w:val="center"/>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3-7</w:t>
            </w:r>
            <w:r>
              <w:rPr>
                <w:rFonts w:hint="eastAsia" w:ascii="Times New Roman" w:hAnsi="Times New Roman" w:eastAsia="宋体" w:cs="Times New Roman"/>
                <w:b/>
                <w:color w:val="auto"/>
                <w:sz w:val="24"/>
                <w:szCs w:val="24"/>
              </w:rPr>
              <w:t xml:space="preserve">   建设用地土壤污染风险管控标准值（单位：mg/kg）</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060"/>
              <w:gridCol w:w="1589"/>
              <w:gridCol w:w="1554"/>
              <w:gridCol w:w="1559"/>
            </w:tblGrid>
            <w:tr w14:paraId="17CA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78F3B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313" w:type="pct"/>
                  <w:noWrap w:val="0"/>
                  <w:vAlign w:val="center"/>
                </w:tcPr>
                <w:p w14:paraId="2E361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污染物项目</w:t>
                  </w:r>
                </w:p>
              </w:tc>
              <w:tc>
                <w:tcPr>
                  <w:tcW w:w="1013" w:type="pct"/>
                  <w:noWrap w:val="0"/>
                  <w:vAlign w:val="center"/>
                </w:tcPr>
                <w:p w14:paraId="7B500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CAS编号</w:t>
                  </w:r>
                </w:p>
              </w:tc>
              <w:tc>
                <w:tcPr>
                  <w:tcW w:w="991" w:type="pct"/>
                  <w:noWrap w:val="0"/>
                  <w:vAlign w:val="center"/>
                </w:tcPr>
                <w:p w14:paraId="7A756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筛选值</w:t>
                  </w:r>
                </w:p>
              </w:tc>
              <w:tc>
                <w:tcPr>
                  <w:tcW w:w="992" w:type="pct"/>
                  <w:noWrap w:val="0"/>
                  <w:vAlign w:val="center"/>
                </w:tcPr>
                <w:p w14:paraId="5C54C2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管制值</w:t>
                  </w:r>
                </w:p>
              </w:tc>
            </w:tr>
            <w:tr w14:paraId="19C8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000" w:type="pct"/>
                  <w:gridSpan w:val="5"/>
                  <w:noWrap w:val="0"/>
                  <w:vAlign w:val="center"/>
                </w:tcPr>
                <w:p w14:paraId="6DD8D5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z w:val="21"/>
                      <w:szCs w:val="21"/>
                    </w:rPr>
                    <w:t>重金属和无机物</w:t>
                  </w:r>
                </w:p>
              </w:tc>
            </w:tr>
            <w:tr w14:paraId="3506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52349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1313" w:type="pct"/>
                  <w:noWrap w:val="0"/>
                  <w:vAlign w:val="center"/>
                </w:tcPr>
                <w:p w14:paraId="2E699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砷</w:t>
                  </w:r>
                </w:p>
              </w:tc>
              <w:tc>
                <w:tcPr>
                  <w:tcW w:w="1013" w:type="pct"/>
                  <w:noWrap w:val="0"/>
                  <w:vAlign w:val="center"/>
                </w:tcPr>
                <w:p w14:paraId="623273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7440-38-2</w:t>
                  </w:r>
                </w:p>
              </w:tc>
              <w:tc>
                <w:tcPr>
                  <w:tcW w:w="991" w:type="pct"/>
                  <w:noWrap w:val="0"/>
                  <w:vAlign w:val="center"/>
                </w:tcPr>
                <w:p w14:paraId="23B606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60</w:t>
                  </w:r>
                </w:p>
              </w:tc>
              <w:tc>
                <w:tcPr>
                  <w:tcW w:w="992" w:type="pct"/>
                  <w:noWrap w:val="0"/>
                  <w:vAlign w:val="center"/>
                </w:tcPr>
                <w:p w14:paraId="3BC233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140</w:t>
                  </w:r>
                </w:p>
              </w:tc>
            </w:tr>
            <w:tr w14:paraId="040B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51F988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313" w:type="pct"/>
                  <w:noWrap w:val="0"/>
                  <w:vAlign w:val="center"/>
                </w:tcPr>
                <w:p w14:paraId="450BF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镉</w:t>
                  </w:r>
                </w:p>
              </w:tc>
              <w:tc>
                <w:tcPr>
                  <w:tcW w:w="1013" w:type="pct"/>
                  <w:noWrap w:val="0"/>
                  <w:vAlign w:val="center"/>
                </w:tcPr>
                <w:p w14:paraId="6C915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7440-43-9</w:t>
                  </w:r>
                </w:p>
              </w:tc>
              <w:tc>
                <w:tcPr>
                  <w:tcW w:w="991" w:type="pct"/>
                  <w:noWrap w:val="0"/>
                  <w:vAlign w:val="center"/>
                </w:tcPr>
                <w:p w14:paraId="30651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w:t>
                  </w:r>
                </w:p>
              </w:tc>
              <w:tc>
                <w:tcPr>
                  <w:tcW w:w="992" w:type="pct"/>
                  <w:noWrap w:val="0"/>
                  <w:vAlign w:val="center"/>
                </w:tcPr>
                <w:p w14:paraId="0FE89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172</w:t>
                  </w:r>
                </w:p>
              </w:tc>
            </w:tr>
            <w:tr w14:paraId="7E3F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4877D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1313" w:type="pct"/>
                  <w:noWrap w:val="0"/>
                  <w:vAlign w:val="center"/>
                </w:tcPr>
                <w:p w14:paraId="2A176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铬（六价）</w:t>
                  </w:r>
                </w:p>
              </w:tc>
              <w:tc>
                <w:tcPr>
                  <w:tcW w:w="1013" w:type="pct"/>
                  <w:noWrap w:val="0"/>
                  <w:vAlign w:val="center"/>
                </w:tcPr>
                <w:p w14:paraId="6779D7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18540-29-9</w:t>
                  </w:r>
                </w:p>
              </w:tc>
              <w:tc>
                <w:tcPr>
                  <w:tcW w:w="991" w:type="pct"/>
                  <w:noWrap w:val="0"/>
                  <w:vAlign w:val="center"/>
                </w:tcPr>
                <w:p w14:paraId="35255B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5.7</w:t>
                  </w:r>
                </w:p>
              </w:tc>
              <w:tc>
                <w:tcPr>
                  <w:tcW w:w="992" w:type="pct"/>
                  <w:noWrap w:val="0"/>
                  <w:vAlign w:val="center"/>
                </w:tcPr>
                <w:p w14:paraId="0295A2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78</w:t>
                  </w:r>
                </w:p>
              </w:tc>
            </w:tr>
            <w:tr w14:paraId="4C97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74FD81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1313" w:type="pct"/>
                  <w:noWrap w:val="0"/>
                  <w:vAlign w:val="center"/>
                </w:tcPr>
                <w:p w14:paraId="24AEB7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铜</w:t>
                  </w:r>
                </w:p>
              </w:tc>
              <w:tc>
                <w:tcPr>
                  <w:tcW w:w="1013" w:type="pct"/>
                  <w:noWrap w:val="0"/>
                  <w:vAlign w:val="center"/>
                </w:tcPr>
                <w:p w14:paraId="1AA501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7440-50-8</w:t>
                  </w:r>
                </w:p>
              </w:tc>
              <w:tc>
                <w:tcPr>
                  <w:tcW w:w="991" w:type="pct"/>
                  <w:noWrap w:val="0"/>
                  <w:vAlign w:val="center"/>
                </w:tcPr>
                <w:p w14:paraId="0F45A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18000</w:t>
                  </w:r>
                </w:p>
              </w:tc>
              <w:tc>
                <w:tcPr>
                  <w:tcW w:w="992" w:type="pct"/>
                  <w:noWrap w:val="0"/>
                  <w:vAlign w:val="center"/>
                </w:tcPr>
                <w:p w14:paraId="72A3E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36000</w:t>
                  </w:r>
                </w:p>
              </w:tc>
            </w:tr>
            <w:tr w14:paraId="007A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4D775F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1313" w:type="pct"/>
                  <w:noWrap w:val="0"/>
                  <w:vAlign w:val="center"/>
                </w:tcPr>
                <w:p w14:paraId="30348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铅</w:t>
                  </w:r>
                </w:p>
              </w:tc>
              <w:tc>
                <w:tcPr>
                  <w:tcW w:w="1013" w:type="pct"/>
                  <w:noWrap w:val="0"/>
                  <w:vAlign w:val="center"/>
                </w:tcPr>
                <w:p w14:paraId="00D937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7439-92-1</w:t>
                  </w:r>
                </w:p>
              </w:tc>
              <w:tc>
                <w:tcPr>
                  <w:tcW w:w="991" w:type="pct"/>
                  <w:noWrap w:val="0"/>
                  <w:vAlign w:val="center"/>
                </w:tcPr>
                <w:p w14:paraId="177F9F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800</w:t>
                  </w:r>
                </w:p>
              </w:tc>
              <w:tc>
                <w:tcPr>
                  <w:tcW w:w="992" w:type="pct"/>
                  <w:noWrap w:val="0"/>
                  <w:vAlign w:val="center"/>
                </w:tcPr>
                <w:p w14:paraId="5A6A2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2500</w:t>
                  </w:r>
                </w:p>
              </w:tc>
            </w:tr>
            <w:tr w14:paraId="29C0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5731A2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w:t>
                  </w:r>
                </w:p>
              </w:tc>
              <w:tc>
                <w:tcPr>
                  <w:tcW w:w="1313" w:type="pct"/>
                  <w:noWrap w:val="0"/>
                  <w:vAlign w:val="center"/>
                </w:tcPr>
                <w:p w14:paraId="38FD74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汞</w:t>
                  </w:r>
                </w:p>
              </w:tc>
              <w:tc>
                <w:tcPr>
                  <w:tcW w:w="1013" w:type="pct"/>
                  <w:noWrap w:val="0"/>
                  <w:vAlign w:val="center"/>
                </w:tcPr>
                <w:p w14:paraId="01543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7439-97-6</w:t>
                  </w:r>
                </w:p>
              </w:tc>
              <w:tc>
                <w:tcPr>
                  <w:tcW w:w="991" w:type="pct"/>
                  <w:noWrap w:val="0"/>
                  <w:vAlign w:val="center"/>
                </w:tcPr>
                <w:p w14:paraId="406FC5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38</w:t>
                  </w:r>
                </w:p>
              </w:tc>
              <w:tc>
                <w:tcPr>
                  <w:tcW w:w="992" w:type="pct"/>
                  <w:noWrap w:val="0"/>
                  <w:vAlign w:val="center"/>
                </w:tcPr>
                <w:p w14:paraId="2B668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82</w:t>
                  </w:r>
                </w:p>
              </w:tc>
            </w:tr>
            <w:tr w14:paraId="4B45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73B8E1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w:t>
                  </w:r>
                </w:p>
              </w:tc>
              <w:tc>
                <w:tcPr>
                  <w:tcW w:w="1313" w:type="pct"/>
                  <w:noWrap w:val="0"/>
                  <w:vAlign w:val="center"/>
                </w:tcPr>
                <w:p w14:paraId="49A4D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镍</w:t>
                  </w:r>
                </w:p>
              </w:tc>
              <w:tc>
                <w:tcPr>
                  <w:tcW w:w="1013" w:type="pct"/>
                  <w:noWrap w:val="0"/>
                  <w:vAlign w:val="center"/>
                </w:tcPr>
                <w:p w14:paraId="554557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7440-02-0</w:t>
                  </w:r>
                </w:p>
              </w:tc>
              <w:tc>
                <w:tcPr>
                  <w:tcW w:w="991" w:type="pct"/>
                  <w:noWrap w:val="0"/>
                  <w:vAlign w:val="center"/>
                </w:tcPr>
                <w:p w14:paraId="4973E9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900</w:t>
                  </w:r>
                </w:p>
              </w:tc>
              <w:tc>
                <w:tcPr>
                  <w:tcW w:w="992" w:type="pct"/>
                  <w:noWrap w:val="0"/>
                  <w:vAlign w:val="center"/>
                </w:tcPr>
                <w:p w14:paraId="0359F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2000</w:t>
                  </w:r>
                </w:p>
              </w:tc>
            </w:tr>
            <w:tr w14:paraId="7520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5"/>
                  <w:noWrap w:val="0"/>
                  <w:vAlign w:val="center"/>
                </w:tcPr>
                <w:p w14:paraId="4967CE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z w:val="21"/>
                      <w:szCs w:val="21"/>
                    </w:rPr>
                    <w:t>挥发性有机物</w:t>
                  </w:r>
                </w:p>
              </w:tc>
            </w:tr>
            <w:tr w14:paraId="75F4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35187D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c>
                <w:tcPr>
                  <w:tcW w:w="1313" w:type="pct"/>
                  <w:noWrap w:val="0"/>
                  <w:vAlign w:val="center"/>
                </w:tcPr>
                <w:p w14:paraId="44383E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四氯化碳</w:t>
                  </w:r>
                </w:p>
              </w:tc>
              <w:tc>
                <w:tcPr>
                  <w:tcW w:w="1013" w:type="pct"/>
                  <w:noWrap w:val="0"/>
                  <w:vAlign w:val="center"/>
                </w:tcPr>
                <w:p w14:paraId="0F5510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56-23-5</w:t>
                  </w:r>
                </w:p>
              </w:tc>
              <w:tc>
                <w:tcPr>
                  <w:tcW w:w="991" w:type="pct"/>
                  <w:noWrap w:val="0"/>
                  <w:vAlign w:val="center"/>
                </w:tcPr>
                <w:p w14:paraId="02A46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c>
                <w:tcPr>
                  <w:tcW w:w="992" w:type="pct"/>
                  <w:noWrap w:val="0"/>
                  <w:vAlign w:val="center"/>
                </w:tcPr>
                <w:p w14:paraId="4A7040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36</w:t>
                  </w:r>
                </w:p>
              </w:tc>
            </w:tr>
            <w:tr w14:paraId="765A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18FC1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w:t>
                  </w:r>
                </w:p>
              </w:tc>
              <w:tc>
                <w:tcPr>
                  <w:tcW w:w="1313" w:type="pct"/>
                  <w:noWrap w:val="0"/>
                  <w:vAlign w:val="center"/>
                </w:tcPr>
                <w:p w14:paraId="31EC77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氯仿</w:t>
                  </w:r>
                </w:p>
              </w:tc>
              <w:tc>
                <w:tcPr>
                  <w:tcW w:w="1013" w:type="pct"/>
                  <w:noWrap w:val="0"/>
                  <w:vAlign w:val="center"/>
                </w:tcPr>
                <w:p w14:paraId="2D6FB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67-66-3</w:t>
                  </w:r>
                </w:p>
              </w:tc>
              <w:tc>
                <w:tcPr>
                  <w:tcW w:w="991" w:type="pct"/>
                  <w:noWrap w:val="0"/>
                  <w:vAlign w:val="center"/>
                </w:tcPr>
                <w:p w14:paraId="570180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0.9</w:t>
                  </w:r>
                </w:p>
              </w:tc>
              <w:tc>
                <w:tcPr>
                  <w:tcW w:w="992" w:type="pct"/>
                  <w:noWrap w:val="0"/>
                  <w:vAlign w:val="center"/>
                </w:tcPr>
                <w:p w14:paraId="44C313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r>
            <w:tr w14:paraId="4B77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325CD5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1313" w:type="pct"/>
                  <w:noWrap w:val="0"/>
                  <w:vAlign w:val="center"/>
                </w:tcPr>
                <w:p w14:paraId="6F006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氯甲烷</w:t>
                  </w:r>
                </w:p>
              </w:tc>
              <w:tc>
                <w:tcPr>
                  <w:tcW w:w="1013" w:type="pct"/>
                  <w:noWrap w:val="0"/>
                  <w:vAlign w:val="center"/>
                </w:tcPr>
                <w:p w14:paraId="0B49C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74-87-3</w:t>
                  </w:r>
                </w:p>
              </w:tc>
              <w:tc>
                <w:tcPr>
                  <w:tcW w:w="991" w:type="pct"/>
                  <w:noWrap w:val="0"/>
                  <w:vAlign w:val="center"/>
                </w:tcPr>
                <w:p w14:paraId="3B6D9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37</w:t>
                  </w:r>
                </w:p>
              </w:tc>
              <w:tc>
                <w:tcPr>
                  <w:tcW w:w="992" w:type="pct"/>
                  <w:noWrap w:val="0"/>
                  <w:vAlign w:val="center"/>
                </w:tcPr>
                <w:p w14:paraId="20026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120</w:t>
                  </w:r>
                </w:p>
              </w:tc>
            </w:tr>
            <w:tr w14:paraId="24CB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9" w:type="pct"/>
                  <w:noWrap w:val="0"/>
                  <w:vAlign w:val="center"/>
                </w:tcPr>
                <w:p w14:paraId="2FC5B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w:t>
                  </w:r>
                </w:p>
              </w:tc>
              <w:tc>
                <w:tcPr>
                  <w:tcW w:w="1313" w:type="pct"/>
                  <w:noWrap w:val="0"/>
                  <w:vAlign w:val="center"/>
                </w:tcPr>
                <w:p w14:paraId="3738B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1,1-二氯乙烷</w:t>
                  </w:r>
                </w:p>
              </w:tc>
              <w:tc>
                <w:tcPr>
                  <w:tcW w:w="1013" w:type="pct"/>
                  <w:noWrap w:val="0"/>
                  <w:vAlign w:val="center"/>
                </w:tcPr>
                <w:p w14:paraId="4FFEF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75-34-3</w:t>
                  </w:r>
                </w:p>
              </w:tc>
              <w:tc>
                <w:tcPr>
                  <w:tcW w:w="991" w:type="pct"/>
                  <w:noWrap w:val="0"/>
                  <w:vAlign w:val="center"/>
                </w:tcPr>
                <w:p w14:paraId="279362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w:t>
                  </w:r>
                </w:p>
              </w:tc>
              <w:tc>
                <w:tcPr>
                  <w:tcW w:w="992" w:type="pct"/>
                  <w:noWrap w:val="0"/>
                  <w:vAlign w:val="center"/>
                </w:tcPr>
                <w:p w14:paraId="137CD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r>
            <w:tr w14:paraId="51BF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69AA54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w:t>
                  </w:r>
                </w:p>
              </w:tc>
              <w:tc>
                <w:tcPr>
                  <w:tcW w:w="1313" w:type="pct"/>
                  <w:noWrap w:val="0"/>
                  <w:vAlign w:val="center"/>
                </w:tcPr>
                <w:p w14:paraId="18BD5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1,2-二氯乙烷</w:t>
                  </w:r>
                </w:p>
              </w:tc>
              <w:tc>
                <w:tcPr>
                  <w:tcW w:w="1013" w:type="pct"/>
                  <w:noWrap w:val="0"/>
                  <w:vAlign w:val="center"/>
                </w:tcPr>
                <w:p w14:paraId="770DE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107-06-2</w:t>
                  </w:r>
                </w:p>
              </w:tc>
              <w:tc>
                <w:tcPr>
                  <w:tcW w:w="991" w:type="pct"/>
                  <w:noWrap w:val="0"/>
                  <w:vAlign w:val="center"/>
                </w:tcPr>
                <w:p w14:paraId="614FB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992" w:type="pct"/>
                  <w:noWrap w:val="0"/>
                  <w:vAlign w:val="center"/>
                </w:tcPr>
                <w:p w14:paraId="14796F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w:t>
                  </w:r>
                </w:p>
              </w:tc>
            </w:tr>
            <w:tr w14:paraId="3254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617EEC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w:t>
                  </w:r>
                </w:p>
              </w:tc>
              <w:tc>
                <w:tcPr>
                  <w:tcW w:w="1313" w:type="pct"/>
                  <w:noWrap w:val="0"/>
                  <w:vAlign w:val="center"/>
                </w:tcPr>
                <w:p w14:paraId="34036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1,1-二氯乙烯</w:t>
                  </w:r>
                </w:p>
              </w:tc>
              <w:tc>
                <w:tcPr>
                  <w:tcW w:w="1013" w:type="pct"/>
                  <w:noWrap w:val="0"/>
                  <w:vAlign w:val="center"/>
                </w:tcPr>
                <w:p w14:paraId="78280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75-35-4</w:t>
                  </w:r>
                </w:p>
              </w:tc>
              <w:tc>
                <w:tcPr>
                  <w:tcW w:w="991" w:type="pct"/>
                  <w:noWrap w:val="0"/>
                  <w:vAlign w:val="center"/>
                </w:tcPr>
                <w:p w14:paraId="53EFA6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66</w:t>
                  </w:r>
                </w:p>
              </w:tc>
              <w:tc>
                <w:tcPr>
                  <w:tcW w:w="992" w:type="pct"/>
                  <w:noWrap w:val="0"/>
                  <w:vAlign w:val="center"/>
                </w:tcPr>
                <w:p w14:paraId="7FAD41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r>
            <w:tr w14:paraId="52C3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9" w:type="pct"/>
                  <w:noWrap w:val="0"/>
                  <w:vAlign w:val="center"/>
                </w:tcPr>
                <w:p w14:paraId="29454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w:t>
                  </w:r>
                </w:p>
              </w:tc>
              <w:tc>
                <w:tcPr>
                  <w:tcW w:w="1313" w:type="pct"/>
                  <w:noWrap w:val="0"/>
                  <w:vAlign w:val="center"/>
                </w:tcPr>
                <w:p w14:paraId="4DCAF1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顺-1,2-二氯乙烯</w:t>
                  </w:r>
                </w:p>
              </w:tc>
              <w:tc>
                <w:tcPr>
                  <w:tcW w:w="1013" w:type="pct"/>
                  <w:noWrap w:val="0"/>
                  <w:vAlign w:val="center"/>
                </w:tcPr>
                <w:p w14:paraId="569385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156-59-2</w:t>
                  </w:r>
                </w:p>
              </w:tc>
              <w:tc>
                <w:tcPr>
                  <w:tcW w:w="991" w:type="pct"/>
                  <w:noWrap w:val="0"/>
                  <w:vAlign w:val="center"/>
                </w:tcPr>
                <w:p w14:paraId="3B2514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596</w:t>
                  </w:r>
                </w:p>
              </w:tc>
              <w:tc>
                <w:tcPr>
                  <w:tcW w:w="992" w:type="pct"/>
                  <w:noWrap w:val="0"/>
                  <w:vAlign w:val="center"/>
                </w:tcPr>
                <w:p w14:paraId="0B320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2000</w:t>
                  </w:r>
                </w:p>
              </w:tc>
            </w:tr>
            <w:tr w14:paraId="1BBE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89" w:type="pct"/>
                  <w:noWrap w:val="0"/>
                  <w:vAlign w:val="center"/>
                </w:tcPr>
                <w:p w14:paraId="2F39B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1313" w:type="pct"/>
                  <w:noWrap w:val="0"/>
                  <w:vAlign w:val="center"/>
                </w:tcPr>
                <w:p w14:paraId="618970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反-1,2-二氯乙烯</w:t>
                  </w:r>
                </w:p>
              </w:tc>
              <w:tc>
                <w:tcPr>
                  <w:tcW w:w="1013" w:type="pct"/>
                  <w:noWrap w:val="0"/>
                  <w:vAlign w:val="center"/>
                </w:tcPr>
                <w:p w14:paraId="38511E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156-60-5</w:t>
                  </w:r>
                </w:p>
              </w:tc>
              <w:tc>
                <w:tcPr>
                  <w:tcW w:w="991" w:type="pct"/>
                  <w:noWrap w:val="0"/>
                  <w:vAlign w:val="center"/>
                </w:tcPr>
                <w:p w14:paraId="3EB03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54</w:t>
                  </w:r>
                </w:p>
              </w:tc>
              <w:tc>
                <w:tcPr>
                  <w:tcW w:w="992" w:type="pct"/>
                  <w:noWrap w:val="0"/>
                  <w:vAlign w:val="center"/>
                </w:tcPr>
                <w:p w14:paraId="097DC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163</w:t>
                  </w:r>
                </w:p>
              </w:tc>
            </w:tr>
            <w:tr w14:paraId="41AF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89" w:type="pct"/>
                  <w:noWrap w:val="0"/>
                  <w:vAlign w:val="center"/>
                </w:tcPr>
                <w:p w14:paraId="1E25A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16</w:t>
                  </w:r>
                </w:p>
              </w:tc>
              <w:tc>
                <w:tcPr>
                  <w:tcW w:w="1313" w:type="pct"/>
                  <w:noWrap w:val="0"/>
                  <w:vAlign w:val="center"/>
                </w:tcPr>
                <w:p w14:paraId="59813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二氯甲烷</w:t>
                  </w:r>
                </w:p>
              </w:tc>
              <w:tc>
                <w:tcPr>
                  <w:tcW w:w="1013" w:type="pct"/>
                  <w:noWrap w:val="0"/>
                  <w:vAlign w:val="center"/>
                </w:tcPr>
                <w:p w14:paraId="6AE04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75-09-2</w:t>
                  </w:r>
                </w:p>
              </w:tc>
              <w:tc>
                <w:tcPr>
                  <w:tcW w:w="991" w:type="pct"/>
                  <w:noWrap w:val="0"/>
                  <w:vAlign w:val="center"/>
                </w:tcPr>
                <w:p w14:paraId="4B3FC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616</w:t>
                  </w:r>
                </w:p>
              </w:tc>
              <w:tc>
                <w:tcPr>
                  <w:tcW w:w="992" w:type="pct"/>
                  <w:noWrap w:val="0"/>
                  <w:vAlign w:val="center"/>
                </w:tcPr>
                <w:p w14:paraId="6D4AB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2000</w:t>
                  </w:r>
                </w:p>
              </w:tc>
            </w:tr>
            <w:tr w14:paraId="649B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1254D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w:t>
                  </w:r>
                </w:p>
              </w:tc>
              <w:tc>
                <w:tcPr>
                  <w:tcW w:w="1313" w:type="pct"/>
                  <w:noWrap w:val="0"/>
                  <w:vAlign w:val="center"/>
                </w:tcPr>
                <w:p w14:paraId="5A6E0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1,2-二氯丙烷</w:t>
                  </w:r>
                </w:p>
              </w:tc>
              <w:tc>
                <w:tcPr>
                  <w:tcW w:w="1013" w:type="pct"/>
                  <w:noWrap w:val="0"/>
                  <w:vAlign w:val="center"/>
                </w:tcPr>
                <w:p w14:paraId="3C8FC4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78-87-5</w:t>
                  </w:r>
                </w:p>
              </w:tc>
              <w:tc>
                <w:tcPr>
                  <w:tcW w:w="991" w:type="pct"/>
                  <w:noWrap w:val="0"/>
                  <w:vAlign w:val="center"/>
                </w:tcPr>
                <w:p w14:paraId="39CA9B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992" w:type="pct"/>
                  <w:noWrap w:val="0"/>
                  <w:vAlign w:val="center"/>
                </w:tcPr>
                <w:p w14:paraId="5BD06C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47</w:t>
                  </w:r>
                </w:p>
              </w:tc>
            </w:tr>
            <w:tr w14:paraId="3BFF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7A173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w:t>
                  </w:r>
                </w:p>
              </w:tc>
              <w:tc>
                <w:tcPr>
                  <w:tcW w:w="1313" w:type="pct"/>
                  <w:noWrap w:val="0"/>
                  <w:vAlign w:val="center"/>
                </w:tcPr>
                <w:p w14:paraId="5CDD4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1,1,1,2-四氯乙烷</w:t>
                  </w:r>
                </w:p>
              </w:tc>
              <w:tc>
                <w:tcPr>
                  <w:tcW w:w="1013" w:type="pct"/>
                  <w:noWrap w:val="0"/>
                  <w:vAlign w:val="center"/>
                </w:tcPr>
                <w:p w14:paraId="04A8A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630-20-6</w:t>
                  </w:r>
                </w:p>
              </w:tc>
              <w:tc>
                <w:tcPr>
                  <w:tcW w:w="991" w:type="pct"/>
                  <w:noWrap w:val="0"/>
                  <w:vAlign w:val="center"/>
                </w:tcPr>
                <w:p w14:paraId="10C5B5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992" w:type="pct"/>
                  <w:noWrap w:val="0"/>
                  <w:vAlign w:val="center"/>
                </w:tcPr>
                <w:p w14:paraId="795CC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r>
            <w:tr w14:paraId="7837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89" w:type="pct"/>
                  <w:noWrap w:val="0"/>
                  <w:vAlign w:val="center"/>
                </w:tcPr>
                <w:p w14:paraId="7B37D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19</w:t>
                  </w:r>
                </w:p>
              </w:tc>
              <w:tc>
                <w:tcPr>
                  <w:tcW w:w="1313" w:type="pct"/>
                  <w:noWrap w:val="0"/>
                  <w:vAlign w:val="center"/>
                </w:tcPr>
                <w:p w14:paraId="5C78C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1,1,2,2-四氯乙烷</w:t>
                  </w:r>
                </w:p>
              </w:tc>
              <w:tc>
                <w:tcPr>
                  <w:tcW w:w="1013" w:type="pct"/>
                  <w:noWrap w:val="0"/>
                  <w:vAlign w:val="center"/>
                </w:tcPr>
                <w:p w14:paraId="3C199F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79-34-5</w:t>
                  </w:r>
                </w:p>
              </w:tc>
              <w:tc>
                <w:tcPr>
                  <w:tcW w:w="991" w:type="pct"/>
                  <w:noWrap w:val="0"/>
                  <w:vAlign w:val="center"/>
                </w:tcPr>
                <w:p w14:paraId="4DA0C1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6.8</w:t>
                  </w:r>
                </w:p>
              </w:tc>
              <w:tc>
                <w:tcPr>
                  <w:tcW w:w="992" w:type="pct"/>
                  <w:noWrap w:val="0"/>
                  <w:vAlign w:val="center"/>
                </w:tcPr>
                <w:p w14:paraId="7F1228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r>
            <w:tr w14:paraId="08E0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6FC806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1313" w:type="pct"/>
                  <w:noWrap w:val="0"/>
                  <w:vAlign w:val="center"/>
                </w:tcPr>
                <w:p w14:paraId="052E7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四氯乙烯</w:t>
                  </w:r>
                </w:p>
              </w:tc>
              <w:tc>
                <w:tcPr>
                  <w:tcW w:w="1013" w:type="pct"/>
                  <w:noWrap w:val="0"/>
                  <w:vAlign w:val="center"/>
                </w:tcPr>
                <w:p w14:paraId="72BB5E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127-18-4</w:t>
                  </w:r>
                </w:p>
              </w:tc>
              <w:tc>
                <w:tcPr>
                  <w:tcW w:w="991" w:type="pct"/>
                  <w:noWrap w:val="0"/>
                  <w:vAlign w:val="center"/>
                </w:tcPr>
                <w:p w14:paraId="729BF1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53</w:t>
                  </w:r>
                </w:p>
              </w:tc>
              <w:tc>
                <w:tcPr>
                  <w:tcW w:w="992" w:type="pct"/>
                  <w:noWrap w:val="0"/>
                  <w:vAlign w:val="center"/>
                </w:tcPr>
                <w:p w14:paraId="50725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183</w:t>
                  </w:r>
                </w:p>
              </w:tc>
            </w:tr>
            <w:tr w14:paraId="3E7A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1D0E75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w:t>
                  </w:r>
                </w:p>
              </w:tc>
              <w:tc>
                <w:tcPr>
                  <w:tcW w:w="1313" w:type="pct"/>
                  <w:noWrap w:val="0"/>
                  <w:vAlign w:val="center"/>
                </w:tcPr>
                <w:p w14:paraId="0F91A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1,1,1-三氯乙烷</w:t>
                  </w:r>
                </w:p>
              </w:tc>
              <w:tc>
                <w:tcPr>
                  <w:tcW w:w="1013" w:type="pct"/>
                  <w:noWrap w:val="0"/>
                  <w:vAlign w:val="center"/>
                </w:tcPr>
                <w:p w14:paraId="4F82C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71-55-6</w:t>
                  </w:r>
                </w:p>
              </w:tc>
              <w:tc>
                <w:tcPr>
                  <w:tcW w:w="991" w:type="pct"/>
                  <w:noWrap w:val="0"/>
                  <w:vAlign w:val="center"/>
                </w:tcPr>
                <w:p w14:paraId="539CD8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840</w:t>
                  </w:r>
                </w:p>
              </w:tc>
              <w:tc>
                <w:tcPr>
                  <w:tcW w:w="992" w:type="pct"/>
                  <w:noWrap w:val="0"/>
                  <w:vAlign w:val="center"/>
                </w:tcPr>
                <w:p w14:paraId="29F9C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840</w:t>
                  </w:r>
                </w:p>
              </w:tc>
            </w:tr>
            <w:tr w14:paraId="771C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9" w:type="pct"/>
                  <w:noWrap w:val="0"/>
                  <w:vAlign w:val="center"/>
                </w:tcPr>
                <w:p w14:paraId="390E85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w:t>
                  </w:r>
                </w:p>
              </w:tc>
              <w:tc>
                <w:tcPr>
                  <w:tcW w:w="1313" w:type="pct"/>
                  <w:noWrap w:val="0"/>
                  <w:vAlign w:val="center"/>
                </w:tcPr>
                <w:p w14:paraId="25D6BC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1,1,2-三氯乙烷</w:t>
                  </w:r>
                </w:p>
              </w:tc>
              <w:tc>
                <w:tcPr>
                  <w:tcW w:w="1013" w:type="pct"/>
                  <w:noWrap w:val="0"/>
                  <w:vAlign w:val="center"/>
                </w:tcPr>
                <w:p w14:paraId="2183C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79-00-5</w:t>
                  </w:r>
                </w:p>
              </w:tc>
              <w:tc>
                <w:tcPr>
                  <w:tcW w:w="991" w:type="pct"/>
                  <w:noWrap w:val="0"/>
                  <w:vAlign w:val="center"/>
                </w:tcPr>
                <w:p w14:paraId="602093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c>
                <w:tcPr>
                  <w:tcW w:w="992" w:type="pct"/>
                  <w:noWrap w:val="0"/>
                  <w:vAlign w:val="center"/>
                </w:tcPr>
                <w:p w14:paraId="3233C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r>
            <w:tr w14:paraId="1040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50BC0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23</w:t>
                  </w:r>
                </w:p>
              </w:tc>
              <w:tc>
                <w:tcPr>
                  <w:tcW w:w="1313" w:type="pct"/>
                  <w:noWrap w:val="0"/>
                  <w:vAlign w:val="center"/>
                </w:tcPr>
                <w:p w14:paraId="56187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三氯乙烯</w:t>
                  </w:r>
                </w:p>
              </w:tc>
              <w:tc>
                <w:tcPr>
                  <w:tcW w:w="1013" w:type="pct"/>
                  <w:noWrap w:val="0"/>
                  <w:vAlign w:val="center"/>
                </w:tcPr>
                <w:p w14:paraId="47A9C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79-01-6</w:t>
                  </w:r>
                </w:p>
              </w:tc>
              <w:tc>
                <w:tcPr>
                  <w:tcW w:w="991" w:type="pct"/>
                  <w:noWrap w:val="0"/>
                  <w:vAlign w:val="center"/>
                </w:tcPr>
                <w:p w14:paraId="22F773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c>
                <w:tcPr>
                  <w:tcW w:w="992" w:type="pct"/>
                  <w:noWrap w:val="0"/>
                  <w:vAlign w:val="center"/>
                </w:tcPr>
                <w:p w14:paraId="79DB1C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r>
            <w:tr w14:paraId="63B6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0E286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w:t>
                  </w:r>
                </w:p>
              </w:tc>
              <w:tc>
                <w:tcPr>
                  <w:tcW w:w="1313" w:type="pct"/>
                  <w:noWrap w:val="0"/>
                  <w:vAlign w:val="center"/>
                </w:tcPr>
                <w:p w14:paraId="61A3D2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1,2,3-三氯丙烷</w:t>
                  </w:r>
                </w:p>
              </w:tc>
              <w:tc>
                <w:tcPr>
                  <w:tcW w:w="1013" w:type="pct"/>
                  <w:noWrap w:val="0"/>
                  <w:vAlign w:val="center"/>
                </w:tcPr>
                <w:p w14:paraId="7292E4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96-18-4</w:t>
                  </w:r>
                </w:p>
              </w:tc>
              <w:tc>
                <w:tcPr>
                  <w:tcW w:w="991" w:type="pct"/>
                  <w:noWrap w:val="0"/>
                  <w:vAlign w:val="center"/>
                </w:tcPr>
                <w:p w14:paraId="4C7C6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w:t>
                  </w:r>
                </w:p>
              </w:tc>
              <w:tc>
                <w:tcPr>
                  <w:tcW w:w="992" w:type="pct"/>
                  <w:noWrap w:val="0"/>
                  <w:vAlign w:val="center"/>
                </w:tcPr>
                <w:p w14:paraId="15DC6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r>
            <w:tr w14:paraId="1C0B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7C313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w:t>
                  </w:r>
                </w:p>
              </w:tc>
              <w:tc>
                <w:tcPr>
                  <w:tcW w:w="1313" w:type="pct"/>
                  <w:noWrap w:val="0"/>
                  <w:vAlign w:val="center"/>
                </w:tcPr>
                <w:p w14:paraId="09B6B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氯乙烯</w:t>
                  </w:r>
                </w:p>
              </w:tc>
              <w:tc>
                <w:tcPr>
                  <w:tcW w:w="1013" w:type="pct"/>
                  <w:noWrap w:val="0"/>
                  <w:vAlign w:val="center"/>
                </w:tcPr>
                <w:p w14:paraId="35442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75-01-4</w:t>
                  </w:r>
                </w:p>
              </w:tc>
              <w:tc>
                <w:tcPr>
                  <w:tcW w:w="991" w:type="pct"/>
                  <w:noWrap w:val="0"/>
                  <w:vAlign w:val="center"/>
                </w:tcPr>
                <w:p w14:paraId="372EC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0.43</w:t>
                  </w:r>
                </w:p>
              </w:tc>
              <w:tc>
                <w:tcPr>
                  <w:tcW w:w="992" w:type="pct"/>
                  <w:noWrap w:val="0"/>
                  <w:vAlign w:val="center"/>
                </w:tcPr>
                <w:p w14:paraId="6B913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4.3</w:t>
                  </w:r>
                </w:p>
              </w:tc>
            </w:tr>
            <w:tr w14:paraId="3ACA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735EB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w:t>
                  </w:r>
                </w:p>
              </w:tc>
              <w:tc>
                <w:tcPr>
                  <w:tcW w:w="1313" w:type="pct"/>
                  <w:noWrap w:val="0"/>
                  <w:vAlign w:val="center"/>
                </w:tcPr>
                <w:p w14:paraId="3E9B7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w:t>
                  </w:r>
                </w:p>
              </w:tc>
              <w:tc>
                <w:tcPr>
                  <w:tcW w:w="1013" w:type="pct"/>
                  <w:noWrap w:val="0"/>
                  <w:vAlign w:val="center"/>
                </w:tcPr>
                <w:p w14:paraId="083B9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71-43-2</w:t>
                  </w:r>
                </w:p>
              </w:tc>
              <w:tc>
                <w:tcPr>
                  <w:tcW w:w="991" w:type="pct"/>
                  <w:noWrap w:val="0"/>
                  <w:vAlign w:val="center"/>
                </w:tcPr>
                <w:p w14:paraId="5526A9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992" w:type="pct"/>
                  <w:noWrap w:val="0"/>
                  <w:vAlign w:val="center"/>
                </w:tcPr>
                <w:p w14:paraId="44EB58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r>
            <w:tr w14:paraId="2023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2A513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w:t>
                  </w:r>
                </w:p>
              </w:tc>
              <w:tc>
                <w:tcPr>
                  <w:tcW w:w="1313" w:type="pct"/>
                  <w:noWrap w:val="0"/>
                  <w:vAlign w:val="center"/>
                </w:tcPr>
                <w:p w14:paraId="20CC6F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氯苯</w:t>
                  </w:r>
                </w:p>
              </w:tc>
              <w:tc>
                <w:tcPr>
                  <w:tcW w:w="1013" w:type="pct"/>
                  <w:noWrap w:val="0"/>
                  <w:vAlign w:val="center"/>
                </w:tcPr>
                <w:p w14:paraId="69565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108-90-7</w:t>
                  </w:r>
                </w:p>
              </w:tc>
              <w:tc>
                <w:tcPr>
                  <w:tcW w:w="991" w:type="pct"/>
                  <w:noWrap w:val="0"/>
                  <w:vAlign w:val="center"/>
                </w:tcPr>
                <w:p w14:paraId="1282B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270</w:t>
                  </w:r>
                </w:p>
              </w:tc>
              <w:tc>
                <w:tcPr>
                  <w:tcW w:w="992" w:type="pct"/>
                  <w:noWrap w:val="0"/>
                  <w:vAlign w:val="center"/>
                </w:tcPr>
                <w:p w14:paraId="7549E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1000</w:t>
                  </w:r>
                </w:p>
              </w:tc>
            </w:tr>
            <w:tr w14:paraId="02E6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6E1AD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c>
                <w:tcPr>
                  <w:tcW w:w="1313" w:type="pct"/>
                  <w:noWrap w:val="0"/>
                  <w:vAlign w:val="center"/>
                </w:tcPr>
                <w:p w14:paraId="44FD6C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1,2-二氯苯</w:t>
                  </w:r>
                </w:p>
              </w:tc>
              <w:tc>
                <w:tcPr>
                  <w:tcW w:w="1013" w:type="pct"/>
                  <w:noWrap w:val="0"/>
                  <w:vAlign w:val="center"/>
                </w:tcPr>
                <w:p w14:paraId="2B6AD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95-50-1</w:t>
                  </w:r>
                </w:p>
              </w:tc>
              <w:tc>
                <w:tcPr>
                  <w:tcW w:w="991" w:type="pct"/>
                  <w:noWrap w:val="0"/>
                  <w:vAlign w:val="center"/>
                </w:tcPr>
                <w:p w14:paraId="3DB8E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560</w:t>
                  </w:r>
                </w:p>
              </w:tc>
              <w:tc>
                <w:tcPr>
                  <w:tcW w:w="992" w:type="pct"/>
                  <w:noWrap w:val="0"/>
                  <w:vAlign w:val="center"/>
                </w:tcPr>
                <w:p w14:paraId="3F054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560</w:t>
                  </w:r>
                </w:p>
              </w:tc>
            </w:tr>
            <w:tr w14:paraId="69E4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557CE7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29</w:t>
                  </w:r>
                </w:p>
              </w:tc>
              <w:tc>
                <w:tcPr>
                  <w:tcW w:w="1313" w:type="pct"/>
                  <w:noWrap w:val="0"/>
                  <w:vAlign w:val="center"/>
                </w:tcPr>
                <w:p w14:paraId="43C05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1,4-二氯苯</w:t>
                  </w:r>
                </w:p>
              </w:tc>
              <w:tc>
                <w:tcPr>
                  <w:tcW w:w="1013" w:type="pct"/>
                  <w:noWrap w:val="0"/>
                  <w:vAlign w:val="center"/>
                </w:tcPr>
                <w:p w14:paraId="6FDBBD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106-46-7</w:t>
                  </w:r>
                </w:p>
              </w:tc>
              <w:tc>
                <w:tcPr>
                  <w:tcW w:w="991" w:type="pct"/>
                  <w:noWrap w:val="0"/>
                  <w:vAlign w:val="center"/>
                </w:tcPr>
                <w:p w14:paraId="2926C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992" w:type="pct"/>
                  <w:noWrap w:val="0"/>
                  <w:vAlign w:val="center"/>
                </w:tcPr>
                <w:p w14:paraId="4F092D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r>
            <w:tr w14:paraId="75BD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50BD0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c>
                <w:tcPr>
                  <w:tcW w:w="1313" w:type="pct"/>
                  <w:noWrap w:val="0"/>
                  <w:vAlign w:val="center"/>
                </w:tcPr>
                <w:p w14:paraId="4A178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乙苯</w:t>
                  </w:r>
                </w:p>
              </w:tc>
              <w:tc>
                <w:tcPr>
                  <w:tcW w:w="1013" w:type="pct"/>
                  <w:noWrap w:val="0"/>
                  <w:vAlign w:val="center"/>
                </w:tcPr>
                <w:p w14:paraId="5F4D57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100-41-4</w:t>
                  </w:r>
                </w:p>
              </w:tc>
              <w:tc>
                <w:tcPr>
                  <w:tcW w:w="991" w:type="pct"/>
                  <w:noWrap w:val="0"/>
                  <w:vAlign w:val="center"/>
                </w:tcPr>
                <w:p w14:paraId="259776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c>
                <w:tcPr>
                  <w:tcW w:w="992" w:type="pct"/>
                  <w:noWrap w:val="0"/>
                  <w:vAlign w:val="center"/>
                </w:tcPr>
                <w:p w14:paraId="4D47AB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280</w:t>
                  </w:r>
                </w:p>
              </w:tc>
            </w:tr>
            <w:tr w14:paraId="1CBB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24C352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31</w:t>
                  </w:r>
                </w:p>
              </w:tc>
              <w:tc>
                <w:tcPr>
                  <w:tcW w:w="1313" w:type="pct"/>
                  <w:noWrap w:val="0"/>
                  <w:vAlign w:val="center"/>
                </w:tcPr>
                <w:p w14:paraId="58184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苯乙烯</w:t>
                  </w:r>
                </w:p>
              </w:tc>
              <w:tc>
                <w:tcPr>
                  <w:tcW w:w="1013" w:type="pct"/>
                  <w:noWrap w:val="0"/>
                  <w:vAlign w:val="center"/>
                </w:tcPr>
                <w:p w14:paraId="324B3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100-42-5</w:t>
                  </w:r>
                </w:p>
              </w:tc>
              <w:tc>
                <w:tcPr>
                  <w:tcW w:w="991" w:type="pct"/>
                  <w:noWrap w:val="0"/>
                  <w:vAlign w:val="center"/>
                </w:tcPr>
                <w:p w14:paraId="4E66D9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1290</w:t>
                  </w:r>
                </w:p>
              </w:tc>
              <w:tc>
                <w:tcPr>
                  <w:tcW w:w="992" w:type="pct"/>
                  <w:noWrap w:val="0"/>
                  <w:vAlign w:val="center"/>
                </w:tcPr>
                <w:p w14:paraId="27389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1290</w:t>
                  </w:r>
                </w:p>
              </w:tc>
            </w:tr>
            <w:tr w14:paraId="1CA1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11E647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w:t>
                  </w:r>
                </w:p>
              </w:tc>
              <w:tc>
                <w:tcPr>
                  <w:tcW w:w="1313" w:type="pct"/>
                  <w:noWrap w:val="0"/>
                  <w:vAlign w:val="center"/>
                </w:tcPr>
                <w:p w14:paraId="66AB1F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甲苯</w:t>
                  </w:r>
                </w:p>
              </w:tc>
              <w:tc>
                <w:tcPr>
                  <w:tcW w:w="1013" w:type="pct"/>
                  <w:noWrap w:val="0"/>
                  <w:vAlign w:val="center"/>
                </w:tcPr>
                <w:p w14:paraId="1F8BF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108-88-3</w:t>
                  </w:r>
                </w:p>
              </w:tc>
              <w:tc>
                <w:tcPr>
                  <w:tcW w:w="991" w:type="pct"/>
                  <w:noWrap w:val="0"/>
                  <w:vAlign w:val="center"/>
                </w:tcPr>
                <w:p w14:paraId="0F3539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1200</w:t>
                  </w:r>
                </w:p>
              </w:tc>
              <w:tc>
                <w:tcPr>
                  <w:tcW w:w="992" w:type="pct"/>
                  <w:noWrap w:val="0"/>
                  <w:vAlign w:val="center"/>
                </w:tcPr>
                <w:p w14:paraId="11BB1C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1200</w:t>
                  </w:r>
                </w:p>
              </w:tc>
            </w:tr>
            <w:tr w14:paraId="31D8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89" w:type="pct"/>
                  <w:noWrap w:val="0"/>
                  <w:vAlign w:val="center"/>
                </w:tcPr>
                <w:p w14:paraId="2FFF7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33</w:t>
                  </w:r>
                </w:p>
              </w:tc>
              <w:tc>
                <w:tcPr>
                  <w:tcW w:w="1313" w:type="pct"/>
                  <w:noWrap w:val="0"/>
                  <w:vAlign w:val="center"/>
                </w:tcPr>
                <w:p w14:paraId="21AB0C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间二甲苯+对二甲苯</w:t>
                  </w:r>
                </w:p>
              </w:tc>
              <w:tc>
                <w:tcPr>
                  <w:tcW w:w="1013" w:type="pct"/>
                  <w:noWrap w:val="0"/>
                  <w:vAlign w:val="center"/>
                </w:tcPr>
                <w:p w14:paraId="20BF9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108-38-3</w:t>
                  </w:r>
                </w:p>
                <w:p w14:paraId="3D0BC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106-42-3</w:t>
                  </w:r>
                </w:p>
              </w:tc>
              <w:tc>
                <w:tcPr>
                  <w:tcW w:w="991" w:type="pct"/>
                  <w:noWrap w:val="0"/>
                  <w:vAlign w:val="center"/>
                </w:tcPr>
                <w:p w14:paraId="6F0E7C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570</w:t>
                  </w:r>
                </w:p>
              </w:tc>
              <w:tc>
                <w:tcPr>
                  <w:tcW w:w="992" w:type="pct"/>
                  <w:noWrap w:val="0"/>
                  <w:vAlign w:val="center"/>
                </w:tcPr>
                <w:p w14:paraId="4F879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570</w:t>
                  </w:r>
                </w:p>
              </w:tc>
            </w:tr>
            <w:tr w14:paraId="662E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202AB0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34</w:t>
                  </w:r>
                </w:p>
              </w:tc>
              <w:tc>
                <w:tcPr>
                  <w:tcW w:w="1313" w:type="pct"/>
                  <w:noWrap w:val="0"/>
                  <w:vAlign w:val="center"/>
                </w:tcPr>
                <w:p w14:paraId="74A27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邻二甲苯</w:t>
                  </w:r>
                </w:p>
              </w:tc>
              <w:tc>
                <w:tcPr>
                  <w:tcW w:w="1013" w:type="pct"/>
                  <w:noWrap w:val="0"/>
                  <w:vAlign w:val="center"/>
                </w:tcPr>
                <w:p w14:paraId="53966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95-47-6</w:t>
                  </w:r>
                </w:p>
              </w:tc>
              <w:tc>
                <w:tcPr>
                  <w:tcW w:w="991" w:type="pct"/>
                  <w:noWrap w:val="0"/>
                  <w:vAlign w:val="center"/>
                </w:tcPr>
                <w:p w14:paraId="149F0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640</w:t>
                  </w:r>
                </w:p>
              </w:tc>
              <w:tc>
                <w:tcPr>
                  <w:tcW w:w="992" w:type="pct"/>
                  <w:noWrap w:val="0"/>
                  <w:vAlign w:val="center"/>
                </w:tcPr>
                <w:p w14:paraId="054A3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640</w:t>
                  </w:r>
                </w:p>
              </w:tc>
            </w:tr>
            <w:tr w14:paraId="2716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000" w:type="pct"/>
                  <w:gridSpan w:val="5"/>
                  <w:noWrap w:val="0"/>
                  <w:vAlign w:val="center"/>
                </w:tcPr>
                <w:p w14:paraId="43DEC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z w:val="21"/>
                      <w:szCs w:val="21"/>
                    </w:rPr>
                    <w:t>半挥发性有机物</w:t>
                  </w:r>
                </w:p>
              </w:tc>
            </w:tr>
            <w:tr w14:paraId="6767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9" w:type="pct"/>
                  <w:noWrap w:val="0"/>
                  <w:vAlign w:val="center"/>
                </w:tcPr>
                <w:p w14:paraId="1EA2C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35</w:t>
                  </w:r>
                </w:p>
              </w:tc>
              <w:tc>
                <w:tcPr>
                  <w:tcW w:w="1313" w:type="pct"/>
                  <w:noWrap w:val="0"/>
                  <w:vAlign w:val="center"/>
                </w:tcPr>
                <w:p w14:paraId="27590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硝基苯</w:t>
                  </w:r>
                </w:p>
              </w:tc>
              <w:tc>
                <w:tcPr>
                  <w:tcW w:w="1013" w:type="pct"/>
                  <w:noWrap w:val="0"/>
                  <w:vAlign w:val="center"/>
                </w:tcPr>
                <w:p w14:paraId="7F4CF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98-95-3</w:t>
                  </w:r>
                </w:p>
              </w:tc>
              <w:tc>
                <w:tcPr>
                  <w:tcW w:w="991" w:type="pct"/>
                  <w:noWrap w:val="0"/>
                  <w:vAlign w:val="center"/>
                </w:tcPr>
                <w:p w14:paraId="5E4E9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76</w:t>
                  </w:r>
                </w:p>
              </w:tc>
              <w:tc>
                <w:tcPr>
                  <w:tcW w:w="992" w:type="pct"/>
                  <w:noWrap w:val="0"/>
                  <w:vAlign w:val="center"/>
                </w:tcPr>
                <w:p w14:paraId="49F607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760</w:t>
                  </w:r>
                </w:p>
              </w:tc>
            </w:tr>
            <w:tr w14:paraId="4FAF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4EF1CC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36</w:t>
                  </w:r>
                </w:p>
              </w:tc>
              <w:tc>
                <w:tcPr>
                  <w:tcW w:w="1313" w:type="pct"/>
                  <w:noWrap w:val="0"/>
                  <w:vAlign w:val="center"/>
                </w:tcPr>
                <w:p w14:paraId="55CEC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苯胺</w:t>
                  </w:r>
                </w:p>
              </w:tc>
              <w:tc>
                <w:tcPr>
                  <w:tcW w:w="1013" w:type="pct"/>
                  <w:noWrap w:val="0"/>
                  <w:vAlign w:val="center"/>
                </w:tcPr>
                <w:p w14:paraId="60D14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62-53-3</w:t>
                  </w:r>
                </w:p>
              </w:tc>
              <w:tc>
                <w:tcPr>
                  <w:tcW w:w="991" w:type="pct"/>
                  <w:noWrap w:val="0"/>
                  <w:vAlign w:val="center"/>
                </w:tcPr>
                <w:p w14:paraId="23A49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260</w:t>
                  </w:r>
                </w:p>
              </w:tc>
              <w:tc>
                <w:tcPr>
                  <w:tcW w:w="992" w:type="pct"/>
                  <w:noWrap w:val="0"/>
                  <w:vAlign w:val="center"/>
                </w:tcPr>
                <w:p w14:paraId="4A4F9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663</w:t>
                  </w:r>
                </w:p>
              </w:tc>
            </w:tr>
            <w:tr w14:paraId="7A92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89" w:type="pct"/>
                  <w:noWrap w:val="0"/>
                  <w:vAlign w:val="center"/>
                </w:tcPr>
                <w:p w14:paraId="4E8BBC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37</w:t>
                  </w:r>
                </w:p>
              </w:tc>
              <w:tc>
                <w:tcPr>
                  <w:tcW w:w="1313" w:type="pct"/>
                  <w:noWrap w:val="0"/>
                  <w:vAlign w:val="center"/>
                </w:tcPr>
                <w:p w14:paraId="08F68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2-氯酚</w:t>
                  </w:r>
                </w:p>
              </w:tc>
              <w:tc>
                <w:tcPr>
                  <w:tcW w:w="1013" w:type="pct"/>
                  <w:noWrap w:val="0"/>
                  <w:vAlign w:val="center"/>
                </w:tcPr>
                <w:p w14:paraId="08432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95-57-8</w:t>
                  </w:r>
                </w:p>
              </w:tc>
              <w:tc>
                <w:tcPr>
                  <w:tcW w:w="991" w:type="pct"/>
                  <w:noWrap w:val="0"/>
                  <w:vAlign w:val="center"/>
                </w:tcPr>
                <w:p w14:paraId="685B6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2256</w:t>
                  </w:r>
                </w:p>
              </w:tc>
              <w:tc>
                <w:tcPr>
                  <w:tcW w:w="992" w:type="pct"/>
                  <w:noWrap w:val="0"/>
                  <w:vAlign w:val="center"/>
                </w:tcPr>
                <w:p w14:paraId="4F2A9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4500</w:t>
                  </w:r>
                </w:p>
              </w:tc>
            </w:tr>
            <w:tr w14:paraId="6C8F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9" w:type="pct"/>
                  <w:noWrap w:val="0"/>
                  <w:vAlign w:val="center"/>
                </w:tcPr>
                <w:p w14:paraId="56F235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38</w:t>
                  </w:r>
                </w:p>
              </w:tc>
              <w:tc>
                <w:tcPr>
                  <w:tcW w:w="1313" w:type="pct"/>
                  <w:noWrap w:val="0"/>
                  <w:vAlign w:val="center"/>
                </w:tcPr>
                <w:p w14:paraId="79996C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苯并[a]蒽</w:t>
                  </w:r>
                </w:p>
              </w:tc>
              <w:tc>
                <w:tcPr>
                  <w:tcW w:w="1013" w:type="pct"/>
                  <w:noWrap w:val="0"/>
                  <w:vAlign w:val="center"/>
                </w:tcPr>
                <w:p w14:paraId="22D07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56-55-3</w:t>
                  </w:r>
                </w:p>
              </w:tc>
              <w:tc>
                <w:tcPr>
                  <w:tcW w:w="991" w:type="pct"/>
                  <w:noWrap w:val="0"/>
                  <w:vAlign w:val="center"/>
                </w:tcPr>
                <w:p w14:paraId="1520E3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992" w:type="pct"/>
                  <w:noWrap w:val="0"/>
                  <w:vAlign w:val="center"/>
                </w:tcPr>
                <w:p w14:paraId="0FDA8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151</w:t>
                  </w:r>
                </w:p>
              </w:tc>
            </w:tr>
            <w:tr w14:paraId="46F5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5ADE1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39</w:t>
                  </w:r>
                </w:p>
              </w:tc>
              <w:tc>
                <w:tcPr>
                  <w:tcW w:w="1313" w:type="pct"/>
                  <w:noWrap w:val="0"/>
                  <w:vAlign w:val="center"/>
                </w:tcPr>
                <w:p w14:paraId="0B71D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苯并[a]芘</w:t>
                  </w:r>
                </w:p>
              </w:tc>
              <w:tc>
                <w:tcPr>
                  <w:tcW w:w="1013" w:type="pct"/>
                  <w:noWrap w:val="0"/>
                  <w:vAlign w:val="center"/>
                </w:tcPr>
                <w:p w14:paraId="3F2AE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50-32-8</w:t>
                  </w:r>
                </w:p>
              </w:tc>
              <w:tc>
                <w:tcPr>
                  <w:tcW w:w="991" w:type="pct"/>
                  <w:noWrap w:val="0"/>
                  <w:vAlign w:val="center"/>
                </w:tcPr>
                <w:p w14:paraId="1A919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992" w:type="pct"/>
                  <w:noWrap w:val="0"/>
                  <w:vAlign w:val="center"/>
                </w:tcPr>
                <w:p w14:paraId="02076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r>
            <w:tr w14:paraId="06A7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89" w:type="pct"/>
                  <w:noWrap w:val="0"/>
                  <w:vAlign w:val="center"/>
                </w:tcPr>
                <w:p w14:paraId="40312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c>
                <w:tcPr>
                  <w:tcW w:w="1313" w:type="pct"/>
                  <w:noWrap w:val="0"/>
                  <w:vAlign w:val="center"/>
                </w:tcPr>
                <w:p w14:paraId="7D0C1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苯并[b]荧蒽</w:t>
                  </w:r>
                </w:p>
              </w:tc>
              <w:tc>
                <w:tcPr>
                  <w:tcW w:w="1013" w:type="pct"/>
                  <w:noWrap w:val="0"/>
                  <w:vAlign w:val="center"/>
                </w:tcPr>
                <w:p w14:paraId="01D1F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205-99-2</w:t>
                  </w:r>
                </w:p>
              </w:tc>
              <w:tc>
                <w:tcPr>
                  <w:tcW w:w="991" w:type="pct"/>
                  <w:noWrap w:val="0"/>
                  <w:vAlign w:val="center"/>
                </w:tcPr>
                <w:p w14:paraId="10D1BA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992" w:type="pct"/>
                  <w:noWrap w:val="0"/>
                  <w:vAlign w:val="center"/>
                </w:tcPr>
                <w:p w14:paraId="4C0F5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151</w:t>
                  </w:r>
                </w:p>
              </w:tc>
            </w:tr>
            <w:tr w14:paraId="2147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9" w:type="pct"/>
                  <w:noWrap w:val="0"/>
                  <w:vAlign w:val="center"/>
                </w:tcPr>
                <w:p w14:paraId="29EE9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41</w:t>
                  </w:r>
                </w:p>
              </w:tc>
              <w:tc>
                <w:tcPr>
                  <w:tcW w:w="1313" w:type="pct"/>
                  <w:noWrap w:val="0"/>
                  <w:vAlign w:val="center"/>
                </w:tcPr>
                <w:p w14:paraId="320160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苯并[k]荧蒽</w:t>
                  </w:r>
                </w:p>
              </w:tc>
              <w:tc>
                <w:tcPr>
                  <w:tcW w:w="1013" w:type="pct"/>
                  <w:noWrap w:val="0"/>
                  <w:vAlign w:val="center"/>
                </w:tcPr>
                <w:p w14:paraId="2870E9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207-08-9</w:t>
                  </w:r>
                </w:p>
              </w:tc>
              <w:tc>
                <w:tcPr>
                  <w:tcW w:w="991" w:type="pct"/>
                  <w:noWrap w:val="0"/>
                  <w:vAlign w:val="center"/>
                </w:tcPr>
                <w:p w14:paraId="4EE0C2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151</w:t>
                  </w:r>
                </w:p>
              </w:tc>
              <w:tc>
                <w:tcPr>
                  <w:tcW w:w="992" w:type="pct"/>
                  <w:noWrap w:val="0"/>
                  <w:vAlign w:val="center"/>
                </w:tcPr>
                <w:p w14:paraId="58C33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1500</w:t>
                  </w:r>
                </w:p>
              </w:tc>
            </w:tr>
            <w:tr w14:paraId="0151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9" w:type="pct"/>
                  <w:noWrap w:val="0"/>
                  <w:vAlign w:val="center"/>
                </w:tcPr>
                <w:p w14:paraId="696DD6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42</w:t>
                  </w:r>
                </w:p>
              </w:tc>
              <w:tc>
                <w:tcPr>
                  <w:tcW w:w="1313" w:type="pct"/>
                  <w:noWrap w:val="0"/>
                  <w:vAlign w:val="center"/>
                </w:tcPr>
                <w:p w14:paraId="27CB2B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䓛</w:t>
                  </w:r>
                </w:p>
              </w:tc>
              <w:tc>
                <w:tcPr>
                  <w:tcW w:w="1013" w:type="pct"/>
                  <w:noWrap w:val="0"/>
                  <w:vAlign w:val="center"/>
                </w:tcPr>
                <w:p w14:paraId="531D3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218-01-9</w:t>
                  </w:r>
                </w:p>
              </w:tc>
              <w:tc>
                <w:tcPr>
                  <w:tcW w:w="991" w:type="pct"/>
                  <w:noWrap w:val="0"/>
                  <w:vAlign w:val="center"/>
                </w:tcPr>
                <w:p w14:paraId="0A5F44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1293</w:t>
                  </w:r>
                </w:p>
              </w:tc>
              <w:tc>
                <w:tcPr>
                  <w:tcW w:w="992" w:type="pct"/>
                  <w:noWrap w:val="0"/>
                  <w:vAlign w:val="center"/>
                </w:tcPr>
                <w:p w14:paraId="265745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12900</w:t>
                  </w:r>
                </w:p>
              </w:tc>
            </w:tr>
            <w:tr w14:paraId="40C5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89" w:type="pct"/>
                  <w:noWrap w:val="0"/>
                  <w:vAlign w:val="center"/>
                </w:tcPr>
                <w:p w14:paraId="6284D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43</w:t>
                  </w:r>
                </w:p>
              </w:tc>
              <w:tc>
                <w:tcPr>
                  <w:tcW w:w="1313" w:type="pct"/>
                  <w:noWrap w:val="0"/>
                  <w:vAlign w:val="center"/>
                </w:tcPr>
                <w:p w14:paraId="21EA1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二苯并[a，h]蒽</w:t>
                  </w:r>
                </w:p>
              </w:tc>
              <w:tc>
                <w:tcPr>
                  <w:tcW w:w="1013" w:type="pct"/>
                  <w:noWrap w:val="0"/>
                  <w:vAlign w:val="center"/>
                </w:tcPr>
                <w:p w14:paraId="09B7D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53-70-3</w:t>
                  </w:r>
                </w:p>
              </w:tc>
              <w:tc>
                <w:tcPr>
                  <w:tcW w:w="991" w:type="pct"/>
                  <w:noWrap w:val="0"/>
                  <w:vAlign w:val="center"/>
                </w:tcPr>
                <w:p w14:paraId="40B13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992" w:type="pct"/>
                  <w:noWrap w:val="0"/>
                  <w:vAlign w:val="center"/>
                </w:tcPr>
                <w:p w14:paraId="67E8F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r>
            <w:tr w14:paraId="5E2D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9" w:type="pct"/>
                  <w:noWrap w:val="0"/>
                  <w:vAlign w:val="center"/>
                </w:tcPr>
                <w:p w14:paraId="4A44D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44</w:t>
                  </w:r>
                </w:p>
              </w:tc>
              <w:tc>
                <w:tcPr>
                  <w:tcW w:w="1313" w:type="pct"/>
                  <w:noWrap w:val="0"/>
                  <w:vAlign w:val="center"/>
                </w:tcPr>
                <w:p w14:paraId="199C28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茚并（1,2,3-cd）芘</w:t>
                  </w:r>
                </w:p>
              </w:tc>
              <w:tc>
                <w:tcPr>
                  <w:tcW w:w="1013" w:type="pct"/>
                  <w:noWrap w:val="0"/>
                  <w:vAlign w:val="center"/>
                </w:tcPr>
                <w:p w14:paraId="6EBB9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193-39-5</w:t>
                  </w:r>
                </w:p>
              </w:tc>
              <w:tc>
                <w:tcPr>
                  <w:tcW w:w="991" w:type="pct"/>
                  <w:noWrap w:val="0"/>
                  <w:vAlign w:val="center"/>
                </w:tcPr>
                <w:p w14:paraId="2743E9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992" w:type="pct"/>
                  <w:noWrap w:val="0"/>
                  <w:vAlign w:val="center"/>
                </w:tcPr>
                <w:p w14:paraId="4735F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151</w:t>
                  </w:r>
                </w:p>
              </w:tc>
            </w:tr>
            <w:tr w14:paraId="7E70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89" w:type="pct"/>
                  <w:noWrap w:val="0"/>
                  <w:vAlign w:val="center"/>
                </w:tcPr>
                <w:p w14:paraId="401B82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45</w:t>
                  </w:r>
                </w:p>
              </w:tc>
              <w:tc>
                <w:tcPr>
                  <w:tcW w:w="1313" w:type="pct"/>
                  <w:noWrap w:val="0"/>
                  <w:vAlign w:val="center"/>
                </w:tcPr>
                <w:p w14:paraId="2602F4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萘</w:t>
                  </w:r>
                </w:p>
              </w:tc>
              <w:tc>
                <w:tcPr>
                  <w:tcW w:w="1013" w:type="pct"/>
                  <w:noWrap w:val="0"/>
                  <w:vAlign w:val="center"/>
                </w:tcPr>
                <w:p w14:paraId="2231E4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91-20-3</w:t>
                  </w:r>
                </w:p>
              </w:tc>
              <w:tc>
                <w:tcPr>
                  <w:tcW w:w="991" w:type="pct"/>
                  <w:noWrap w:val="0"/>
                  <w:vAlign w:val="center"/>
                </w:tcPr>
                <w:p w14:paraId="16468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c>
                <w:tcPr>
                  <w:tcW w:w="992" w:type="pct"/>
                  <w:noWrap w:val="0"/>
                  <w:vAlign w:val="center"/>
                </w:tcPr>
                <w:p w14:paraId="56634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700</w:t>
                  </w:r>
                </w:p>
              </w:tc>
            </w:tr>
          </w:tbl>
          <w:p w14:paraId="38A578A4">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3-8</w:t>
            </w:r>
            <w:r>
              <w:rPr>
                <w:rFonts w:hint="eastAsia" w:ascii="Times New Roman" w:hAnsi="Times New Roman" w:eastAsia="宋体" w:cs="Times New Roman"/>
                <w:b/>
                <w:color w:val="auto"/>
                <w:sz w:val="24"/>
                <w:szCs w:val="24"/>
              </w:rPr>
              <w:t xml:space="preserve">  农用地土壤污染风险筛选值和管制值 单位：mg/kg</w:t>
            </w:r>
          </w:p>
          <w:tbl>
            <w:tblPr>
              <w:tblStyle w:val="28"/>
              <w:tblW w:w="7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390"/>
              <w:gridCol w:w="675"/>
              <w:gridCol w:w="777"/>
              <w:gridCol w:w="778"/>
              <w:gridCol w:w="777"/>
              <w:gridCol w:w="779"/>
              <w:gridCol w:w="777"/>
              <w:gridCol w:w="779"/>
              <w:gridCol w:w="777"/>
              <w:gridCol w:w="779"/>
            </w:tblGrid>
            <w:tr w14:paraId="0A6A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608" w:type="dxa"/>
                  <w:vMerge w:val="restart"/>
                  <w:noWrap w:val="0"/>
                  <w:vAlign w:val="center"/>
                </w:tcPr>
                <w:p w14:paraId="0E2E3A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序号</w:t>
                  </w:r>
                </w:p>
              </w:tc>
              <w:tc>
                <w:tcPr>
                  <w:tcW w:w="1065" w:type="dxa"/>
                  <w:gridSpan w:val="2"/>
                  <w:vMerge w:val="restart"/>
                  <w:noWrap w:val="0"/>
                  <w:vAlign w:val="center"/>
                </w:tcPr>
                <w:p w14:paraId="309365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污染物</w:t>
                  </w:r>
                </w:p>
              </w:tc>
              <w:tc>
                <w:tcPr>
                  <w:tcW w:w="1555" w:type="dxa"/>
                  <w:gridSpan w:val="2"/>
                  <w:noWrap w:val="0"/>
                  <w:vAlign w:val="center"/>
                </w:tcPr>
                <w:p w14:paraId="712535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pH≤5.5</w:t>
                  </w:r>
                </w:p>
              </w:tc>
              <w:tc>
                <w:tcPr>
                  <w:tcW w:w="1556" w:type="dxa"/>
                  <w:gridSpan w:val="2"/>
                  <w:noWrap w:val="0"/>
                  <w:vAlign w:val="center"/>
                </w:tcPr>
                <w:p w14:paraId="0B2C64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5.5＜pH≤6.5</w:t>
                  </w:r>
                </w:p>
              </w:tc>
              <w:tc>
                <w:tcPr>
                  <w:tcW w:w="1556" w:type="dxa"/>
                  <w:gridSpan w:val="2"/>
                  <w:noWrap w:val="0"/>
                  <w:vAlign w:val="center"/>
                </w:tcPr>
                <w:p w14:paraId="4B3EBC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6.5＜pH≤7.5</w:t>
                  </w:r>
                </w:p>
              </w:tc>
              <w:tc>
                <w:tcPr>
                  <w:tcW w:w="1556" w:type="dxa"/>
                  <w:gridSpan w:val="2"/>
                  <w:noWrap w:val="0"/>
                  <w:vAlign w:val="center"/>
                </w:tcPr>
                <w:p w14:paraId="524DBC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pH＞7.5</w:t>
                  </w:r>
                </w:p>
              </w:tc>
            </w:tr>
            <w:tr w14:paraId="1C39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blHeader/>
              </w:trPr>
              <w:tc>
                <w:tcPr>
                  <w:tcW w:w="608" w:type="dxa"/>
                  <w:vMerge w:val="continue"/>
                  <w:noWrap w:val="0"/>
                  <w:vAlign w:val="center"/>
                </w:tcPr>
                <w:p w14:paraId="2BBB22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p>
              </w:tc>
              <w:tc>
                <w:tcPr>
                  <w:tcW w:w="1065" w:type="dxa"/>
                  <w:gridSpan w:val="2"/>
                  <w:vMerge w:val="continue"/>
                  <w:noWrap w:val="0"/>
                  <w:vAlign w:val="center"/>
                </w:tcPr>
                <w:p w14:paraId="05A0A7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p>
              </w:tc>
              <w:tc>
                <w:tcPr>
                  <w:tcW w:w="777" w:type="dxa"/>
                  <w:noWrap w:val="0"/>
                  <w:vAlign w:val="center"/>
                </w:tcPr>
                <w:p w14:paraId="4A6AB8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筛选值</w:t>
                  </w:r>
                </w:p>
              </w:tc>
              <w:tc>
                <w:tcPr>
                  <w:tcW w:w="778" w:type="dxa"/>
                  <w:noWrap w:val="0"/>
                  <w:vAlign w:val="center"/>
                </w:tcPr>
                <w:p w14:paraId="3A78E5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管制值</w:t>
                  </w:r>
                </w:p>
              </w:tc>
              <w:tc>
                <w:tcPr>
                  <w:tcW w:w="777" w:type="dxa"/>
                  <w:noWrap w:val="0"/>
                  <w:vAlign w:val="center"/>
                </w:tcPr>
                <w:p w14:paraId="709BDE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筛选值</w:t>
                  </w:r>
                </w:p>
              </w:tc>
              <w:tc>
                <w:tcPr>
                  <w:tcW w:w="779" w:type="dxa"/>
                  <w:noWrap w:val="0"/>
                  <w:vAlign w:val="center"/>
                </w:tcPr>
                <w:p w14:paraId="45659E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管制值</w:t>
                  </w:r>
                </w:p>
              </w:tc>
              <w:tc>
                <w:tcPr>
                  <w:tcW w:w="777" w:type="dxa"/>
                  <w:noWrap w:val="0"/>
                  <w:vAlign w:val="center"/>
                </w:tcPr>
                <w:p w14:paraId="220A70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筛选值</w:t>
                  </w:r>
                </w:p>
              </w:tc>
              <w:tc>
                <w:tcPr>
                  <w:tcW w:w="779" w:type="dxa"/>
                  <w:noWrap w:val="0"/>
                  <w:vAlign w:val="center"/>
                </w:tcPr>
                <w:p w14:paraId="1242BB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管制值</w:t>
                  </w:r>
                </w:p>
              </w:tc>
              <w:tc>
                <w:tcPr>
                  <w:tcW w:w="777" w:type="dxa"/>
                  <w:noWrap w:val="0"/>
                  <w:vAlign w:val="center"/>
                </w:tcPr>
                <w:p w14:paraId="73411B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筛选值</w:t>
                  </w:r>
                </w:p>
              </w:tc>
              <w:tc>
                <w:tcPr>
                  <w:tcW w:w="779" w:type="dxa"/>
                  <w:noWrap w:val="0"/>
                  <w:vAlign w:val="center"/>
                </w:tcPr>
                <w:p w14:paraId="56401D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管制值</w:t>
                  </w:r>
                </w:p>
              </w:tc>
            </w:tr>
            <w:tr w14:paraId="36C4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restart"/>
                  <w:noWrap w:val="0"/>
                  <w:vAlign w:val="center"/>
                </w:tcPr>
                <w:p w14:paraId="72B0B9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390" w:type="dxa"/>
                  <w:vMerge w:val="restart"/>
                  <w:noWrap w:val="0"/>
                  <w:vAlign w:val="center"/>
                </w:tcPr>
                <w:p w14:paraId="73F582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镉</w:t>
                  </w:r>
                </w:p>
              </w:tc>
              <w:tc>
                <w:tcPr>
                  <w:tcW w:w="675" w:type="dxa"/>
                  <w:noWrap w:val="0"/>
                  <w:vAlign w:val="center"/>
                </w:tcPr>
                <w:p w14:paraId="606325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水田</w:t>
                  </w:r>
                </w:p>
              </w:tc>
              <w:tc>
                <w:tcPr>
                  <w:tcW w:w="777" w:type="dxa"/>
                  <w:noWrap w:val="0"/>
                  <w:vAlign w:val="center"/>
                </w:tcPr>
                <w:p w14:paraId="4A6A84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0.3</w:t>
                  </w:r>
                </w:p>
              </w:tc>
              <w:tc>
                <w:tcPr>
                  <w:tcW w:w="778" w:type="dxa"/>
                  <w:vMerge w:val="restart"/>
                  <w:noWrap w:val="0"/>
                  <w:vAlign w:val="center"/>
                </w:tcPr>
                <w:p w14:paraId="07DCE5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777" w:type="dxa"/>
                  <w:noWrap w:val="0"/>
                  <w:vAlign w:val="center"/>
                </w:tcPr>
                <w:p w14:paraId="6D7587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w:t>
                  </w:r>
                </w:p>
              </w:tc>
              <w:tc>
                <w:tcPr>
                  <w:tcW w:w="779" w:type="dxa"/>
                  <w:vMerge w:val="restart"/>
                  <w:noWrap w:val="0"/>
                  <w:vAlign w:val="center"/>
                </w:tcPr>
                <w:p w14:paraId="2C96FE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777" w:type="dxa"/>
                  <w:noWrap w:val="0"/>
                  <w:vAlign w:val="center"/>
                </w:tcPr>
                <w:p w14:paraId="0F92E6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0.6</w:t>
                  </w:r>
                </w:p>
              </w:tc>
              <w:tc>
                <w:tcPr>
                  <w:tcW w:w="779" w:type="dxa"/>
                  <w:vMerge w:val="restart"/>
                  <w:noWrap w:val="0"/>
                  <w:vAlign w:val="center"/>
                </w:tcPr>
                <w:p w14:paraId="685CAA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c>
                <w:tcPr>
                  <w:tcW w:w="777" w:type="dxa"/>
                  <w:noWrap w:val="0"/>
                  <w:vAlign w:val="center"/>
                </w:tcPr>
                <w:p w14:paraId="21303B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0.8</w:t>
                  </w:r>
                </w:p>
              </w:tc>
              <w:tc>
                <w:tcPr>
                  <w:tcW w:w="779" w:type="dxa"/>
                  <w:vMerge w:val="restart"/>
                  <w:noWrap w:val="0"/>
                  <w:vAlign w:val="center"/>
                </w:tcPr>
                <w:p w14:paraId="7DAA73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r>
            <w:tr w14:paraId="7C56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continue"/>
                  <w:noWrap w:val="0"/>
                  <w:vAlign w:val="center"/>
                </w:tcPr>
                <w:p w14:paraId="286309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390" w:type="dxa"/>
                  <w:vMerge w:val="continue"/>
                  <w:noWrap w:val="0"/>
                  <w:vAlign w:val="center"/>
                </w:tcPr>
                <w:p w14:paraId="7D71CC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675" w:type="dxa"/>
                  <w:noWrap w:val="0"/>
                  <w:vAlign w:val="center"/>
                </w:tcPr>
                <w:p w14:paraId="31B306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w:t>
                  </w:r>
                </w:p>
              </w:tc>
              <w:tc>
                <w:tcPr>
                  <w:tcW w:w="777" w:type="dxa"/>
                  <w:noWrap w:val="0"/>
                  <w:vAlign w:val="center"/>
                </w:tcPr>
                <w:p w14:paraId="61440F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0.3</w:t>
                  </w:r>
                </w:p>
              </w:tc>
              <w:tc>
                <w:tcPr>
                  <w:tcW w:w="778" w:type="dxa"/>
                  <w:vMerge w:val="continue"/>
                  <w:noWrap w:val="0"/>
                  <w:vAlign w:val="center"/>
                </w:tcPr>
                <w:p w14:paraId="7F585A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533169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0.3</w:t>
                  </w:r>
                </w:p>
              </w:tc>
              <w:tc>
                <w:tcPr>
                  <w:tcW w:w="779" w:type="dxa"/>
                  <w:vMerge w:val="continue"/>
                  <w:noWrap w:val="0"/>
                  <w:vAlign w:val="center"/>
                </w:tcPr>
                <w:p w14:paraId="5D350C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2B4996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0.3</w:t>
                  </w:r>
                </w:p>
              </w:tc>
              <w:tc>
                <w:tcPr>
                  <w:tcW w:w="779" w:type="dxa"/>
                  <w:vMerge w:val="continue"/>
                  <w:noWrap w:val="0"/>
                  <w:vAlign w:val="center"/>
                </w:tcPr>
                <w:p w14:paraId="62925A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121711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0.6</w:t>
                  </w:r>
                </w:p>
              </w:tc>
              <w:tc>
                <w:tcPr>
                  <w:tcW w:w="779" w:type="dxa"/>
                  <w:vMerge w:val="continue"/>
                  <w:noWrap w:val="0"/>
                  <w:vAlign w:val="center"/>
                </w:tcPr>
                <w:p w14:paraId="532C7A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r>
            <w:tr w14:paraId="3238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08" w:type="dxa"/>
                  <w:vMerge w:val="restart"/>
                  <w:noWrap w:val="0"/>
                  <w:vAlign w:val="center"/>
                </w:tcPr>
                <w:p w14:paraId="5BB5E4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390" w:type="dxa"/>
                  <w:vMerge w:val="restart"/>
                  <w:noWrap w:val="0"/>
                  <w:vAlign w:val="center"/>
                </w:tcPr>
                <w:p w14:paraId="2C03CF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汞</w:t>
                  </w:r>
                </w:p>
              </w:tc>
              <w:tc>
                <w:tcPr>
                  <w:tcW w:w="675" w:type="dxa"/>
                  <w:noWrap w:val="0"/>
                  <w:vAlign w:val="center"/>
                </w:tcPr>
                <w:p w14:paraId="426DBF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水田</w:t>
                  </w:r>
                </w:p>
              </w:tc>
              <w:tc>
                <w:tcPr>
                  <w:tcW w:w="777" w:type="dxa"/>
                  <w:noWrap w:val="0"/>
                  <w:vAlign w:val="center"/>
                </w:tcPr>
                <w:p w14:paraId="2E2CD6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w:t>
                  </w:r>
                </w:p>
              </w:tc>
              <w:tc>
                <w:tcPr>
                  <w:tcW w:w="778" w:type="dxa"/>
                  <w:vMerge w:val="restart"/>
                  <w:noWrap w:val="0"/>
                  <w:vAlign w:val="center"/>
                </w:tcPr>
                <w:p w14:paraId="2B0BD0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777" w:type="dxa"/>
                  <w:noWrap w:val="0"/>
                  <w:vAlign w:val="center"/>
                </w:tcPr>
                <w:p w14:paraId="339A17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w:t>
                  </w:r>
                </w:p>
              </w:tc>
              <w:tc>
                <w:tcPr>
                  <w:tcW w:w="779" w:type="dxa"/>
                  <w:vMerge w:val="restart"/>
                  <w:noWrap w:val="0"/>
                  <w:vAlign w:val="center"/>
                </w:tcPr>
                <w:p w14:paraId="2431F6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w:t>
                  </w:r>
                </w:p>
              </w:tc>
              <w:tc>
                <w:tcPr>
                  <w:tcW w:w="777" w:type="dxa"/>
                  <w:noWrap w:val="0"/>
                  <w:vAlign w:val="center"/>
                </w:tcPr>
                <w:p w14:paraId="6B78AB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0.6</w:t>
                  </w:r>
                </w:p>
              </w:tc>
              <w:tc>
                <w:tcPr>
                  <w:tcW w:w="779" w:type="dxa"/>
                  <w:vMerge w:val="restart"/>
                  <w:noWrap w:val="0"/>
                  <w:vAlign w:val="center"/>
                </w:tcPr>
                <w:p w14:paraId="5AD94D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c>
                <w:tcPr>
                  <w:tcW w:w="777" w:type="dxa"/>
                  <w:noWrap w:val="0"/>
                  <w:vAlign w:val="center"/>
                </w:tcPr>
                <w:p w14:paraId="1AE4AA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779" w:type="dxa"/>
                  <w:vMerge w:val="restart"/>
                  <w:noWrap w:val="0"/>
                  <w:vAlign w:val="center"/>
                </w:tcPr>
                <w:p w14:paraId="7E2D53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6.0</w:t>
                  </w:r>
                </w:p>
              </w:tc>
            </w:tr>
            <w:tr w14:paraId="6A6B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continue"/>
                  <w:noWrap w:val="0"/>
                  <w:vAlign w:val="center"/>
                </w:tcPr>
                <w:p w14:paraId="637F7F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390" w:type="dxa"/>
                  <w:vMerge w:val="continue"/>
                  <w:noWrap w:val="0"/>
                  <w:vAlign w:val="center"/>
                </w:tcPr>
                <w:p w14:paraId="14AF48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675" w:type="dxa"/>
                  <w:noWrap w:val="0"/>
                  <w:vAlign w:val="center"/>
                </w:tcPr>
                <w:p w14:paraId="18B9BE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w:t>
                  </w:r>
                </w:p>
              </w:tc>
              <w:tc>
                <w:tcPr>
                  <w:tcW w:w="777" w:type="dxa"/>
                  <w:noWrap w:val="0"/>
                  <w:vAlign w:val="center"/>
                </w:tcPr>
                <w:p w14:paraId="2D5840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w:t>
                  </w:r>
                </w:p>
              </w:tc>
              <w:tc>
                <w:tcPr>
                  <w:tcW w:w="778" w:type="dxa"/>
                  <w:vMerge w:val="continue"/>
                  <w:noWrap w:val="0"/>
                  <w:vAlign w:val="center"/>
                </w:tcPr>
                <w:p w14:paraId="410BE7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324CDD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w:t>
                  </w:r>
                </w:p>
              </w:tc>
              <w:tc>
                <w:tcPr>
                  <w:tcW w:w="779" w:type="dxa"/>
                  <w:vMerge w:val="continue"/>
                  <w:noWrap w:val="0"/>
                  <w:vAlign w:val="center"/>
                </w:tcPr>
                <w:p w14:paraId="621FF0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1C861A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w:t>
                  </w:r>
                </w:p>
              </w:tc>
              <w:tc>
                <w:tcPr>
                  <w:tcW w:w="779" w:type="dxa"/>
                  <w:vMerge w:val="continue"/>
                  <w:noWrap w:val="0"/>
                  <w:vAlign w:val="center"/>
                </w:tcPr>
                <w:p w14:paraId="2D40D4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2873F6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3.4</w:t>
                  </w:r>
                </w:p>
              </w:tc>
              <w:tc>
                <w:tcPr>
                  <w:tcW w:w="779" w:type="dxa"/>
                  <w:vMerge w:val="continue"/>
                  <w:noWrap w:val="0"/>
                  <w:vAlign w:val="center"/>
                </w:tcPr>
                <w:p w14:paraId="5EE12F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r>
            <w:tr w14:paraId="1ADF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restart"/>
                  <w:noWrap w:val="0"/>
                  <w:vAlign w:val="center"/>
                </w:tcPr>
                <w:p w14:paraId="3BD753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390" w:type="dxa"/>
                  <w:vMerge w:val="restart"/>
                  <w:noWrap w:val="0"/>
                  <w:vAlign w:val="center"/>
                </w:tcPr>
                <w:p w14:paraId="602B12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砷</w:t>
                  </w:r>
                </w:p>
              </w:tc>
              <w:tc>
                <w:tcPr>
                  <w:tcW w:w="675" w:type="dxa"/>
                  <w:noWrap w:val="0"/>
                  <w:vAlign w:val="center"/>
                </w:tcPr>
                <w:p w14:paraId="54232A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水田</w:t>
                  </w:r>
                </w:p>
              </w:tc>
              <w:tc>
                <w:tcPr>
                  <w:tcW w:w="777" w:type="dxa"/>
                  <w:noWrap w:val="0"/>
                  <w:vAlign w:val="center"/>
                </w:tcPr>
                <w:p w14:paraId="3CAD17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c>
                <w:tcPr>
                  <w:tcW w:w="778" w:type="dxa"/>
                  <w:vMerge w:val="restart"/>
                  <w:noWrap w:val="0"/>
                  <w:vAlign w:val="center"/>
                </w:tcPr>
                <w:p w14:paraId="6CC2AF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c>
                <w:tcPr>
                  <w:tcW w:w="777" w:type="dxa"/>
                  <w:noWrap w:val="0"/>
                  <w:vAlign w:val="center"/>
                </w:tcPr>
                <w:p w14:paraId="19A954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c>
                <w:tcPr>
                  <w:tcW w:w="779" w:type="dxa"/>
                  <w:vMerge w:val="restart"/>
                  <w:noWrap w:val="0"/>
                  <w:vAlign w:val="center"/>
                </w:tcPr>
                <w:p w14:paraId="71581D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w:t>
                  </w:r>
                </w:p>
              </w:tc>
              <w:tc>
                <w:tcPr>
                  <w:tcW w:w="777" w:type="dxa"/>
                  <w:noWrap w:val="0"/>
                  <w:vAlign w:val="center"/>
                </w:tcPr>
                <w:p w14:paraId="20CA86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w:t>
                  </w:r>
                </w:p>
              </w:tc>
              <w:tc>
                <w:tcPr>
                  <w:tcW w:w="779" w:type="dxa"/>
                  <w:vMerge w:val="restart"/>
                  <w:noWrap w:val="0"/>
                  <w:vAlign w:val="center"/>
                </w:tcPr>
                <w:p w14:paraId="4C8EE1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120</w:t>
                  </w:r>
                </w:p>
              </w:tc>
              <w:tc>
                <w:tcPr>
                  <w:tcW w:w="777" w:type="dxa"/>
                  <w:noWrap w:val="0"/>
                  <w:vAlign w:val="center"/>
                </w:tcPr>
                <w:p w14:paraId="0850DA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779" w:type="dxa"/>
                  <w:vMerge w:val="restart"/>
                  <w:noWrap w:val="0"/>
                  <w:vAlign w:val="center"/>
                </w:tcPr>
                <w:p w14:paraId="34AE24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r>
            <w:tr w14:paraId="1938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08" w:type="dxa"/>
                  <w:vMerge w:val="continue"/>
                  <w:noWrap w:val="0"/>
                  <w:vAlign w:val="center"/>
                </w:tcPr>
                <w:p w14:paraId="7BA8EA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390" w:type="dxa"/>
                  <w:vMerge w:val="continue"/>
                  <w:noWrap w:val="0"/>
                  <w:vAlign w:val="center"/>
                </w:tcPr>
                <w:p w14:paraId="110B0E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675" w:type="dxa"/>
                  <w:noWrap w:val="0"/>
                  <w:vAlign w:val="center"/>
                </w:tcPr>
                <w:p w14:paraId="7282F3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w:t>
                  </w:r>
                </w:p>
              </w:tc>
              <w:tc>
                <w:tcPr>
                  <w:tcW w:w="777" w:type="dxa"/>
                  <w:noWrap w:val="0"/>
                  <w:vAlign w:val="center"/>
                </w:tcPr>
                <w:p w14:paraId="4EEB7A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c>
                <w:tcPr>
                  <w:tcW w:w="778" w:type="dxa"/>
                  <w:vMerge w:val="continue"/>
                  <w:noWrap w:val="0"/>
                  <w:vAlign w:val="center"/>
                </w:tcPr>
                <w:p w14:paraId="56E103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41BD09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c>
                <w:tcPr>
                  <w:tcW w:w="779" w:type="dxa"/>
                  <w:vMerge w:val="continue"/>
                  <w:noWrap w:val="0"/>
                  <w:vAlign w:val="center"/>
                </w:tcPr>
                <w:p w14:paraId="79125F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6B22B0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c>
                <w:tcPr>
                  <w:tcW w:w="779" w:type="dxa"/>
                  <w:vMerge w:val="continue"/>
                  <w:noWrap w:val="0"/>
                  <w:vAlign w:val="center"/>
                </w:tcPr>
                <w:p w14:paraId="1572F3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097BAC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w:t>
                  </w:r>
                </w:p>
              </w:tc>
              <w:tc>
                <w:tcPr>
                  <w:tcW w:w="779" w:type="dxa"/>
                  <w:vMerge w:val="continue"/>
                  <w:noWrap w:val="0"/>
                  <w:vAlign w:val="center"/>
                </w:tcPr>
                <w:p w14:paraId="19DFE4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r>
            <w:tr w14:paraId="781E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restart"/>
                  <w:noWrap w:val="0"/>
                  <w:vAlign w:val="center"/>
                </w:tcPr>
                <w:p w14:paraId="62C4F9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390" w:type="dxa"/>
                  <w:vMerge w:val="restart"/>
                  <w:noWrap w:val="0"/>
                  <w:vAlign w:val="center"/>
                </w:tcPr>
                <w:p w14:paraId="20C437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铅</w:t>
                  </w:r>
                </w:p>
              </w:tc>
              <w:tc>
                <w:tcPr>
                  <w:tcW w:w="675" w:type="dxa"/>
                  <w:noWrap w:val="0"/>
                  <w:vAlign w:val="center"/>
                </w:tcPr>
                <w:p w14:paraId="23478E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水田</w:t>
                  </w:r>
                </w:p>
              </w:tc>
              <w:tc>
                <w:tcPr>
                  <w:tcW w:w="777" w:type="dxa"/>
                  <w:noWrap w:val="0"/>
                  <w:vAlign w:val="center"/>
                </w:tcPr>
                <w:p w14:paraId="2096E8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tc>
              <w:tc>
                <w:tcPr>
                  <w:tcW w:w="778" w:type="dxa"/>
                  <w:vMerge w:val="restart"/>
                  <w:noWrap w:val="0"/>
                  <w:vAlign w:val="center"/>
                </w:tcPr>
                <w:p w14:paraId="281255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400</w:t>
                  </w:r>
                </w:p>
              </w:tc>
              <w:tc>
                <w:tcPr>
                  <w:tcW w:w="777" w:type="dxa"/>
                  <w:noWrap w:val="0"/>
                  <w:vAlign w:val="center"/>
                </w:tcPr>
                <w:p w14:paraId="1D9634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c>
                <w:tcPr>
                  <w:tcW w:w="779" w:type="dxa"/>
                  <w:vMerge w:val="restart"/>
                  <w:noWrap w:val="0"/>
                  <w:vAlign w:val="center"/>
                </w:tcPr>
                <w:p w14:paraId="7FDCF5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w:t>
                  </w:r>
                </w:p>
              </w:tc>
              <w:tc>
                <w:tcPr>
                  <w:tcW w:w="777" w:type="dxa"/>
                  <w:noWrap w:val="0"/>
                  <w:vAlign w:val="center"/>
                </w:tcPr>
                <w:p w14:paraId="232258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140</w:t>
                  </w:r>
                </w:p>
              </w:tc>
              <w:tc>
                <w:tcPr>
                  <w:tcW w:w="779" w:type="dxa"/>
                  <w:vMerge w:val="restart"/>
                  <w:noWrap w:val="0"/>
                  <w:vAlign w:val="center"/>
                </w:tcPr>
                <w:p w14:paraId="321B63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700</w:t>
                  </w:r>
                </w:p>
              </w:tc>
              <w:tc>
                <w:tcPr>
                  <w:tcW w:w="777" w:type="dxa"/>
                  <w:noWrap w:val="0"/>
                  <w:vAlign w:val="center"/>
                </w:tcPr>
                <w:p w14:paraId="7E081F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240</w:t>
                  </w:r>
                </w:p>
              </w:tc>
              <w:tc>
                <w:tcPr>
                  <w:tcW w:w="779" w:type="dxa"/>
                  <w:vMerge w:val="restart"/>
                  <w:noWrap w:val="0"/>
                  <w:vAlign w:val="center"/>
                </w:tcPr>
                <w:p w14:paraId="60515C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1000</w:t>
                  </w:r>
                </w:p>
              </w:tc>
            </w:tr>
            <w:tr w14:paraId="60DB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continue"/>
                  <w:noWrap w:val="0"/>
                  <w:vAlign w:val="center"/>
                </w:tcPr>
                <w:p w14:paraId="558460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390" w:type="dxa"/>
                  <w:vMerge w:val="continue"/>
                  <w:noWrap w:val="0"/>
                  <w:vAlign w:val="center"/>
                </w:tcPr>
                <w:p w14:paraId="54BE30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675" w:type="dxa"/>
                  <w:noWrap w:val="0"/>
                  <w:vAlign w:val="center"/>
                </w:tcPr>
                <w:p w14:paraId="397C21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w:t>
                  </w:r>
                </w:p>
              </w:tc>
              <w:tc>
                <w:tcPr>
                  <w:tcW w:w="777" w:type="dxa"/>
                  <w:noWrap w:val="0"/>
                  <w:vAlign w:val="center"/>
                </w:tcPr>
                <w:p w14:paraId="5E9C72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c>
                <w:tcPr>
                  <w:tcW w:w="778" w:type="dxa"/>
                  <w:vMerge w:val="continue"/>
                  <w:noWrap w:val="0"/>
                  <w:vAlign w:val="center"/>
                </w:tcPr>
                <w:p w14:paraId="44FC83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6BE89D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90</w:t>
                  </w:r>
                </w:p>
              </w:tc>
              <w:tc>
                <w:tcPr>
                  <w:tcW w:w="779" w:type="dxa"/>
                  <w:vMerge w:val="continue"/>
                  <w:noWrap w:val="0"/>
                  <w:vAlign w:val="center"/>
                </w:tcPr>
                <w:p w14:paraId="2537FB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34F643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120</w:t>
                  </w:r>
                </w:p>
              </w:tc>
              <w:tc>
                <w:tcPr>
                  <w:tcW w:w="779" w:type="dxa"/>
                  <w:vMerge w:val="continue"/>
                  <w:noWrap w:val="0"/>
                  <w:vAlign w:val="center"/>
                </w:tcPr>
                <w:p w14:paraId="07A5F6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30D037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170</w:t>
                  </w:r>
                </w:p>
              </w:tc>
              <w:tc>
                <w:tcPr>
                  <w:tcW w:w="779" w:type="dxa"/>
                  <w:vMerge w:val="continue"/>
                  <w:noWrap w:val="0"/>
                  <w:vAlign w:val="center"/>
                </w:tcPr>
                <w:p w14:paraId="25DA04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r>
            <w:tr w14:paraId="694C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restart"/>
                  <w:noWrap w:val="0"/>
                  <w:vAlign w:val="center"/>
                </w:tcPr>
                <w:p w14:paraId="3433BE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390" w:type="dxa"/>
                  <w:vMerge w:val="restart"/>
                  <w:noWrap w:val="0"/>
                  <w:vAlign w:val="center"/>
                </w:tcPr>
                <w:p w14:paraId="1310C5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铬</w:t>
                  </w:r>
                </w:p>
              </w:tc>
              <w:tc>
                <w:tcPr>
                  <w:tcW w:w="675" w:type="dxa"/>
                  <w:noWrap w:val="0"/>
                  <w:vAlign w:val="center"/>
                </w:tcPr>
                <w:p w14:paraId="7783BD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水田</w:t>
                  </w:r>
                </w:p>
              </w:tc>
              <w:tc>
                <w:tcPr>
                  <w:tcW w:w="777" w:type="dxa"/>
                  <w:noWrap w:val="0"/>
                  <w:vAlign w:val="center"/>
                </w:tcPr>
                <w:p w14:paraId="4AB0F6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250</w:t>
                  </w:r>
                </w:p>
              </w:tc>
              <w:tc>
                <w:tcPr>
                  <w:tcW w:w="778" w:type="dxa"/>
                  <w:vMerge w:val="restart"/>
                  <w:noWrap w:val="0"/>
                  <w:vAlign w:val="center"/>
                </w:tcPr>
                <w:p w14:paraId="55FC9A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800</w:t>
                  </w:r>
                </w:p>
              </w:tc>
              <w:tc>
                <w:tcPr>
                  <w:tcW w:w="777" w:type="dxa"/>
                  <w:noWrap w:val="0"/>
                  <w:vAlign w:val="center"/>
                </w:tcPr>
                <w:p w14:paraId="765BB6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250</w:t>
                  </w:r>
                </w:p>
              </w:tc>
              <w:tc>
                <w:tcPr>
                  <w:tcW w:w="779" w:type="dxa"/>
                  <w:vMerge w:val="restart"/>
                  <w:noWrap w:val="0"/>
                  <w:vAlign w:val="center"/>
                </w:tcPr>
                <w:p w14:paraId="24F72A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850</w:t>
                  </w:r>
                </w:p>
              </w:tc>
              <w:tc>
                <w:tcPr>
                  <w:tcW w:w="777" w:type="dxa"/>
                  <w:noWrap w:val="0"/>
                  <w:vAlign w:val="center"/>
                </w:tcPr>
                <w:p w14:paraId="55CCAC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300</w:t>
                  </w:r>
                </w:p>
              </w:tc>
              <w:tc>
                <w:tcPr>
                  <w:tcW w:w="779" w:type="dxa"/>
                  <w:vMerge w:val="restart"/>
                  <w:noWrap w:val="0"/>
                  <w:vAlign w:val="center"/>
                </w:tcPr>
                <w:p w14:paraId="081D44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1000</w:t>
                  </w:r>
                </w:p>
              </w:tc>
              <w:tc>
                <w:tcPr>
                  <w:tcW w:w="777" w:type="dxa"/>
                  <w:noWrap w:val="0"/>
                  <w:vAlign w:val="center"/>
                </w:tcPr>
                <w:p w14:paraId="313337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350</w:t>
                  </w:r>
                </w:p>
              </w:tc>
              <w:tc>
                <w:tcPr>
                  <w:tcW w:w="779" w:type="dxa"/>
                  <w:vMerge w:val="restart"/>
                  <w:noWrap w:val="0"/>
                  <w:vAlign w:val="center"/>
                </w:tcPr>
                <w:p w14:paraId="01B28B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1300</w:t>
                  </w:r>
                </w:p>
              </w:tc>
            </w:tr>
            <w:tr w14:paraId="483D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continue"/>
                  <w:noWrap w:val="0"/>
                  <w:vAlign w:val="center"/>
                </w:tcPr>
                <w:p w14:paraId="64E063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390" w:type="dxa"/>
                  <w:vMerge w:val="continue"/>
                  <w:noWrap w:val="0"/>
                  <w:vAlign w:val="center"/>
                </w:tcPr>
                <w:p w14:paraId="1934F9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675" w:type="dxa"/>
                  <w:noWrap w:val="0"/>
                  <w:vAlign w:val="center"/>
                </w:tcPr>
                <w:p w14:paraId="4F3E39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w:t>
                  </w:r>
                </w:p>
              </w:tc>
              <w:tc>
                <w:tcPr>
                  <w:tcW w:w="777" w:type="dxa"/>
                  <w:noWrap w:val="0"/>
                  <w:vAlign w:val="center"/>
                </w:tcPr>
                <w:p w14:paraId="2194D2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w:t>
                  </w:r>
                </w:p>
              </w:tc>
              <w:tc>
                <w:tcPr>
                  <w:tcW w:w="778" w:type="dxa"/>
                  <w:vMerge w:val="continue"/>
                  <w:noWrap w:val="0"/>
                  <w:vAlign w:val="center"/>
                </w:tcPr>
                <w:p w14:paraId="68752F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7B32B1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w:t>
                  </w:r>
                </w:p>
              </w:tc>
              <w:tc>
                <w:tcPr>
                  <w:tcW w:w="779" w:type="dxa"/>
                  <w:vMerge w:val="continue"/>
                  <w:noWrap w:val="0"/>
                  <w:vAlign w:val="center"/>
                </w:tcPr>
                <w:p w14:paraId="5A26EE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238E57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c>
                <w:tcPr>
                  <w:tcW w:w="779" w:type="dxa"/>
                  <w:vMerge w:val="continue"/>
                  <w:noWrap w:val="0"/>
                  <w:vAlign w:val="center"/>
                </w:tcPr>
                <w:p w14:paraId="2F7A9B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777" w:type="dxa"/>
                  <w:noWrap w:val="0"/>
                  <w:vAlign w:val="center"/>
                </w:tcPr>
                <w:p w14:paraId="759573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250</w:t>
                  </w:r>
                </w:p>
              </w:tc>
              <w:tc>
                <w:tcPr>
                  <w:tcW w:w="779" w:type="dxa"/>
                  <w:vMerge w:val="continue"/>
                  <w:noWrap w:val="0"/>
                  <w:vAlign w:val="center"/>
                </w:tcPr>
                <w:p w14:paraId="2DB6AC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r>
            <w:tr w14:paraId="14DD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restart"/>
                  <w:noWrap w:val="0"/>
                  <w:vAlign w:val="center"/>
                </w:tcPr>
                <w:p w14:paraId="552EA3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w:t>
                  </w:r>
                </w:p>
              </w:tc>
              <w:tc>
                <w:tcPr>
                  <w:tcW w:w="390" w:type="dxa"/>
                  <w:vMerge w:val="restart"/>
                  <w:noWrap w:val="0"/>
                  <w:vAlign w:val="center"/>
                </w:tcPr>
                <w:p w14:paraId="71FA0F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铜</w:t>
                  </w:r>
                </w:p>
              </w:tc>
              <w:tc>
                <w:tcPr>
                  <w:tcW w:w="675" w:type="dxa"/>
                  <w:noWrap w:val="0"/>
                  <w:vAlign w:val="center"/>
                </w:tcPr>
                <w:p w14:paraId="3C3194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果园</w:t>
                  </w:r>
                </w:p>
              </w:tc>
              <w:tc>
                <w:tcPr>
                  <w:tcW w:w="777" w:type="dxa"/>
                  <w:noWrap w:val="0"/>
                  <w:vAlign w:val="center"/>
                </w:tcPr>
                <w:p w14:paraId="3A221D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w:t>
                  </w:r>
                </w:p>
              </w:tc>
              <w:tc>
                <w:tcPr>
                  <w:tcW w:w="778" w:type="dxa"/>
                  <w:noWrap w:val="0"/>
                  <w:vAlign w:val="center"/>
                </w:tcPr>
                <w:p w14:paraId="02D1CE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493D8F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w:t>
                  </w:r>
                </w:p>
              </w:tc>
              <w:tc>
                <w:tcPr>
                  <w:tcW w:w="779" w:type="dxa"/>
                  <w:noWrap w:val="0"/>
                  <w:vAlign w:val="center"/>
                </w:tcPr>
                <w:p w14:paraId="1B9739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22DE06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c>
                <w:tcPr>
                  <w:tcW w:w="779" w:type="dxa"/>
                  <w:noWrap w:val="0"/>
                  <w:vAlign w:val="center"/>
                </w:tcPr>
                <w:p w14:paraId="423E5E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49589F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c>
                <w:tcPr>
                  <w:tcW w:w="779" w:type="dxa"/>
                  <w:noWrap w:val="0"/>
                  <w:vAlign w:val="center"/>
                </w:tcPr>
                <w:p w14:paraId="5EC0B9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14:paraId="1A67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vMerge w:val="continue"/>
                  <w:noWrap w:val="0"/>
                  <w:vAlign w:val="center"/>
                </w:tcPr>
                <w:p w14:paraId="311E2A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390" w:type="dxa"/>
                  <w:vMerge w:val="continue"/>
                  <w:noWrap w:val="0"/>
                  <w:vAlign w:val="center"/>
                </w:tcPr>
                <w:p w14:paraId="054778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p>
              </w:tc>
              <w:tc>
                <w:tcPr>
                  <w:tcW w:w="675" w:type="dxa"/>
                  <w:noWrap w:val="0"/>
                  <w:vAlign w:val="center"/>
                </w:tcPr>
                <w:p w14:paraId="32F003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w:t>
                  </w:r>
                </w:p>
              </w:tc>
              <w:tc>
                <w:tcPr>
                  <w:tcW w:w="777" w:type="dxa"/>
                  <w:noWrap w:val="0"/>
                  <w:vAlign w:val="center"/>
                </w:tcPr>
                <w:p w14:paraId="5E367B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c>
                <w:tcPr>
                  <w:tcW w:w="778" w:type="dxa"/>
                  <w:noWrap w:val="0"/>
                  <w:vAlign w:val="center"/>
                </w:tcPr>
                <w:p w14:paraId="671AF0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2FBE82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w:t>
                  </w:r>
                </w:p>
              </w:tc>
              <w:tc>
                <w:tcPr>
                  <w:tcW w:w="779" w:type="dxa"/>
                  <w:noWrap w:val="0"/>
                  <w:vAlign w:val="center"/>
                </w:tcPr>
                <w:p w14:paraId="52709B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66BC34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c>
                <w:tcPr>
                  <w:tcW w:w="779" w:type="dxa"/>
                  <w:noWrap w:val="0"/>
                  <w:vAlign w:val="center"/>
                </w:tcPr>
                <w:p w14:paraId="57E287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17F56E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c>
                <w:tcPr>
                  <w:tcW w:w="779" w:type="dxa"/>
                  <w:noWrap w:val="0"/>
                  <w:vAlign w:val="center"/>
                </w:tcPr>
                <w:p w14:paraId="1C3998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14:paraId="4602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08" w:type="dxa"/>
                  <w:noWrap w:val="0"/>
                  <w:vAlign w:val="center"/>
                </w:tcPr>
                <w:p w14:paraId="586CF3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w:t>
                  </w:r>
                </w:p>
              </w:tc>
              <w:tc>
                <w:tcPr>
                  <w:tcW w:w="1065" w:type="dxa"/>
                  <w:gridSpan w:val="2"/>
                  <w:noWrap w:val="0"/>
                  <w:vAlign w:val="center"/>
                </w:tcPr>
                <w:p w14:paraId="4AA763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镍</w:t>
                  </w:r>
                </w:p>
              </w:tc>
              <w:tc>
                <w:tcPr>
                  <w:tcW w:w="777" w:type="dxa"/>
                  <w:noWrap w:val="0"/>
                  <w:vAlign w:val="center"/>
                </w:tcPr>
                <w:p w14:paraId="275905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60</w:t>
                  </w:r>
                </w:p>
              </w:tc>
              <w:tc>
                <w:tcPr>
                  <w:tcW w:w="778" w:type="dxa"/>
                  <w:noWrap w:val="0"/>
                  <w:vAlign w:val="center"/>
                </w:tcPr>
                <w:p w14:paraId="0A1799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7E87DF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c>
                <w:tcPr>
                  <w:tcW w:w="779" w:type="dxa"/>
                  <w:noWrap w:val="0"/>
                  <w:vAlign w:val="center"/>
                </w:tcPr>
                <w:p w14:paraId="79B592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321A1E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c>
                <w:tcPr>
                  <w:tcW w:w="779" w:type="dxa"/>
                  <w:noWrap w:val="0"/>
                  <w:vAlign w:val="center"/>
                </w:tcPr>
                <w:p w14:paraId="59F9C6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2CCBD3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190</w:t>
                  </w:r>
                </w:p>
              </w:tc>
              <w:tc>
                <w:tcPr>
                  <w:tcW w:w="779" w:type="dxa"/>
                  <w:noWrap w:val="0"/>
                  <w:vAlign w:val="center"/>
                </w:tcPr>
                <w:p w14:paraId="283552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14:paraId="7723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8" w:type="dxa"/>
                  <w:noWrap w:val="0"/>
                  <w:vAlign w:val="center"/>
                </w:tcPr>
                <w:p w14:paraId="0C7FCF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c>
                <w:tcPr>
                  <w:tcW w:w="1065" w:type="dxa"/>
                  <w:gridSpan w:val="2"/>
                  <w:noWrap w:val="0"/>
                  <w:vAlign w:val="center"/>
                </w:tcPr>
                <w:p w14:paraId="62FD92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锌</w:t>
                  </w:r>
                </w:p>
              </w:tc>
              <w:tc>
                <w:tcPr>
                  <w:tcW w:w="777" w:type="dxa"/>
                  <w:noWrap w:val="0"/>
                  <w:vAlign w:val="center"/>
                </w:tcPr>
                <w:p w14:paraId="61E6D3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c>
                <w:tcPr>
                  <w:tcW w:w="778" w:type="dxa"/>
                  <w:noWrap w:val="0"/>
                  <w:vAlign w:val="center"/>
                </w:tcPr>
                <w:p w14:paraId="722FD7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549172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w:t>
                  </w:r>
                </w:p>
              </w:tc>
              <w:tc>
                <w:tcPr>
                  <w:tcW w:w="779" w:type="dxa"/>
                  <w:noWrap w:val="0"/>
                  <w:vAlign w:val="center"/>
                </w:tcPr>
                <w:p w14:paraId="006E2E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556198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250</w:t>
                  </w:r>
                </w:p>
              </w:tc>
              <w:tc>
                <w:tcPr>
                  <w:tcW w:w="779" w:type="dxa"/>
                  <w:noWrap w:val="0"/>
                  <w:vAlign w:val="center"/>
                </w:tcPr>
                <w:p w14:paraId="41DAD5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777" w:type="dxa"/>
                  <w:noWrap w:val="0"/>
                  <w:vAlign w:val="center"/>
                </w:tcPr>
                <w:p w14:paraId="231E89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300</w:t>
                  </w:r>
                </w:p>
              </w:tc>
              <w:tc>
                <w:tcPr>
                  <w:tcW w:w="779" w:type="dxa"/>
                  <w:noWrap w:val="0"/>
                  <w:vAlign w:val="center"/>
                </w:tcPr>
                <w:p w14:paraId="1C3E41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bl>
          <w:p w14:paraId="181D83EC">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土壤、地下水影响分析</w:t>
            </w:r>
          </w:p>
          <w:p w14:paraId="3AC9DCD6">
            <w:pPr>
              <w:tabs>
                <w:tab w:val="left" w:pos="483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原则上不开展环境质量现状调查。建设项目存在土壤、地下水环境污染途径的，应结合污染源、保护目标分布情况开展现状调查以留作背景值”。</w:t>
            </w:r>
          </w:p>
          <w:p w14:paraId="22710A5B">
            <w:pPr>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sz w:val="24"/>
              </w:rPr>
              <w:t>本项目为</w:t>
            </w:r>
            <w:r>
              <w:rPr>
                <w:rFonts w:hint="eastAsia" w:cs="Times New Roman"/>
                <w:color w:val="auto"/>
                <w:sz w:val="24"/>
                <w:lang w:val="en-US" w:eastAsia="zh-CN"/>
              </w:rPr>
              <w:t>配煤</w:t>
            </w:r>
            <w:r>
              <w:rPr>
                <w:rFonts w:hint="default" w:ascii="Times New Roman" w:hAnsi="Times New Roman" w:cs="Times New Roman"/>
                <w:color w:val="auto"/>
                <w:sz w:val="24"/>
              </w:rPr>
              <w:t>项目，</w:t>
            </w:r>
            <w:r>
              <w:rPr>
                <w:rFonts w:hint="eastAsia" w:cs="Times New Roman"/>
                <w:color w:val="auto"/>
                <w:sz w:val="24"/>
                <w:lang w:val="en-US" w:eastAsia="zh-CN"/>
              </w:rPr>
              <w:t>利用不同品质的无烟煤进行混配，</w:t>
            </w:r>
            <w:r>
              <w:rPr>
                <w:rFonts w:hint="eastAsia"/>
                <w:color w:val="auto"/>
                <w:spacing w:val="-5"/>
                <w:lang w:val="en-US" w:eastAsia="zh-CN"/>
              </w:rPr>
              <w:t>不涉及采煤、选煤、洗煤和破碎工序，项目利用在建项目一半的生产车间（占地面积为1000m</w:t>
            </w:r>
            <w:r>
              <w:rPr>
                <w:rFonts w:hint="eastAsia"/>
                <w:color w:val="auto"/>
                <w:spacing w:val="-5"/>
                <w:vertAlign w:val="superscript"/>
                <w:lang w:val="en-US" w:eastAsia="zh-CN"/>
              </w:rPr>
              <w:t>2</w:t>
            </w:r>
            <w:r>
              <w:rPr>
                <w:rFonts w:hint="eastAsia"/>
                <w:color w:val="auto"/>
                <w:spacing w:val="-5"/>
                <w:lang w:val="en-US" w:eastAsia="zh-CN"/>
              </w:rPr>
              <w:t>）进行布设，</w:t>
            </w:r>
            <w:r>
              <w:rPr>
                <w:rFonts w:hint="default" w:ascii="Times New Roman" w:hAnsi="Times New Roman" w:eastAsia="宋体" w:cs="Times New Roman"/>
                <w:color w:val="auto"/>
              </w:rPr>
              <w:t>不新增占地</w:t>
            </w:r>
            <w:r>
              <w:rPr>
                <w:rFonts w:hint="eastAsia" w:ascii="Times New Roman" w:hAnsi="Times New Roman" w:eastAsia="宋体" w:cs="Times New Roman"/>
                <w:color w:val="auto"/>
                <w:lang w:eastAsia="zh-CN"/>
              </w:rPr>
              <w:t>，</w:t>
            </w:r>
            <w:r>
              <w:rPr>
                <w:rFonts w:hint="eastAsia" w:cs="Times New Roman"/>
                <w:color w:val="auto"/>
                <w:sz w:val="24"/>
                <w:lang w:eastAsia="zh-CN"/>
              </w:rPr>
              <w:t>生产线均布设于</w:t>
            </w:r>
            <w:r>
              <w:rPr>
                <w:rFonts w:hint="eastAsia" w:cs="Times New Roman"/>
                <w:color w:val="auto"/>
                <w:sz w:val="24"/>
                <w:lang w:val="en-US" w:eastAsia="zh-CN"/>
              </w:rPr>
              <w:t>封闭的生产车间内，</w:t>
            </w:r>
            <w:r>
              <w:rPr>
                <w:rFonts w:hint="default" w:ascii="Times New Roman" w:hAnsi="Times New Roman" w:cs="Times New Roman"/>
                <w:color w:val="auto"/>
                <w:sz w:val="24"/>
              </w:rPr>
              <w:t>厂区地面进行</w:t>
            </w:r>
            <w:r>
              <w:rPr>
                <w:rFonts w:hint="eastAsia" w:cs="Times New Roman"/>
                <w:color w:val="auto"/>
                <w:sz w:val="24"/>
                <w:lang w:val="en-US" w:eastAsia="zh-CN"/>
              </w:rPr>
              <w:t>了</w:t>
            </w:r>
            <w:r>
              <w:rPr>
                <w:rFonts w:hint="default" w:ascii="Times New Roman" w:hAnsi="Times New Roman" w:cs="Times New Roman"/>
                <w:color w:val="auto"/>
                <w:sz w:val="24"/>
              </w:rPr>
              <w:t>硬化</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布设了洒水降尘设施，车辆清洗废水经</w:t>
            </w:r>
            <w:r>
              <w:rPr>
                <w:rFonts w:hint="eastAsia" w:cs="Times New Roman"/>
                <w:color w:val="auto"/>
                <w:sz w:val="24"/>
                <w:lang w:val="en-US" w:eastAsia="zh-CN"/>
              </w:rPr>
              <w:t>三</w:t>
            </w:r>
            <w:r>
              <w:rPr>
                <w:rFonts w:hint="eastAsia" w:ascii="Times New Roman" w:hAnsi="Times New Roman" w:cs="Times New Roman"/>
                <w:color w:val="auto"/>
                <w:sz w:val="24"/>
                <w:lang w:val="en-US" w:eastAsia="zh-CN"/>
              </w:rPr>
              <w:t>级沉淀池处理后，</w:t>
            </w:r>
            <w:r>
              <w:rPr>
                <w:rFonts w:hint="eastAsia" w:cs="Times New Roman"/>
                <w:color w:val="auto"/>
                <w:sz w:val="24"/>
                <w:lang w:val="en-US" w:eastAsia="zh-CN"/>
              </w:rPr>
              <w:t>循环使用</w:t>
            </w:r>
            <w:r>
              <w:rPr>
                <w:rFonts w:hint="eastAsia" w:ascii="Times New Roman" w:hAnsi="Times New Roman" w:cs="Times New Roman"/>
                <w:color w:val="auto"/>
                <w:sz w:val="24"/>
                <w:lang w:val="en-US" w:eastAsia="zh-CN"/>
              </w:rPr>
              <w:t>，不外排，项目无新增生活污水产生，</w:t>
            </w:r>
            <w:r>
              <w:rPr>
                <w:rFonts w:hint="eastAsia" w:cs="Times New Roman"/>
                <w:color w:val="auto"/>
                <w:sz w:val="24"/>
                <w:lang w:val="en-US" w:eastAsia="zh-CN"/>
              </w:rPr>
              <w:t>项目初期雨水经厂区雨水管网排至初期雨水收集池（容积为60m</w:t>
            </w:r>
            <w:r>
              <w:rPr>
                <w:rFonts w:hint="eastAsia" w:cs="Times New Roman"/>
                <w:color w:val="auto"/>
                <w:sz w:val="24"/>
                <w:vertAlign w:val="superscript"/>
                <w:lang w:val="en-US" w:eastAsia="zh-CN"/>
              </w:rPr>
              <w:t>3</w:t>
            </w:r>
            <w:r>
              <w:rPr>
                <w:rFonts w:hint="eastAsia" w:cs="Times New Roman"/>
                <w:color w:val="auto"/>
                <w:sz w:val="24"/>
                <w:lang w:val="en-US" w:eastAsia="zh-CN"/>
              </w:rPr>
              <w:t>），经沉淀后回用于厂区洒水降尘，不外排，对</w:t>
            </w:r>
            <w:r>
              <w:rPr>
                <w:rFonts w:hint="default" w:ascii="Times New Roman" w:hAnsi="Times New Roman" w:cs="Times New Roman"/>
                <w:color w:val="auto"/>
                <w:sz w:val="24"/>
              </w:rPr>
              <w:t>土壤、地下水环境</w:t>
            </w:r>
            <w:r>
              <w:rPr>
                <w:rFonts w:hint="eastAsia" w:cs="Times New Roman"/>
                <w:color w:val="auto"/>
                <w:sz w:val="24"/>
                <w:lang w:val="en-US" w:eastAsia="zh-CN"/>
              </w:rPr>
              <w:t>影响较小</w:t>
            </w:r>
            <w:r>
              <w:rPr>
                <w:rFonts w:hint="default" w:ascii="Times New Roman" w:hAnsi="Times New Roman" w:cs="Times New Roman"/>
                <w:color w:val="auto"/>
                <w:sz w:val="24"/>
              </w:rPr>
              <w:t>，故不开展环境质量现状调查。</w:t>
            </w:r>
          </w:p>
        </w:tc>
      </w:tr>
      <w:tr w14:paraId="7F79B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Align w:val="center"/>
          </w:tcPr>
          <w:p w14:paraId="49D8A15D">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24EE4FFE">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250F0F80">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kern w:val="0"/>
                <w:szCs w:val="21"/>
              </w:rPr>
              <w:t>目标</w:t>
            </w:r>
          </w:p>
        </w:tc>
        <w:tc>
          <w:tcPr>
            <w:tcW w:w="4733" w:type="pct"/>
            <w:vAlign w:val="center"/>
          </w:tcPr>
          <w:p w14:paraId="2704517F">
            <w:pPr>
              <w:adjustRightInd w:val="0"/>
              <w:spacing w:line="360" w:lineRule="auto"/>
              <w:ind w:firstLine="482" w:firstLineChars="200"/>
              <w:rPr>
                <w:b/>
                <w:color w:val="auto"/>
                <w:sz w:val="24"/>
                <w:highlight w:val="none"/>
              </w:rPr>
            </w:pPr>
            <w:r>
              <w:rPr>
                <w:b/>
                <w:color w:val="auto"/>
                <w:sz w:val="24"/>
                <w:highlight w:val="none"/>
              </w:rPr>
              <w:t>1、大气环境保护目标</w:t>
            </w:r>
          </w:p>
          <w:p w14:paraId="2B22C5DD">
            <w:pPr>
              <w:pStyle w:val="68"/>
              <w:adjustRightInd w:val="0"/>
              <w:spacing w:line="360" w:lineRule="auto"/>
              <w:ind w:firstLine="480" w:firstLineChars="2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项目厂界外500m范围内无自然保护区、风景名胜区等区域，主要环境保护目标见下表。</w:t>
            </w:r>
          </w:p>
          <w:p w14:paraId="651E9C8E">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highlight w:val="none"/>
              </w:rPr>
            </w:pPr>
            <w:r>
              <w:rPr>
                <w:rFonts w:hint="default" w:ascii="Times New Roman" w:hAnsi="Times New Roman" w:eastAsia="宋体" w:cs="Times New Roman"/>
                <w:color w:val="auto"/>
                <w:sz w:val="24"/>
                <w:szCs w:val="32"/>
                <w:highlight w:val="none"/>
              </w:rPr>
              <w:t>表3-</w:t>
            </w:r>
            <w:r>
              <w:rPr>
                <w:rFonts w:hint="eastAsia" w:cs="Times New Roman"/>
                <w:color w:val="auto"/>
                <w:sz w:val="24"/>
                <w:szCs w:val="32"/>
                <w:highlight w:val="none"/>
                <w:lang w:val="en-US" w:eastAsia="zh-CN"/>
              </w:rPr>
              <w:t xml:space="preserve">9 </w:t>
            </w:r>
            <w:r>
              <w:rPr>
                <w:rFonts w:hint="default" w:ascii="Times New Roman" w:hAnsi="Times New Roman" w:eastAsia="宋体" w:cs="Times New Roman"/>
                <w:color w:val="auto"/>
                <w:sz w:val="24"/>
                <w:szCs w:val="32"/>
                <w:highlight w:val="none"/>
              </w:rPr>
              <w:t xml:space="preserve"> 项目主要环境保护目标情况</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754"/>
              <w:gridCol w:w="812"/>
              <w:gridCol w:w="735"/>
              <w:gridCol w:w="677"/>
              <w:gridCol w:w="735"/>
              <w:gridCol w:w="706"/>
              <w:gridCol w:w="750"/>
              <w:gridCol w:w="1863"/>
            </w:tblGrid>
            <w:tr w14:paraId="1594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19" w:type="pct"/>
                  <w:vMerge w:val="restart"/>
                  <w:vAlign w:val="center"/>
                </w:tcPr>
                <w:p w14:paraId="53EBBB82">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环境要素</w:t>
                  </w:r>
                </w:p>
              </w:tc>
              <w:tc>
                <w:tcPr>
                  <w:tcW w:w="480" w:type="pct"/>
                  <w:vMerge w:val="restart"/>
                  <w:vAlign w:val="center"/>
                </w:tcPr>
                <w:p w14:paraId="266D02C0">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名称</w:t>
                  </w:r>
                </w:p>
              </w:tc>
              <w:tc>
                <w:tcPr>
                  <w:tcW w:w="985" w:type="pct"/>
                  <w:gridSpan w:val="2"/>
                  <w:vAlign w:val="center"/>
                </w:tcPr>
                <w:p w14:paraId="223C5A13">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坐标</w:t>
                  </w:r>
                </w:p>
              </w:tc>
              <w:tc>
                <w:tcPr>
                  <w:tcW w:w="431" w:type="pct"/>
                  <w:vMerge w:val="restart"/>
                  <w:vAlign w:val="center"/>
                </w:tcPr>
                <w:p w14:paraId="4735B500">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保护对象</w:t>
                  </w:r>
                </w:p>
              </w:tc>
              <w:tc>
                <w:tcPr>
                  <w:tcW w:w="468" w:type="pct"/>
                  <w:vMerge w:val="restart"/>
                  <w:vAlign w:val="center"/>
                </w:tcPr>
                <w:p w14:paraId="09D61E6E">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保护内容</w:t>
                  </w:r>
                </w:p>
              </w:tc>
              <w:tc>
                <w:tcPr>
                  <w:tcW w:w="450" w:type="pct"/>
                  <w:vMerge w:val="restart"/>
                  <w:vAlign w:val="center"/>
                </w:tcPr>
                <w:p w14:paraId="308D97B1">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eastAsia="zh-CN"/>
                    </w:rPr>
                    <w:t>相对厂址方位</w:t>
                  </w:r>
                </w:p>
              </w:tc>
              <w:tc>
                <w:tcPr>
                  <w:tcW w:w="478" w:type="pct"/>
                  <w:vMerge w:val="restart"/>
                  <w:vAlign w:val="center"/>
                </w:tcPr>
                <w:p w14:paraId="1263C18D">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lang w:eastAsia="zh-CN"/>
                    </w:rPr>
                    <w:t>相对厂界</w:t>
                  </w:r>
                  <w:r>
                    <w:rPr>
                      <w:rFonts w:hint="default" w:ascii="Times New Roman" w:hAnsi="Times New Roman" w:cs="Times New Roman" w:eastAsiaTheme="minorEastAsia"/>
                      <w:b/>
                      <w:bCs/>
                      <w:color w:val="auto"/>
                      <w:sz w:val="21"/>
                      <w:szCs w:val="21"/>
                      <w:highlight w:val="none"/>
                    </w:rPr>
                    <w:t>距离</w:t>
                  </w:r>
                </w:p>
              </w:tc>
              <w:tc>
                <w:tcPr>
                  <w:tcW w:w="1187" w:type="pct"/>
                  <w:vMerge w:val="restart"/>
                  <w:vAlign w:val="center"/>
                </w:tcPr>
                <w:p w14:paraId="6226C6A7">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环境功能区</w:t>
                  </w:r>
                </w:p>
              </w:tc>
            </w:tr>
            <w:tr w14:paraId="5BCF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9" w:type="pct"/>
                  <w:vMerge w:val="continue"/>
                  <w:vAlign w:val="center"/>
                </w:tcPr>
                <w:p w14:paraId="7DFFFEA7">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480" w:type="pct"/>
                  <w:vMerge w:val="continue"/>
                  <w:vAlign w:val="center"/>
                </w:tcPr>
                <w:p w14:paraId="7D998352">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517" w:type="pct"/>
                  <w:vAlign w:val="center"/>
                </w:tcPr>
                <w:p w14:paraId="01A90BF1">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东经</w:t>
                  </w:r>
                </w:p>
              </w:tc>
              <w:tc>
                <w:tcPr>
                  <w:tcW w:w="468" w:type="pct"/>
                  <w:vAlign w:val="center"/>
                </w:tcPr>
                <w:p w14:paraId="6C8F5281">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北纬</w:t>
                  </w:r>
                </w:p>
              </w:tc>
              <w:tc>
                <w:tcPr>
                  <w:tcW w:w="431" w:type="pct"/>
                  <w:vMerge w:val="continue"/>
                  <w:vAlign w:val="center"/>
                </w:tcPr>
                <w:p w14:paraId="7B3C9945">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468" w:type="pct"/>
                  <w:vMerge w:val="continue"/>
                  <w:vAlign w:val="center"/>
                </w:tcPr>
                <w:p w14:paraId="1058ABD7">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450" w:type="pct"/>
                  <w:vMerge w:val="continue"/>
                  <w:vAlign w:val="center"/>
                </w:tcPr>
                <w:p w14:paraId="663D3616">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478" w:type="pct"/>
                  <w:vMerge w:val="continue"/>
                  <w:vAlign w:val="center"/>
                </w:tcPr>
                <w:p w14:paraId="2C774DFE">
                  <w:pPr>
                    <w:pStyle w:val="27"/>
                    <w:keepNext w:val="0"/>
                    <w:keepLines w:val="0"/>
                    <w:pageBreakBefore w:val="0"/>
                    <w:widowControl w:val="0"/>
                    <w:tabs>
                      <w:tab w:val="left" w:pos="4830"/>
                    </w:tabs>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187" w:type="pct"/>
                  <w:vMerge w:val="continue"/>
                  <w:vAlign w:val="center"/>
                </w:tcPr>
                <w:p w14:paraId="3576F38B">
                  <w:pPr>
                    <w:pStyle w:val="90"/>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r>
            <w:tr w14:paraId="444D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519" w:type="pct"/>
                  <w:vAlign w:val="center"/>
                </w:tcPr>
                <w:p w14:paraId="59FB6153">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w:t>
                  </w:r>
                </w:p>
                <w:p w14:paraId="131CF3F6">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w:t>
                  </w:r>
                </w:p>
              </w:tc>
              <w:tc>
                <w:tcPr>
                  <w:tcW w:w="480" w:type="pct"/>
                  <w:vAlign w:val="center"/>
                </w:tcPr>
                <w:p w14:paraId="0A2623F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龙潭</w:t>
                  </w:r>
                  <w:r>
                    <w:rPr>
                      <w:rFonts w:hint="default" w:ascii="Times New Roman" w:hAnsi="Times New Roman" w:cs="Times New Roman" w:eastAsiaTheme="minorEastAsia"/>
                      <w:color w:val="auto"/>
                      <w:sz w:val="21"/>
                      <w:szCs w:val="21"/>
                      <w:highlight w:val="none"/>
                      <w:lang w:eastAsia="zh-CN"/>
                    </w:rPr>
                    <w:t>村</w:t>
                  </w:r>
                </w:p>
              </w:tc>
              <w:tc>
                <w:tcPr>
                  <w:tcW w:w="517" w:type="pct"/>
                  <w:vAlign w:val="center"/>
                </w:tcPr>
                <w:p w14:paraId="38AF2795">
                  <w:pPr>
                    <w:pStyle w:val="90"/>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102.206928130</w:t>
                  </w:r>
                </w:p>
              </w:tc>
              <w:tc>
                <w:tcPr>
                  <w:tcW w:w="468" w:type="pct"/>
                  <w:vAlign w:val="center"/>
                </w:tcPr>
                <w:p w14:paraId="1FD48843">
                  <w:pPr>
                    <w:pStyle w:val="90"/>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24.084002658</w:t>
                  </w:r>
                </w:p>
              </w:tc>
              <w:tc>
                <w:tcPr>
                  <w:tcW w:w="431" w:type="pct"/>
                  <w:vAlign w:val="center"/>
                </w:tcPr>
                <w:p w14:paraId="1520147D">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居民</w:t>
                  </w:r>
                </w:p>
              </w:tc>
              <w:tc>
                <w:tcPr>
                  <w:tcW w:w="468" w:type="pct"/>
                  <w:vAlign w:val="center"/>
                </w:tcPr>
                <w:p w14:paraId="6771C587">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约</w:t>
                  </w:r>
                  <w:r>
                    <w:rPr>
                      <w:rFonts w:hint="default" w:ascii="Times New Roman" w:hAnsi="Times New Roman" w:cs="Times New Roman" w:eastAsiaTheme="minorEastAsia"/>
                      <w:color w:val="auto"/>
                      <w:sz w:val="21"/>
                      <w:szCs w:val="21"/>
                      <w:highlight w:val="none"/>
                      <w:lang w:val="en-US" w:eastAsia="zh-CN"/>
                    </w:rPr>
                    <w:t>75户，278人</w:t>
                  </w:r>
                </w:p>
              </w:tc>
              <w:tc>
                <w:tcPr>
                  <w:tcW w:w="450" w:type="pct"/>
                  <w:vAlign w:val="center"/>
                </w:tcPr>
                <w:p w14:paraId="0E66EE29">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西南</w:t>
                  </w:r>
                </w:p>
              </w:tc>
              <w:tc>
                <w:tcPr>
                  <w:tcW w:w="478" w:type="pct"/>
                  <w:vAlign w:val="center"/>
                </w:tcPr>
                <w:p w14:paraId="513BB59E">
                  <w:pPr>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325m</w:t>
                  </w:r>
                </w:p>
              </w:tc>
              <w:tc>
                <w:tcPr>
                  <w:tcW w:w="1187" w:type="pct"/>
                  <w:vAlign w:val="center"/>
                </w:tcPr>
                <w:p w14:paraId="61AE394F">
                  <w:pPr>
                    <w:pStyle w:val="90"/>
                    <w:keepNext w:val="0"/>
                    <w:keepLines w:val="0"/>
                    <w:pageBreakBefore w:val="0"/>
                    <w:widowControl w:val="0"/>
                    <w:tabs>
                      <w:tab w:val="left" w:pos="4830"/>
                    </w:tabs>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执行</w:t>
                  </w:r>
                  <w:r>
                    <w:rPr>
                      <w:rFonts w:hint="default" w:ascii="Times New Roman" w:hAnsi="Times New Roman" w:cs="Times New Roman" w:eastAsiaTheme="minorEastAsia"/>
                      <w:color w:val="auto"/>
                      <w:sz w:val="21"/>
                      <w:szCs w:val="21"/>
                      <w:highlight w:val="none"/>
                    </w:rPr>
                    <w:t>《环境空气质量标准》（GB3095-20</w:t>
                  </w:r>
                  <w:r>
                    <w:rPr>
                      <w:rFonts w:hint="eastAsia" w:cs="Times New Roman" w:eastAsiaTheme="minorEastAsia"/>
                      <w:color w:val="auto"/>
                      <w:sz w:val="21"/>
                      <w:szCs w:val="21"/>
                      <w:highlight w:val="none"/>
                      <w:lang w:val="en-US" w:eastAsia="zh-CN"/>
                    </w:rPr>
                    <w:t>26</w:t>
                  </w:r>
                  <w:r>
                    <w:rPr>
                      <w:rFonts w:hint="default" w:ascii="Times New Roman" w:hAnsi="Times New Roman" w:cs="Times New Roman" w:eastAsiaTheme="minorEastAsia"/>
                      <w:color w:val="auto"/>
                      <w:sz w:val="21"/>
                      <w:szCs w:val="21"/>
                      <w:highlight w:val="none"/>
                    </w:rPr>
                    <w:t>）二级标准</w:t>
                  </w:r>
                </w:p>
              </w:tc>
            </w:tr>
          </w:tbl>
          <w:p w14:paraId="27A4E885">
            <w:pPr>
              <w:adjustRightIn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2、声环境保护目标</w:t>
            </w:r>
          </w:p>
          <w:p w14:paraId="0086CE07">
            <w:pPr>
              <w:pStyle w:val="6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项目厂界外50m范围内无声环境保护目标。</w:t>
            </w:r>
          </w:p>
          <w:p w14:paraId="64C8BDAB">
            <w:pPr>
              <w:keepNext w:val="0"/>
              <w:keepLines w:val="0"/>
              <w:pageBreakBefore w:val="0"/>
              <w:widowControl w:val="0"/>
              <w:numPr>
                <w:ilvl w:val="0"/>
                <w:numId w:val="5"/>
              </w:numPr>
              <w:kinsoku/>
              <w:wordWrap/>
              <w:overflowPunct/>
              <w:topLinePunct w:val="0"/>
              <w:autoSpaceDE/>
              <w:autoSpaceDN/>
              <w:bidi w:val="0"/>
              <w:adjustRightInd w:val="0"/>
              <w:snapToGrid/>
              <w:spacing w:line="360" w:lineRule="auto"/>
              <w:ind w:firstLine="482" w:firstLineChars="200"/>
              <w:textAlignment w:val="auto"/>
              <w:rPr>
                <w:rFonts w:hint="eastAsia"/>
                <w:b/>
                <w:color w:val="auto"/>
                <w:sz w:val="24"/>
                <w:highlight w:val="none"/>
                <w:lang w:val="en-US" w:eastAsia="zh-CN"/>
              </w:rPr>
            </w:pPr>
            <w:r>
              <w:rPr>
                <w:rFonts w:hint="eastAsia"/>
                <w:b/>
                <w:color w:val="auto"/>
                <w:sz w:val="24"/>
                <w:highlight w:val="none"/>
                <w:lang w:val="en-US" w:eastAsia="zh-CN"/>
              </w:rPr>
              <w:t>地下水环境保护目标</w:t>
            </w:r>
          </w:p>
          <w:p w14:paraId="02592962">
            <w:pPr>
              <w:pStyle w:val="17"/>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根据《建设项目环境影响报告表编制技术指南（污染影响类）》（试行），地下水环境应明确厂界外500m范围内的地下水集中式饮用水水源和热水、矿泉水、温泉等特殊地下水资源。经现场调查，项目厂界</w:t>
            </w:r>
            <w:r>
              <w:rPr>
                <w:rFonts w:hint="eastAsia" w:ascii="Times New Roman" w:hAnsi="Times New Roman" w:cs="Times New Roman"/>
                <w:color w:val="auto"/>
                <w:kern w:val="2"/>
                <w:sz w:val="24"/>
                <w:szCs w:val="24"/>
                <w:highlight w:val="none"/>
                <w:lang w:val="en-US" w:eastAsia="zh-CN" w:bidi="ar-SA"/>
              </w:rPr>
              <w:t>外</w:t>
            </w:r>
            <w:r>
              <w:rPr>
                <w:rFonts w:hint="default" w:ascii="Times New Roman" w:hAnsi="Times New Roman" w:eastAsia="宋体" w:cs="Times New Roman"/>
                <w:color w:val="auto"/>
                <w:kern w:val="2"/>
                <w:sz w:val="24"/>
                <w:szCs w:val="24"/>
                <w:highlight w:val="none"/>
                <w:lang w:val="en-US" w:eastAsia="zh-CN" w:bidi="ar-SA"/>
              </w:rPr>
              <w:t>500m范围无地下水集中式饮用水水源和热水、矿泉水、温泉等特殊地下水资源，故项目无需设置地下水环境保护目标。</w:t>
            </w:r>
          </w:p>
          <w:p w14:paraId="1CBBD205">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color w:val="auto"/>
                <w:sz w:val="24"/>
                <w:highlight w:val="none"/>
              </w:rPr>
            </w:pPr>
            <w:r>
              <w:rPr>
                <w:rFonts w:hint="eastAsia"/>
                <w:b/>
                <w:color w:val="auto"/>
                <w:sz w:val="24"/>
                <w:highlight w:val="none"/>
                <w:lang w:val="en-US" w:eastAsia="zh-CN"/>
              </w:rPr>
              <w:t>4</w:t>
            </w:r>
            <w:r>
              <w:rPr>
                <w:b/>
                <w:color w:val="auto"/>
                <w:sz w:val="24"/>
                <w:highlight w:val="none"/>
              </w:rPr>
              <w:t>、生态环境保护目标</w:t>
            </w:r>
          </w:p>
          <w:p w14:paraId="53B3DE66">
            <w:pPr>
              <w:keepNext w:val="0"/>
              <w:keepLines w:val="0"/>
              <w:pageBreakBefore w:val="0"/>
              <w:widowControl w:val="0"/>
              <w:tabs>
                <w:tab w:val="left" w:pos="4830"/>
              </w:tabs>
              <w:kinsoku/>
              <w:wordWrap/>
              <w:overflowPunct/>
              <w:topLinePunct w:val="0"/>
              <w:autoSpaceDE/>
              <w:autoSpaceDN/>
              <w:bidi w:val="0"/>
              <w:snapToGrid/>
              <w:spacing w:line="360" w:lineRule="auto"/>
              <w:ind w:firstLine="480" w:firstLineChars="200"/>
              <w:jc w:val="left"/>
              <w:textAlignment w:val="auto"/>
              <w:rPr>
                <w:rFonts w:hint="default"/>
                <w:color w:val="auto"/>
                <w:lang w:eastAsia="zh-CN"/>
              </w:rPr>
            </w:pPr>
            <w:r>
              <w:rPr>
                <w:rFonts w:ascii="Times New Roman" w:hAnsi="Times New Roman" w:eastAsia="宋体"/>
                <w:color w:val="auto"/>
                <w:sz w:val="24"/>
                <w:highlight w:val="none"/>
              </w:rPr>
              <w:t>项目位于</w:t>
            </w:r>
            <w:r>
              <w:rPr>
                <w:rFonts w:hint="eastAsia"/>
                <w:color w:val="auto"/>
                <w:sz w:val="24"/>
                <w:highlight w:val="none"/>
                <w:lang w:eastAsia="zh-CN"/>
              </w:rPr>
              <w:t>云南省玉溪市峨山彝族自治县化念镇</w:t>
            </w:r>
            <w:r>
              <w:rPr>
                <w:rFonts w:ascii="Times New Roman" w:hAnsi="Times New Roman" w:eastAsia="宋体"/>
                <w:color w:val="auto"/>
                <w:sz w:val="24"/>
                <w:highlight w:val="none"/>
              </w:rPr>
              <w:t>，</w:t>
            </w:r>
            <w:r>
              <w:rPr>
                <w:rFonts w:hint="default" w:ascii="Times New Roman" w:hAnsi="Times New Roman" w:eastAsia="宋体"/>
                <w:color w:val="auto"/>
                <w:sz w:val="24"/>
                <w:highlight w:val="none"/>
              </w:rPr>
              <w:t>项目场地及周边200m范围内</w:t>
            </w:r>
            <w:r>
              <w:rPr>
                <w:rFonts w:ascii="Times New Roman" w:hAnsi="Times New Roman" w:eastAsia="宋体"/>
                <w:color w:val="auto"/>
                <w:sz w:val="24"/>
                <w:highlight w:val="none"/>
              </w:rPr>
              <w:t>不存在自然保护区、世界文化和自然遗产地、风景名胜区、森林公园、地质公园、重要湿地、原始天然林、珍惜濒危野生动植物天然集中分布区等生态环境保护目标。</w:t>
            </w:r>
            <w:r>
              <w:rPr>
                <w:color w:val="auto"/>
              </w:rPr>
              <w:drawing>
                <wp:anchor distT="0" distB="0" distL="114300" distR="114300" simplePos="0" relativeHeight="251661312" behindDoc="0" locked="0" layoutInCell="1" allowOverlap="1">
                  <wp:simplePos x="0" y="0"/>
                  <wp:positionH relativeFrom="column">
                    <wp:posOffset>7092950</wp:posOffset>
                  </wp:positionH>
                  <wp:positionV relativeFrom="paragraph">
                    <wp:posOffset>-4200525</wp:posOffset>
                  </wp:positionV>
                  <wp:extent cx="1257300" cy="1209675"/>
                  <wp:effectExtent l="0" t="0" r="0" b="9525"/>
                  <wp:wrapNone/>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8"/>
                          <a:stretch>
                            <a:fillRect/>
                          </a:stretch>
                        </pic:blipFill>
                        <pic:spPr>
                          <a:xfrm>
                            <a:off x="0" y="0"/>
                            <a:ext cx="1257300" cy="1209675"/>
                          </a:xfrm>
                          <a:prstGeom prst="rect">
                            <a:avLst/>
                          </a:prstGeom>
                          <a:noFill/>
                          <a:ln>
                            <a:noFill/>
                          </a:ln>
                        </pic:spPr>
                      </pic:pic>
                    </a:graphicData>
                  </a:graphic>
                </wp:anchor>
              </w:drawing>
            </w:r>
          </w:p>
        </w:tc>
      </w:tr>
      <w:tr w14:paraId="0F24E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Align w:val="center"/>
          </w:tcPr>
          <w:p w14:paraId="322F95D2">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w:t>
            </w:r>
          </w:p>
          <w:p w14:paraId="5F632490">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物排</w:t>
            </w:r>
          </w:p>
          <w:p w14:paraId="1ABAFDC3">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放控</w:t>
            </w:r>
          </w:p>
          <w:p w14:paraId="35B4D1D3">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制标</w:t>
            </w:r>
          </w:p>
          <w:p w14:paraId="164546BC">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准</w:t>
            </w:r>
          </w:p>
        </w:tc>
        <w:tc>
          <w:tcPr>
            <w:tcW w:w="4733" w:type="pct"/>
            <w:vAlign w:val="center"/>
          </w:tcPr>
          <w:p w14:paraId="06EF73EE">
            <w:pPr>
              <w:pStyle w:val="91"/>
              <w:tabs>
                <w:tab w:val="left" w:pos="4830"/>
              </w:tabs>
              <w:spacing w:line="360" w:lineRule="auto"/>
              <w:ind w:firstLine="482"/>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1、废气排放控制标准</w:t>
            </w:r>
          </w:p>
          <w:p w14:paraId="14574257">
            <w:pPr>
              <w:pStyle w:val="91"/>
              <w:tabs>
                <w:tab w:val="left" w:pos="4830"/>
              </w:tabs>
              <w:spacing w:line="360" w:lineRule="auto"/>
              <w:ind w:firstLine="482"/>
              <w:rPr>
                <w:rFonts w:hint="default" w:ascii="Times New Roman" w:hAnsi="Times New Roman" w:cs="Times New Roman"/>
                <w:b w:val="0"/>
                <w:bCs w:val="0"/>
                <w:color w:val="auto"/>
                <w:sz w:val="24"/>
                <w:szCs w:val="32"/>
              </w:rPr>
            </w:pPr>
            <w:r>
              <w:rPr>
                <w:rFonts w:hint="default" w:ascii="Times New Roman" w:hAnsi="Times New Roman" w:cs="Times New Roman"/>
                <w:b w:val="0"/>
                <w:bCs w:val="0"/>
                <w:color w:val="auto"/>
                <w:sz w:val="24"/>
                <w:szCs w:val="32"/>
              </w:rPr>
              <w:t>（1）施工期</w:t>
            </w:r>
          </w:p>
          <w:p w14:paraId="62EE6C6E">
            <w:pPr>
              <w:tabs>
                <w:tab w:val="left" w:pos="4830"/>
              </w:tabs>
              <w:spacing w:line="360" w:lineRule="auto"/>
              <w:ind w:firstLine="484" w:firstLineChars="202"/>
              <w:rPr>
                <w:rFonts w:hint="default" w:ascii="Times New Roman" w:hAnsi="Times New Roman" w:cs="Times New Roman"/>
                <w:color w:val="auto"/>
                <w:sz w:val="24"/>
              </w:rPr>
            </w:pPr>
            <w:r>
              <w:rPr>
                <w:rFonts w:hint="default" w:ascii="Times New Roman" w:hAnsi="Times New Roman" w:cs="Times New Roman"/>
                <w:color w:val="auto"/>
                <w:sz w:val="24"/>
              </w:rPr>
              <w:t>施工期粉尘执行《大气污染物综合排放标准》（GB16297-1996）无组织排放限值，标准限值见下表。</w:t>
            </w:r>
          </w:p>
          <w:p w14:paraId="150E0AC0">
            <w:pPr>
              <w:pStyle w:val="4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eastAsia" w:cs="Times New Roman"/>
                <w:color w:val="auto"/>
                <w:sz w:val="24"/>
                <w:szCs w:val="32"/>
                <w:lang w:val="en-US" w:eastAsia="zh-CN"/>
              </w:rPr>
              <w:t>-10</w:t>
            </w:r>
            <w:r>
              <w:rPr>
                <w:rFonts w:hint="default" w:ascii="Times New Roman" w:hAnsi="Times New Roman" w:eastAsia="宋体" w:cs="Times New Roman"/>
                <w:color w:val="auto"/>
                <w:sz w:val="24"/>
                <w:szCs w:val="32"/>
              </w:rPr>
              <w:t xml:space="preserve"> 《大气污染物综合排放标准》无组织标准限值 单位：mg/m</w:t>
            </w:r>
            <w:r>
              <w:rPr>
                <w:rFonts w:hint="default" w:ascii="Times New Roman" w:hAnsi="Times New Roman" w:eastAsia="宋体" w:cs="Times New Roman"/>
                <w:color w:val="auto"/>
                <w:sz w:val="24"/>
                <w:szCs w:val="32"/>
                <w:vertAlign w:val="superscript"/>
              </w:rPr>
              <w:t>3</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1"/>
              <w:gridCol w:w="3823"/>
            </w:tblGrid>
            <w:tr w14:paraId="27C6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3" w:type="pct"/>
                  <w:vAlign w:val="center"/>
                </w:tcPr>
                <w:p w14:paraId="39ADEA3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436" w:type="pct"/>
                  <w:vAlign w:val="center"/>
                </w:tcPr>
                <w:p w14:paraId="6CC504F7">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无组织排放监控浓度限值</w:t>
                  </w:r>
                </w:p>
              </w:tc>
            </w:tr>
            <w:tr w14:paraId="1228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3" w:type="pct"/>
                  <w:vAlign w:val="center"/>
                </w:tcPr>
                <w:p w14:paraId="1E9D0FC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436" w:type="pct"/>
                  <w:vAlign w:val="center"/>
                </w:tcPr>
                <w:p w14:paraId="52EBE9C3">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14:paraId="7B76D239">
            <w:pPr>
              <w:tabs>
                <w:tab w:val="left" w:pos="4830"/>
              </w:tabs>
              <w:spacing w:line="360" w:lineRule="auto"/>
              <w:ind w:firstLine="484" w:firstLineChars="202"/>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（2）运营期</w:t>
            </w:r>
          </w:p>
          <w:p w14:paraId="64EE53FC">
            <w:pPr>
              <w:pStyle w:val="8"/>
              <w:keepNext w:val="0"/>
              <w:keepLines w:val="0"/>
              <w:pageBreakBefore w:val="0"/>
              <w:tabs>
                <w:tab w:val="left" w:pos="4830"/>
              </w:tabs>
              <w:kinsoku/>
              <w:wordWrap/>
              <w:overflowPunct/>
              <w:topLinePunct w:val="0"/>
              <w:autoSpaceDE/>
              <w:autoSpaceDN/>
              <w:bidi w:val="0"/>
              <w:adjustRightInd/>
              <w:snapToGrid/>
              <w:spacing w:before="0" w:after="0" w:line="360" w:lineRule="auto"/>
              <w:ind w:firstLine="480"/>
              <w:textAlignment w:val="auto"/>
              <w:rPr>
                <w:rFonts w:hint="eastAsia" w:ascii="Times New Roman" w:hAnsi="Times New Roman" w:eastAsia="宋体" w:cs="Times New Roman"/>
                <w:color w:val="auto"/>
                <w:kern w:val="0"/>
                <w:szCs w:val="24"/>
                <w:lang w:eastAsia="zh-CN"/>
              </w:rPr>
            </w:pPr>
            <w:r>
              <w:rPr>
                <w:rFonts w:hint="eastAsia" w:cs="Times New Roman"/>
                <w:color w:val="auto"/>
                <w:lang w:val="en-US" w:eastAsia="zh-CN"/>
              </w:rPr>
              <w:t>本</w:t>
            </w:r>
            <w:r>
              <w:rPr>
                <w:rFonts w:ascii="Times New Roman" w:hAnsi="Times New Roman" w:eastAsia="宋体" w:cs="Times New Roman"/>
                <w:color w:val="auto"/>
              </w:rPr>
              <w:t>项目</w:t>
            </w:r>
            <w:r>
              <w:rPr>
                <w:rFonts w:hint="eastAsia" w:cs="Times New Roman"/>
                <w:color w:val="auto"/>
                <w:lang w:eastAsia="zh-CN"/>
              </w:rPr>
              <w:t>（</w:t>
            </w:r>
            <w:r>
              <w:rPr>
                <w:rFonts w:hint="eastAsia" w:cs="Times New Roman"/>
                <w:color w:val="auto"/>
                <w:lang w:val="en-US" w:eastAsia="zh-CN"/>
              </w:rPr>
              <w:t>配煤项目</w:t>
            </w:r>
            <w:r>
              <w:rPr>
                <w:rFonts w:hint="eastAsia" w:cs="Times New Roman"/>
                <w:color w:val="auto"/>
                <w:lang w:eastAsia="zh-CN"/>
              </w:rPr>
              <w:t>）</w:t>
            </w:r>
            <w:r>
              <w:rPr>
                <w:rFonts w:ascii="Times New Roman" w:hAnsi="Times New Roman" w:eastAsia="宋体" w:cs="Times New Roman"/>
                <w:color w:val="auto"/>
              </w:rPr>
              <w:t>产生的无组织</w:t>
            </w:r>
            <w:r>
              <w:rPr>
                <w:rFonts w:hint="eastAsia" w:ascii="Times New Roman" w:hAnsi="Times New Roman" w:eastAsia="宋体" w:cs="Times New Roman"/>
                <w:color w:val="auto"/>
                <w:lang w:eastAsia="zh-CN"/>
              </w:rPr>
              <w:t>颗粒物</w:t>
            </w:r>
            <w:r>
              <w:rPr>
                <w:rFonts w:ascii="Times New Roman" w:hAnsi="Times New Roman" w:eastAsia="宋体" w:cs="Times New Roman"/>
                <w:color w:val="auto"/>
              </w:rPr>
              <w:t>执行</w:t>
            </w:r>
            <w:r>
              <w:rPr>
                <w:rFonts w:hint="eastAsia" w:ascii="Times New Roman" w:hAnsi="Times New Roman" w:eastAsia="宋体" w:cs="Times New Roman"/>
                <w:color w:val="auto"/>
              </w:rPr>
              <w:t>《煤炭工业污染物排放标准》（GB20426-2006）表5煤炭工业无组织排放限值</w:t>
            </w:r>
            <w:r>
              <w:rPr>
                <w:rFonts w:hint="eastAsia" w:cs="Times New Roman"/>
                <w:color w:val="auto"/>
                <w:lang w:eastAsia="zh-CN"/>
              </w:rPr>
              <w:t>，</w:t>
            </w:r>
            <w:r>
              <w:rPr>
                <w:rFonts w:hint="eastAsia" w:cs="Times New Roman"/>
                <w:color w:val="auto"/>
                <w:lang w:val="en-US" w:eastAsia="zh-CN"/>
              </w:rPr>
              <w:t>在建项目（配矿项目）</w:t>
            </w:r>
            <w:r>
              <w:rPr>
                <w:rFonts w:ascii="Times New Roman" w:hAnsi="Times New Roman" w:eastAsia="宋体" w:cs="Times New Roman"/>
                <w:color w:val="auto"/>
              </w:rPr>
              <w:t>产生的无组织</w:t>
            </w:r>
            <w:r>
              <w:rPr>
                <w:rFonts w:hint="eastAsia" w:ascii="Times New Roman" w:hAnsi="Times New Roman" w:eastAsia="宋体" w:cs="Times New Roman"/>
                <w:color w:val="auto"/>
                <w:lang w:eastAsia="zh-CN"/>
              </w:rPr>
              <w:t>颗粒物</w:t>
            </w:r>
            <w:r>
              <w:rPr>
                <w:rFonts w:ascii="Times New Roman" w:hAnsi="Times New Roman" w:eastAsia="宋体" w:cs="Times New Roman"/>
                <w:color w:val="auto"/>
              </w:rPr>
              <w:t>执行《铁矿采选工业污染物排放标准》（GB28661-2012）表7中新建</w:t>
            </w:r>
            <w:r>
              <w:rPr>
                <w:rFonts w:hint="eastAsia" w:ascii="Times New Roman" w:hAnsi="Times New Roman" w:eastAsia="宋体" w:cs="Times New Roman"/>
                <w:color w:val="auto"/>
                <w:lang w:val="en-US" w:eastAsia="zh-CN"/>
              </w:rPr>
              <w:t>企业的</w:t>
            </w:r>
            <w:r>
              <w:rPr>
                <w:rFonts w:ascii="Times New Roman" w:hAnsi="Times New Roman" w:eastAsia="宋体" w:cs="Times New Roman"/>
                <w:color w:val="auto"/>
              </w:rPr>
              <w:t>排放监控浓度值</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具体的</w:t>
            </w:r>
            <w:r>
              <w:rPr>
                <w:rFonts w:hint="default" w:ascii="Times New Roman" w:hAnsi="Times New Roman" w:cs="Times New Roman"/>
                <w:color w:val="auto"/>
                <w:sz w:val="24"/>
              </w:rPr>
              <w:t>标准限值见下表</w:t>
            </w:r>
            <w:r>
              <w:rPr>
                <w:rFonts w:hint="eastAsia" w:ascii="Times New Roman" w:hAnsi="Times New Roman" w:cs="Times New Roman"/>
                <w:color w:val="auto"/>
                <w:sz w:val="24"/>
                <w:lang w:eastAsia="zh-CN"/>
              </w:rPr>
              <w:t>。</w:t>
            </w:r>
          </w:p>
          <w:p w14:paraId="459C3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color w:val="auto"/>
                <w:sz w:val="24"/>
                <w:szCs w:val="24"/>
                <w:vertAlign w:val="superscript"/>
              </w:rPr>
            </w:pPr>
            <w:r>
              <w:rPr>
                <w:rFonts w:eastAsia="宋体"/>
                <w:b/>
                <w:color w:val="auto"/>
                <w:sz w:val="24"/>
                <w:szCs w:val="24"/>
              </w:rPr>
              <w:t>表</w:t>
            </w:r>
            <w:r>
              <w:rPr>
                <w:rFonts w:hint="eastAsia"/>
                <w:b/>
                <w:color w:val="auto"/>
                <w:sz w:val="24"/>
                <w:szCs w:val="24"/>
                <w:lang w:val="en-US" w:eastAsia="zh-CN"/>
              </w:rPr>
              <w:t>3-11</w:t>
            </w:r>
            <w:r>
              <w:rPr>
                <w:rFonts w:eastAsia="宋体"/>
                <w:b/>
                <w:color w:val="auto"/>
                <w:sz w:val="24"/>
                <w:szCs w:val="24"/>
              </w:rPr>
              <w:t xml:space="preserve">  《</w:t>
            </w:r>
            <w:r>
              <w:rPr>
                <w:rFonts w:hint="eastAsia"/>
                <w:b/>
                <w:color w:val="auto"/>
                <w:sz w:val="24"/>
                <w:szCs w:val="24"/>
                <w:lang w:val="en-US" w:eastAsia="zh-CN"/>
              </w:rPr>
              <w:t>煤炭</w:t>
            </w:r>
            <w:r>
              <w:rPr>
                <w:rFonts w:eastAsia="宋体"/>
                <w:b/>
                <w:color w:val="auto"/>
                <w:sz w:val="24"/>
                <w:szCs w:val="24"/>
              </w:rPr>
              <w:t>工业污染物排放标准》</w:t>
            </w:r>
            <w:r>
              <w:rPr>
                <w:rFonts w:hint="eastAsia" w:eastAsia="宋体"/>
                <w:b/>
                <w:color w:val="auto"/>
                <w:sz w:val="24"/>
                <w:szCs w:val="24"/>
                <w:lang w:val="en-US" w:eastAsia="zh-CN"/>
              </w:rPr>
              <w:t xml:space="preserve">   </w:t>
            </w:r>
            <w:r>
              <w:rPr>
                <w:rFonts w:hint="eastAsia" w:ascii="Times New Roman" w:hAnsi="Times New Roman" w:eastAsia="宋体" w:cs="Times New Roman"/>
                <w:b/>
                <w:color w:val="auto"/>
                <w:sz w:val="24"/>
                <w:szCs w:val="24"/>
              </w:rPr>
              <w:t>单位： mg/ m</w:t>
            </w:r>
            <w:r>
              <w:rPr>
                <w:rFonts w:hint="eastAsia" w:ascii="Times New Roman" w:hAnsi="Times New Roman" w:eastAsia="宋体" w:cs="Times New Roman"/>
                <w:b/>
                <w:color w:val="auto"/>
                <w:sz w:val="24"/>
                <w:szCs w:val="24"/>
                <w:vertAlign w:val="superscript"/>
              </w:rPr>
              <w:t>3</w:t>
            </w:r>
          </w:p>
          <w:tbl>
            <w:tblPr>
              <w:tblStyle w:val="28"/>
              <w:tblW w:w="489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
              <w:gridCol w:w="1721"/>
              <w:gridCol w:w="2559"/>
              <w:gridCol w:w="2464"/>
            </w:tblGrid>
            <w:tr w14:paraId="56C5C0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604" w:type="pct"/>
                  <w:vMerge w:val="restart"/>
                  <w:tcBorders>
                    <w:top w:val="single" w:color="auto" w:sz="6" w:space="0"/>
                    <w:left w:val="single" w:color="auto" w:sz="6" w:space="0"/>
                    <w:right w:val="single" w:color="auto" w:sz="6" w:space="0"/>
                  </w:tcBorders>
                  <w:noWrap w:val="0"/>
                  <w:vAlign w:val="center"/>
                </w:tcPr>
                <w:p w14:paraId="5902B626">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1121" w:type="pct"/>
                  <w:vMerge w:val="restart"/>
                  <w:tcBorders>
                    <w:top w:val="single" w:color="auto" w:sz="6" w:space="0"/>
                    <w:left w:val="single" w:color="auto" w:sz="6" w:space="0"/>
                    <w:right w:val="single" w:color="auto" w:sz="6" w:space="0"/>
                  </w:tcBorders>
                  <w:noWrap w:val="0"/>
                  <w:vAlign w:val="center"/>
                </w:tcPr>
                <w:p w14:paraId="6C6F486E">
                  <w:pPr>
                    <w:pStyle w:val="48"/>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监控点</w:t>
                  </w:r>
                </w:p>
              </w:tc>
              <w:tc>
                <w:tcPr>
                  <w:tcW w:w="3273" w:type="pct"/>
                  <w:gridSpan w:val="2"/>
                  <w:tcBorders>
                    <w:top w:val="single" w:color="auto" w:sz="6" w:space="0"/>
                    <w:left w:val="single" w:color="auto" w:sz="6" w:space="0"/>
                    <w:bottom w:val="single" w:color="auto" w:sz="6" w:space="0"/>
                    <w:right w:val="single" w:color="auto" w:sz="6" w:space="0"/>
                  </w:tcBorders>
                  <w:noWrap w:val="0"/>
                  <w:vAlign w:val="center"/>
                </w:tcPr>
                <w:p w14:paraId="21FF6884">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作业场所（标准限值）</w:t>
                  </w:r>
                </w:p>
              </w:tc>
            </w:tr>
            <w:tr w14:paraId="3A1C8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7" w:hRule="atLeast"/>
              </w:trPr>
              <w:tc>
                <w:tcPr>
                  <w:tcW w:w="604" w:type="pct"/>
                  <w:vMerge w:val="continue"/>
                  <w:tcBorders>
                    <w:left w:val="single" w:color="auto" w:sz="6" w:space="0"/>
                    <w:right w:val="single" w:color="auto" w:sz="6" w:space="0"/>
                  </w:tcBorders>
                  <w:noWrap w:val="0"/>
                  <w:vAlign w:val="center"/>
                </w:tcPr>
                <w:p w14:paraId="1559C251">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21" w:type="pct"/>
                  <w:vMerge w:val="continue"/>
                  <w:tcBorders>
                    <w:left w:val="single" w:color="auto" w:sz="6" w:space="0"/>
                    <w:right w:val="single" w:color="auto" w:sz="6" w:space="0"/>
                  </w:tcBorders>
                  <w:noWrap w:val="0"/>
                  <w:vAlign w:val="center"/>
                </w:tcPr>
                <w:p w14:paraId="654C61D2">
                  <w:pPr>
                    <w:pStyle w:val="48"/>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b w:val="0"/>
                      <w:bCs w:val="0"/>
                      <w:color w:val="auto"/>
                      <w:sz w:val="21"/>
                      <w:szCs w:val="21"/>
                      <w:lang w:val="en-US" w:eastAsia="zh-CN"/>
                    </w:rPr>
                  </w:pPr>
                </w:p>
              </w:tc>
              <w:tc>
                <w:tcPr>
                  <w:tcW w:w="1667" w:type="pct"/>
                  <w:tcBorders>
                    <w:top w:val="single" w:color="auto" w:sz="6" w:space="0"/>
                    <w:left w:val="single" w:color="auto" w:sz="6" w:space="0"/>
                    <w:bottom w:val="single" w:color="auto" w:sz="6" w:space="0"/>
                    <w:right w:val="single" w:color="auto" w:sz="6" w:space="0"/>
                  </w:tcBorders>
                  <w:noWrap w:val="0"/>
                  <w:vAlign w:val="center"/>
                </w:tcPr>
                <w:p w14:paraId="1B66B70D">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煤炭工业所属装卸场所</w:t>
                  </w:r>
                </w:p>
              </w:tc>
              <w:tc>
                <w:tcPr>
                  <w:tcW w:w="1605" w:type="pct"/>
                  <w:tcBorders>
                    <w:top w:val="single" w:color="auto" w:sz="6" w:space="0"/>
                    <w:left w:val="single" w:color="auto" w:sz="6" w:space="0"/>
                    <w:bottom w:val="single" w:color="auto" w:sz="6" w:space="0"/>
                    <w:right w:val="single" w:color="auto" w:sz="6" w:space="0"/>
                  </w:tcBorders>
                  <w:noWrap w:val="0"/>
                  <w:vAlign w:val="center"/>
                </w:tcPr>
                <w:p w14:paraId="33009302">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煤炭贮存场所</w:t>
                  </w:r>
                </w:p>
              </w:tc>
            </w:tr>
            <w:tr w14:paraId="6A642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1" w:hRule="atLeast"/>
              </w:trPr>
              <w:tc>
                <w:tcPr>
                  <w:tcW w:w="604" w:type="pct"/>
                  <w:vMerge w:val="continue"/>
                  <w:tcBorders>
                    <w:left w:val="single" w:color="auto" w:sz="6" w:space="0"/>
                    <w:bottom w:val="single" w:color="auto" w:sz="6" w:space="0"/>
                    <w:right w:val="single" w:color="auto" w:sz="6" w:space="0"/>
                  </w:tcBorders>
                  <w:noWrap w:val="0"/>
                  <w:vAlign w:val="center"/>
                </w:tcPr>
                <w:p w14:paraId="1168371A">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121" w:type="pct"/>
                  <w:vMerge w:val="continue"/>
                  <w:tcBorders>
                    <w:left w:val="single" w:color="auto" w:sz="6" w:space="0"/>
                    <w:bottom w:val="single" w:color="auto" w:sz="6" w:space="0"/>
                    <w:right w:val="single" w:color="auto" w:sz="6" w:space="0"/>
                  </w:tcBorders>
                  <w:noWrap w:val="0"/>
                  <w:vAlign w:val="center"/>
                </w:tcPr>
                <w:p w14:paraId="75B281C8">
                  <w:pPr>
                    <w:pStyle w:val="48"/>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p>
              </w:tc>
              <w:tc>
                <w:tcPr>
                  <w:tcW w:w="1667" w:type="pct"/>
                  <w:tcBorders>
                    <w:top w:val="single" w:color="auto" w:sz="6" w:space="0"/>
                    <w:left w:val="single" w:color="auto" w:sz="6" w:space="0"/>
                    <w:bottom w:val="single" w:color="auto" w:sz="6" w:space="0"/>
                    <w:right w:val="single" w:color="auto" w:sz="6" w:space="0"/>
                  </w:tcBorders>
                  <w:noWrap w:val="0"/>
                  <w:vAlign w:val="center"/>
                </w:tcPr>
                <w:p w14:paraId="4859341E">
                  <w:pPr>
                    <w:pStyle w:val="48"/>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无组织排放限值（mg/m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 （监控点与参考点浓度差值）</w:t>
                  </w:r>
                </w:p>
              </w:tc>
              <w:tc>
                <w:tcPr>
                  <w:tcW w:w="1605" w:type="pct"/>
                  <w:tcBorders>
                    <w:top w:val="single" w:color="auto" w:sz="6" w:space="0"/>
                    <w:left w:val="single" w:color="auto" w:sz="6" w:space="0"/>
                    <w:bottom w:val="single" w:color="auto" w:sz="6" w:space="0"/>
                    <w:right w:val="single" w:color="auto" w:sz="6" w:space="0"/>
                  </w:tcBorders>
                  <w:noWrap w:val="0"/>
                  <w:vAlign w:val="center"/>
                </w:tcPr>
                <w:p w14:paraId="73E718B7">
                  <w:pPr>
                    <w:pStyle w:val="48"/>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无组织排放限值（mg/m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）（监控点与参考点浓度差值）</w:t>
                  </w:r>
                </w:p>
              </w:tc>
            </w:tr>
            <w:tr w14:paraId="56F76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5" w:hRule="atLeast"/>
              </w:trPr>
              <w:tc>
                <w:tcPr>
                  <w:tcW w:w="604" w:type="pct"/>
                  <w:tcBorders>
                    <w:top w:val="single" w:color="auto" w:sz="6" w:space="0"/>
                    <w:left w:val="single" w:color="auto" w:sz="6" w:space="0"/>
                    <w:right w:val="single" w:color="auto" w:sz="6" w:space="0"/>
                  </w:tcBorders>
                  <w:noWrap w:val="0"/>
                  <w:vAlign w:val="center"/>
                </w:tcPr>
                <w:p w14:paraId="22BCEDDB">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颗粒物</w:t>
                  </w:r>
                </w:p>
              </w:tc>
              <w:tc>
                <w:tcPr>
                  <w:tcW w:w="1121" w:type="pct"/>
                  <w:tcBorders>
                    <w:top w:val="single" w:color="auto" w:sz="6" w:space="0"/>
                    <w:left w:val="single" w:color="auto" w:sz="6" w:space="0"/>
                    <w:right w:val="single" w:color="auto" w:sz="6" w:space="0"/>
                  </w:tcBorders>
                  <w:noWrap w:val="0"/>
                  <w:vAlign w:val="center"/>
                </w:tcPr>
                <w:p w14:paraId="466438D9">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周界外质量浓度最高点</w:t>
                  </w:r>
                  <w:r>
                    <w:rPr>
                      <w:rFonts w:hint="eastAsia" w:ascii="Times New Roman" w:hAnsi="Times New Roman" w:eastAsia="宋体" w:cs="Times New Roman"/>
                      <w:b w:val="0"/>
                      <w:bCs w:val="0"/>
                      <w:color w:val="auto"/>
                      <w:sz w:val="21"/>
                      <w:szCs w:val="21"/>
                      <w:vertAlign w:val="superscript"/>
                      <w:lang w:val="en-US" w:eastAsia="zh-CN"/>
                    </w:rPr>
                    <w:t>（1）</w:t>
                  </w:r>
                </w:p>
              </w:tc>
              <w:tc>
                <w:tcPr>
                  <w:tcW w:w="1667" w:type="pct"/>
                  <w:tcBorders>
                    <w:top w:val="single" w:color="auto" w:sz="6" w:space="0"/>
                    <w:left w:val="single" w:color="auto" w:sz="6" w:space="0"/>
                    <w:right w:val="single" w:color="auto" w:sz="6" w:space="0"/>
                  </w:tcBorders>
                  <w:noWrap w:val="0"/>
                  <w:vAlign w:val="center"/>
                </w:tcPr>
                <w:p w14:paraId="1D32C49D">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c>
                <w:tcPr>
                  <w:tcW w:w="1605" w:type="pct"/>
                  <w:tcBorders>
                    <w:top w:val="single" w:color="auto" w:sz="6" w:space="0"/>
                    <w:left w:val="single" w:color="auto" w:sz="6" w:space="0"/>
                    <w:bottom w:val="single" w:color="auto" w:sz="6" w:space="0"/>
                    <w:right w:val="single" w:color="auto" w:sz="6" w:space="0"/>
                  </w:tcBorders>
                  <w:noWrap w:val="0"/>
                  <w:vAlign w:val="center"/>
                </w:tcPr>
                <w:p w14:paraId="7EB886A5">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r>
            <w:tr w14:paraId="1CB78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5000" w:type="pct"/>
                  <w:gridSpan w:val="4"/>
                  <w:tcBorders>
                    <w:top w:val="single" w:color="auto" w:sz="6" w:space="0"/>
                    <w:left w:val="single" w:color="auto" w:sz="6" w:space="0"/>
                    <w:bottom w:val="single" w:color="auto" w:sz="6" w:space="0"/>
                    <w:right w:val="single" w:color="auto" w:sz="6" w:space="0"/>
                  </w:tcBorders>
                  <w:noWrap w:val="0"/>
                  <w:vAlign w:val="center"/>
                </w:tcPr>
                <w:p w14:paraId="3D2BF1BC">
                  <w:pPr>
                    <w:pStyle w:val="48"/>
                    <w:keepNext w:val="0"/>
                    <w:keepLines w:val="0"/>
                    <w:pageBreakBefore w:val="0"/>
                    <w:widowControl w:val="0"/>
                    <w:kinsoku/>
                    <w:wordWrap/>
                    <w:overflowPunct/>
                    <w:topLinePunct w:val="0"/>
                    <w:autoSpaceDE/>
                    <w:autoSpaceDN/>
                    <w:bidi w:val="0"/>
                    <w:spacing w:line="240" w:lineRule="auto"/>
                    <w:jc w:val="both"/>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备注：（1）周界外质量浓度最高点一般应设置于无组织排放源下风向的单位周界外10m范围内，若预计无组织排放的最大落地质量浓度点越出10m范围，可将监控点移至该预计质量浓度最高点。</w:t>
                  </w:r>
                </w:p>
              </w:tc>
            </w:tr>
          </w:tbl>
          <w:p w14:paraId="5F697BBA">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outlineLvl w:val="9"/>
              <w:rPr>
                <w:color w:val="auto"/>
              </w:rPr>
            </w:pPr>
            <w:r>
              <w:rPr>
                <w:rFonts w:eastAsia="宋体"/>
                <w:b/>
                <w:color w:val="auto"/>
                <w:sz w:val="24"/>
                <w:szCs w:val="24"/>
              </w:rPr>
              <w:t>表</w:t>
            </w:r>
            <w:r>
              <w:rPr>
                <w:rFonts w:hint="eastAsia"/>
                <w:b/>
                <w:color w:val="auto"/>
                <w:sz w:val="24"/>
                <w:szCs w:val="24"/>
                <w:lang w:val="en-US" w:eastAsia="zh-CN"/>
              </w:rPr>
              <w:t>3-12</w:t>
            </w:r>
            <w:r>
              <w:rPr>
                <w:rFonts w:eastAsia="宋体"/>
                <w:b/>
                <w:color w:val="auto"/>
                <w:sz w:val="24"/>
                <w:szCs w:val="24"/>
              </w:rPr>
              <w:t xml:space="preserve"> 《铁矿采选工业污染物排放标准》</w:t>
            </w:r>
            <w:r>
              <w:rPr>
                <w:rFonts w:hint="eastAsia" w:eastAsia="宋体"/>
                <w:b/>
                <w:color w:val="auto"/>
                <w:sz w:val="24"/>
                <w:szCs w:val="24"/>
                <w:lang w:val="en-US" w:eastAsia="zh-CN"/>
              </w:rPr>
              <w:t xml:space="preserve">   </w:t>
            </w:r>
            <w:r>
              <w:rPr>
                <w:rFonts w:hint="eastAsia" w:ascii="Times New Roman" w:hAnsi="Times New Roman" w:eastAsia="宋体" w:cs="Times New Roman"/>
                <w:b/>
                <w:color w:val="auto"/>
                <w:sz w:val="24"/>
                <w:szCs w:val="24"/>
              </w:rPr>
              <w:t>单位： mg/ m</w:t>
            </w:r>
            <w:r>
              <w:rPr>
                <w:rFonts w:hint="eastAsia" w:ascii="Times New Roman" w:hAnsi="Times New Roman" w:eastAsia="宋体" w:cs="Times New Roman"/>
                <w:b/>
                <w:color w:val="auto"/>
                <w:sz w:val="24"/>
                <w:szCs w:val="24"/>
                <w:vertAlign w:val="superscript"/>
              </w:rPr>
              <w:t>3</w:t>
            </w:r>
          </w:p>
          <w:tbl>
            <w:tblPr>
              <w:tblStyle w:val="28"/>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05"/>
              <w:gridCol w:w="3287"/>
              <w:gridCol w:w="1346"/>
            </w:tblGrid>
            <w:tr w14:paraId="0968F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2044" w:type="pct"/>
                  <w:tcBorders>
                    <w:top w:val="single" w:color="auto" w:sz="6" w:space="0"/>
                    <w:left w:val="single" w:color="auto" w:sz="6" w:space="0"/>
                    <w:bottom w:val="single" w:color="auto" w:sz="6" w:space="0"/>
                    <w:right w:val="single" w:color="auto" w:sz="6" w:space="0"/>
                  </w:tcBorders>
                  <w:noWrap w:val="0"/>
                  <w:vAlign w:val="center"/>
                </w:tcPr>
                <w:p w14:paraId="583E8789">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2096" w:type="pct"/>
                  <w:tcBorders>
                    <w:top w:val="single" w:color="auto" w:sz="6" w:space="0"/>
                    <w:left w:val="single" w:color="auto" w:sz="6" w:space="0"/>
                    <w:bottom w:val="single" w:color="auto" w:sz="6" w:space="0"/>
                    <w:right w:val="single" w:color="auto" w:sz="6" w:space="0"/>
                  </w:tcBorders>
                  <w:noWrap w:val="0"/>
                  <w:vAlign w:val="center"/>
                </w:tcPr>
                <w:p w14:paraId="74AB217B">
                  <w:pPr>
                    <w:pStyle w:val="48"/>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生产工序或设施</w:t>
                  </w:r>
                  <w:r>
                    <w:rPr>
                      <w:rFonts w:hint="eastAsia" w:ascii="Times New Roman" w:hAnsi="Times New Roman" w:eastAsia="宋体" w:cs="Times New Roman"/>
                      <w:b/>
                      <w:bCs/>
                      <w:color w:val="auto"/>
                      <w:sz w:val="21"/>
                      <w:szCs w:val="21"/>
                      <w:lang w:val="en-US" w:eastAsia="zh-CN"/>
                    </w:rPr>
                    <w:t>（无组织）</w:t>
                  </w:r>
                </w:p>
              </w:tc>
              <w:tc>
                <w:tcPr>
                  <w:tcW w:w="858" w:type="pct"/>
                  <w:tcBorders>
                    <w:top w:val="single" w:color="auto" w:sz="6" w:space="0"/>
                    <w:left w:val="single" w:color="auto" w:sz="6" w:space="0"/>
                    <w:bottom w:val="single" w:color="auto" w:sz="6" w:space="0"/>
                    <w:right w:val="single" w:color="auto" w:sz="6" w:space="0"/>
                  </w:tcBorders>
                  <w:noWrap w:val="0"/>
                  <w:vAlign w:val="center"/>
                </w:tcPr>
                <w:p w14:paraId="20A5C69F">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限值</w:t>
                  </w:r>
                </w:p>
              </w:tc>
            </w:tr>
            <w:tr w14:paraId="76757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2044" w:type="pct"/>
                  <w:tcBorders>
                    <w:top w:val="single" w:color="auto" w:sz="6" w:space="0"/>
                    <w:left w:val="single" w:color="auto" w:sz="6" w:space="0"/>
                    <w:bottom w:val="single" w:color="auto" w:sz="6" w:space="0"/>
                    <w:right w:val="single" w:color="auto" w:sz="6" w:space="0"/>
                  </w:tcBorders>
                  <w:noWrap w:val="0"/>
                  <w:vAlign w:val="center"/>
                </w:tcPr>
                <w:p w14:paraId="2BE1E58B">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bookmarkStart w:id="15" w:name="_Toc200140983"/>
                  <w:bookmarkStart w:id="16" w:name="_Toc200182819"/>
                  <w:r>
                    <w:rPr>
                      <w:rFonts w:hint="default" w:ascii="Times New Roman" w:hAnsi="Times New Roman" w:eastAsia="宋体" w:cs="Times New Roman"/>
                      <w:b w:val="0"/>
                      <w:bCs w:val="0"/>
                      <w:color w:val="auto"/>
                      <w:sz w:val="21"/>
                      <w:szCs w:val="21"/>
                      <w:lang w:val="en-US" w:eastAsia="zh-CN"/>
                    </w:rPr>
                    <w:t>颗粒物</w:t>
                  </w:r>
                  <w:bookmarkEnd w:id="15"/>
                  <w:bookmarkEnd w:id="16"/>
                </w:p>
              </w:tc>
              <w:tc>
                <w:tcPr>
                  <w:tcW w:w="2096" w:type="pct"/>
                  <w:tcBorders>
                    <w:top w:val="single" w:color="auto" w:sz="6" w:space="0"/>
                    <w:left w:val="single" w:color="auto" w:sz="6" w:space="0"/>
                    <w:bottom w:val="single" w:color="auto" w:sz="6" w:space="0"/>
                    <w:right w:val="single" w:color="auto" w:sz="6" w:space="0"/>
                  </w:tcBorders>
                  <w:noWrap w:val="0"/>
                  <w:vAlign w:val="center"/>
                </w:tcPr>
                <w:p w14:paraId="651B5C5C">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选矿厂、</w:t>
                  </w:r>
                  <w:r>
                    <w:rPr>
                      <w:rFonts w:hint="eastAsia" w:ascii="Times New Roman" w:hAnsi="Times New Roman" w:eastAsia="宋体" w:cs="Times New Roman"/>
                      <w:b w:val="0"/>
                      <w:bCs w:val="0"/>
                      <w:color w:val="auto"/>
                      <w:sz w:val="21"/>
                      <w:szCs w:val="21"/>
                      <w:lang w:val="en-US" w:eastAsia="zh-CN"/>
                    </w:rPr>
                    <w:t>排土场、废石场、尾矿库</w:t>
                  </w:r>
                </w:p>
              </w:tc>
              <w:tc>
                <w:tcPr>
                  <w:tcW w:w="858" w:type="pct"/>
                  <w:tcBorders>
                    <w:top w:val="single" w:color="auto" w:sz="6" w:space="0"/>
                    <w:left w:val="single" w:color="auto" w:sz="6" w:space="0"/>
                    <w:bottom w:val="single" w:color="auto" w:sz="6" w:space="0"/>
                    <w:right w:val="single" w:color="auto" w:sz="6" w:space="0"/>
                  </w:tcBorders>
                  <w:noWrap w:val="0"/>
                  <w:vAlign w:val="center"/>
                </w:tcPr>
                <w:p w14:paraId="3283187E">
                  <w:pPr>
                    <w:pStyle w:val="4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r>
          </w:tbl>
          <w:p w14:paraId="3EF1DC21">
            <w:pPr>
              <w:pStyle w:val="91"/>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根据上表可知，本项目建设完成后，全厂无组织废气虽然执行不同的标准，但标准限值相同，均为1mg/m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p>
          <w:p w14:paraId="554F374D">
            <w:pPr>
              <w:pStyle w:val="91"/>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2、废水排放标准</w:t>
            </w:r>
          </w:p>
          <w:p w14:paraId="7ECD4C38">
            <w:pPr>
              <w:keepNext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w:t>
            </w:r>
          </w:p>
          <w:p w14:paraId="5846A0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本项目</w:t>
            </w:r>
            <w:r>
              <w:rPr>
                <w:rFonts w:hint="eastAsia" w:cs="Times New Roman"/>
                <w:color w:val="auto"/>
                <w:sz w:val="24"/>
                <w:lang w:val="en-US" w:eastAsia="zh-CN"/>
              </w:rPr>
              <w:t>利用</w:t>
            </w:r>
            <w:r>
              <w:rPr>
                <w:rFonts w:hint="default" w:ascii="Times New Roman" w:hAnsi="Times New Roman" w:eastAsia="宋体" w:cs="Times New Roman"/>
                <w:color w:val="auto"/>
                <w:lang w:val="en-US" w:eastAsia="zh-CN"/>
              </w:rPr>
              <w:t>玉溪利东商贸有限公司</w:t>
            </w:r>
            <w:r>
              <w:rPr>
                <w:rFonts w:hint="eastAsia" w:cs="Times New Roman"/>
                <w:color w:val="auto"/>
                <w:kern w:val="2"/>
                <w:sz w:val="24"/>
                <w:szCs w:val="24"/>
                <w:lang w:val="en-US" w:eastAsia="zh-CN" w:bidi="ar-SA"/>
              </w:rPr>
              <w:t>已</w:t>
            </w:r>
            <w:r>
              <w:rPr>
                <w:rFonts w:hint="eastAsia" w:ascii="Times New Roman" w:hAnsi="Times New Roman" w:eastAsia="宋体" w:cs="Times New Roman"/>
                <w:color w:val="auto"/>
                <w:lang w:val="en-US" w:eastAsia="zh-CN"/>
              </w:rPr>
              <w:t>建设完成的封闭式厂房进行建设，</w:t>
            </w:r>
            <w:r>
              <w:rPr>
                <w:rFonts w:hint="default" w:ascii="Times New Roman" w:hAnsi="Times New Roman" w:eastAsia="宋体" w:cs="Times New Roman"/>
                <w:color w:val="auto"/>
                <w:sz w:val="24"/>
                <w:lang w:val="en-US" w:eastAsia="zh-CN"/>
              </w:rPr>
              <w:t>施工期主要为</w:t>
            </w:r>
            <w:r>
              <w:rPr>
                <w:rFonts w:hint="eastAsia" w:cs="Times New Roman"/>
                <w:color w:val="auto"/>
                <w:sz w:val="24"/>
                <w:lang w:val="en-US" w:eastAsia="zh-CN"/>
              </w:rPr>
              <w:t>环保设施建设、</w:t>
            </w:r>
            <w:r>
              <w:rPr>
                <w:rFonts w:hint="default" w:ascii="Times New Roman" w:hAnsi="Times New Roman" w:eastAsia="宋体" w:cs="Times New Roman"/>
                <w:color w:val="auto"/>
                <w:sz w:val="24"/>
                <w:lang w:val="en-US" w:eastAsia="zh-CN"/>
              </w:rPr>
              <w:t>设备安装及</w:t>
            </w:r>
            <w:r>
              <w:rPr>
                <w:rFonts w:hint="eastAsia" w:ascii="Times New Roman" w:hAnsi="Times New Roman" w:eastAsia="宋体" w:cs="Times New Roman"/>
                <w:color w:val="auto"/>
                <w:sz w:val="24"/>
                <w:lang w:val="en-US" w:eastAsia="zh-CN"/>
              </w:rPr>
              <w:t>调试</w:t>
            </w:r>
            <w:r>
              <w:rPr>
                <w:rFonts w:hint="default" w:ascii="Times New Roman" w:hAnsi="Times New Roman" w:eastAsia="宋体" w:cs="Times New Roman"/>
                <w:color w:val="auto"/>
                <w:sz w:val="24"/>
                <w:lang w:val="en-US" w:eastAsia="zh-CN"/>
              </w:rPr>
              <w:t>，施工人员不在厂区食宿，施工期人员清洁废水经临时沉淀池（容积约2m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）沉淀处理后回用于场地洒水降尘，不外排</w:t>
            </w:r>
            <w:r>
              <w:rPr>
                <w:rFonts w:hint="eastAsia" w:cs="Times New Roman"/>
                <w:color w:val="auto"/>
                <w:sz w:val="24"/>
                <w:lang w:val="en-US" w:eastAsia="zh-CN" w:bidi="ar"/>
              </w:rPr>
              <w:t>，</w:t>
            </w:r>
            <w:r>
              <w:rPr>
                <w:rFonts w:hint="default" w:ascii="Times New Roman" w:hAnsi="Times New Roman" w:eastAsia="宋体" w:cs="Times New Roman"/>
                <w:b w:val="0"/>
                <w:bCs w:val="0"/>
                <w:color w:val="auto"/>
              </w:rPr>
              <w:t>不设排放标准</w:t>
            </w:r>
            <w:r>
              <w:rPr>
                <w:rFonts w:hint="eastAsia" w:cs="Times New Roman"/>
                <w:b w:val="0"/>
                <w:bCs w:val="0"/>
                <w:color w:val="auto"/>
                <w:lang w:eastAsia="zh-CN"/>
              </w:rPr>
              <w:t>。</w:t>
            </w:r>
          </w:p>
          <w:p w14:paraId="66812B7F">
            <w:pPr>
              <w:keepNext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）运营期</w:t>
            </w:r>
          </w:p>
          <w:p w14:paraId="4C0AC95E">
            <w:pPr>
              <w:pStyle w:val="11"/>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kern w:val="2"/>
                <w:sz w:val="24"/>
                <w:szCs w:val="24"/>
                <w:lang w:val="en-US" w:eastAsia="zh-CN" w:bidi="ar-SA"/>
              </w:rPr>
              <w:t>本项目生产废水主要为车辆清洗废水和生活污水，</w:t>
            </w:r>
            <w:r>
              <w:rPr>
                <w:rFonts w:hint="default" w:ascii="Times New Roman" w:hAnsi="Times New Roman" w:eastAsia="宋体" w:cs="Times New Roman"/>
                <w:color w:val="auto"/>
                <w:sz w:val="24"/>
                <w:szCs w:val="24"/>
                <w:lang w:val="en-US" w:eastAsia="zh-CN"/>
              </w:rPr>
              <w:t>车辆清洗</w:t>
            </w:r>
            <w:r>
              <w:rPr>
                <w:rFonts w:hint="eastAsia" w:cs="Times New Roman"/>
                <w:color w:val="auto"/>
                <w:sz w:val="24"/>
                <w:szCs w:val="24"/>
                <w:lang w:val="en-US" w:eastAsia="zh-CN"/>
              </w:rPr>
              <w:t>废</w:t>
            </w:r>
            <w:r>
              <w:rPr>
                <w:rFonts w:hint="default" w:ascii="Times New Roman" w:hAnsi="Times New Roman" w:eastAsia="宋体" w:cs="Times New Roman"/>
                <w:color w:val="auto"/>
                <w:sz w:val="24"/>
                <w:szCs w:val="24"/>
                <w:lang w:val="en-US" w:eastAsia="zh-CN"/>
              </w:rPr>
              <w:t>水经配套建设的</w:t>
            </w:r>
            <w:r>
              <w:rPr>
                <w:rFonts w:hint="eastAsia"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级沉淀池（</w:t>
            </w:r>
            <w:r>
              <w:rPr>
                <w:rFonts w:hint="eastAsia" w:cs="Times New Roman"/>
                <w:color w:val="auto"/>
                <w:sz w:val="24"/>
                <w:szCs w:val="24"/>
                <w:lang w:val="en-US" w:eastAsia="zh-CN"/>
              </w:rPr>
              <w:t>60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）沉淀处理后循环使用，不外排</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生活污水</w:t>
            </w:r>
            <w:r>
              <w:rPr>
                <w:rFonts w:hint="eastAsia" w:cs="Times New Roman"/>
                <w:color w:val="auto"/>
                <w:sz w:val="24"/>
                <w:szCs w:val="24"/>
                <w:lang w:val="en-US" w:eastAsia="zh-CN"/>
              </w:rPr>
              <w:t>经</w:t>
            </w:r>
            <w:r>
              <w:rPr>
                <w:rFonts w:hint="default" w:ascii="Times New Roman" w:hAnsi="Times New Roman" w:cs="Times New Roman" w:eastAsiaTheme="minorEastAsia"/>
                <w:color w:val="auto"/>
                <w:sz w:val="24"/>
                <w:szCs w:val="24"/>
                <w:lang w:val="en-US" w:eastAsia="zh-CN"/>
              </w:rPr>
              <w:t>2m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/d的一体化污水处理设施处理</w:t>
            </w:r>
            <w:r>
              <w:rPr>
                <w:rFonts w:hint="eastAsia" w:cs="Times New Roman"/>
                <w:color w:val="auto"/>
                <w:sz w:val="24"/>
                <w:lang w:val="en-US" w:eastAsia="zh-CN" w:bidi="ar"/>
              </w:rPr>
              <w:t>达到</w:t>
            </w:r>
            <w:r>
              <w:rPr>
                <w:rFonts w:hint="default" w:ascii="Times New Roman" w:hAnsi="Times New Roman" w:eastAsia="宋体" w:cs="Times New Roman"/>
                <w:color w:val="auto"/>
              </w:rPr>
              <w:t>《城市污水再生利用  城市杂用水水质》（GB/T 18920-2020）标准中</w:t>
            </w:r>
            <w:r>
              <w:rPr>
                <w:rFonts w:hint="eastAsia" w:ascii="Times New Roman" w:hAnsi="Times New Roman" w:eastAsia="宋体" w:cs="Times New Roman"/>
                <w:color w:val="auto"/>
                <w:lang w:val="en-US" w:eastAsia="zh-CN"/>
              </w:rPr>
              <w:t>绿化</w:t>
            </w:r>
            <w:r>
              <w:rPr>
                <w:rFonts w:hint="default" w:ascii="Times New Roman" w:hAnsi="Times New Roman" w:eastAsia="宋体" w:cs="Times New Roman"/>
                <w:color w:val="auto"/>
              </w:rPr>
              <w:t>标准</w:t>
            </w:r>
            <w:r>
              <w:rPr>
                <w:rFonts w:hint="default" w:ascii="Times New Roman" w:hAnsi="Times New Roman" w:eastAsia="宋体" w:cs="Times New Roman"/>
                <w:color w:val="auto"/>
                <w:lang w:val="en-US" w:eastAsia="zh-CN"/>
              </w:rPr>
              <w:t>限值后</w:t>
            </w:r>
            <w:r>
              <w:rPr>
                <w:rFonts w:hint="eastAsia" w:cs="Times New Roman"/>
                <w:color w:val="auto"/>
                <w:sz w:val="24"/>
                <w:lang w:val="en-US" w:eastAsia="zh-CN" w:bidi="ar"/>
              </w:rPr>
              <w:t>，晴天回用于厂区绿化，不外排，雨天暂存于中水池，待晴天后回用于厂区绿化，不外排，</w:t>
            </w:r>
            <w:r>
              <w:rPr>
                <w:rFonts w:hint="eastAsia" w:cs="Times New Roman"/>
                <w:b w:val="0"/>
                <w:bCs w:val="0"/>
                <w:color w:val="auto"/>
                <w:lang w:val="en-US" w:eastAsia="zh-CN"/>
              </w:rPr>
              <w:t>执行</w:t>
            </w:r>
            <w:r>
              <w:rPr>
                <w:rFonts w:hint="default" w:ascii="Times New Roman" w:hAnsi="Times New Roman" w:eastAsia="宋体" w:cs="Times New Roman"/>
                <w:color w:val="auto"/>
              </w:rPr>
              <w:t>《城市污水再生利用  城市杂用水水质》（GB/T 18920-2020）标准中</w:t>
            </w:r>
            <w:r>
              <w:rPr>
                <w:rFonts w:hint="eastAsia" w:ascii="Times New Roman" w:hAnsi="Times New Roman" w:eastAsia="宋体" w:cs="Times New Roman"/>
                <w:color w:val="auto"/>
                <w:lang w:val="en-US" w:eastAsia="zh-CN"/>
              </w:rPr>
              <w:t>绿化</w:t>
            </w:r>
            <w:r>
              <w:rPr>
                <w:rFonts w:hint="default" w:ascii="Times New Roman" w:hAnsi="Times New Roman" w:eastAsia="宋体" w:cs="Times New Roman"/>
                <w:color w:val="auto"/>
              </w:rPr>
              <w:t>标准</w:t>
            </w:r>
            <w:r>
              <w:rPr>
                <w:rFonts w:hint="default" w:ascii="Times New Roman" w:hAnsi="Times New Roman" w:eastAsia="宋体" w:cs="Times New Roman"/>
                <w:color w:val="auto"/>
                <w:lang w:val="en-US" w:eastAsia="zh-CN"/>
              </w:rPr>
              <w:t>限值</w:t>
            </w:r>
            <w:r>
              <w:rPr>
                <w:rFonts w:hint="eastAsia" w:ascii="Times New Roman" w:hAnsi="Times New Roman" w:eastAsia="宋体" w:cs="Times New Roman"/>
                <w:color w:val="auto"/>
                <w:lang w:val="en-US" w:eastAsia="zh-CN"/>
              </w:rPr>
              <w:t>，详见下表。</w:t>
            </w:r>
          </w:p>
          <w:p w14:paraId="678E243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3-1</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城市污水再生利用水质标准</w:t>
            </w:r>
          </w:p>
          <w:tbl>
            <w:tblPr>
              <w:tblStyle w:val="28"/>
              <w:tblW w:w="499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9"/>
              <w:gridCol w:w="3060"/>
              <w:gridCol w:w="3771"/>
            </w:tblGrid>
            <w:tr w14:paraId="1352F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638" w:type="pct"/>
                  <w:noWrap w:val="0"/>
                  <w:vAlign w:val="center"/>
                </w:tcPr>
                <w:p w14:paraId="3B384482">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954" w:type="pct"/>
                  <w:noWrap w:val="0"/>
                  <w:vAlign w:val="center"/>
                </w:tcPr>
                <w:p w14:paraId="5BFC92AC">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项目指标</w:t>
                  </w:r>
                </w:p>
              </w:tc>
              <w:tc>
                <w:tcPr>
                  <w:tcW w:w="2407" w:type="pct"/>
                  <w:noWrap w:val="0"/>
                  <w:vAlign w:val="center"/>
                </w:tcPr>
                <w:p w14:paraId="290FBC16">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城市绿化、道路清扫、消防、建筑施工</w:t>
                  </w:r>
                </w:p>
              </w:tc>
            </w:tr>
            <w:tr w14:paraId="5D80D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38" w:type="pct"/>
                  <w:noWrap w:val="0"/>
                  <w:vAlign w:val="center"/>
                </w:tcPr>
                <w:p w14:paraId="1713BF60">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1954" w:type="pct"/>
                  <w:noWrap w:val="0"/>
                  <w:vAlign w:val="center"/>
                </w:tcPr>
                <w:p w14:paraId="618B6390">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pH</w:t>
                  </w:r>
                </w:p>
              </w:tc>
              <w:tc>
                <w:tcPr>
                  <w:tcW w:w="2407" w:type="pct"/>
                  <w:noWrap w:val="0"/>
                  <w:vAlign w:val="center"/>
                </w:tcPr>
                <w:p w14:paraId="2B78CA31">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6.0～9.0</w:t>
                  </w:r>
                </w:p>
              </w:tc>
            </w:tr>
            <w:tr w14:paraId="771C9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2" w:hRule="atLeast"/>
              </w:trPr>
              <w:tc>
                <w:tcPr>
                  <w:tcW w:w="638" w:type="pct"/>
                  <w:noWrap w:val="0"/>
                  <w:vAlign w:val="center"/>
                </w:tcPr>
                <w:p w14:paraId="3D36911A">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954" w:type="pct"/>
                  <w:noWrap w:val="0"/>
                  <w:vAlign w:val="center"/>
                </w:tcPr>
                <w:p w14:paraId="7BACFC64">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色（度）</w:t>
                  </w:r>
                </w:p>
              </w:tc>
              <w:tc>
                <w:tcPr>
                  <w:tcW w:w="2407" w:type="pct"/>
                  <w:tcBorders>
                    <w:left w:val="single" w:color="auto" w:sz="4" w:space="0"/>
                  </w:tcBorders>
                  <w:noWrap w:val="0"/>
                  <w:vAlign w:val="center"/>
                </w:tcPr>
                <w:p w14:paraId="65A5DD1C">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w:t>
                  </w:r>
                </w:p>
              </w:tc>
            </w:tr>
            <w:tr w14:paraId="13F0D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638" w:type="pct"/>
                  <w:noWrap w:val="0"/>
                  <w:vAlign w:val="center"/>
                </w:tcPr>
                <w:p w14:paraId="227D94A0">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1954" w:type="pct"/>
                  <w:noWrap w:val="0"/>
                  <w:vAlign w:val="center"/>
                </w:tcPr>
                <w:p w14:paraId="6322D371">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嗅</w:t>
                  </w:r>
                </w:p>
              </w:tc>
              <w:tc>
                <w:tcPr>
                  <w:tcW w:w="2407" w:type="pct"/>
                  <w:noWrap w:val="0"/>
                  <w:vAlign w:val="center"/>
                </w:tcPr>
                <w:p w14:paraId="0AB2766D">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无不快感觉</w:t>
                  </w:r>
                </w:p>
              </w:tc>
            </w:tr>
            <w:tr w14:paraId="6D8A7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38" w:type="pct"/>
                  <w:noWrap w:val="0"/>
                  <w:vAlign w:val="center"/>
                </w:tcPr>
                <w:p w14:paraId="431F6398">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1954" w:type="pct"/>
                  <w:noWrap w:val="0"/>
                  <w:vAlign w:val="center"/>
                </w:tcPr>
                <w:p w14:paraId="70A9B378">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浊度（NTU）</w:t>
                  </w:r>
                </w:p>
              </w:tc>
              <w:tc>
                <w:tcPr>
                  <w:tcW w:w="2407" w:type="pct"/>
                  <w:noWrap w:val="0"/>
                  <w:vAlign w:val="center"/>
                </w:tcPr>
                <w:p w14:paraId="0EBC597B">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r>
            <w:tr w14:paraId="5D9BD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38" w:hRule="atLeast"/>
              </w:trPr>
              <w:tc>
                <w:tcPr>
                  <w:tcW w:w="638" w:type="pct"/>
                  <w:noWrap w:val="0"/>
                  <w:vAlign w:val="center"/>
                </w:tcPr>
                <w:p w14:paraId="6DFF1B99">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1954" w:type="pct"/>
                  <w:noWrap w:val="0"/>
                  <w:vAlign w:val="center"/>
                </w:tcPr>
                <w:p w14:paraId="524ECAC0">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溶解性总固体（mg/L）</w:t>
                  </w:r>
                </w:p>
              </w:tc>
              <w:tc>
                <w:tcPr>
                  <w:tcW w:w="2407" w:type="pct"/>
                  <w:noWrap w:val="0"/>
                  <w:vAlign w:val="center"/>
                </w:tcPr>
                <w:p w14:paraId="69A3BC28">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1000</w:t>
                  </w:r>
                </w:p>
              </w:tc>
            </w:tr>
            <w:tr w14:paraId="7D731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638" w:type="pct"/>
                  <w:noWrap w:val="0"/>
                  <w:vAlign w:val="center"/>
                </w:tcPr>
                <w:p w14:paraId="445A690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w:t>
                  </w:r>
                </w:p>
              </w:tc>
              <w:tc>
                <w:tcPr>
                  <w:tcW w:w="1954" w:type="pct"/>
                  <w:noWrap w:val="0"/>
                  <w:vAlign w:val="center"/>
                </w:tcPr>
                <w:p w14:paraId="076F61CA">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五</w:t>
                  </w:r>
                  <w:r>
                    <w:rPr>
                      <w:rFonts w:hint="default" w:ascii="Times New Roman" w:hAnsi="Times New Roman" w:cs="Times New Roman" w:eastAsiaTheme="minorEastAsia"/>
                      <w:color w:val="auto"/>
                      <w:sz w:val="21"/>
                      <w:szCs w:val="21"/>
                    </w:rPr>
                    <w:t>日生化需氧量BOD</w:t>
                  </w:r>
                  <w:r>
                    <w:rPr>
                      <w:rFonts w:hint="default" w:ascii="Times New Roman" w:hAnsi="Times New Roman" w:cs="Times New Roman" w:eastAsiaTheme="minorEastAsia"/>
                      <w:color w:val="auto"/>
                      <w:sz w:val="21"/>
                      <w:szCs w:val="21"/>
                      <w:vertAlign w:val="subscript"/>
                    </w:rPr>
                    <w:t>5</w:t>
                  </w:r>
                  <w:r>
                    <w:rPr>
                      <w:rFonts w:hint="default" w:ascii="Times New Roman" w:hAnsi="Times New Roman" w:cs="Times New Roman" w:eastAsiaTheme="minorEastAsia"/>
                      <w:color w:val="auto"/>
                      <w:sz w:val="21"/>
                      <w:szCs w:val="21"/>
                    </w:rPr>
                    <w:t>（mg/L）</w:t>
                  </w:r>
                </w:p>
              </w:tc>
              <w:tc>
                <w:tcPr>
                  <w:tcW w:w="2407" w:type="pct"/>
                  <w:noWrap w:val="0"/>
                  <w:vAlign w:val="center"/>
                </w:tcPr>
                <w:p w14:paraId="7AF4450B">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r>
            <w:tr w14:paraId="237F1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638" w:type="pct"/>
                  <w:noWrap w:val="0"/>
                  <w:vAlign w:val="center"/>
                </w:tcPr>
                <w:p w14:paraId="2CF6631D">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w:t>
                  </w:r>
                </w:p>
              </w:tc>
              <w:tc>
                <w:tcPr>
                  <w:tcW w:w="1954" w:type="pct"/>
                  <w:noWrap w:val="0"/>
                  <w:vAlign w:val="center"/>
                </w:tcPr>
                <w:p w14:paraId="48B74611">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氨氮（mg/L）</w:t>
                  </w:r>
                </w:p>
              </w:tc>
              <w:tc>
                <w:tcPr>
                  <w:tcW w:w="2407" w:type="pct"/>
                  <w:noWrap w:val="0"/>
                  <w:vAlign w:val="center"/>
                </w:tcPr>
                <w:p w14:paraId="7BC37BC9">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r>
            <w:tr w14:paraId="532C9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638" w:type="pct"/>
                  <w:noWrap w:val="0"/>
                  <w:vAlign w:val="center"/>
                </w:tcPr>
                <w:p w14:paraId="3A38912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c>
                <w:tcPr>
                  <w:tcW w:w="1954" w:type="pct"/>
                  <w:noWrap w:val="0"/>
                  <w:vAlign w:val="center"/>
                </w:tcPr>
                <w:p w14:paraId="081EF1E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阴离子表面活性剂（mg/L）</w:t>
                  </w:r>
                </w:p>
              </w:tc>
              <w:tc>
                <w:tcPr>
                  <w:tcW w:w="2407" w:type="pct"/>
                  <w:noWrap w:val="0"/>
                  <w:vAlign w:val="center"/>
                </w:tcPr>
                <w:p w14:paraId="785A604A">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w:t>
                  </w:r>
                </w:p>
              </w:tc>
            </w:tr>
            <w:tr w14:paraId="06FDD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38" w:type="pct"/>
                  <w:noWrap w:val="0"/>
                  <w:vAlign w:val="center"/>
                </w:tcPr>
                <w:p w14:paraId="2F812C4D">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w:t>
                  </w:r>
                </w:p>
              </w:tc>
              <w:tc>
                <w:tcPr>
                  <w:tcW w:w="1954" w:type="pct"/>
                  <w:noWrap w:val="0"/>
                  <w:vAlign w:val="center"/>
                </w:tcPr>
                <w:p w14:paraId="45E7AC28">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溶解氧（mg/L）≥</w:t>
                  </w:r>
                </w:p>
              </w:tc>
              <w:tc>
                <w:tcPr>
                  <w:tcW w:w="2407" w:type="pct"/>
                  <w:noWrap w:val="0"/>
                  <w:vAlign w:val="center"/>
                </w:tcPr>
                <w:p w14:paraId="5D52E74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r>
            <w:tr w14:paraId="0043A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638" w:type="pct"/>
                  <w:noWrap w:val="0"/>
                  <w:vAlign w:val="center"/>
                </w:tcPr>
                <w:p w14:paraId="679E9C20">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w:t>
                  </w:r>
                </w:p>
              </w:tc>
              <w:tc>
                <w:tcPr>
                  <w:tcW w:w="1954" w:type="pct"/>
                  <w:noWrap w:val="0"/>
                  <w:vAlign w:val="center"/>
                </w:tcPr>
                <w:p w14:paraId="7A7FAA45">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总氯（mg/L）≥</w:t>
                  </w:r>
                </w:p>
              </w:tc>
              <w:tc>
                <w:tcPr>
                  <w:tcW w:w="2407" w:type="pct"/>
                  <w:noWrap w:val="0"/>
                  <w:vAlign w:val="center"/>
                </w:tcPr>
                <w:p w14:paraId="0A4D1CD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1.0（出厂），0.2（管网末端）</w:t>
                  </w:r>
                </w:p>
              </w:tc>
            </w:tr>
            <w:tr w14:paraId="695F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638" w:type="pct"/>
                  <w:noWrap w:val="0"/>
                  <w:vAlign w:val="center"/>
                </w:tcPr>
                <w:p w14:paraId="480E0BB1">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w:t>
                  </w:r>
                </w:p>
              </w:tc>
              <w:tc>
                <w:tcPr>
                  <w:tcW w:w="1954" w:type="pct"/>
                  <w:noWrap w:val="0"/>
                  <w:vAlign w:val="center"/>
                </w:tcPr>
                <w:p w14:paraId="7CC778B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氯化物</w:t>
                  </w:r>
                </w:p>
              </w:tc>
              <w:tc>
                <w:tcPr>
                  <w:tcW w:w="2407" w:type="pct"/>
                  <w:noWrap w:val="0"/>
                  <w:vAlign w:val="center"/>
                </w:tcPr>
                <w:p w14:paraId="7CB2E776">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不大于</w:t>
                  </w:r>
                  <w:r>
                    <w:rPr>
                      <w:rFonts w:hint="default" w:ascii="Times New Roman" w:hAnsi="Times New Roman" w:cs="Times New Roman" w:eastAsiaTheme="minorEastAsia"/>
                      <w:color w:val="auto"/>
                      <w:sz w:val="21"/>
                      <w:szCs w:val="21"/>
                    </w:rPr>
                    <w:t>350</w:t>
                  </w:r>
                </w:p>
              </w:tc>
            </w:tr>
            <w:tr w14:paraId="18B75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638" w:type="pct"/>
                  <w:noWrap w:val="0"/>
                  <w:vAlign w:val="center"/>
                </w:tcPr>
                <w:p w14:paraId="445AA36C">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w:t>
                  </w:r>
                </w:p>
              </w:tc>
              <w:tc>
                <w:tcPr>
                  <w:tcW w:w="1954" w:type="pct"/>
                  <w:noWrap w:val="0"/>
                  <w:vAlign w:val="center"/>
                </w:tcPr>
                <w:p w14:paraId="38AA7E19">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硫酸盐</w:t>
                  </w:r>
                </w:p>
              </w:tc>
              <w:tc>
                <w:tcPr>
                  <w:tcW w:w="2407" w:type="pct"/>
                  <w:noWrap w:val="0"/>
                  <w:vAlign w:val="center"/>
                </w:tcPr>
                <w:p w14:paraId="46988E1C">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不大于</w:t>
                  </w:r>
                  <w:r>
                    <w:rPr>
                      <w:rFonts w:hint="default" w:ascii="Times New Roman" w:hAnsi="Times New Roman" w:cs="Times New Roman" w:eastAsiaTheme="minorEastAsia"/>
                      <w:color w:val="auto"/>
                      <w:sz w:val="21"/>
                      <w:szCs w:val="21"/>
                    </w:rPr>
                    <w:t>500</w:t>
                  </w:r>
                </w:p>
              </w:tc>
            </w:tr>
            <w:tr w14:paraId="04051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638" w:type="pct"/>
                  <w:noWrap w:val="0"/>
                  <w:vAlign w:val="center"/>
                </w:tcPr>
                <w:p w14:paraId="2D740D32">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1954" w:type="pct"/>
                  <w:noWrap w:val="0"/>
                  <w:vAlign w:val="center"/>
                </w:tcPr>
                <w:p w14:paraId="564DBD44">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铁</w:t>
                  </w:r>
                </w:p>
              </w:tc>
              <w:tc>
                <w:tcPr>
                  <w:tcW w:w="2407" w:type="pct"/>
                  <w:noWrap w:val="0"/>
                  <w:vAlign w:val="center"/>
                </w:tcPr>
                <w:p w14:paraId="205B12D3">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w:t>
                  </w:r>
                </w:p>
              </w:tc>
            </w:tr>
            <w:tr w14:paraId="2EF9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38" w:type="pct"/>
                  <w:noWrap w:val="0"/>
                  <w:vAlign w:val="center"/>
                </w:tcPr>
                <w:p w14:paraId="2CCD1DF4">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16</w:t>
                  </w:r>
                </w:p>
              </w:tc>
              <w:tc>
                <w:tcPr>
                  <w:tcW w:w="1954" w:type="pct"/>
                  <w:noWrap w:val="0"/>
                  <w:vAlign w:val="center"/>
                </w:tcPr>
                <w:p w14:paraId="58FB0781">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锰</w:t>
                  </w:r>
                </w:p>
              </w:tc>
              <w:tc>
                <w:tcPr>
                  <w:tcW w:w="2407" w:type="pct"/>
                  <w:noWrap w:val="0"/>
                  <w:vAlign w:val="center"/>
                </w:tcPr>
                <w:p w14:paraId="72BDA895">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w:t>
                  </w:r>
                </w:p>
              </w:tc>
            </w:tr>
            <w:tr w14:paraId="223C8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638" w:type="pct"/>
                  <w:noWrap w:val="0"/>
                  <w:vAlign w:val="center"/>
                </w:tcPr>
                <w:p w14:paraId="2683128C">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w:t>
                  </w:r>
                </w:p>
              </w:tc>
              <w:tc>
                <w:tcPr>
                  <w:tcW w:w="1954" w:type="pct"/>
                  <w:noWrap w:val="0"/>
                  <w:vAlign w:val="center"/>
                </w:tcPr>
                <w:p w14:paraId="59E71AAD">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大肠埃希氏菌（MPN/100mL）</w:t>
                  </w:r>
                </w:p>
              </w:tc>
              <w:tc>
                <w:tcPr>
                  <w:tcW w:w="2407" w:type="pct"/>
                  <w:noWrap w:val="0"/>
                  <w:vAlign w:val="center"/>
                </w:tcPr>
                <w:p w14:paraId="1B86B255">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无</w:t>
                  </w:r>
                  <w:r>
                    <w:rPr>
                      <w:rFonts w:hint="default" w:ascii="Times New Roman" w:hAnsi="Times New Roman" w:cs="Times New Roman" w:eastAsiaTheme="minorEastAsia"/>
                      <w:color w:val="auto"/>
                      <w:sz w:val="21"/>
                      <w:szCs w:val="21"/>
                      <w:vertAlign w:val="superscript"/>
                      <w:lang w:val="en-US" w:eastAsia="zh-CN"/>
                    </w:rPr>
                    <w:t>c</w:t>
                  </w:r>
                </w:p>
              </w:tc>
            </w:tr>
            <w:tr w14:paraId="3E95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5000" w:type="pct"/>
                  <w:gridSpan w:val="3"/>
                  <w:noWrap w:val="0"/>
                  <w:vAlign w:val="center"/>
                </w:tcPr>
                <w:p w14:paraId="3CECB8AD">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备注：“-”表示对此项无要求；“C”表示不应检出</w:t>
                  </w:r>
                </w:p>
              </w:tc>
            </w:tr>
          </w:tbl>
          <w:p w14:paraId="6B3DC018">
            <w:pPr>
              <w:keepNext w:val="0"/>
              <w:keepLines w:val="0"/>
              <w:pageBreakBefore w:val="0"/>
              <w:widowControl w:val="0"/>
              <w:tabs>
                <w:tab w:val="left" w:pos="4830"/>
                <w:tab w:val="left" w:pos="8515"/>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3、噪声排放标准</w:t>
            </w:r>
          </w:p>
          <w:p w14:paraId="0E8C1DC2">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w:t>
            </w:r>
          </w:p>
          <w:p w14:paraId="1327C0C6">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施工期噪声执行《建筑施工噪声排放标准》（GB12523-20</w:t>
            </w:r>
            <w:r>
              <w:rPr>
                <w:rFonts w:hint="eastAsia" w:cs="Times New Roman"/>
                <w:color w:val="auto"/>
                <w:sz w:val="24"/>
                <w:lang w:val="en-US" w:eastAsia="zh-CN"/>
              </w:rPr>
              <w:t>25</w:t>
            </w:r>
            <w:r>
              <w:rPr>
                <w:rFonts w:hint="default" w:ascii="Times New Roman" w:hAnsi="Times New Roman" w:eastAsia="宋体" w:cs="Times New Roman"/>
                <w:color w:val="auto"/>
                <w:sz w:val="24"/>
              </w:rPr>
              <w:t>）标准值，即昼间70dB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，夜间55dB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696880E9">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（2）运营期</w:t>
            </w:r>
          </w:p>
          <w:p w14:paraId="0ACE0886">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运营期设备噪声执行《工业企业厂界环境噪声排放标准》（GB12348－2008）</w:t>
            </w:r>
            <w:r>
              <w:rPr>
                <w:rFonts w:hint="eastAsia" w:cs="Times New Roman"/>
                <w:color w:val="auto"/>
                <w:sz w:val="24"/>
                <w:lang w:val="en-US" w:eastAsia="zh-CN"/>
              </w:rPr>
              <w:t>2</w:t>
            </w:r>
            <w:r>
              <w:rPr>
                <w:rFonts w:hint="default" w:ascii="Times New Roman" w:hAnsi="Times New Roman" w:eastAsia="宋体" w:cs="Times New Roman"/>
                <w:color w:val="auto"/>
                <w:sz w:val="24"/>
              </w:rPr>
              <w:t>类标准，具体标准限值见下表。</w:t>
            </w:r>
          </w:p>
          <w:p w14:paraId="5CB2F461">
            <w:pPr>
              <w:pStyle w:val="8"/>
              <w:tabs>
                <w:tab w:val="left" w:pos="4830"/>
              </w:tabs>
              <w:spacing w:before="0" w:after="0" w:line="240" w:lineRule="auto"/>
              <w:ind w:firstLine="0" w:firstLineChars="0"/>
              <w:jc w:val="center"/>
              <w:rPr>
                <w:rFonts w:hint="default" w:ascii="Times New Roman" w:hAnsi="Times New Roman" w:eastAsia="宋体" w:cs="Times New Roman"/>
                <w:b/>
                <w:bCs/>
                <w:color w:val="auto"/>
                <w:kern w:val="0"/>
                <w:sz w:val="24"/>
                <w:szCs w:val="24"/>
                <w:lang w:bidi="ar"/>
              </w:rPr>
            </w:pPr>
          </w:p>
          <w:p w14:paraId="60BE3A5A">
            <w:pPr>
              <w:pStyle w:val="8"/>
              <w:tabs>
                <w:tab w:val="left" w:pos="4830"/>
              </w:tabs>
              <w:spacing w:before="0" w:after="0" w:line="240" w:lineRule="auto"/>
              <w:ind w:firstLine="0" w:firstLineChars="0"/>
              <w:jc w:val="center"/>
              <w:rPr>
                <w:rFonts w:hint="eastAsia"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bidi="ar"/>
              </w:rPr>
              <w:t>表3-1</w:t>
            </w:r>
            <w:r>
              <w:rPr>
                <w:rFonts w:hint="eastAsia" w:cs="Times New Roman"/>
                <w:b/>
                <w:bCs/>
                <w:color w:val="auto"/>
                <w:kern w:val="0"/>
                <w:sz w:val="24"/>
                <w:szCs w:val="24"/>
                <w:lang w:val="en-US" w:eastAsia="zh-CN" w:bidi="ar"/>
              </w:rPr>
              <w:t xml:space="preserve">4  </w:t>
            </w:r>
            <w:r>
              <w:rPr>
                <w:rFonts w:hint="default" w:ascii="Times New Roman" w:hAnsi="Times New Roman" w:eastAsia="宋体" w:cs="Times New Roman"/>
                <w:b/>
                <w:bCs/>
                <w:color w:val="auto"/>
                <w:kern w:val="0"/>
                <w:sz w:val="24"/>
                <w:szCs w:val="24"/>
                <w:lang w:bidi="ar"/>
              </w:rPr>
              <w:t>工业企业厂界环境噪声排放标准（GB12348－2008）</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797"/>
              <w:gridCol w:w="1794"/>
            </w:tblGrid>
            <w:tr w14:paraId="1E92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1" w:type="pct"/>
                  <w:vMerge w:val="restart"/>
                  <w:vAlign w:val="center"/>
                </w:tcPr>
                <w:p w14:paraId="2BCFBEC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声环境功能区类别</w:t>
                  </w:r>
                </w:p>
              </w:tc>
              <w:tc>
                <w:tcPr>
                  <w:tcW w:w="2288" w:type="pct"/>
                  <w:gridSpan w:val="2"/>
                  <w:vAlign w:val="center"/>
                </w:tcPr>
                <w:p w14:paraId="3F696A8C">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时段</w:t>
                  </w:r>
                </w:p>
              </w:tc>
            </w:tr>
            <w:tr w14:paraId="05C1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1" w:type="pct"/>
                  <w:vMerge w:val="continue"/>
                  <w:vAlign w:val="center"/>
                </w:tcPr>
                <w:p w14:paraId="0E1C01B2">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145" w:type="pct"/>
                  <w:vAlign w:val="center"/>
                </w:tcPr>
                <w:p w14:paraId="0B8312C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143" w:type="pct"/>
                  <w:vAlign w:val="center"/>
                </w:tcPr>
                <w:p w14:paraId="131BBE3E">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42F7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1" w:type="pct"/>
                  <w:vAlign w:val="center"/>
                </w:tcPr>
                <w:p w14:paraId="72CCF40C">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1145" w:type="pct"/>
                  <w:vAlign w:val="center"/>
                </w:tcPr>
                <w:p w14:paraId="26C4F179">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rPr>
                    <w:t>6</w:t>
                  </w:r>
                  <w:r>
                    <w:rPr>
                      <w:rFonts w:hint="eastAsia" w:cs="Times New Roman"/>
                      <w:b w:val="0"/>
                      <w:bCs w:val="0"/>
                      <w:color w:val="auto"/>
                      <w:sz w:val="21"/>
                      <w:szCs w:val="21"/>
                      <w:lang w:val="en-US" w:eastAsia="zh-CN"/>
                    </w:rPr>
                    <w:t>0</w:t>
                  </w:r>
                  <w:r>
                    <w:rPr>
                      <w:rFonts w:hint="default" w:ascii="Times New Roman" w:hAnsi="Times New Roman" w:eastAsia="宋体" w:cs="Times New Roman"/>
                      <w:b w:val="0"/>
                      <w:bCs w:val="0"/>
                      <w:color w:val="auto"/>
                      <w:kern w:val="0"/>
                      <w:sz w:val="21"/>
                      <w:szCs w:val="21"/>
                      <w:lang w:bidi="ar"/>
                    </w:rPr>
                    <w:t>dB</w:t>
                  </w:r>
                  <w:r>
                    <w:rPr>
                      <w:rFonts w:hint="default" w:ascii="Times New Roman" w:hAnsi="Times New Roman" w:eastAsia="宋体" w:cs="Times New Roman"/>
                      <w:b w:val="0"/>
                      <w:bCs w:val="0"/>
                      <w:color w:val="auto"/>
                      <w:kern w:val="0"/>
                      <w:sz w:val="21"/>
                      <w:szCs w:val="21"/>
                      <w:lang w:eastAsia="zh-CN" w:bidi="ar"/>
                    </w:rPr>
                    <w:t>（</w:t>
                  </w:r>
                  <w:r>
                    <w:rPr>
                      <w:rFonts w:hint="default" w:ascii="Times New Roman" w:hAnsi="Times New Roman" w:eastAsia="宋体" w:cs="Times New Roman"/>
                      <w:b w:val="0"/>
                      <w:bCs w:val="0"/>
                      <w:color w:val="auto"/>
                      <w:kern w:val="0"/>
                      <w:sz w:val="21"/>
                      <w:szCs w:val="21"/>
                      <w:lang w:bidi="ar"/>
                    </w:rPr>
                    <w:t>A</w:t>
                  </w:r>
                  <w:r>
                    <w:rPr>
                      <w:rFonts w:hint="default" w:ascii="Times New Roman" w:hAnsi="Times New Roman" w:eastAsia="宋体" w:cs="Times New Roman"/>
                      <w:b w:val="0"/>
                      <w:bCs w:val="0"/>
                      <w:color w:val="auto"/>
                      <w:kern w:val="0"/>
                      <w:sz w:val="21"/>
                      <w:szCs w:val="21"/>
                      <w:lang w:eastAsia="zh-CN" w:bidi="ar"/>
                    </w:rPr>
                    <w:t>）</w:t>
                  </w:r>
                </w:p>
              </w:tc>
              <w:tc>
                <w:tcPr>
                  <w:tcW w:w="1143" w:type="pct"/>
                  <w:vAlign w:val="center"/>
                </w:tcPr>
                <w:p w14:paraId="21309900">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w:t>
                  </w:r>
                  <w:r>
                    <w:rPr>
                      <w:rFonts w:hint="eastAsia" w:cs="Times New Roman"/>
                      <w:color w:val="auto"/>
                      <w:sz w:val="21"/>
                      <w:szCs w:val="21"/>
                      <w:lang w:val="en-US" w:eastAsia="zh-CN"/>
                    </w:rPr>
                    <w:t>0</w:t>
                  </w:r>
                  <w:r>
                    <w:rPr>
                      <w:rFonts w:hint="default" w:ascii="Times New Roman" w:hAnsi="Times New Roman" w:eastAsia="宋体" w:cs="Times New Roman"/>
                      <w:b w:val="0"/>
                      <w:bCs w:val="0"/>
                      <w:color w:val="auto"/>
                      <w:kern w:val="0"/>
                      <w:sz w:val="21"/>
                      <w:szCs w:val="21"/>
                      <w:lang w:bidi="ar"/>
                    </w:rPr>
                    <w:t>dB</w:t>
                  </w:r>
                  <w:r>
                    <w:rPr>
                      <w:rFonts w:hint="default" w:ascii="Times New Roman" w:hAnsi="Times New Roman" w:eastAsia="宋体" w:cs="Times New Roman"/>
                      <w:b w:val="0"/>
                      <w:bCs w:val="0"/>
                      <w:color w:val="auto"/>
                      <w:kern w:val="0"/>
                      <w:sz w:val="21"/>
                      <w:szCs w:val="21"/>
                      <w:lang w:eastAsia="zh-CN" w:bidi="ar"/>
                    </w:rPr>
                    <w:t>（</w:t>
                  </w:r>
                  <w:r>
                    <w:rPr>
                      <w:rFonts w:hint="default" w:ascii="Times New Roman" w:hAnsi="Times New Roman" w:eastAsia="宋体" w:cs="Times New Roman"/>
                      <w:b w:val="0"/>
                      <w:bCs w:val="0"/>
                      <w:color w:val="auto"/>
                      <w:kern w:val="0"/>
                      <w:sz w:val="21"/>
                      <w:szCs w:val="21"/>
                      <w:lang w:bidi="ar"/>
                    </w:rPr>
                    <w:t>A</w:t>
                  </w:r>
                  <w:r>
                    <w:rPr>
                      <w:rFonts w:hint="default" w:ascii="Times New Roman" w:hAnsi="Times New Roman" w:eastAsia="宋体" w:cs="Times New Roman"/>
                      <w:b w:val="0"/>
                      <w:bCs w:val="0"/>
                      <w:color w:val="auto"/>
                      <w:kern w:val="0"/>
                      <w:sz w:val="21"/>
                      <w:szCs w:val="21"/>
                      <w:lang w:eastAsia="zh-CN" w:bidi="ar"/>
                    </w:rPr>
                    <w:t>）</w:t>
                  </w:r>
                </w:p>
              </w:tc>
            </w:tr>
          </w:tbl>
          <w:p w14:paraId="62521F22">
            <w:pPr>
              <w:tabs>
                <w:tab w:val="left" w:pos="4830"/>
                <w:tab w:val="left" w:pos="8515"/>
              </w:tabs>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4、固体废物控制标准</w:t>
            </w:r>
          </w:p>
          <w:p w14:paraId="1AB0B29F">
            <w:pPr>
              <w:tabs>
                <w:tab w:val="left" w:pos="4830"/>
              </w:tabs>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项目产生的一般固废执行《一般工业固体废物贮存和填埋污染控制标准》（GB18599-2020）的相关内容。</w:t>
            </w:r>
          </w:p>
          <w:p w14:paraId="7BB3A160">
            <w:pPr>
              <w:tabs>
                <w:tab w:val="left" w:pos="4830"/>
              </w:tabs>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sz w:val="24"/>
              </w:rPr>
              <w:t>危险废物暂存执行《危险废物贮存污染控制标准》（GB18597-2023的相关内容）；危险废物台账执行《危险废物管理计划和管理台账制定技术导则》（HJ1259-2022）。</w:t>
            </w:r>
          </w:p>
        </w:tc>
      </w:tr>
      <w:tr w14:paraId="55851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Align w:val="center"/>
          </w:tcPr>
          <w:p w14:paraId="68C49FD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cs="Times New Roman"/>
                <w:color w:val="auto"/>
                <w:kern w:val="0"/>
                <w:szCs w:val="21"/>
                <w:lang w:eastAsia="zh-CN"/>
              </w:rPr>
              <w:t>总量控制</w:t>
            </w:r>
          </w:p>
        </w:tc>
        <w:tc>
          <w:tcPr>
            <w:tcW w:w="4733" w:type="pct"/>
            <w:vAlign w:val="center"/>
          </w:tcPr>
          <w:p w14:paraId="3B77E8CE">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总量控制</w:t>
            </w:r>
            <w:r>
              <w:rPr>
                <w:rFonts w:hint="default" w:ascii="Times New Roman" w:hAnsi="Times New Roman" w:eastAsia="宋体" w:cs="Times New Roman"/>
                <w:b/>
                <w:bCs/>
                <w:color w:val="auto"/>
                <w:sz w:val="24"/>
                <w:szCs w:val="24"/>
                <w:lang w:eastAsia="zh-CN"/>
              </w:rPr>
              <w:t>：</w:t>
            </w:r>
          </w:p>
          <w:p w14:paraId="4D426565">
            <w:pPr>
              <w:pStyle w:val="24"/>
              <w:keepNext w:val="0"/>
              <w:keepLines w:val="0"/>
              <w:pageBreakBefore w:val="0"/>
              <w:tabs>
                <w:tab w:val="left" w:pos="4830"/>
              </w:tabs>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1、废气</w:t>
            </w:r>
          </w:p>
          <w:p w14:paraId="7BD2A12B">
            <w:pPr>
              <w:keepNext w:val="0"/>
              <w:keepLines w:val="0"/>
              <w:pageBreakBefore w:val="0"/>
              <w:tabs>
                <w:tab w:val="left" w:pos="4830"/>
                <w:tab w:val="left" w:pos="5580"/>
              </w:tabs>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bCs/>
                <w:color w:val="auto"/>
                <w:sz w:val="24"/>
                <w:szCs w:val="24"/>
                <w:highlight w:val="none"/>
                <w:shd w:val="clear" w:color="auto" w:fill="auto"/>
                <w:lang w:val="en-US" w:eastAsia="zh-CN"/>
              </w:rPr>
            </w:pPr>
            <w:r>
              <w:rPr>
                <w:rFonts w:hint="default" w:ascii="Times New Roman" w:hAnsi="Times New Roman" w:eastAsia="宋体" w:cs="Times New Roman"/>
                <w:bCs/>
                <w:color w:val="auto"/>
                <w:sz w:val="24"/>
                <w:szCs w:val="24"/>
                <w:highlight w:val="none"/>
                <w:shd w:val="clear" w:color="auto" w:fill="auto"/>
                <w:lang w:val="en-US" w:eastAsia="zh-CN"/>
              </w:rPr>
              <w:t>根据工程分析核算，运行期间</w:t>
            </w:r>
            <w:r>
              <w:rPr>
                <w:rFonts w:hint="eastAsia" w:cs="Times New Roman"/>
                <w:bCs/>
                <w:color w:val="auto"/>
                <w:sz w:val="24"/>
                <w:szCs w:val="24"/>
                <w:highlight w:val="none"/>
                <w:shd w:val="clear" w:color="auto" w:fill="auto"/>
                <w:lang w:val="en-US" w:eastAsia="zh-CN"/>
              </w:rPr>
              <w:t>产生的废气主要污染物为</w:t>
            </w:r>
            <w:r>
              <w:rPr>
                <w:rFonts w:hint="default" w:ascii="Times New Roman" w:hAnsi="Times New Roman" w:eastAsia="宋体" w:cs="Times New Roman"/>
                <w:bCs/>
                <w:color w:val="auto"/>
                <w:sz w:val="24"/>
                <w:szCs w:val="24"/>
                <w:highlight w:val="none"/>
                <w:shd w:val="clear" w:color="auto" w:fill="auto"/>
                <w:lang w:val="en-US" w:eastAsia="zh-CN"/>
              </w:rPr>
              <w:t>颗粒物</w:t>
            </w:r>
            <w:r>
              <w:rPr>
                <w:rFonts w:hint="eastAsia" w:cs="Times New Roman"/>
                <w:bCs/>
                <w:color w:val="auto"/>
                <w:sz w:val="24"/>
                <w:szCs w:val="24"/>
                <w:highlight w:val="none"/>
                <w:shd w:val="clear" w:color="auto" w:fill="auto"/>
                <w:lang w:val="en-US" w:eastAsia="zh-CN"/>
              </w:rPr>
              <w:t>，呈无组织排放，排放量为10.998</w:t>
            </w:r>
            <w:r>
              <w:rPr>
                <w:rFonts w:hint="default" w:ascii="Times New Roman" w:hAnsi="Times New Roman" w:eastAsia="宋体" w:cs="Times New Roman"/>
                <w:bCs/>
                <w:color w:val="auto"/>
                <w:sz w:val="24"/>
                <w:szCs w:val="24"/>
                <w:highlight w:val="none"/>
                <w:shd w:val="clear" w:color="auto" w:fill="auto"/>
                <w:lang w:val="en-US" w:eastAsia="zh-CN"/>
              </w:rPr>
              <w:t>t/a</w:t>
            </w:r>
            <w:r>
              <w:rPr>
                <w:rFonts w:hint="eastAsia" w:cs="Times New Roman"/>
                <w:bCs/>
                <w:color w:val="auto"/>
                <w:sz w:val="24"/>
                <w:szCs w:val="24"/>
                <w:highlight w:val="none"/>
                <w:shd w:val="clear" w:color="auto" w:fill="auto"/>
                <w:lang w:val="en-US" w:eastAsia="zh-CN"/>
              </w:rPr>
              <w:t>。</w:t>
            </w:r>
          </w:p>
          <w:p w14:paraId="35247B90">
            <w:pPr>
              <w:keepNext w:val="0"/>
              <w:keepLines w:val="0"/>
              <w:pageBreakBefore w:val="0"/>
              <w:tabs>
                <w:tab w:val="left" w:pos="4830"/>
                <w:tab w:val="left" w:pos="5580"/>
              </w:tabs>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2、废水</w:t>
            </w:r>
          </w:p>
          <w:p w14:paraId="73148226">
            <w:pPr>
              <w:keepNext w:val="0"/>
              <w:keepLines w:val="0"/>
              <w:pageBreakBefore w:val="0"/>
              <w:tabs>
                <w:tab w:val="left" w:pos="4830"/>
                <w:tab w:val="left" w:pos="5580"/>
              </w:tabs>
              <w:kinsoku/>
              <w:wordWrap/>
              <w:overflowPunct/>
              <w:topLinePunct w:val="0"/>
              <w:autoSpaceDE/>
              <w:autoSpaceDN/>
              <w:bidi w:val="0"/>
              <w:adjustRightInd/>
              <w:snapToGrid/>
              <w:spacing w:line="360" w:lineRule="auto"/>
              <w:ind w:firstLine="476" w:firstLineChars="200"/>
              <w:jc w:val="both"/>
              <w:textAlignment w:val="baseline"/>
              <w:rPr>
                <w:rFonts w:hint="eastAsia" w:cs="Times New Roman"/>
                <w:bCs/>
                <w:color w:val="auto"/>
                <w:sz w:val="24"/>
                <w:szCs w:val="24"/>
                <w:highlight w:val="none"/>
                <w:shd w:val="clear" w:color="auto" w:fill="auto"/>
                <w:lang w:eastAsia="zh-CN"/>
              </w:rPr>
            </w:pPr>
            <w:r>
              <w:rPr>
                <w:color w:val="auto"/>
                <w:spacing w:val="-1"/>
              </w:rPr>
              <w:t>本项目无废水外排，不设废水污染物总量控制指标</w:t>
            </w:r>
            <w:r>
              <w:rPr>
                <w:rFonts w:hint="eastAsia" w:cs="Times New Roman"/>
                <w:bCs/>
                <w:color w:val="auto"/>
                <w:sz w:val="24"/>
                <w:szCs w:val="24"/>
                <w:highlight w:val="none"/>
                <w:shd w:val="clear" w:color="auto" w:fill="auto"/>
                <w:lang w:eastAsia="zh-CN"/>
              </w:rPr>
              <w:t>。</w:t>
            </w:r>
          </w:p>
          <w:p w14:paraId="75D331C6">
            <w:pPr>
              <w:keepNext w:val="0"/>
              <w:keepLines w:val="0"/>
              <w:pageBreakBefore w:val="0"/>
              <w:tabs>
                <w:tab w:val="left" w:pos="4830"/>
                <w:tab w:val="left" w:pos="5580"/>
              </w:tabs>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3、固体废物</w:t>
            </w:r>
          </w:p>
          <w:p w14:paraId="5E803C2D">
            <w:pPr>
              <w:keepNext w:val="0"/>
              <w:keepLines w:val="0"/>
              <w:pageBreakBefore w:val="0"/>
              <w:tabs>
                <w:tab w:val="left" w:pos="4830"/>
                <w:tab w:val="left" w:pos="5580"/>
              </w:tabs>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本项目固废处置率达100%。</w:t>
            </w:r>
          </w:p>
          <w:p w14:paraId="1DF8E884">
            <w:pPr>
              <w:pStyle w:val="13"/>
              <w:rPr>
                <w:rFonts w:hint="default"/>
                <w:color w:val="auto"/>
                <w:lang w:eastAsia="zh-CN"/>
              </w:rPr>
            </w:pPr>
          </w:p>
          <w:p w14:paraId="6656B337">
            <w:pPr>
              <w:pStyle w:val="35"/>
              <w:rPr>
                <w:rFonts w:hint="default"/>
                <w:color w:val="auto"/>
                <w:lang w:eastAsia="zh-CN"/>
              </w:rPr>
            </w:pPr>
          </w:p>
          <w:p w14:paraId="2FB27AD0">
            <w:pPr>
              <w:ind w:left="0" w:leftChars="0" w:firstLine="0" w:firstLineChars="0"/>
              <w:rPr>
                <w:rFonts w:hint="default"/>
                <w:color w:val="auto"/>
                <w:lang w:eastAsia="zh-CN"/>
              </w:rPr>
            </w:pPr>
          </w:p>
          <w:p w14:paraId="723E10CF">
            <w:pPr>
              <w:ind w:left="0" w:leftChars="0" w:firstLine="0" w:firstLineChars="0"/>
              <w:rPr>
                <w:rFonts w:hint="default"/>
                <w:color w:val="auto"/>
                <w:lang w:eastAsia="zh-CN"/>
              </w:rPr>
            </w:pPr>
          </w:p>
          <w:p w14:paraId="2E2B590E">
            <w:pPr>
              <w:ind w:left="0" w:leftChars="0" w:firstLine="0" w:firstLineChars="0"/>
              <w:rPr>
                <w:rFonts w:hint="default"/>
                <w:color w:val="auto"/>
                <w:lang w:eastAsia="zh-CN"/>
              </w:rPr>
            </w:pPr>
          </w:p>
          <w:p w14:paraId="2BD1678D">
            <w:pPr>
              <w:ind w:left="0" w:leftChars="0" w:firstLine="0" w:firstLineChars="0"/>
              <w:rPr>
                <w:rFonts w:hint="default"/>
                <w:color w:val="auto"/>
                <w:lang w:eastAsia="zh-CN"/>
              </w:rPr>
            </w:pPr>
          </w:p>
          <w:p w14:paraId="444CC85B">
            <w:pPr>
              <w:ind w:left="0" w:leftChars="0" w:firstLine="0" w:firstLineChars="0"/>
              <w:rPr>
                <w:rFonts w:hint="default"/>
                <w:color w:val="auto"/>
                <w:lang w:eastAsia="zh-CN"/>
              </w:rPr>
            </w:pPr>
          </w:p>
          <w:p w14:paraId="47F7C652">
            <w:pPr>
              <w:ind w:left="0" w:leftChars="0" w:firstLine="0" w:firstLineChars="0"/>
              <w:rPr>
                <w:rFonts w:hint="default"/>
                <w:color w:val="auto"/>
                <w:lang w:eastAsia="zh-CN"/>
              </w:rPr>
            </w:pPr>
          </w:p>
          <w:p w14:paraId="38BE4566">
            <w:pPr>
              <w:ind w:left="0" w:leftChars="0" w:firstLine="0" w:firstLineChars="0"/>
              <w:rPr>
                <w:rFonts w:hint="default"/>
                <w:color w:val="auto"/>
                <w:lang w:eastAsia="zh-CN"/>
              </w:rPr>
            </w:pPr>
          </w:p>
          <w:p w14:paraId="4F9EF588">
            <w:pPr>
              <w:rPr>
                <w:rFonts w:hint="default"/>
                <w:color w:val="auto"/>
                <w:lang w:eastAsia="zh-CN"/>
              </w:rPr>
            </w:pPr>
          </w:p>
          <w:p w14:paraId="3B3B6FC5">
            <w:pPr>
              <w:rPr>
                <w:rFonts w:hint="default"/>
                <w:color w:val="auto"/>
                <w:lang w:eastAsia="zh-CN"/>
              </w:rPr>
            </w:pPr>
          </w:p>
        </w:tc>
      </w:tr>
    </w:tbl>
    <w:p w14:paraId="24AC834D">
      <w:pPr>
        <w:pStyle w:val="20"/>
        <w:rPr>
          <w:rFonts w:hint="default" w:ascii="Times New Roman" w:hAnsi="Times New Roman" w:cs="Times New Roman"/>
          <w:color w:val="auto"/>
        </w:rPr>
        <w:sectPr>
          <w:pgSz w:w="11906" w:h="16838"/>
          <w:pgMar w:top="1440" w:right="1800" w:bottom="1440" w:left="1800" w:header="851" w:footer="992" w:gutter="0"/>
          <w:pgNumType w:fmt="decimal"/>
          <w:cols w:space="720" w:num="1"/>
          <w:docGrid w:type="lines" w:linePitch="312" w:charSpace="0"/>
        </w:sectPr>
      </w:pPr>
    </w:p>
    <w:p w14:paraId="4E361FF3">
      <w:pPr>
        <w:pStyle w:val="2"/>
        <w:numPr>
          <w:ilvl w:val="0"/>
          <w:numId w:val="0"/>
        </w:numPr>
        <w:ind w:firstLine="0" w:firstLineChars="0"/>
        <w:jc w:val="center"/>
        <w:rPr>
          <w:rFonts w:hint="default" w:ascii="Times New Roman" w:hAnsi="Times New Roman" w:eastAsia="黑体" w:cs="Times New Roman"/>
          <w:b/>
          <w:color w:val="auto"/>
          <w:kern w:val="44"/>
          <w:sz w:val="32"/>
          <w:szCs w:val="32"/>
          <w:lang w:val="en-US" w:eastAsia="zh-CN" w:bidi="ar-SA"/>
        </w:rPr>
      </w:pPr>
      <w:bookmarkStart w:id="17" w:name="_Toc27618"/>
      <w:bookmarkStart w:id="18" w:name="_Toc25628"/>
      <w:r>
        <w:rPr>
          <w:rFonts w:hint="default" w:ascii="Times New Roman" w:hAnsi="Times New Roman" w:eastAsia="黑体" w:cs="Times New Roman"/>
          <w:b/>
          <w:color w:val="auto"/>
          <w:kern w:val="44"/>
          <w:sz w:val="32"/>
          <w:szCs w:val="32"/>
          <w:lang w:val="en-US" w:eastAsia="zh-CN" w:bidi="ar-SA"/>
        </w:rPr>
        <w:t>四、主要环境影响和保护措施</w:t>
      </w:r>
      <w:bookmarkEnd w:id="17"/>
      <w:bookmarkEnd w:id="18"/>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8"/>
        <w:gridCol w:w="8062"/>
      </w:tblGrid>
      <w:tr w14:paraId="04D5D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tcMar>
              <w:left w:w="28" w:type="dxa"/>
              <w:right w:w="28" w:type="dxa"/>
            </w:tcMar>
            <w:vAlign w:val="center"/>
          </w:tcPr>
          <w:p w14:paraId="0B3DFC34">
            <w:pPr>
              <w:pStyle w:val="24"/>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2B4ED6B3">
            <w:pPr>
              <w:pStyle w:val="24"/>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5D701BDB">
            <w:pPr>
              <w:pStyle w:val="24"/>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0149856D">
            <w:pPr>
              <w:pStyle w:val="24"/>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2A3829DD">
            <w:pPr>
              <w:pStyle w:val="24"/>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4775" w:type="pct"/>
            <w:vAlign w:val="center"/>
          </w:tcPr>
          <w:p w14:paraId="6764FF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lang w:val="en-US" w:eastAsia="zh-CN" w:bidi="ar"/>
              </w:rPr>
            </w:pPr>
            <w:r>
              <w:rPr>
                <w:rFonts w:hint="default" w:ascii="Times New Roman" w:hAnsi="Times New Roman" w:eastAsia="宋体" w:cs="Times New Roman"/>
                <w:b/>
                <w:bCs/>
                <w:color w:val="auto"/>
                <w:sz w:val="24"/>
                <w:lang w:val="en-US" w:eastAsia="zh-CN" w:bidi="ar"/>
              </w:rPr>
              <w:t>1、废气</w:t>
            </w:r>
          </w:p>
          <w:p w14:paraId="0953A3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本项目施工期间产生的废气主要来自设备运输车辆来往的扬尘及少量尾气、设备焊接产生的</w:t>
            </w:r>
            <w:r>
              <w:rPr>
                <w:rFonts w:hint="eastAsia" w:ascii="Times New Roman" w:hAnsi="Times New Roman" w:eastAsia="宋体" w:cs="Times New Roman"/>
                <w:color w:val="auto"/>
                <w:sz w:val="24"/>
                <w:lang w:val="en-US" w:eastAsia="zh-CN" w:bidi="ar"/>
              </w:rPr>
              <w:t>焊接烟气</w:t>
            </w:r>
            <w:r>
              <w:rPr>
                <w:rFonts w:hint="default" w:ascii="Times New Roman" w:hAnsi="Times New Roman" w:eastAsia="宋体" w:cs="Times New Roman"/>
                <w:color w:val="auto"/>
                <w:sz w:val="24"/>
                <w:lang w:val="en-US" w:eastAsia="zh-CN" w:bidi="ar"/>
              </w:rPr>
              <w:t>等</w:t>
            </w:r>
            <w:r>
              <w:rPr>
                <w:rFonts w:hint="eastAsia" w:cs="Times New Roman"/>
                <w:color w:val="auto"/>
                <w:sz w:val="24"/>
                <w:lang w:val="en-US" w:eastAsia="zh-CN" w:bidi="ar"/>
              </w:rPr>
              <w:t>，</w:t>
            </w:r>
            <w:r>
              <w:rPr>
                <w:rFonts w:hint="default" w:ascii="Times New Roman" w:hAnsi="Times New Roman" w:eastAsia="宋体" w:cs="Times New Roman"/>
                <w:color w:val="auto"/>
                <w:sz w:val="24"/>
                <w:lang w:val="en-US" w:eastAsia="zh-CN" w:bidi="ar"/>
              </w:rPr>
              <w:t>拟采取如下废气污染防治措施：</w:t>
            </w:r>
          </w:p>
          <w:p w14:paraId="7831A9FF">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施工过程中扬尘产生量较少，通过及时清扫地面粉尘以及及时洒水降尘，减少粉尘对周围环境的影响。</w:t>
            </w:r>
          </w:p>
          <w:p w14:paraId="52A6271A">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优先选用新能源汽车进行运输，通过对运输车辆限速行驶，可以有效减少汽车尾气的排放；</w:t>
            </w:r>
          </w:p>
          <w:p w14:paraId="12B531A3">
            <w:pPr>
              <w:keepNext w:val="0"/>
              <w:keepLines w:val="0"/>
              <w:pageBreakBefore w:val="0"/>
              <w:widowControl w:val="0"/>
              <w:numPr>
                <w:ilvl w:val="0"/>
                <w:numId w:val="6"/>
              </w:numPr>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焊接烟尘在车间内自由沉降，通过洒水降尘和及时人工清扫，可以有效减少焊接烟气的影响。</w:t>
            </w:r>
          </w:p>
          <w:p w14:paraId="2BCEB9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lang w:val="en-US" w:eastAsia="zh-CN" w:bidi="ar"/>
              </w:rPr>
            </w:pPr>
            <w:r>
              <w:rPr>
                <w:rFonts w:hint="default" w:ascii="Times New Roman" w:hAnsi="Times New Roman" w:eastAsia="宋体" w:cs="Times New Roman"/>
                <w:b/>
                <w:bCs/>
                <w:color w:val="auto"/>
                <w:sz w:val="24"/>
                <w:lang w:val="en-US" w:eastAsia="zh-CN" w:bidi="ar"/>
              </w:rPr>
              <w:t>2、废水</w:t>
            </w:r>
          </w:p>
          <w:p w14:paraId="04640C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项目施工期仅进行</w:t>
            </w:r>
            <w:r>
              <w:rPr>
                <w:rFonts w:hint="eastAsia" w:cs="Times New Roman"/>
                <w:color w:val="auto"/>
                <w:sz w:val="24"/>
                <w:lang w:val="en-US" w:eastAsia="zh-CN" w:bidi="ar"/>
              </w:rPr>
              <w:t>环保设施的建设和</w:t>
            </w:r>
            <w:r>
              <w:rPr>
                <w:rFonts w:hint="default" w:ascii="Times New Roman" w:hAnsi="Times New Roman" w:eastAsia="宋体" w:cs="Times New Roman"/>
                <w:color w:val="auto"/>
                <w:sz w:val="24"/>
                <w:lang w:val="en-US" w:eastAsia="zh-CN" w:bidi="ar"/>
              </w:rPr>
              <w:t>设备安装，施工期施工人员不在厂内食宿，施工期人员清洁废水经临时沉淀池（容积约2m</w:t>
            </w:r>
            <w:r>
              <w:rPr>
                <w:rFonts w:hint="default" w:ascii="Times New Roman" w:hAnsi="Times New Roman" w:eastAsia="宋体" w:cs="Times New Roman"/>
                <w:color w:val="auto"/>
                <w:sz w:val="24"/>
                <w:vertAlign w:val="superscript"/>
                <w:lang w:val="en-US" w:eastAsia="zh-CN" w:bidi="ar"/>
              </w:rPr>
              <w:t>3</w:t>
            </w:r>
            <w:r>
              <w:rPr>
                <w:rFonts w:hint="default" w:ascii="Times New Roman" w:hAnsi="Times New Roman" w:eastAsia="宋体" w:cs="Times New Roman"/>
                <w:color w:val="auto"/>
                <w:sz w:val="24"/>
                <w:lang w:val="en-US" w:eastAsia="zh-CN" w:bidi="ar"/>
              </w:rPr>
              <w:t>）沉淀处理后</w:t>
            </w:r>
            <w:r>
              <w:rPr>
                <w:rFonts w:hint="eastAsia" w:cs="Times New Roman"/>
                <w:color w:val="auto"/>
                <w:sz w:val="24"/>
                <w:lang w:val="en-US" w:eastAsia="zh-CN" w:bidi="ar"/>
              </w:rPr>
              <w:t>，</w:t>
            </w:r>
            <w:r>
              <w:rPr>
                <w:rFonts w:hint="default" w:ascii="Times New Roman" w:hAnsi="Times New Roman" w:eastAsia="宋体" w:cs="Times New Roman"/>
                <w:color w:val="auto"/>
                <w:sz w:val="24"/>
                <w:lang w:val="en-US" w:eastAsia="zh-CN" w:bidi="ar"/>
              </w:rPr>
              <w:t>回用于场地洒水降尘，不外排，对环境影响不大</w:t>
            </w:r>
            <w:r>
              <w:rPr>
                <w:rFonts w:hint="eastAsia" w:cs="Times New Roman"/>
                <w:color w:val="auto"/>
                <w:sz w:val="24"/>
                <w:lang w:val="en-US" w:eastAsia="zh-CN" w:bidi="ar"/>
              </w:rPr>
              <w:t>。</w:t>
            </w:r>
          </w:p>
          <w:p w14:paraId="2EC443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lang w:val="en-US" w:eastAsia="zh-CN" w:bidi="ar"/>
              </w:rPr>
            </w:pPr>
            <w:r>
              <w:rPr>
                <w:rFonts w:hint="default" w:ascii="Times New Roman" w:hAnsi="Times New Roman" w:eastAsia="宋体" w:cs="Times New Roman"/>
                <w:b/>
                <w:bCs/>
                <w:color w:val="auto"/>
                <w:sz w:val="24"/>
                <w:lang w:val="en-US" w:eastAsia="zh-CN" w:bidi="ar"/>
              </w:rPr>
              <w:t>3、噪声</w:t>
            </w:r>
          </w:p>
          <w:p w14:paraId="1F76A8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本项目施工期间产生的</w:t>
            </w:r>
            <w:r>
              <w:rPr>
                <w:rFonts w:hint="eastAsia" w:cs="Times New Roman"/>
                <w:color w:val="auto"/>
                <w:sz w:val="24"/>
                <w:lang w:val="en-US" w:eastAsia="zh-CN" w:bidi="ar"/>
              </w:rPr>
              <w:t>噪声</w:t>
            </w:r>
            <w:r>
              <w:rPr>
                <w:rFonts w:hint="default" w:ascii="Times New Roman" w:hAnsi="Times New Roman" w:eastAsia="宋体" w:cs="Times New Roman"/>
                <w:color w:val="auto"/>
                <w:sz w:val="24"/>
                <w:lang w:val="en-US" w:eastAsia="zh-CN" w:bidi="ar"/>
              </w:rPr>
              <w:t>主要为机械设备噪声等，拟采取如下噪声污染防治措施：</w:t>
            </w:r>
          </w:p>
          <w:p w14:paraId="71DC67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bidi="ar"/>
              </w:rPr>
              <w:t>（1）</w:t>
            </w:r>
            <w:r>
              <w:rPr>
                <w:rFonts w:hint="default" w:ascii="Times New Roman" w:hAnsi="Times New Roman" w:eastAsia="宋体" w:cs="Times New Roman"/>
                <w:color w:val="auto"/>
                <w:sz w:val="24"/>
                <w:szCs w:val="24"/>
              </w:rPr>
              <w:t>设备选型上尽量采用低噪声设备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机械设备进行定期的维修、养护</w:t>
            </w:r>
            <w:r>
              <w:rPr>
                <w:rFonts w:hint="default" w:ascii="Times New Roman" w:hAnsi="Times New Roman" w:eastAsia="宋体" w:cs="Times New Roman"/>
                <w:color w:val="auto"/>
                <w:sz w:val="24"/>
                <w:szCs w:val="24"/>
                <w:lang w:val="en-US" w:eastAsia="zh-CN"/>
              </w:rPr>
              <w:t>；</w:t>
            </w:r>
          </w:p>
          <w:p w14:paraId="5CD3B6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（2）</w:t>
            </w:r>
            <w:r>
              <w:rPr>
                <w:rFonts w:hint="default" w:ascii="Times New Roman" w:hAnsi="Times New Roman" w:eastAsia="宋体" w:cs="Times New Roman"/>
                <w:color w:val="auto"/>
                <w:sz w:val="24"/>
                <w:szCs w:val="24"/>
              </w:rPr>
              <w:t>施工期运输车辆应尽量保持良好车况，合理调度，尽可能匀速慢行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施工场地的施工车辆出入现场时应低速、禁鸣，以减小载重汽车噪声对环境的影响</w:t>
            </w:r>
            <w:r>
              <w:rPr>
                <w:rFonts w:hint="default" w:ascii="Times New Roman" w:hAnsi="Times New Roman" w:eastAsia="宋体" w:cs="Times New Roman"/>
                <w:color w:val="auto"/>
                <w:sz w:val="24"/>
                <w:lang w:val="en-US" w:eastAsia="zh-CN" w:bidi="ar"/>
              </w:rPr>
              <w:t>。</w:t>
            </w:r>
          </w:p>
          <w:p w14:paraId="447E00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lang w:val="en-US" w:eastAsia="zh-CN" w:bidi="ar"/>
              </w:rPr>
            </w:pPr>
            <w:r>
              <w:rPr>
                <w:rFonts w:hint="default" w:ascii="Times New Roman" w:hAnsi="Times New Roman" w:eastAsia="宋体" w:cs="Times New Roman"/>
                <w:b/>
                <w:bCs/>
                <w:color w:val="auto"/>
                <w:sz w:val="24"/>
                <w:lang w:val="en-US" w:eastAsia="zh-CN" w:bidi="ar"/>
              </w:rPr>
              <w:t>4、固体废物</w:t>
            </w:r>
          </w:p>
          <w:p w14:paraId="3EB2BD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本项目施工期间产生的</w:t>
            </w:r>
            <w:r>
              <w:rPr>
                <w:rFonts w:hint="eastAsia" w:ascii="Times New Roman" w:hAnsi="Times New Roman" w:eastAsia="宋体" w:cs="Times New Roman"/>
                <w:color w:val="auto"/>
                <w:sz w:val="24"/>
                <w:lang w:val="en-US" w:eastAsia="zh-CN" w:bidi="ar"/>
              </w:rPr>
              <w:t>固体废物</w:t>
            </w:r>
            <w:r>
              <w:rPr>
                <w:rFonts w:hint="default" w:ascii="Times New Roman" w:hAnsi="Times New Roman" w:eastAsia="宋体" w:cs="Times New Roman"/>
                <w:color w:val="auto"/>
                <w:sz w:val="24"/>
                <w:lang w:val="en-US" w:eastAsia="zh-CN" w:bidi="ar"/>
              </w:rPr>
              <w:t>主要包括施工人员生活垃圾</w:t>
            </w:r>
            <w:r>
              <w:rPr>
                <w:rFonts w:hint="eastAsia" w:cs="Times New Roman"/>
                <w:color w:val="auto"/>
                <w:sz w:val="24"/>
                <w:lang w:val="en-US" w:eastAsia="zh-CN" w:bidi="ar"/>
              </w:rPr>
              <w:t>以及</w:t>
            </w:r>
            <w:r>
              <w:rPr>
                <w:rFonts w:hint="default" w:ascii="Times New Roman" w:hAnsi="Times New Roman" w:eastAsia="宋体" w:cs="Times New Roman"/>
                <w:color w:val="auto"/>
                <w:sz w:val="24"/>
                <w:lang w:val="en-US" w:eastAsia="zh-CN" w:bidi="ar"/>
              </w:rPr>
              <w:t>设备包装材料、焊接废渣</w:t>
            </w:r>
            <w:r>
              <w:rPr>
                <w:rFonts w:hint="eastAsia" w:ascii="Times New Roman" w:hAnsi="Times New Roman" w:eastAsia="宋体" w:cs="Times New Roman"/>
                <w:color w:val="auto"/>
                <w:sz w:val="24"/>
                <w:lang w:val="en-US" w:eastAsia="zh-CN" w:bidi="ar"/>
              </w:rPr>
              <w:t>等</w:t>
            </w:r>
            <w:r>
              <w:rPr>
                <w:rFonts w:hint="default" w:ascii="Times New Roman" w:hAnsi="Times New Roman" w:eastAsia="宋体" w:cs="Times New Roman"/>
                <w:color w:val="auto"/>
                <w:sz w:val="24"/>
                <w:lang w:val="en-US" w:eastAsia="zh-CN" w:bidi="ar"/>
              </w:rPr>
              <w:t>，拟采取如下固废处置措施：</w:t>
            </w:r>
          </w:p>
          <w:p w14:paraId="2D9130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（1）生活垃圾收集后运至</w:t>
            </w:r>
            <w:r>
              <w:rPr>
                <w:rFonts w:hint="eastAsia" w:ascii="Times New Roman" w:hAnsi="Times New Roman" w:eastAsia="宋体" w:cs="Times New Roman"/>
                <w:color w:val="auto"/>
                <w:sz w:val="24"/>
                <w:lang w:val="en-US" w:eastAsia="zh-CN" w:bidi="ar"/>
              </w:rPr>
              <w:t>厂区</w:t>
            </w:r>
            <w:r>
              <w:rPr>
                <w:rFonts w:hint="default" w:ascii="Times New Roman" w:hAnsi="Times New Roman" w:eastAsia="宋体" w:cs="Times New Roman"/>
                <w:color w:val="auto"/>
                <w:sz w:val="24"/>
                <w:lang w:val="en-US" w:eastAsia="zh-CN" w:bidi="ar"/>
              </w:rPr>
              <w:t>垃圾收集点，由</w:t>
            </w:r>
            <w:r>
              <w:rPr>
                <w:rFonts w:hint="eastAsia" w:cs="Times New Roman"/>
                <w:color w:val="auto"/>
                <w:sz w:val="24"/>
                <w:lang w:val="en-US" w:eastAsia="zh-CN" w:bidi="ar"/>
              </w:rPr>
              <w:t>化念镇</w:t>
            </w:r>
            <w:r>
              <w:rPr>
                <w:rFonts w:hint="default" w:ascii="Times New Roman" w:hAnsi="Times New Roman" w:eastAsia="宋体" w:cs="Times New Roman"/>
                <w:color w:val="auto"/>
                <w:sz w:val="24"/>
                <w:lang w:val="en-US" w:eastAsia="zh-CN" w:bidi="ar"/>
              </w:rPr>
              <w:t>环卫部门集中处置；</w:t>
            </w:r>
          </w:p>
          <w:p w14:paraId="1C761E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（2）废包装材料能外售的外售，不能外售的与生活垃圾一同处置</w:t>
            </w:r>
            <w:r>
              <w:rPr>
                <w:rFonts w:hint="eastAsia" w:ascii="Times New Roman" w:hAnsi="Times New Roman" w:eastAsia="宋体" w:cs="Times New Roman"/>
                <w:color w:val="auto"/>
                <w:sz w:val="24"/>
                <w:lang w:val="en-US" w:eastAsia="zh-CN" w:bidi="ar"/>
              </w:rPr>
              <w:t>，</w:t>
            </w:r>
            <w:r>
              <w:rPr>
                <w:rFonts w:hint="default" w:ascii="Times New Roman" w:hAnsi="Times New Roman" w:eastAsia="宋体" w:cs="Times New Roman"/>
                <w:color w:val="auto"/>
                <w:sz w:val="24"/>
                <w:lang w:val="en-US" w:eastAsia="zh-CN" w:bidi="ar"/>
              </w:rPr>
              <w:t>焊接废渣集中收集后，与生活垃圾</w:t>
            </w:r>
            <w:r>
              <w:rPr>
                <w:rFonts w:hint="eastAsia" w:ascii="Times New Roman" w:hAnsi="Times New Roman" w:eastAsia="宋体" w:cs="Times New Roman"/>
                <w:color w:val="auto"/>
                <w:sz w:val="24"/>
                <w:lang w:val="en-US" w:eastAsia="zh-CN" w:bidi="ar"/>
              </w:rPr>
              <w:t>一并处置。</w:t>
            </w:r>
          </w:p>
          <w:p w14:paraId="228758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Cs/>
                <w:color w:val="auto"/>
                <w:spacing w:val="-10"/>
                <w:szCs w:val="21"/>
                <w:lang w:eastAsia="zh-CN"/>
              </w:rPr>
            </w:pPr>
            <w:r>
              <w:rPr>
                <w:rFonts w:hint="default" w:ascii="Times New Roman" w:hAnsi="Times New Roman" w:eastAsia="宋体" w:cs="Times New Roman"/>
                <w:color w:val="auto"/>
                <w:sz w:val="24"/>
                <w:lang w:val="en-US" w:eastAsia="zh-CN"/>
              </w:rPr>
              <w:t>本项目</w:t>
            </w:r>
            <w:r>
              <w:rPr>
                <w:rFonts w:hint="eastAsia" w:cs="Times New Roman"/>
                <w:color w:val="auto"/>
                <w:kern w:val="2"/>
                <w:sz w:val="24"/>
                <w:szCs w:val="24"/>
                <w:lang w:val="en-US" w:eastAsia="zh-CN" w:bidi="ar-SA"/>
              </w:rPr>
              <w:t>利用</w:t>
            </w:r>
            <w:r>
              <w:rPr>
                <w:rFonts w:hint="eastAsia" w:cs="Times New Roman"/>
                <w:color w:val="auto"/>
                <w:lang w:eastAsia="zh-CN"/>
              </w:rPr>
              <w:t>玉溪利东商贸有限公司</w:t>
            </w:r>
            <w:r>
              <w:rPr>
                <w:rFonts w:hint="eastAsia" w:cs="Times New Roman"/>
                <w:color w:val="auto"/>
                <w:kern w:val="2"/>
                <w:sz w:val="24"/>
                <w:szCs w:val="24"/>
                <w:lang w:val="en-US" w:eastAsia="zh-CN" w:bidi="ar-SA"/>
              </w:rPr>
              <w:t>已建设完成的封闭厂房进行建设</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施工期主要为</w:t>
            </w:r>
            <w:r>
              <w:rPr>
                <w:rFonts w:hint="eastAsia" w:cs="Times New Roman"/>
                <w:color w:val="auto"/>
                <w:sz w:val="24"/>
                <w:lang w:val="en-US" w:eastAsia="zh-CN"/>
              </w:rPr>
              <w:t>环保设施的建设、</w:t>
            </w:r>
            <w:r>
              <w:rPr>
                <w:rFonts w:hint="default" w:ascii="Times New Roman" w:hAnsi="Times New Roman" w:eastAsia="宋体" w:cs="Times New Roman"/>
                <w:color w:val="auto"/>
                <w:sz w:val="24"/>
                <w:lang w:val="en-US" w:eastAsia="zh-CN"/>
              </w:rPr>
              <w:t>设备安装及</w:t>
            </w:r>
            <w:r>
              <w:rPr>
                <w:rFonts w:hint="eastAsia" w:ascii="Times New Roman" w:hAnsi="Times New Roman" w:eastAsia="宋体" w:cs="Times New Roman"/>
                <w:color w:val="auto"/>
                <w:sz w:val="24"/>
                <w:lang w:val="en-US" w:eastAsia="zh-CN"/>
              </w:rPr>
              <w:t>调试</w:t>
            </w:r>
            <w:r>
              <w:rPr>
                <w:rFonts w:hint="default" w:ascii="Times New Roman" w:hAnsi="Times New Roman" w:eastAsia="宋体" w:cs="Times New Roman"/>
                <w:color w:val="auto"/>
                <w:sz w:val="24"/>
                <w:lang w:val="en-US" w:eastAsia="zh-CN"/>
              </w:rPr>
              <w:t>，产生少量的粉尘、噪声和垃圾。施工时间较为短暂，做好洒水降尘、隔声减振和垃圾清运，产污随着施工完成而结束</w:t>
            </w:r>
            <w:r>
              <w:rPr>
                <w:rFonts w:hint="default" w:ascii="Times New Roman" w:hAnsi="Times New Roman" w:eastAsia="宋体" w:cs="Times New Roman"/>
                <w:color w:val="auto"/>
                <w:sz w:val="24"/>
              </w:rPr>
              <w:t>，项目施工工艺详见图</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eastAsia" w:cs="Times New Roman"/>
                <w:color w:val="auto"/>
                <w:sz w:val="24"/>
                <w:lang w:val="en-US" w:eastAsia="zh-CN"/>
              </w:rPr>
              <w:t>3</w:t>
            </w:r>
            <w:r>
              <w:rPr>
                <w:rFonts w:hint="default" w:ascii="Times New Roman" w:hAnsi="Times New Roman" w:cs="Times New Roman"/>
                <w:color w:val="auto"/>
                <w:sz w:val="24"/>
              </w:rPr>
              <w:t>。</w:t>
            </w:r>
          </w:p>
        </w:tc>
      </w:tr>
      <w:tr w14:paraId="5D9A9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tcMar>
              <w:left w:w="28" w:type="dxa"/>
              <w:right w:w="28" w:type="dxa"/>
            </w:tcMar>
            <w:vAlign w:val="center"/>
          </w:tcPr>
          <w:p w14:paraId="71341155">
            <w:pPr>
              <w:pStyle w:val="24"/>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eastAsia="zh-CN"/>
              </w:rPr>
              <w:t>运营期</w:t>
            </w:r>
            <w:r>
              <w:rPr>
                <w:rFonts w:hint="default" w:ascii="Times New Roman" w:hAnsi="Times New Roman" w:cs="Times New Roman"/>
                <w:color w:val="auto"/>
                <w:kern w:val="2"/>
                <w:sz w:val="21"/>
                <w:szCs w:val="21"/>
              </w:rPr>
              <w:t>环</w:t>
            </w:r>
          </w:p>
          <w:p w14:paraId="3E46D5CA">
            <w:pPr>
              <w:pStyle w:val="24"/>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1B2B5F6">
            <w:pPr>
              <w:pStyle w:val="24"/>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护措施</w:t>
            </w:r>
          </w:p>
        </w:tc>
        <w:tc>
          <w:tcPr>
            <w:tcW w:w="4775" w:type="pct"/>
            <w:vAlign w:val="center"/>
          </w:tcPr>
          <w:p w14:paraId="7E15A166">
            <w:pPr>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outlineLvl w:val="9"/>
              <w:rPr>
                <w:rFonts w:hint="default" w:ascii="Times New Roman" w:hAnsi="Times New Roman" w:cs="Times New Roman"/>
                <w:b/>
                <w:bCs/>
                <w:color w:val="auto"/>
                <w:sz w:val="24"/>
                <w:szCs w:val="24"/>
              </w:rPr>
            </w:pPr>
            <w:bookmarkStart w:id="19" w:name="_Toc11393"/>
            <w:r>
              <w:rPr>
                <w:rFonts w:hint="default" w:ascii="Times New Roman" w:hAnsi="Times New Roman" w:cs="Times New Roman"/>
                <w:b/>
                <w:bCs/>
                <w:color w:val="auto"/>
                <w:sz w:val="24"/>
                <w:szCs w:val="24"/>
                <w:lang w:eastAsia="zh-CN"/>
              </w:rPr>
              <w:t>一、</w:t>
            </w:r>
            <w:r>
              <w:rPr>
                <w:rFonts w:hint="default" w:ascii="Times New Roman" w:hAnsi="Times New Roman" w:cs="Times New Roman"/>
                <w:b/>
                <w:bCs/>
                <w:color w:val="auto"/>
                <w:sz w:val="24"/>
                <w:szCs w:val="24"/>
              </w:rPr>
              <w:t>废气</w:t>
            </w:r>
            <w:bookmarkEnd w:id="19"/>
          </w:p>
          <w:p w14:paraId="44013301">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jc w:val="left"/>
              <w:textAlignment w:val="auto"/>
              <w:outlineLvl w:val="9"/>
              <w:rPr>
                <w:rFonts w:hint="eastAsia" w:cs="Times New Roman"/>
                <w:b/>
                <w:bCs/>
                <w:color w:val="auto"/>
                <w:sz w:val="24"/>
                <w:lang w:val="en-US" w:eastAsia="zh-CN"/>
              </w:rPr>
            </w:pPr>
            <w:bookmarkStart w:id="20" w:name="_Toc9600"/>
            <w:bookmarkStart w:id="21" w:name="_Toc4018"/>
            <w:r>
              <w:rPr>
                <w:rFonts w:hint="eastAsia" w:ascii="Times New Roman" w:hAnsi="Times New Roman" w:eastAsia="宋体" w:cs="Times New Roman"/>
                <w:b/>
                <w:bCs/>
                <w:color w:val="auto"/>
                <w:sz w:val="24"/>
                <w:lang w:val="en-US" w:eastAsia="zh-CN"/>
              </w:rPr>
              <w:t>1、</w:t>
            </w:r>
            <w:r>
              <w:rPr>
                <w:rFonts w:hint="eastAsia" w:cs="Times New Roman"/>
                <w:b/>
                <w:bCs/>
                <w:color w:val="auto"/>
                <w:sz w:val="24"/>
                <w:lang w:val="en-US" w:eastAsia="zh-CN"/>
              </w:rPr>
              <w:t>无</w:t>
            </w:r>
            <w:r>
              <w:rPr>
                <w:rFonts w:hint="eastAsia" w:ascii="Times New Roman" w:hAnsi="Times New Roman" w:eastAsia="宋体" w:cs="Times New Roman"/>
                <w:b/>
                <w:bCs/>
                <w:color w:val="auto"/>
                <w:sz w:val="24"/>
                <w:lang w:val="en-US" w:eastAsia="zh-CN"/>
              </w:rPr>
              <w:t>组织颗粒物</w:t>
            </w:r>
            <w:bookmarkEnd w:id="20"/>
            <w:bookmarkEnd w:id="21"/>
            <w:r>
              <w:rPr>
                <w:rFonts w:hint="eastAsia" w:cs="Times New Roman"/>
                <w:b/>
                <w:bCs/>
                <w:color w:val="auto"/>
                <w:sz w:val="24"/>
                <w:lang w:val="en-US" w:eastAsia="zh-CN"/>
              </w:rPr>
              <w:t>核算</w:t>
            </w:r>
          </w:p>
          <w:p w14:paraId="66A15DF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outlineLvl w:val="9"/>
              <w:rPr>
                <w:rFonts w:hint="default" w:cs="Times New Roman"/>
                <w:b/>
                <w:bCs/>
                <w:color w:val="auto"/>
                <w:sz w:val="24"/>
                <w:lang w:val="en-US" w:eastAsia="zh-CN"/>
              </w:rPr>
            </w:pPr>
            <w:r>
              <w:rPr>
                <w:rFonts w:hint="default" w:ascii="Times New Roman" w:hAnsi="Times New Roman" w:eastAsia="宋体" w:cs="Times New Roman"/>
                <w:color w:val="auto"/>
                <w:sz w:val="24"/>
                <w:lang w:val="en-US" w:eastAsia="zh-CN"/>
              </w:rPr>
              <w:t>本项目运营期产生的废气</w:t>
            </w:r>
            <w:r>
              <w:rPr>
                <w:rFonts w:hint="eastAsia" w:eastAsia="宋体" w:cs="Times New Roman"/>
                <w:color w:val="auto"/>
                <w:sz w:val="24"/>
                <w:lang w:val="en-US" w:eastAsia="zh-CN"/>
              </w:rPr>
              <w:t>主要呈无组织排放，</w:t>
            </w:r>
            <w:r>
              <w:rPr>
                <w:rFonts w:hint="default" w:ascii="Times New Roman" w:hAnsi="Times New Roman" w:eastAsia="宋体" w:cs="Times New Roman"/>
                <w:color w:val="auto"/>
                <w:sz w:val="24"/>
                <w:lang w:val="en-US" w:eastAsia="zh-CN"/>
              </w:rPr>
              <w:t>无组织</w:t>
            </w:r>
            <w:r>
              <w:rPr>
                <w:rFonts w:hint="eastAsia" w:ascii="Times New Roman" w:hAnsi="Times New Roman" w:eastAsia="宋体" w:cs="Times New Roman"/>
                <w:color w:val="auto"/>
                <w:sz w:val="24"/>
                <w:lang w:val="en-US" w:eastAsia="zh-CN"/>
              </w:rPr>
              <w:t>颗粒物</w:t>
            </w:r>
            <w:r>
              <w:rPr>
                <w:rFonts w:hint="default" w:ascii="Times New Roman" w:hAnsi="Times New Roman" w:eastAsia="宋体" w:cs="Times New Roman"/>
                <w:color w:val="auto"/>
                <w:sz w:val="24"/>
                <w:lang w:val="en-US" w:eastAsia="zh-CN"/>
              </w:rPr>
              <w:t>主要来源为</w:t>
            </w:r>
            <w:r>
              <w:rPr>
                <w:rFonts w:hint="eastAsia" w:cs="Times New Roman"/>
                <w:color w:val="auto"/>
                <w:sz w:val="24"/>
                <w:lang w:val="en-US" w:eastAsia="zh-CN"/>
              </w:rPr>
              <w:t>原煤</w:t>
            </w:r>
            <w:r>
              <w:rPr>
                <w:rFonts w:hint="default" w:ascii="Times New Roman" w:hAnsi="Times New Roman" w:eastAsia="宋体" w:cs="Times New Roman"/>
                <w:color w:val="auto"/>
                <w:sz w:val="24"/>
                <w:lang w:val="en-US" w:eastAsia="zh-CN"/>
              </w:rPr>
              <w:t>堆场（含堆场装卸料扬尘）</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成品堆场（含堆场装卸料扬尘）、</w:t>
            </w:r>
            <w:r>
              <w:rPr>
                <w:rFonts w:hint="eastAsia" w:eastAsia="宋体" w:cs="Times New Roman"/>
                <w:color w:val="auto"/>
                <w:sz w:val="24"/>
                <w:lang w:val="en-US" w:eastAsia="zh-CN"/>
              </w:rPr>
              <w:t>配</w:t>
            </w:r>
            <w:r>
              <w:rPr>
                <w:rFonts w:hint="eastAsia" w:cs="Times New Roman"/>
                <w:color w:val="auto"/>
                <w:sz w:val="24"/>
                <w:lang w:val="en-US" w:eastAsia="zh-CN"/>
              </w:rPr>
              <w:t>煤废气</w:t>
            </w:r>
            <w:r>
              <w:rPr>
                <w:rFonts w:hint="eastAsia" w:eastAsia="宋体" w:cs="Times New Roman"/>
                <w:color w:val="auto"/>
                <w:sz w:val="24"/>
                <w:lang w:val="en-US" w:eastAsia="zh-CN"/>
              </w:rPr>
              <w:t>、</w:t>
            </w:r>
            <w:r>
              <w:rPr>
                <w:rFonts w:hint="default" w:ascii="Times New Roman" w:hAnsi="Times New Roman" w:eastAsia="宋体" w:cs="Times New Roman"/>
                <w:color w:val="auto"/>
                <w:sz w:val="24"/>
                <w:lang w:val="en-US" w:eastAsia="zh-CN"/>
              </w:rPr>
              <w:t>车辆运输扬尘</w:t>
            </w:r>
            <w:r>
              <w:rPr>
                <w:rFonts w:hint="eastAsia" w:eastAsia="宋体" w:cs="Times New Roman"/>
                <w:color w:val="auto"/>
                <w:sz w:val="24"/>
                <w:lang w:val="en-US" w:eastAsia="zh-CN"/>
              </w:rPr>
              <w:t>和</w:t>
            </w:r>
            <w:r>
              <w:rPr>
                <w:rFonts w:hint="default" w:ascii="Times New Roman" w:hAnsi="Times New Roman" w:eastAsia="宋体" w:cs="Times New Roman"/>
                <w:color w:val="auto"/>
                <w:sz w:val="24"/>
                <w:lang w:val="en-US" w:eastAsia="zh-CN"/>
              </w:rPr>
              <w:t>进出车辆尾气。</w:t>
            </w:r>
          </w:p>
          <w:p w14:paraId="7F69A27C">
            <w:pPr>
              <w:pStyle w:val="17"/>
              <w:keepNext w:val="0"/>
              <w:keepLines w:val="0"/>
              <w:pageBreakBefore w:val="0"/>
              <w:widowControl w:val="0"/>
              <w:kinsoku/>
              <w:wordWrap/>
              <w:overflowPunct/>
              <w:topLinePunct w:val="0"/>
              <w:autoSpaceDE/>
              <w:autoSpaceDN/>
              <w:bidi w:val="0"/>
              <w:adjustRightInd/>
              <w:snapToGrid/>
              <w:spacing w:beforeLines="0" w:afterLines="0" w:line="360" w:lineRule="auto"/>
              <w:ind w:right="0" w:rightChars="0" w:firstLine="480" w:firstLineChars="200"/>
              <w:jc w:val="both"/>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（1）</w:t>
            </w:r>
            <w:r>
              <w:rPr>
                <w:rFonts w:hint="default" w:ascii="Times New Roman" w:hAnsi="Times New Roman" w:cs="Times New Roman" w:eastAsiaTheme="minorEastAsia"/>
                <w:color w:val="auto"/>
                <w:kern w:val="2"/>
                <w:sz w:val="24"/>
                <w:szCs w:val="24"/>
                <w:lang w:val="en-US" w:eastAsia="zh-CN" w:bidi="ar-SA"/>
              </w:rPr>
              <w:t>源强依据</w:t>
            </w:r>
          </w:p>
          <w:p w14:paraId="6B6B4CC3">
            <w:pPr>
              <w:pStyle w:val="17"/>
              <w:keepNext w:val="0"/>
              <w:keepLines w:val="0"/>
              <w:pageBreakBefore w:val="0"/>
              <w:widowControl w:val="0"/>
              <w:kinsoku/>
              <w:wordWrap/>
              <w:overflowPunct/>
              <w:topLinePunct w:val="0"/>
              <w:autoSpaceDE/>
              <w:autoSpaceDN/>
              <w:bidi w:val="0"/>
              <w:adjustRightInd/>
              <w:snapToGrid/>
              <w:spacing w:beforeLines="0" w:afterLines="0" w:line="360" w:lineRule="auto"/>
              <w:ind w:right="0" w:rightChars="0" w:firstLine="480" w:firstLineChars="200"/>
              <w:jc w:val="both"/>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根据《排放源统计调查产排污核算方法和系数手册》中附表2“固体物料堆存颗粒物产排污核算系数手册”可知，项目“a—各省风速（云南省）概化系数取0.0009”，“b—物料含水率概化系数，取0.00</w:t>
            </w:r>
            <w:r>
              <w:rPr>
                <w:rFonts w:hint="eastAsia" w:ascii="Times New Roman" w:hAnsi="Times New Roman" w:cs="Times New Roman" w:eastAsiaTheme="minorEastAsia"/>
                <w:color w:val="auto"/>
                <w:kern w:val="2"/>
                <w:sz w:val="24"/>
                <w:szCs w:val="24"/>
                <w:lang w:val="en-US" w:eastAsia="zh-CN" w:bidi="ar-SA"/>
              </w:rPr>
              <w:t>5</w:t>
            </w:r>
            <w:r>
              <w:rPr>
                <w:rFonts w:hint="default" w:ascii="Times New Roman" w:hAnsi="Times New Roman" w:cs="Times New Roman" w:eastAsiaTheme="minorEastAsia"/>
                <w:color w:val="auto"/>
                <w:kern w:val="2"/>
                <w:sz w:val="24"/>
                <w:szCs w:val="24"/>
                <w:lang w:val="en-US" w:eastAsia="zh-CN" w:bidi="ar-SA"/>
              </w:rPr>
              <w:t>4”，“洒水措施处理效率为74%”，“围挡处理效率为60%”，“半敞开式控制效率为60%”，“封闭式控制效率为99%”。本项目整个工序布设于封闭的车间内，但本次评价考虑</w:t>
            </w:r>
            <w:r>
              <w:rPr>
                <w:rFonts w:hint="eastAsia" w:ascii="Times New Roman" w:hAnsi="Times New Roman" w:cs="Times New Roman" w:eastAsiaTheme="minorEastAsia"/>
                <w:color w:val="auto"/>
                <w:kern w:val="2"/>
                <w:sz w:val="24"/>
                <w:szCs w:val="24"/>
                <w:lang w:val="en-US" w:eastAsia="zh-CN" w:bidi="ar-SA"/>
              </w:rPr>
              <w:t>封闭</w:t>
            </w:r>
            <w:r>
              <w:rPr>
                <w:rFonts w:hint="default" w:ascii="Times New Roman" w:hAnsi="Times New Roman" w:cs="Times New Roman" w:eastAsiaTheme="minorEastAsia"/>
                <w:color w:val="auto"/>
                <w:kern w:val="2"/>
                <w:sz w:val="24"/>
                <w:szCs w:val="24"/>
                <w:lang w:val="en-US" w:eastAsia="zh-CN" w:bidi="ar-SA"/>
              </w:rPr>
              <w:t>的车间密闭性能可能无法达到99%的控制效率，按半敞开式控制效率60%计，则无组织废气处置效率（洒水降尘+半敞开式）为89.6%，本次评价按80%计。</w:t>
            </w:r>
          </w:p>
          <w:p w14:paraId="1F39A4D9">
            <w:pPr>
              <w:pageBreakBefore w:val="0"/>
              <w:widowControl w:val="0"/>
              <w:numPr>
                <w:ilvl w:val="0"/>
                <w:numId w:val="0"/>
              </w:numPr>
              <w:tabs>
                <w:tab w:val="left" w:pos="180"/>
              </w:tabs>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bookmarkStart w:id="22" w:name="_Toc11528"/>
            <w:bookmarkStart w:id="23" w:name="_Toc21236"/>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原</w:t>
            </w:r>
            <w:r>
              <w:rPr>
                <w:rFonts w:hint="eastAsia" w:cs="Times New Roman"/>
                <w:color w:val="auto"/>
                <w:lang w:val="en-US" w:eastAsia="zh-CN"/>
              </w:rPr>
              <w:t>煤</w:t>
            </w:r>
            <w:r>
              <w:rPr>
                <w:rFonts w:hint="eastAsia" w:ascii="Times New Roman" w:hAnsi="Times New Roman" w:eastAsia="宋体" w:cs="Times New Roman"/>
                <w:color w:val="auto"/>
                <w:lang w:val="en-US" w:eastAsia="zh-CN"/>
              </w:rPr>
              <w:t>堆场</w:t>
            </w:r>
            <w:r>
              <w:rPr>
                <w:rFonts w:hint="default" w:ascii="Times New Roman" w:hAnsi="Times New Roman" w:eastAsia="宋体" w:cs="Times New Roman"/>
                <w:color w:val="auto"/>
                <w:lang w:val="en-US" w:eastAsia="zh-CN"/>
              </w:rPr>
              <w:t>扬尘（含</w:t>
            </w:r>
            <w:r>
              <w:rPr>
                <w:rFonts w:hint="eastAsia" w:ascii="Times New Roman" w:hAnsi="Times New Roman" w:eastAsia="宋体" w:cs="Times New Roman"/>
                <w:color w:val="auto"/>
                <w:lang w:val="en-US" w:eastAsia="zh-CN"/>
              </w:rPr>
              <w:t>堆场</w:t>
            </w:r>
            <w:r>
              <w:rPr>
                <w:rFonts w:hint="default" w:ascii="Times New Roman" w:hAnsi="Times New Roman" w:eastAsia="宋体" w:cs="Times New Roman"/>
                <w:color w:val="auto"/>
                <w:lang w:val="en-US" w:eastAsia="zh-CN"/>
              </w:rPr>
              <w:t>装卸料扬尘）</w:t>
            </w:r>
            <w:bookmarkEnd w:id="22"/>
            <w:bookmarkEnd w:id="23"/>
          </w:p>
          <w:p w14:paraId="37FCB188">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480" w:firstLineChars="2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采用《排放源统计调查产排污核算方法和系数手册》（生态环境部公告2021年第24号）中</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固体物料堆存颗粒物产排污核算系数手册</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中核算方法进行核算</w:t>
            </w:r>
            <w:r>
              <w:rPr>
                <w:rFonts w:hint="eastAsia" w:ascii="Times New Roman" w:hAnsi="Times New Roman" w:eastAsia="宋体" w:cs="Times New Roman"/>
                <w:caps w:val="0"/>
                <w:color w:val="auto"/>
                <w:sz w:val="24"/>
                <w:szCs w:val="24"/>
                <w:highlight w:val="none"/>
                <w:lang w:val="en-US" w:eastAsia="zh-CN"/>
              </w:rPr>
              <w:t>，堆场</w:t>
            </w:r>
            <w:r>
              <w:rPr>
                <w:rFonts w:hint="default" w:ascii="Times New Roman" w:hAnsi="Times New Roman" w:eastAsia="宋体" w:cs="Times New Roman"/>
                <w:caps w:val="0"/>
                <w:color w:val="auto"/>
                <w:sz w:val="24"/>
                <w:szCs w:val="24"/>
                <w:highlight w:val="none"/>
                <w:lang w:val="en-US" w:eastAsia="zh-CN"/>
              </w:rPr>
              <w:t>扬尘（含</w:t>
            </w:r>
            <w:r>
              <w:rPr>
                <w:rFonts w:hint="eastAsia" w:ascii="Times New Roman" w:hAnsi="Times New Roman" w:eastAsia="宋体" w:cs="Times New Roman"/>
                <w:caps w:val="0"/>
                <w:color w:val="auto"/>
                <w:sz w:val="24"/>
                <w:szCs w:val="24"/>
                <w:highlight w:val="none"/>
                <w:lang w:val="en-US" w:eastAsia="zh-CN"/>
              </w:rPr>
              <w:t>堆场</w:t>
            </w:r>
            <w:r>
              <w:rPr>
                <w:rFonts w:hint="default" w:ascii="Times New Roman" w:hAnsi="Times New Roman" w:eastAsia="宋体" w:cs="Times New Roman"/>
                <w:caps w:val="0"/>
                <w:color w:val="auto"/>
                <w:sz w:val="24"/>
                <w:szCs w:val="24"/>
                <w:highlight w:val="none"/>
                <w:lang w:val="en-US" w:eastAsia="zh-CN"/>
              </w:rPr>
              <w:t>装卸扬尘）产生量核算：</w:t>
            </w:r>
          </w:p>
          <w:p w14:paraId="55EDEE7E">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jc w:val="center"/>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position w:val="-14"/>
                <w:sz w:val="24"/>
                <w:szCs w:val="24"/>
                <w:highlight w:val="none"/>
                <w:lang w:val="en-US" w:eastAsia="zh-CN"/>
              </w:rPr>
              <w:object>
                <v:shape id="_x0000_i1033" o:spt="75" type="#_x0000_t75" style="height:20pt;width:243pt;" o:ole="t" filled="f" o:preferrelative="t" stroked="f" coordsize="21600,21600">
                  <v:path/>
                  <v:fill on="f" focussize="0,0"/>
                  <v:stroke on="f"/>
                  <v:imagedata r:id="rId30" o:title=""/>
                  <o:lock v:ext="edit" aspectratio="t"/>
                  <w10:wrap type="none"/>
                  <w10:anchorlock/>
                </v:shape>
                <o:OLEObject Type="Embed" ProgID="Equation.3" ShapeID="_x0000_i1033" DrawAspect="Content" ObjectID="_1468075733" r:id="rId29">
                  <o:LockedField>false</o:LockedField>
                </o:OLEObject>
              </w:object>
            </w:r>
          </w:p>
          <w:p w14:paraId="7DD6C9E8">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式中：P</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堆场扬尘产生量（t）；</w:t>
            </w:r>
          </w:p>
          <w:p w14:paraId="66480EC8">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ZC</w:t>
            </w:r>
            <w:r>
              <w:rPr>
                <w:rFonts w:hint="default" w:ascii="Times New Roman" w:hAnsi="Times New Roman" w:eastAsia="宋体" w:cs="Times New Roman"/>
                <w:caps w:val="0"/>
                <w:color w:val="auto"/>
                <w:sz w:val="24"/>
                <w:szCs w:val="24"/>
                <w:highlight w:val="none"/>
                <w:vertAlign w:val="subscript"/>
                <w:lang w:val="en-US" w:eastAsia="zh-CN"/>
              </w:rPr>
              <w:t>y</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装卸扬尘产生量（t）；</w:t>
            </w:r>
          </w:p>
          <w:p w14:paraId="14260DED">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FC</w:t>
            </w:r>
            <w:r>
              <w:rPr>
                <w:rFonts w:hint="default" w:ascii="Times New Roman" w:hAnsi="Times New Roman" w:eastAsia="宋体" w:cs="Times New Roman"/>
                <w:caps w:val="0"/>
                <w:color w:val="auto"/>
                <w:sz w:val="24"/>
                <w:szCs w:val="24"/>
                <w:highlight w:val="none"/>
                <w:vertAlign w:val="subscript"/>
                <w:lang w:val="en-US" w:eastAsia="zh-CN"/>
              </w:rPr>
              <w:t>y</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风蚀扬尘产生量（t）；</w:t>
            </w:r>
          </w:p>
          <w:p w14:paraId="3A43B3F6">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N</w:t>
            </w:r>
            <w:r>
              <w:rPr>
                <w:rFonts w:hint="eastAsia" w:ascii="Times New Roman" w:hAnsi="Times New Roman" w:eastAsia="宋体" w:cs="Times New Roman"/>
                <w:caps w:val="0"/>
                <w:color w:val="auto"/>
                <w:sz w:val="24"/>
                <w:szCs w:val="24"/>
                <w:highlight w:val="none"/>
                <w:vertAlign w:val="subscript"/>
                <w:lang w:val="en-US" w:eastAsia="zh-CN"/>
              </w:rPr>
              <w:t>C</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年物料运载车次（车）</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取</w:t>
            </w:r>
            <w:r>
              <w:rPr>
                <w:rFonts w:hint="eastAsia" w:ascii="Times New Roman" w:hAnsi="Times New Roman" w:cs="Times New Roman"/>
                <w:caps w:val="0"/>
                <w:color w:val="auto"/>
                <w:sz w:val="24"/>
                <w:szCs w:val="24"/>
                <w:highlight w:val="none"/>
                <w:lang w:val="en-US" w:eastAsia="zh-CN"/>
              </w:rPr>
              <w:t>24</w:t>
            </w:r>
            <w:r>
              <w:rPr>
                <w:rFonts w:hint="eastAsia" w:ascii="Times New Roman" w:hAnsi="Times New Roman" w:eastAsia="宋体" w:cs="Times New Roman"/>
                <w:caps w:val="0"/>
                <w:color w:val="auto"/>
                <w:sz w:val="24"/>
                <w:szCs w:val="24"/>
                <w:highlight w:val="none"/>
                <w:lang w:val="en-US" w:eastAsia="zh-CN"/>
              </w:rPr>
              <w:t>00</w:t>
            </w:r>
            <w:r>
              <w:rPr>
                <w:rFonts w:hint="default" w:ascii="Times New Roman" w:hAnsi="Times New Roman" w:eastAsia="宋体" w:cs="Times New Roman"/>
                <w:caps w:val="0"/>
                <w:color w:val="auto"/>
                <w:sz w:val="24"/>
                <w:szCs w:val="24"/>
                <w:highlight w:val="none"/>
                <w:lang w:val="en-US" w:eastAsia="zh-CN"/>
              </w:rPr>
              <w:t>车</w:t>
            </w:r>
            <w:r>
              <w:rPr>
                <w:rFonts w:hint="eastAsia" w:ascii="Times New Roman" w:hAnsi="Times New Roman" w:eastAsia="宋体" w:cs="Times New Roman"/>
                <w:caps w:val="0"/>
                <w:color w:val="auto"/>
                <w:sz w:val="24"/>
                <w:szCs w:val="24"/>
                <w:highlight w:val="none"/>
                <w:lang w:val="en-US" w:eastAsia="zh-CN"/>
              </w:rPr>
              <w:t>/a</w:t>
            </w:r>
            <w:r>
              <w:rPr>
                <w:rFonts w:hint="default" w:ascii="Times New Roman" w:hAnsi="Times New Roman" w:eastAsia="宋体" w:cs="Times New Roman"/>
                <w:caps w:val="0"/>
                <w:color w:val="auto"/>
                <w:sz w:val="24"/>
                <w:szCs w:val="24"/>
                <w:highlight w:val="none"/>
                <w:lang w:val="en-US" w:eastAsia="zh-CN"/>
              </w:rPr>
              <w:t>；</w:t>
            </w:r>
          </w:p>
          <w:p w14:paraId="11D789C5">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D</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单车平均运载量（t/车）t</w:t>
            </w:r>
            <w:r>
              <w:rPr>
                <w:rFonts w:hint="eastAsia" w:ascii="Times New Roman" w:hAnsi="Times New Roman" w:eastAsia="宋体" w:cs="Times New Roman"/>
                <w:caps w:val="0"/>
                <w:color w:val="auto"/>
                <w:sz w:val="24"/>
                <w:szCs w:val="24"/>
                <w:highlight w:val="none"/>
                <w:lang w:val="en-US" w:eastAsia="zh-CN"/>
              </w:rPr>
              <w:t>，取</w:t>
            </w:r>
            <w:r>
              <w:rPr>
                <w:rFonts w:hint="eastAsia" w:ascii="Times New Roman" w:hAnsi="Times New Roman" w:cs="Times New Roman"/>
                <w:caps w:val="0"/>
                <w:color w:val="auto"/>
                <w:sz w:val="24"/>
                <w:szCs w:val="24"/>
                <w:highlight w:val="none"/>
                <w:lang w:val="en-US" w:eastAsia="zh-CN"/>
              </w:rPr>
              <w:t>5</w:t>
            </w:r>
            <w:r>
              <w:rPr>
                <w:rFonts w:hint="eastAsia" w:ascii="Times New Roman" w:hAnsi="Times New Roman" w:eastAsia="宋体" w:cs="Times New Roman"/>
                <w:caps w:val="0"/>
                <w:color w:val="auto"/>
                <w:sz w:val="24"/>
                <w:szCs w:val="24"/>
                <w:highlight w:val="none"/>
                <w:lang w:val="en-US" w:eastAsia="zh-CN"/>
              </w:rPr>
              <w:t>0t/车</w:t>
            </w:r>
            <w:r>
              <w:rPr>
                <w:rFonts w:hint="default" w:ascii="Times New Roman" w:hAnsi="Times New Roman" w:eastAsia="宋体" w:cs="Times New Roman"/>
                <w:caps w:val="0"/>
                <w:color w:val="auto"/>
                <w:sz w:val="24"/>
                <w:szCs w:val="24"/>
                <w:highlight w:val="none"/>
                <w:lang w:val="en-US" w:eastAsia="zh-CN"/>
              </w:rPr>
              <w:t>；</w:t>
            </w:r>
          </w:p>
          <w:p w14:paraId="7B8DE54B">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（a/b）</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装卸扬尘概化系数（kg/t），a</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各省风速概化系数取0.000</w:t>
            </w:r>
            <w:r>
              <w:rPr>
                <w:rFonts w:hint="eastAsia" w:ascii="Times New Roman" w:hAnsi="Times New Roman" w:eastAsia="宋体" w:cs="Times New Roman"/>
                <w:caps w:val="0"/>
                <w:color w:val="auto"/>
                <w:sz w:val="24"/>
                <w:szCs w:val="24"/>
                <w:highlight w:val="none"/>
                <w:lang w:val="en-US" w:eastAsia="zh-CN"/>
              </w:rPr>
              <w:t>9；</w:t>
            </w:r>
            <w:r>
              <w:rPr>
                <w:rFonts w:hint="default" w:ascii="Times New Roman" w:hAnsi="Times New Roman" w:eastAsia="宋体" w:cs="Times New Roman"/>
                <w:caps w:val="0"/>
                <w:color w:val="auto"/>
                <w:sz w:val="24"/>
                <w:szCs w:val="24"/>
                <w:highlight w:val="none"/>
                <w:lang w:val="en-US" w:eastAsia="zh-CN"/>
              </w:rPr>
              <w:t>b</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物料含水率概化系数</w:t>
            </w:r>
            <w:r>
              <w:rPr>
                <w:rFonts w:hint="eastAsia" w:ascii="Times New Roman" w:hAnsi="Times New Roman" w:cs="Times New Roman"/>
                <w:caps w:val="0"/>
                <w:color w:val="auto"/>
                <w:sz w:val="24"/>
                <w:szCs w:val="24"/>
                <w:highlight w:val="none"/>
                <w:lang w:val="en-US" w:eastAsia="zh-CN"/>
              </w:rPr>
              <w:t>（按非褐煤取值）</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取0.00</w:t>
            </w:r>
            <w:r>
              <w:rPr>
                <w:rFonts w:hint="eastAsia" w:ascii="Times New Roman" w:hAnsi="Times New Roman" w:cs="Times New Roman"/>
                <w:caps w:val="0"/>
                <w:color w:val="auto"/>
                <w:sz w:val="24"/>
                <w:szCs w:val="24"/>
                <w:highlight w:val="none"/>
                <w:lang w:val="en-US" w:eastAsia="zh-CN"/>
              </w:rPr>
              <w:t>54</w:t>
            </w:r>
            <w:r>
              <w:rPr>
                <w:rFonts w:hint="default" w:ascii="Times New Roman" w:hAnsi="Times New Roman" w:eastAsia="宋体" w:cs="Times New Roman"/>
                <w:caps w:val="0"/>
                <w:color w:val="auto"/>
                <w:sz w:val="24"/>
                <w:szCs w:val="24"/>
                <w:highlight w:val="none"/>
                <w:lang w:val="en-US" w:eastAsia="zh-CN"/>
              </w:rPr>
              <w:t>；</w:t>
            </w:r>
          </w:p>
          <w:p w14:paraId="7C8B39FE">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E</w:t>
            </w:r>
            <w:r>
              <w:rPr>
                <w:rFonts w:hint="default" w:ascii="Times New Roman" w:hAnsi="Times New Roman" w:eastAsia="宋体" w:cs="Times New Roman"/>
                <w:caps w:val="0"/>
                <w:color w:val="auto"/>
                <w:sz w:val="24"/>
                <w:szCs w:val="24"/>
                <w:highlight w:val="none"/>
                <w:vertAlign w:val="subscript"/>
                <w:lang w:val="en-US" w:eastAsia="zh-CN"/>
              </w:rPr>
              <w:t>f</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堆场风蚀扬尘概化系数（kg/m</w:t>
            </w:r>
            <w:r>
              <w:rPr>
                <w:rFonts w:hint="default" w:ascii="Times New Roman" w:hAnsi="Times New Roman" w:eastAsia="宋体" w:cs="Times New Roman"/>
                <w:caps w:val="0"/>
                <w:color w:val="auto"/>
                <w:sz w:val="24"/>
                <w:szCs w:val="24"/>
                <w:highlight w:val="none"/>
                <w:vertAlign w:val="superscript"/>
                <w:lang w:val="en-US" w:eastAsia="zh-CN"/>
              </w:rPr>
              <w:t>2</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aps w:val="0"/>
                <w:color w:val="auto"/>
                <w:sz w:val="24"/>
                <w:szCs w:val="24"/>
                <w:highlight w:val="none"/>
                <w:lang w:val="en-US" w:eastAsia="zh-CN"/>
              </w:rPr>
              <w:t>按非褐煤取值为31.1418</w:t>
            </w:r>
            <w:r>
              <w:rPr>
                <w:rFonts w:hint="default" w:ascii="Times New Roman" w:hAnsi="Times New Roman" w:eastAsia="宋体" w:cs="Times New Roman"/>
                <w:caps w:val="0"/>
                <w:color w:val="auto"/>
                <w:sz w:val="24"/>
                <w:szCs w:val="24"/>
                <w:highlight w:val="none"/>
                <w:lang w:val="en-US" w:eastAsia="zh-CN"/>
              </w:rPr>
              <w:t>；</w:t>
            </w:r>
          </w:p>
          <w:p w14:paraId="6EAF772E">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S</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堆场占地面积（m</w:t>
            </w:r>
            <w:r>
              <w:rPr>
                <w:rFonts w:hint="default" w:ascii="Times New Roman" w:hAnsi="Times New Roman" w:eastAsia="宋体" w:cs="Times New Roman"/>
                <w:caps w:val="0"/>
                <w:color w:val="auto"/>
                <w:sz w:val="24"/>
                <w:szCs w:val="24"/>
                <w:highlight w:val="none"/>
                <w:vertAlign w:val="superscript"/>
                <w:lang w:val="en-US" w:eastAsia="zh-CN"/>
              </w:rPr>
              <w:t>2</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取</w:t>
            </w:r>
            <w:r>
              <w:rPr>
                <w:rFonts w:hint="eastAsia" w:ascii="Times New Roman" w:hAnsi="Times New Roman" w:cs="Times New Roman"/>
                <w:caps w:val="0"/>
                <w:color w:val="auto"/>
                <w:sz w:val="24"/>
                <w:szCs w:val="24"/>
                <w:highlight w:val="none"/>
                <w:lang w:val="en-US" w:eastAsia="zh-CN"/>
              </w:rPr>
              <w:t>400</w:t>
            </w:r>
            <w:r>
              <w:rPr>
                <w:rFonts w:hint="default" w:ascii="Times New Roman" w:hAnsi="Times New Roman" w:eastAsia="宋体" w:cs="Times New Roman"/>
                <w:caps w:val="0"/>
                <w:color w:val="auto"/>
                <w:sz w:val="24"/>
                <w:szCs w:val="24"/>
                <w:highlight w:val="none"/>
                <w:lang w:val="en-US" w:eastAsia="zh-CN"/>
              </w:rPr>
              <w:t>m</w:t>
            </w:r>
            <w:r>
              <w:rPr>
                <w:rFonts w:hint="default" w:ascii="Times New Roman" w:hAnsi="Times New Roman" w:eastAsia="宋体" w:cs="Times New Roman"/>
                <w:caps w:val="0"/>
                <w:color w:val="auto"/>
                <w:sz w:val="24"/>
                <w:szCs w:val="24"/>
                <w:highlight w:val="none"/>
                <w:vertAlign w:val="superscript"/>
                <w:lang w:val="en-US" w:eastAsia="zh-CN"/>
              </w:rPr>
              <w:t>2</w:t>
            </w:r>
            <w:r>
              <w:rPr>
                <w:rFonts w:hint="default" w:ascii="Times New Roman" w:hAnsi="Times New Roman" w:eastAsia="宋体" w:cs="Times New Roman"/>
                <w:caps w:val="0"/>
                <w:color w:val="auto"/>
                <w:sz w:val="24"/>
                <w:szCs w:val="24"/>
                <w:highlight w:val="none"/>
                <w:lang w:val="en-US" w:eastAsia="zh-CN"/>
              </w:rPr>
              <w:t>。</w:t>
            </w:r>
          </w:p>
          <w:p w14:paraId="56385B6D">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480" w:firstLineChars="2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经计算，本项目原料堆场堆场扬尘（含装卸扬尘）产生量约为</w:t>
            </w:r>
            <w:r>
              <w:rPr>
                <w:rFonts w:hint="eastAsia" w:ascii="Times New Roman" w:hAnsi="Times New Roman" w:cs="Times New Roman"/>
                <w:caps w:val="0"/>
                <w:color w:val="auto"/>
                <w:sz w:val="24"/>
                <w:szCs w:val="24"/>
                <w:highlight w:val="none"/>
                <w:lang w:val="en-US" w:eastAsia="zh-CN"/>
              </w:rPr>
              <w:t>44.91</w:t>
            </w:r>
            <w:r>
              <w:rPr>
                <w:rFonts w:hint="default" w:ascii="Times New Roman" w:hAnsi="Times New Roman" w:eastAsia="宋体" w:cs="Times New Roman"/>
                <w:caps w:val="0"/>
                <w:color w:val="auto"/>
                <w:sz w:val="24"/>
                <w:szCs w:val="24"/>
                <w:highlight w:val="none"/>
                <w:lang w:val="en-US" w:eastAsia="zh-CN"/>
              </w:rPr>
              <w:t>t。</w:t>
            </w:r>
            <w:r>
              <w:rPr>
                <w:rFonts w:hint="eastAsia" w:ascii="Times New Roman" w:hAnsi="Times New Roman" w:cs="Times New Roman"/>
                <w:caps w:val="0"/>
                <w:color w:val="auto"/>
                <w:sz w:val="24"/>
                <w:szCs w:val="24"/>
                <w:highlight w:val="none"/>
                <w:lang w:val="en-US" w:eastAsia="zh-CN"/>
              </w:rPr>
              <w:t xml:space="preserve">   </w:t>
            </w:r>
            <w:r>
              <w:rPr>
                <w:rFonts w:hint="default" w:ascii="Times New Roman" w:hAnsi="Times New Roman" w:eastAsia="宋体" w:cs="Times New Roman"/>
                <w:caps w:val="0"/>
                <w:color w:val="auto"/>
                <w:sz w:val="24"/>
                <w:szCs w:val="24"/>
                <w:highlight w:val="none"/>
                <w:lang w:val="en-US" w:eastAsia="zh-CN"/>
              </w:rPr>
              <w:t>本项目原料</w:t>
            </w:r>
            <w:r>
              <w:rPr>
                <w:rFonts w:hint="eastAsia" w:ascii="Times New Roman" w:hAnsi="Times New Roman" w:eastAsia="宋体" w:cs="Times New Roman"/>
                <w:caps w:val="0"/>
                <w:color w:val="auto"/>
                <w:sz w:val="24"/>
                <w:szCs w:val="24"/>
                <w:highlight w:val="none"/>
                <w:lang w:val="en-US" w:eastAsia="zh-CN"/>
              </w:rPr>
              <w:t>堆场</w:t>
            </w:r>
            <w:r>
              <w:rPr>
                <w:rFonts w:hint="default" w:ascii="Times New Roman" w:hAnsi="Times New Roman" w:eastAsia="宋体" w:cs="Times New Roman"/>
                <w:caps w:val="0"/>
                <w:color w:val="auto"/>
                <w:sz w:val="24"/>
                <w:szCs w:val="24"/>
                <w:highlight w:val="none"/>
                <w:lang w:val="en-US" w:eastAsia="zh-CN"/>
              </w:rPr>
              <w:t>设置</w:t>
            </w:r>
            <w:r>
              <w:rPr>
                <w:rFonts w:hint="eastAsia" w:ascii="Times New Roman" w:hAnsi="Times New Roman" w:cs="Times New Roman"/>
                <w:caps w:val="0"/>
                <w:color w:val="auto"/>
                <w:sz w:val="24"/>
                <w:szCs w:val="24"/>
                <w:highlight w:val="none"/>
                <w:lang w:val="en-US" w:eastAsia="zh-CN"/>
              </w:rPr>
              <w:t>封闭车间内</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aps w:val="0"/>
                <w:color w:val="auto"/>
                <w:sz w:val="24"/>
                <w:szCs w:val="24"/>
                <w:highlight w:val="none"/>
                <w:lang w:val="en-US" w:eastAsia="zh-CN"/>
              </w:rPr>
              <w:t>厂区</w:t>
            </w:r>
            <w:r>
              <w:rPr>
                <w:rFonts w:hint="default" w:ascii="Times New Roman" w:hAnsi="Times New Roman" w:eastAsia="宋体" w:cs="Times New Roman"/>
                <w:caps w:val="0"/>
                <w:color w:val="auto"/>
                <w:sz w:val="24"/>
                <w:szCs w:val="24"/>
                <w:highlight w:val="none"/>
                <w:lang w:val="en-US" w:eastAsia="zh-CN"/>
              </w:rPr>
              <w:t>设置喷淋装置进行洒水抑尘</w:t>
            </w:r>
            <w:r>
              <w:rPr>
                <w:rFonts w:hint="eastAsia" w:ascii="Times New Roman" w:hAnsi="Times New Roman" w:cs="Times New Roman"/>
                <w:caps w:val="0"/>
                <w:color w:val="auto"/>
                <w:sz w:val="24"/>
                <w:szCs w:val="24"/>
                <w:highlight w:val="none"/>
                <w:lang w:val="en-US" w:eastAsia="zh-CN"/>
              </w:rPr>
              <w:t>（通过在</w:t>
            </w:r>
            <w:r>
              <w:rPr>
                <w:rFonts w:hint="eastAsia" w:ascii="Times New Roman" w:hAnsi="Times New Roman" w:eastAsia="宋体" w:cs="Times New Roman"/>
                <w:caps w:val="0"/>
                <w:color w:val="auto"/>
                <w:sz w:val="24"/>
                <w:szCs w:val="24"/>
                <w:highlight w:val="none"/>
                <w:lang w:val="en-US" w:eastAsia="zh-CN"/>
              </w:rPr>
              <w:t>车间上方布设管道进行洒水降尘，每间隔10</w:t>
            </w:r>
            <w:r>
              <w:rPr>
                <w:rFonts w:hint="default" w:ascii="Times New Roman" w:hAnsi="Times New Roman" w:eastAsia="宋体" w:cs="Times New Roman"/>
                <w:caps w:val="0"/>
                <w:color w:val="auto"/>
                <w:sz w:val="24"/>
                <w:szCs w:val="24"/>
                <w:highlight w:val="none"/>
                <w:lang w:val="en-US" w:eastAsia="zh-CN"/>
              </w:rPr>
              <w:t>米设置一个喷头</w:t>
            </w:r>
            <w:r>
              <w:rPr>
                <w:rFonts w:hint="eastAsia" w:ascii="Times New Roman" w:hAnsi="Times New Roman"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；堆场地面进行硬化，定期清扫；规范堆存，文明装卸，最大限度降低堆场物料堆存量和物料落差。</w:t>
            </w:r>
            <w:r>
              <w:rPr>
                <w:rFonts w:hint="eastAsia" w:ascii="Times New Roman" w:hAnsi="Times New Roman" w:eastAsia="宋体" w:cs="Times New Roman"/>
                <w:caps w:val="0"/>
                <w:color w:val="auto"/>
                <w:sz w:val="24"/>
                <w:szCs w:val="24"/>
                <w:highlight w:val="none"/>
                <w:lang w:val="en-US" w:eastAsia="zh-CN"/>
              </w:rPr>
              <w:t>则</w:t>
            </w:r>
            <w:r>
              <w:rPr>
                <w:rFonts w:hint="default" w:ascii="Times New Roman" w:hAnsi="Times New Roman" w:eastAsia="宋体" w:cs="Times New Roman"/>
                <w:caps w:val="0"/>
                <w:color w:val="auto"/>
                <w:sz w:val="24"/>
                <w:szCs w:val="24"/>
                <w:highlight w:val="none"/>
                <w:lang w:val="en-US" w:eastAsia="zh-CN"/>
              </w:rPr>
              <w:t>堆场扬尘（含装卸扬尘）排放量核算</w:t>
            </w:r>
            <w:r>
              <w:rPr>
                <w:rFonts w:hint="eastAsia" w:ascii="Times New Roman" w:hAnsi="Times New Roman" w:eastAsia="宋体" w:cs="Times New Roman"/>
                <w:caps w:val="0"/>
                <w:color w:val="auto"/>
                <w:sz w:val="24"/>
                <w:szCs w:val="24"/>
                <w:highlight w:val="none"/>
                <w:lang w:val="en-US" w:eastAsia="zh-CN"/>
              </w:rPr>
              <w:t>如下</w:t>
            </w:r>
            <w:r>
              <w:rPr>
                <w:rFonts w:hint="default" w:ascii="Times New Roman" w:hAnsi="Times New Roman" w:eastAsia="宋体" w:cs="Times New Roman"/>
                <w:caps w:val="0"/>
                <w:color w:val="auto"/>
                <w:sz w:val="24"/>
                <w:szCs w:val="24"/>
                <w:highlight w:val="none"/>
                <w:lang w:val="en-US" w:eastAsia="zh-CN"/>
              </w:rPr>
              <w:t>：</w:t>
            </w:r>
          </w:p>
          <w:p w14:paraId="79A70455">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jc w:val="center"/>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 xml:space="preserve">   </w:t>
            </w:r>
            <w:r>
              <w:rPr>
                <w:rFonts w:hint="default" w:ascii="Times New Roman" w:hAnsi="Times New Roman" w:eastAsia="宋体" w:cs="Times New Roman"/>
                <w:caps w:val="0"/>
                <w:color w:val="auto"/>
                <w:position w:val="-12"/>
                <w:sz w:val="24"/>
                <w:szCs w:val="24"/>
                <w:highlight w:val="none"/>
                <w:lang w:val="en-US" w:eastAsia="zh-CN"/>
              </w:rPr>
              <w:object>
                <v:shape id="_x0000_i1034" o:spt="75" type="#_x0000_t75" style="height:18pt;width:121.95pt;" o:ole="t" filled="f" o:preferrelative="t" stroked="f" coordsize="21600,21600">
                  <v:path/>
                  <v:fill on="f" focussize="0,0"/>
                  <v:stroke on="f"/>
                  <v:imagedata r:id="rId32" o:title=""/>
                  <o:lock v:ext="edit" aspectratio="t"/>
                  <w10:wrap type="none"/>
                  <w10:anchorlock/>
                </v:shape>
                <o:OLEObject Type="Embed" ProgID="Equation.3" ShapeID="_x0000_i1034" DrawAspect="Content" ObjectID="_1468075734" r:id="rId31">
                  <o:LockedField>false</o:LockedField>
                </o:OLEObject>
              </w:object>
            </w:r>
            <w:r>
              <w:rPr>
                <w:rFonts w:hint="default" w:ascii="Times New Roman" w:hAnsi="Times New Roman" w:eastAsia="宋体" w:cs="Times New Roman"/>
                <w:caps w:val="0"/>
                <w:color w:val="auto"/>
                <w:sz w:val="24"/>
                <w:szCs w:val="24"/>
                <w:highlight w:val="none"/>
                <w:lang w:val="en-US" w:eastAsia="zh-CN"/>
              </w:rPr>
              <w:t></w:t>
            </w:r>
          </w:p>
          <w:p w14:paraId="7E047E92">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式中：P</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堆场扬尘产生量（t）；</w:t>
            </w:r>
          </w:p>
          <w:p w14:paraId="6373D7B0">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U</w:t>
            </w:r>
            <w:r>
              <w:rPr>
                <w:rFonts w:hint="eastAsia" w:ascii="Times New Roman" w:hAnsi="Times New Roman" w:eastAsia="宋体" w:cs="Times New Roman"/>
                <w:caps w:val="0"/>
                <w:color w:val="auto"/>
                <w:sz w:val="24"/>
                <w:szCs w:val="24"/>
                <w:highlight w:val="none"/>
                <w:vertAlign w:val="subscript"/>
                <w:lang w:val="en-US" w:eastAsia="zh-CN"/>
              </w:rPr>
              <w:t>C</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堆场扬尘排放量（t）；</w:t>
            </w:r>
          </w:p>
          <w:p w14:paraId="35554EC6">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C</w:t>
            </w:r>
            <w:r>
              <w:rPr>
                <w:rFonts w:hint="default" w:ascii="Times New Roman" w:hAnsi="Times New Roman" w:eastAsia="宋体" w:cs="Times New Roman"/>
                <w:caps w:val="0"/>
                <w:color w:val="auto"/>
                <w:sz w:val="24"/>
                <w:szCs w:val="24"/>
                <w:highlight w:val="none"/>
                <w:vertAlign w:val="subscript"/>
                <w:lang w:val="en-US" w:eastAsia="zh-CN"/>
              </w:rPr>
              <w:t>m</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堆场扬尘控制措施控制效率（%），本项目堆场设置洒水</w:t>
            </w:r>
            <w:r>
              <w:rPr>
                <w:rFonts w:hint="eastAsia" w:ascii="Times New Roman" w:hAnsi="Times New Roman" w:cs="Times New Roman"/>
                <w:caps w:val="0"/>
                <w:color w:val="auto"/>
                <w:sz w:val="24"/>
                <w:szCs w:val="24"/>
                <w:highlight w:val="none"/>
                <w:lang w:val="en-US" w:eastAsia="zh-CN"/>
              </w:rPr>
              <w:t>降尘装置</w:t>
            </w:r>
            <w:r>
              <w:rPr>
                <w:rFonts w:hint="eastAsia"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aps w:val="0"/>
                <w:color w:val="auto"/>
                <w:sz w:val="24"/>
                <w:szCs w:val="24"/>
                <w:highlight w:val="none"/>
                <w:lang w:val="en-US" w:eastAsia="zh-CN"/>
              </w:rPr>
              <w:t>处理效率为</w:t>
            </w:r>
            <w:r>
              <w:rPr>
                <w:rFonts w:hint="default" w:ascii="Times New Roman" w:hAnsi="Times New Roman" w:eastAsia="宋体" w:cs="Times New Roman"/>
                <w:caps w:val="0"/>
                <w:color w:val="auto"/>
                <w:sz w:val="24"/>
                <w:szCs w:val="24"/>
                <w:highlight w:val="none"/>
                <w:lang w:val="en-US" w:eastAsia="zh-CN"/>
              </w:rPr>
              <w:t>74%</w:t>
            </w:r>
            <w:r>
              <w:rPr>
                <w:rFonts w:hint="eastAsia" w:ascii="Times New Roman" w:hAnsi="Times New Roman" w:eastAsia="宋体" w:cs="Times New Roman"/>
                <w:caps w:val="0"/>
                <w:color w:val="auto"/>
                <w:sz w:val="24"/>
                <w:szCs w:val="24"/>
                <w:highlight w:val="none"/>
                <w:lang w:val="en-US" w:eastAsia="zh-CN"/>
              </w:rPr>
              <w:t>，即</w:t>
            </w:r>
            <w:r>
              <w:rPr>
                <w:rFonts w:hint="default" w:ascii="Times New Roman" w:hAnsi="Times New Roman" w:eastAsia="宋体" w:cs="Times New Roman"/>
                <w:caps w:val="0"/>
                <w:color w:val="auto"/>
                <w:sz w:val="24"/>
                <w:szCs w:val="24"/>
                <w:highlight w:val="none"/>
                <w:lang w:val="en-US" w:eastAsia="zh-CN"/>
              </w:rPr>
              <w:t>C</w:t>
            </w:r>
            <w:r>
              <w:rPr>
                <w:rFonts w:hint="default" w:ascii="Times New Roman" w:hAnsi="Times New Roman" w:eastAsia="宋体" w:cs="Times New Roman"/>
                <w:caps w:val="0"/>
                <w:color w:val="auto"/>
                <w:sz w:val="24"/>
                <w:szCs w:val="24"/>
                <w:highlight w:val="none"/>
                <w:vertAlign w:val="subscript"/>
                <w:lang w:val="en-US" w:eastAsia="zh-CN"/>
              </w:rPr>
              <w:t>m</w:t>
            </w:r>
            <w:r>
              <w:rPr>
                <w:rFonts w:hint="default" w:ascii="Times New Roman" w:hAnsi="Times New Roman" w:eastAsia="宋体" w:cs="Times New Roman"/>
                <w:caps w:val="0"/>
                <w:color w:val="auto"/>
                <w:sz w:val="24"/>
                <w:szCs w:val="24"/>
                <w:highlight w:val="none"/>
                <w:lang w:val="en-US" w:eastAsia="zh-CN"/>
              </w:rPr>
              <w:t>取</w:t>
            </w:r>
            <w:r>
              <w:rPr>
                <w:rFonts w:hint="eastAsia" w:ascii="Times New Roman" w:hAnsi="Times New Roman" w:eastAsia="宋体" w:cs="Times New Roman"/>
                <w:caps w:val="0"/>
                <w:color w:val="auto"/>
                <w:sz w:val="24"/>
                <w:szCs w:val="24"/>
                <w:highlight w:val="none"/>
                <w:lang w:val="en-US" w:eastAsia="zh-CN"/>
              </w:rPr>
              <w:t>值按</w:t>
            </w:r>
            <w:r>
              <w:rPr>
                <w:rFonts w:hint="eastAsia" w:ascii="Times New Roman" w:hAnsi="Times New Roman" w:cs="Times New Roman"/>
                <w:caps w:val="0"/>
                <w:color w:val="auto"/>
                <w:sz w:val="24"/>
                <w:szCs w:val="24"/>
                <w:highlight w:val="none"/>
                <w:lang w:val="en-US" w:eastAsia="zh-CN"/>
              </w:rPr>
              <w:t>74</w:t>
            </w:r>
            <w:r>
              <w:rPr>
                <w:rFonts w:hint="eastAsia" w:ascii="Times New Roman" w:hAnsi="Times New Roman" w:eastAsia="宋体" w:cs="Times New Roman"/>
                <w:caps w:val="0"/>
                <w:color w:val="auto"/>
                <w:sz w:val="24"/>
                <w:szCs w:val="24"/>
                <w:highlight w:val="none"/>
                <w:lang w:val="en-US" w:eastAsia="zh-CN"/>
              </w:rPr>
              <w:t>%计</w:t>
            </w:r>
            <w:r>
              <w:rPr>
                <w:rFonts w:hint="default" w:ascii="Times New Roman" w:hAnsi="Times New Roman" w:eastAsia="宋体" w:cs="Times New Roman"/>
                <w:caps w:val="0"/>
                <w:color w:val="auto"/>
                <w:sz w:val="24"/>
                <w:szCs w:val="24"/>
                <w:highlight w:val="none"/>
                <w:lang w:val="en-US" w:eastAsia="zh-CN"/>
              </w:rPr>
              <w:t>；</w:t>
            </w:r>
          </w:p>
          <w:p w14:paraId="3DEFA57C">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T</w:t>
            </w:r>
            <w:r>
              <w:rPr>
                <w:rFonts w:hint="default" w:ascii="Times New Roman" w:hAnsi="Times New Roman" w:eastAsia="宋体" w:cs="Times New Roman"/>
                <w:caps w:val="0"/>
                <w:color w:val="auto"/>
                <w:sz w:val="24"/>
                <w:szCs w:val="24"/>
                <w:highlight w:val="none"/>
                <w:vertAlign w:val="subscript"/>
                <w:lang w:val="en-US" w:eastAsia="zh-CN"/>
              </w:rPr>
              <w:t>m</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堆场类型控制效率（%），本项目</w:t>
            </w:r>
            <w:r>
              <w:rPr>
                <w:rFonts w:hint="eastAsia" w:ascii="Times New Roman" w:hAnsi="Times New Roman" w:cs="Times New Roman"/>
                <w:caps w:val="0"/>
                <w:color w:val="auto"/>
                <w:sz w:val="24"/>
                <w:szCs w:val="24"/>
                <w:highlight w:val="none"/>
                <w:lang w:val="en-US" w:eastAsia="zh-CN"/>
              </w:rPr>
              <w:t>原料堆场位于封闭的车间内，本次评价考虑到封闭效果可能无法</w:t>
            </w:r>
            <w:r>
              <w:rPr>
                <w:rFonts w:hint="eastAsia" w:ascii="Times New Roman" w:hAnsi="Times New Roman" w:eastAsia="宋体" w:cs="Times New Roman"/>
                <w:color w:val="auto"/>
                <w:kern w:val="2"/>
                <w:sz w:val="24"/>
                <w:szCs w:val="24"/>
                <w:lang w:val="en-US" w:eastAsia="zh-CN" w:bidi="ar-SA"/>
              </w:rPr>
              <w:t>达到99%的控制效率，按</w:t>
            </w:r>
            <w:r>
              <w:rPr>
                <w:rFonts w:hint="default" w:ascii="Times New Roman" w:hAnsi="Times New Roman" w:eastAsia="宋体" w:cs="Times New Roman"/>
                <w:color w:val="auto"/>
                <w:kern w:val="2"/>
                <w:sz w:val="24"/>
                <w:szCs w:val="24"/>
                <w:lang w:val="en-US" w:eastAsia="zh-CN" w:bidi="ar-SA"/>
              </w:rPr>
              <w:t>半敞开式控制效率60%</w:t>
            </w:r>
            <w:r>
              <w:rPr>
                <w:rFonts w:hint="eastAsia" w:ascii="Times New Roman" w:hAnsi="Times New Roman" w:eastAsia="宋体" w:cs="Times New Roman"/>
                <w:color w:val="auto"/>
                <w:kern w:val="2"/>
                <w:sz w:val="24"/>
                <w:szCs w:val="24"/>
                <w:lang w:val="en-US" w:eastAsia="zh-CN" w:bidi="ar-SA"/>
              </w:rPr>
              <w:t>计</w:t>
            </w:r>
            <w:r>
              <w:rPr>
                <w:rFonts w:hint="eastAsia"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aps w:val="0"/>
                <w:color w:val="auto"/>
                <w:sz w:val="24"/>
                <w:szCs w:val="24"/>
                <w:highlight w:val="none"/>
                <w:lang w:val="en-US" w:eastAsia="zh-CN"/>
              </w:rPr>
              <w:t>即</w:t>
            </w:r>
            <w:r>
              <w:rPr>
                <w:rFonts w:hint="default" w:ascii="Times New Roman" w:hAnsi="Times New Roman" w:eastAsia="宋体" w:cs="Times New Roman"/>
                <w:caps w:val="0"/>
                <w:color w:val="auto"/>
                <w:sz w:val="24"/>
                <w:szCs w:val="24"/>
                <w:highlight w:val="none"/>
                <w:lang w:val="en-US" w:eastAsia="zh-CN"/>
              </w:rPr>
              <w:t>T</w:t>
            </w:r>
            <w:r>
              <w:rPr>
                <w:rFonts w:hint="default" w:ascii="Times New Roman" w:hAnsi="Times New Roman" w:eastAsia="宋体" w:cs="Times New Roman"/>
                <w:caps w:val="0"/>
                <w:color w:val="auto"/>
                <w:sz w:val="24"/>
                <w:szCs w:val="24"/>
                <w:highlight w:val="none"/>
                <w:vertAlign w:val="subscript"/>
                <w:lang w:val="en-US" w:eastAsia="zh-CN"/>
              </w:rPr>
              <w:t>m</w:t>
            </w:r>
            <w:r>
              <w:rPr>
                <w:rFonts w:hint="eastAsia" w:ascii="Times New Roman" w:hAnsi="Times New Roman" w:eastAsia="宋体" w:cs="Times New Roman"/>
                <w:caps w:val="0"/>
                <w:color w:val="auto"/>
                <w:sz w:val="24"/>
                <w:szCs w:val="24"/>
                <w:highlight w:val="none"/>
                <w:lang w:val="en-US" w:eastAsia="zh-CN"/>
              </w:rPr>
              <w:t>取</w:t>
            </w:r>
            <w:r>
              <w:rPr>
                <w:rFonts w:hint="default" w:ascii="Times New Roman" w:hAnsi="Times New Roman" w:eastAsia="宋体" w:cs="Times New Roman"/>
                <w:caps w:val="0"/>
                <w:color w:val="auto"/>
                <w:sz w:val="24"/>
                <w:szCs w:val="24"/>
                <w:highlight w:val="none"/>
                <w:lang w:val="en-US" w:eastAsia="zh-CN"/>
              </w:rPr>
              <w:t>60%。</w:t>
            </w:r>
          </w:p>
          <w:p w14:paraId="74A9C35D">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经计算，本项目原料堆场扬尘（含装卸扬尘）排放量约为</w:t>
            </w:r>
            <w:r>
              <w:rPr>
                <w:rFonts w:hint="eastAsia" w:ascii="Times New Roman" w:hAnsi="Times New Roman" w:cs="Times New Roman"/>
                <w:caps w:val="0"/>
                <w:color w:val="auto"/>
                <w:sz w:val="24"/>
                <w:szCs w:val="24"/>
                <w:highlight w:val="none"/>
                <w:lang w:val="en-US" w:eastAsia="zh-CN"/>
              </w:rPr>
              <w:t>4.671</w:t>
            </w:r>
            <w:r>
              <w:rPr>
                <w:rFonts w:hint="default" w:ascii="Times New Roman" w:hAnsi="Times New Roman" w:eastAsia="宋体" w:cs="Times New Roman"/>
                <w:caps w:val="0"/>
                <w:color w:val="auto"/>
                <w:sz w:val="24"/>
                <w:szCs w:val="24"/>
                <w:highlight w:val="none"/>
                <w:lang w:val="en-US" w:eastAsia="zh-CN"/>
              </w:rPr>
              <w:t>t</w:t>
            </w:r>
            <w:r>
              <w:rPr>
                <w:rFonts w:hint="eastAsia" w:ascii="Times New Roman" w:hAnsi="Times New Roman" w:eastAsia="宋体" w:cs="Times New Roman"/>
                <w:caps w:val="0"/>
                <w:color w:val="auto"/>
                <w:sz w:val="24"/>
                <w:szCs w:val="24"/>
                <w:highlight w:val="none"/>
                <w:lang w:val="en-US" w:eastAsia="zh-CN"/>
              </w:rPr>
              <w:t>/a，</w:t>
            </w:r>
            <w:r>
              <w:rPr>
                <w:rFonts w:hint="eastAsia" w:ascii="Times New Roman" w:hAnsi="Times New Roman" w:cs="Times New Roman"/>
                <w:caps w:val="0"/>
                <w:color w:val="auto"/>
                <w:sz w:val="24"/>
                <w:szCs w:val="24"/>
                <w:highlight w:val="none"/>
                <w:lang w:val="en-US" w:eastAsia="zh-CN"/>
              </w:rPr>
              <w:t>0.649</w:t>
            </w:r>
            <w:r>
              <w:rPr>
                <w:rFonts w:hint="eastAsia" w:ascii="Times New Roman" w:hAnsi="Times New Roman" w:eastAsia="宋体" w:cs="Times New Roman"/>
                <w:caps w:val="0"/>
                <w:color w:val="auto"/>
                <w:sz w:val="24"/>
                <w:szCs w:val="24"/>
                <w:highlight w:val="none"/>
                <w:lang w:val="en-US" w:eastAsia="zh-CN"/>
              </w:rPr>
              <w:t>kg/h，均</w:t>
            </w:r>
            <w:r>
              <w:rPr>
                <w:rFonts w:hint="default" w:ascii="Times New Roman" w:hAnsi="Times New Roman" w:eastAsia="宋体" w:cs="Times New Roman"/>
                <w:caps w:val="0"/>
                <w:color w:val="auto"/>
                <w:sz w:val="24"/>
                <w:szCs w:val="24"/>
                <w:highlight w:val="none"/>
                <w:lang w:val="en-US" w:eastAsia="zh-CN"/>
              </w:rPr>
              <w:t>以无组织形式排放。</w:t>
            </w:r>
          </w:p>
          <w:p w14:paraId="60472CFA">
            <w:pPr>
              <w:pageBreakBefore w:val="0"/>
              <w:widowControl w:val="0"/>
              <w:numPr>
                <w:ilvl w:val="0"/>
                <w:numId w:val="0"/>
              </w:numPr>
              <w:tabs>
                <w:tab w:val="left" w:pos="180"/>
              </w:tabs>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bookmarkStart w:id="24" w:name="_Toc22525"/>
            <w:bookmarkStart w:id="25" w:name="_Toc9438"/>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3）成品堆场</w:t>
            </w:r>
            <w:r>
              <w:rPr>
                <w:rFonts w:hint="default" w:ascii="Times New Roman" w:hAnsi="Times New Roman" w:eastAsia="宋体" w:cs="Times New Roman"/>
                <w:color w:val="auto"/>
                <w:lang w:val="en-US" w:eastAsia="zh-CN"/>
              </w:rPr>
              <w:t>扬尘（含</w:t>
            </w:r>
            <w:r>
              <w:rPr>
                <w:rFonts w:hint="eastAsia" w:ascii="Times New Roman" w:hAnsi="Times New Roman" w:eastAsia="宋体" w:cs="Times New Roman"/>
                <w:color w:val="auto"/>
                <w:lang w:val="en-US" w:eastAsia="zh-CN"/>
              </w:rPr>
              <w:t>堆场</w:t>
            </w:r>
            <w:r>
              <w:rPr>
                <w:rFonts w:hint="default" w:ascii="Times New Roman" w:hAnsi="Times New Roman" w:eastAsia="宋体" w:cs="Times New Roman"/>
                <w:color w:val="auto"/>
                <w:lang w:val="en-US" w:eastAsia="zh-CN"/>
              </w:rPr>
              <w:t>装卸料扬尘）</w:t>
            </w:r>
            <w:bookmarkEnd w:id="24"/>
            <w:bookmarkEnd w:id="25"/>
          </w:p>
          <w:p w14:paraId="70561CAD">
            <w:pPr>
              <w:pageBreakBefore w:val="0"/>
              <w:widowControl w:val="0"/>
              <w:numPr>
                <w:ilvl w:val="0"/>
                <w:numId w:val="0"/>
              </w:numPr>
              <w:tabs>
                <w:tab w:val="left" w:pos="180"/>
              </w:tabs>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采用《排放源统计调查产排污核算方法和系数手册》（生态环境部公告2021年第24号）中</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固体物料堆存颗粒物产排污核算系数手册</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中核算方法进行核算</w:t>
            </w:r>
            <w:r>
              <w:rPr>
                <w:rFonts w:hint="eastAsia" w:ascii="Times New Roman" w:hAnsi="Times New Roman" w:eastAsia="宋体" w:cs="Times New Roman"/>
                <w:color w:val="auto"/>
                <w:lang w:val="en-US" w:eastAsia="zh-CN"/>
              </w:rPr>
              <w:t>，堆场</w:t>
            </w:r>
            <w:r>
              <w:rPr>
                <w:rFonts w:hint="default" w:ascii="Times New Roman" w:hAnsi="Times New Roman" w:eastAsia="宋体" w:cs="Times New Roman"/>
                <w:color w:val="auto"/>
                <w:lang w:val="en-US" w:eastAsia="zh-CN"/>
              </w:rPr>
              <w:t>扬尘（含</w:t>
            </w:r>
            <w:r>
              <w:rPr>
                <w:rFonts w:hint="eastAsia" w:ascii="Times New Roman" w:hAnsi="Times New Roman" w:eastAsia="宋体" w:cs="Times New Roman"/>
                <w:color w:val="auto"/>
                <w:lang w:val="en-US" w:eastAsia="zh-CN"/>
              </w:rPr>
              <w:t>堆场</w:t>
            </w:r>
            <w:r>
              <w:rPr>
                <w:rFonts w:hint="default" w:ascii="Times New Roman" w:hAnsi="Times New Roman" w:eastAsia="宋体" w:cs="Times New Roman"/>
                <w:color w:val="auto"/>
                <w:lang w:val="en-US" w:eastAsia="zh-CN"/>
              </w:rPr>
              <w:t>装卸扬尘）产生量核算：</w:t>
            </w:r>
          </w:p>
          <w:p w14:paraId="6442D597">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jc w:val="center"/>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position w:val="-14"/>
                <w:sz w:val="24"/>
                <w:szCs w:val="24"/>
                <w:highlight w:val="none"/>
                <w:lang w:val="en-US" w:eastAsia="zh-CN"/>
              </w:rPr>
              <w:object>
                <v:shape id="_x0000_i1035" o:spt="75" type="#_x0000_t75" style="height:20pt;width:243pt;" o:ole="t" filled="f" o:preferrelative="t" stroked="f" coordsize="21600,21600">
                  <v:path/>
                  <v:fill on="f" focussize="0,0"/>
                  <v:stroke on="f"/>
                  <v:imagedata r:id="rId30" o:title=""/>
                  <o:lock v:ext="edit" aspectratio="t"/>
                  <w10:wrap type="none"/>
                  <w10:anchorlock/>
                </v:shape>
                <o:OLEObject Type="Embed" ProgID="Equation.3" ShapeID="_x0000_i1035" DrawAspect="Content" ObjectID="_1468075735" r:id="rId33">
                  <o:LockedField>false</o:LockedField>
                </o:OLEObject>
              </w:object>
            </w:r>
          </w:p>
          <w:p w14:paraId="6E07BA34">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式中：P</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堆场扬尘产生量（t）；</w:t>
            </w:r>
          </w:p>
          <w:p w14:paraId="0ABACB3C">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ZC</w:t>
            </w:r>
            <w:r>
              <w:rPr>
                <w:rFonts w:hint="default" w:ascii="Times New Roman" w:hAnsi="Times New Roman" w:eastAsia="宋体" w:cs="Times New Roman"/>
                <w:caps w:val="0"/>
                <w:color w:val="auto"/>
                <w:sz w:val="24"/>
                <w:szCs w:val="24"/>
                <w:highlight w:val="none"/>
                <w:vertAlign w:val="subscript"/>
                <w:lang w:val="en-US" w:eastAsia="zh-CN"/>
              </w:rPr>
              <w:t>y</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装卸扬尘产生量（t）；</w:t>
            </w:r>
          </w:p>
          <w:p w14:paraId="3DE440E4">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FC</w:t>
            </w:r>
            <w:r>
              <w:rPr>
                <w:rFonts w:hint="default" w:ascii="Times New Roman" w:hAnsi="Times New Roman" w:eastAsia="宋体" w:cs="Times New Roman"/>
                <w:caps w:val="0"/>
                <w:color w:val="auto"/>
                <w:sz w:val="24"/>
                <w:szCs w:val="24"/>
                <w:highlight w:val="none"/>
                <w:vertAlign w:val="subscript"/>
                <w:lang w:val="en-US" w:eastAsia="zh-CN"/>
              </w:rPr>
              <w:t>y</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风蚀扬尘产生量（t）；</w:t>
            </w:r>
          </w:p>
          <w:p w14:paraId="4584843E">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N</w:t>
            </w:r>
            <w:r>
              <w:rPr>
                <w:rFonts w:hint="eastAsia" w:ascii="Times New Roman" w:hAnsi="Times New Roman" w:eastAsia="宋体" w:cs="Times New Roman"/>
                <w:caps w:val="0"/>
                <w:color w:val="auto"/>
                <w:sz w:val="24"/>
                <w:szCs w:val="24"/>
                <w:highlight w:val="none"/>
                <w:vertAlign w:val="subscript"/>
                <w:lang w:val="en-US" w:eastAsia="zh-CN"/>
              </w:rPr>
              <w:t>C</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年物料运载车次（车）</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取</w:t>
            </w:r>
            <w:r>
              <w:rPr>
                <w:rFonts w:hint="eastAsia" w:ascii="Times New Roman" w:hAnsi="Times New Roman" w:cs="Times New Roman"/>
                <w:caps w:val="0"/>
                <w:color w:val="auto"/>
                <w:sz w:val="24"/>
                <w:szCs w:val="24"/>
                <w:highlight w:val="none"/>
                <w:lang w:val="en-US" w:eastAsia="zh-CN"/>
              </w:rPr>
              <w:t>24</w:t>
            </w:r>
            <w:r>
              <w:rPr>
                <w:rFonts w:hint="eastAsia" w:ascii="Times New Roman" w:hAnsi="Times New Roman" w:eastAsia="宋体" w:cs="Times New Roman"/>
                <w:caps w:val="0"/>
                <w:color w:val="auto"/>
                <w:sz w:val="24"/>
                <w:szCs w:val="24"/>
                <w:highlight w:val="none"/>
                <w:lang w:val="en-US" w:eastAsia="zh-CN"/>
              </w:rPr>
              <w:t>00</w:t>
            </w:r>
            <w:r>
              <w:rPr>
                <w:rFonts w:hint="default" w:ascii="Times New Roman" w:hAnsi="Times New Roman" w:eastAsia="宋体" w:cs="Times New Roman"/>
                <w:caps w:val="0"/>
                <w:color w:val="auto"/>
                <w:sz w:val="24"/>
                <w:szCs w:val="24"/>
                <w:highlight w:val="none"/>
                <w:lang w:val="en-US" w:eastAsia="zh-CN"/>
              </w:rPr>
              <w:t>车</w:t>
            </w:r>
            <w:r>
              <w:rPr>
                <w:rFonts w:hint="eastAsia" w:ascii="Times New Roman" w:hAnsi="Times New Roman" w:eastAsia="宋体" w:cs="Times New Roman"/>
                <w:caps w:val="0"/>
                <w:color w:val="auto"/>
                <w:sz w:val="24"/>
                <w:szCs w:val="24"/>
                <w:highlight w:val="none"/>
                <w:lang w:val="en-US" w:eastAsia="zh-CN"/>
              </w:rPr>
              <w:t>/a</w:t>
            </w:r>
            <w:r>
              <w:rPr>
                <w:rFonts w:hint="default" w:ascii="Times New Roman" w:hAnsi="Times New Roman" w:eastAsia="宋体" w:cs="Times New Roman"/>
                <w:caps w:val="0"/>
                <w:color w:val="auto"/>
                <w:sz w:val="24"/>
                <w:szCs w:val="24"/>
                <w:highlight w:val="none"/>
                <w:lang w:val="en-US" w:eastAsia="zh-CN"/>
              </w:rPr>
              <w:t>；</w:t>
            </w:r>
          </w:p>
          <w:p w14:paraId="10AA5ABB">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D</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单车平均运载量（t/车）t</w:t>
            </w:r>
            <w:r>
              <w:rPr>
                <w:rFonts w:hint="eastAsia" w:ascii="Times New Roman" w:hAnsi="Times New Roman" w:eastAsia="宋体" w:cs="Times New Roman"/>
                <w:caps w:val="0"/>
                <w:color w:val="auto"/>
                <w:sz w:val="24"/>
                <w:szCs w:val="24"/>
                <w:highlight w:val="none"/>
                <w:lang w:val="en-US" w:eastAsia="zh-CN"/>
              </w:rPr>
              <w:t>，取</w:t>
            </w:r>
            <w:r>
              <w:rPr>
                <w:rFonts w:hint="eastAsia" w:ascii="Times New Roman" w:hAnsi="Times New Roman" w:cs="Times New Roman"/>
                <w:caps w:val="0"/>
                <w:color w:val="auto"/>
                <w:sz w:val="24"/>
                <w:szCs w:val="24"/>
                <w:highlight w:val="none"/>
                <w:lang w:val="en-US" w:eastAsia="zh-CN"/>
              </w:rPr>
              <w:t>5</w:t>
            </w:r>
            <w:r>
              <w:rPr>
                <w:rFonts w:hint="eastAsia" w:ascii="Times New Roman" w:hAnsi="Times New Roman" w:eastAsia="宋体" w:cs="Times New Roman"/>
                <w:caps w:val="0"/>
                <w:color w:val="auto"/>
                <w:sz w:val="24"/>
                <w:szCs w:val="24"/>
                <w:highlight w:val="none"/>
                <w:lang w:val="en-US" w:eastAsia="zh-CN"/>
              </w:rPr>
              <w:t>0t/车</w:t>
            </w:r>
            <w:r>
              <w:rPr>
                <w:rFonts w:hint="default" w:ascii="Times New Roman" w:hAnsi="Times New Roman" w:eastAsia="宋体" w:cs="Times New Roman"/>
                <w:caps w:val="0"/>
                <w:color w:val="auto"/>
                <w:sz w:val="24"/>
                <w:szCs w:val="24"/>
                <w:highlight w:val="none"/>
                <w:lang w:val="en-US" w:eastAsia="zh-CN"/>
              </w:rPr>
              <w:t>；</w:t>
            </w:r>
          </w:p>
          <w:p w14:paraId="3FEADA46">
            <w:pPr>
              <w:pStyle w:val="17"/>
              <w:keepNext w:val="0"/>
              <w:keepLines w:val="0"/>
              <w:pageBreakBefore w:val="0"/>
              <w:widowControl w:val="0"/>
              <w:kinsoku/>
              <w:wordWrap/>
              <w:overflowPunct/>
              <w:topLinePunct w:val="0"/>
              <w:autoSpaceDE/>
              <w:autoSpaceDN/>
              <w:bidi w:val="0"/>
              <w:adjustRightInd/>
              <w:snapToGrid/>
              <w:spacing w:beforeLines="0" w:line="360" w:lineRule="auto"/>
              <w:ind w:right="0" w:rightChars="0" w:firstLine="960" w:firstLineChars="4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（a/b）</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装卸扬尘概化系数（kg/t），a</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各省风速概化系数取0.000</w:t>
            </w:r>
            <w:r>
              <w:rPr>
                <w:rFonts w:hint="eastAsia" w:ascii="Times New Roman" w:hAnsi="Times New Roman" w:eastAsia="宋体" w:cs="Times New Roman"/>
                <w:caps w:val="0"/>
                <w:color w:val="auto"/>
                <w:sz w:val="24"/>
                <w:szCs w:val="24"/>
                <w:highlight w:val="none"/>
                <w:lang w:val="en-US" w:eastAsia="zh-CN"/>
              </w:rPr>
              <w:t>9；</w:t>
            </w:r>
            <w:r>
              <w:rPr>
                <w:rFonts w:hint="default" w:ascii="Times New Roman" w:hAnsi="Times New Roman" w:eastAsia="宋体" w:cs="Times New Roman"/>
                <w:caps w:val="0"/>
                <w:color w:val="auto"/>
                <w:sz w:val="24"/>
                <w:szCs w:val="24"/>
                <w:highlight w:val="none"/>
                <w:lang w:val="en-US" w:eastAsia="zh-CN"/>
              </w:rPr>
              <w:t>b</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物料含水率概化系数</w:t>
            </w:r>
            <w:r>
              <w:rPr>
                <w:rFonts w:hint="eastAsia" w:ascii="Times New Roman" w:hAnsi="Times New Roman" w:cs="Times New Roman"/>
                <w:caps w:val="0"/>
                <w:color w:val="auto"/>
                <w:sz w:val="24"/>
                <w:szCs w:val="24"/>
                <w:highlight w:val="none"/>
                <w:lang w:val="en-US" w:eastAsia="zh-CN"/>
              </w:rPr>
              <w:t>（按非褐煤取值）</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取0.00</w:t>
            </w:r>
            <w:r>
              <w:rPr>
                <w:rFonts w:hint="eastAsia" w:ascii="Times New Roman" w:hAnsi="Times New Roman" w:cs="Times New Roman"/>
                <w:caps w:val="0"/>
                <w:color w:val="auto"/>
                <w:sz w:val="24"/>
                <w:szCs w:val="24"/>
                <w:highlight w:val="none"/>
                <w:lang w:val="en-US" w:eastAsia="zh-CN"/>
              </w:rPr>
              <w:t>54</w:t>
            </w:r>
            <w:r>
              <w:rPr>
                <w:rFonts w:hint="default" w:ascii="Times New Roman" w:hAnsi="Times New Roman" w:eastAsia="宋体" w:cs="Times New Roman"/>
                <w:caps w:val="0"/>
                <w:color w:val="auto"/>
                <w:sz w:val="24"/>
                <w:szCs w:val="24"/>
                <w:highlight w:val="none"/>
                <w:lang w:val="en-US" w:eastAsia="zh-CN"/>
              </w:rPr>
              <w:t>；</w:t>
            </w:r>
          </w:p>
          <w:p w14:paraId="0442AEB8">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E</w:t>
            </w:r>
            <w:r>
              <w:rPr>
                <w:rFonts w:hint="default" w:ascii="Times New Roman" w:hAnsi="Times New Roman" w:eastAsia="宋体" w:cs="Times New Roman"/>
                <w:caps w:val="0"/>
                <w:color w:val="auto"/>
                <w:sz w:val="24"/>
                <w:szCs w:val="24"/>
                <w:highlight w:val="none"/>
                <w:vertAlign w:val="subscript"/>
                <w:lang w:val="en-US" w:eastAsia="zh-CN"/>
              </w:rPr>
              <w:t>f</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堆场风蚀扬尘概化系数（kg/m</w:t>
            </w:r>
            <w:r>
              <w:rPr>
                <w:rFonts w:hint="default" w:ascii="Times New Roman" w:hAnsi="Times New Roman" w:eastAsia="宋体" w:cs="Times New Roman"/>
                <w:caps w:val="0"/>
                <w:color w:val="auto"/>
                <w:sz w:val="24"/>
                <w:szCs w:val="24"/>
                <w:highlight w:val="none"/>
                <w:vertAlign w:val="superscript"/>
                <w:lang w:val="en-US" w:eastAsia="zh-CN"/>
              </w:rPr>
              <w:t>2</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aps w:val="0"/>
                <w:color w:val="auto"/>
                <w:sz w:val="24"/>
                <w:szCs w:val="24"/>
                <w:highlight w:val="none"/>
                <w:lang w:val="en-US" w:eastAsia="zh-CN"/>
              </w:rPr>
              <w:t>按非褐煤取值为31.1418</w:t>
            </w:r>
            <w:r>
              <w:rPr>
                <w:rFonts w:hint="default" w:ascii="Times New Roman" w:hAnsi="Times New Roman" w:eastAsia="宋体" w:cs="Times New Roman"/>
                <w:caps w:val="0"/>
                <w:color w:val="auto"/>
                <w:sz w:val="24"/>
                <w:szCs w:val="24"/>
                <w:highlight w:val="none"/>
                <w:lang w:val="en-US" w:eastAsia="zh-CN"/>
              </w:rPr>
              <w:t>；</w:t>
            </w:r>
          </w:p>
          <w:p w14:paraId="0FE9ACAB">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S</w:t>
            </w:r>
            <w:r>
              <w:rPr>
                <w:rFonts w:hint="eastAsia" w:ascii="Times New Roman" w:hAnsi="Times New Roman" w:eastAsia="宋体" w:cs="Times New Roman"/>
                <w:caps w:val="0"/>
                <w:color w:val="auto"/>
                <w:sz w:val="24"/>
                <w:szCs w:val="24"/>
                <w:highlight w:val="none"/>
                <w:lang w:val="en-US" w:eastAsia="zh-CN"/>
              </w:rPr>
              <w:t>—成品</w:t>
            </w:r>
            <w:r>
              <w:rPr>
                <w:rFonts w:hint="default" w:ascii="Times New Roman" w:hAnsi="Times New Roman" w:eastAsia="宋体" w:cs="Times New Roman"/>
                <w:caps w:val="0"/>
                <w:color w:val="auto"/>
                <w:sz w:val="24"/>
                <w:szCs w:val="24"/>
                <w:highlight w:val="none"/>
                <w:lang w:val="en-US" w:eastAsia="zh-CN"/>
              </w:rPr>
              <w:t>堆场占地面积（m</w:t>
            </w:r>
            <w:r>
              <w:rPr>
                <w:rFonts w:hint="default" w:ascii="Times New Roman" w:hAnsi="Times New Roman" w:eastAsia="宋体" w:cs="Times New Roman"/>
                <w:caps w:val="0"/>
                <w:color w:val="auto"/>
                <w:sz w:val="24"/>
                <w:szCs w:val="24"/>
                <w:highlight w:val="none"/>
                <w:vertAlign w:val="superscript"/>
                <w:lang w:val="en-US" w:eastAsia="zh-CN"/>
              </w:rPr>
              <w:t>2</w:t>
            </w:r>
            <w:r>
              <w:rPr>
                <w:rFonts w:hint="default" w:ascii="Times New Roman" w:hAnsi="Times New Roman" w:eastAsia="宋体" w:cs="Times New Roman"/>
                <w:caps w:val="0"/>
                <w:color w:val="auto"/>
                <w:sz w:val="24"/>
                <w:szCs w:val="24"/>
                <w:highlight w:val="none"/>
                <w:lang w:val="en-US" w:eastAsia="zh-CN"/>
              </w:rPr>
              <w:t>）</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取</w:t>
            </w:r>
            <w:r>
              <w:rPr>
                <w:rFonts w:hint="eastAsia" w:ascii="Times New Roman" w:hAnsi="Times New Roman" w:cs="Times New Roman"/>
                <w:caps w:val="0"/>
                <w:color w:val="auto"/>
                <w:sz w:val="24"/>
                <w:szCs w:val="24"/>
                <w:highlight w:val="none"/>
                <w:lang w:val="en-US" w:eastAsia="zh-CN"/>
              </w:rPr>
              <w:t>500</w:t>
            </w:r>
            <w:r>
              <w:rPr>
                <w:rFonts w:hint="default" w:ascii="Times New Roman" w:hAnsi="Times New Roman" w:eastAsia="宋体" w:cs="Times New Roman"/>
                <w:caps w:val="0"/>
                <w:color w:val="auto"/>
                <w:sz w:val="24"/>
                <w:szCs w:val="24"/>
                <w:highlight w:val="none"/>
                <w:lang w:val="en-US" w:eastAsia="zh-CN"/>
              </w:rPr>
              <w:t>m</w:t>
            </w:r>
            <w:r>
              <w:rPr>
                <w:rFonts w:hint="default" w:ascii="Times New Roman" w:hAnsi="Times New Roman" w:eastAsia="宋体" w:cs="Times New Roman"/>
                <w:caps w:val="0"/>
                <w:color w:val="auto"/>
                <w:sz w:val="24"/>
                <w:szCs w:val="24"/>
                <w:highlight w:val="none"/>
                <w:vertAlign w:val="superscript"/>
                <w:lang w:val="en-US" w:eastAsia="zh-CN"/>
              </w:rPr>
              <w:t>2</w:t>
            </w:r>
            <w:r>
              <w:rPr>
                <w:rFonts w:hint="default" w:ascii="Times New Roman" w:hAnsi="Times New Roman" w:eastAsia="宋体" w:cs="Times New Roman"/>
                <w:caps w:val="0"/>
                <w:color w:val="auto"/>
                <w:sz w:val="24"/>
                <w:szCs w:val="24"/>
                <w:highlight w:val="none"/>
                <w:lang w:val="en-US" w:eastAsia="zh-CN"/>
              </w:rPr>
              <w:t>。</w:t>
            </w:r>
          </w:p>
          <w:p w14:paraId="4BB95EF7">
            <w:pPr>
              <w:pageBreakBefore w:val="0"/>
              <w:widowControl w:val="0"/>
              <w:numPr>
                <w:ilvl w:val="0"/>
                <w:numId w:val="0"/>
              </w:numPr>
              <w:tabs>
                <w:tab w:val="left" w:pos="180"/>
              </w:tabs>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经计算，本项目</w:t>
            </w:r>
            <w:r>
              <w:rPr>
                <w:rFonts w:hint="eastAsia" w:ascii="Times New Roman" w:hAnsi="Times New Roman" w:eastAsia="宋体" w:cs="Times New Roman"/>
                <w:color w:val="auto"/>
                <w:lang w:val="en-US" w:eastAsia="zh-CN"/>
              </w:rPr>
              <w:t>成品</w:t>
            </w:r>
            <w:r>
              <w:rPr>
                <w:rFonts w:hint="default" w:ascii="Times New Roman" w:hAnsi="Times New Roman" w:eastAsia="宋体" w:cs="Times New Roman"/>
                <w:color w:val="auto"/>
                <w:lang w:val="en-US" w:eastAsia="zh-CN"/>
              </w:rPr>
              <w:t>堆场扬尘产生量约为</w:t>
            </w:r>
            <w:r>
              <w:rPr>
                <w:rFonts w:hint="eastAsia" w:cs="Times New Roman"/>
                <w:color w:val="auto"/>
                <w:lang w:val="en-US" w:eastAsia="zh-CN"/>
              </w:rPr>
              <w:t>51.14</w:t>
            </w:r>
            <w:r>
              <w:rPr>
                <w:rFonts w:hint="default" w:ascii="Times New Roman" w:hAnsi="Times New Roman" w:eastAsia="宋体" w:cs="Times New Roman"/>
                <w:color w:val="auto"/>
                <w:lang w:val="en-US" w:eastAsia="zh-CN"/>
              </w:rPr>
              <w:t>t。本项目</w:t>
            </w:r>
            <w:r>
              <w:rPr>
                <w:rFonts w:hint="eastAsia" w:ascii="Times New Roman" w:hAnsi="Times New Roman" w:eastAsia="宋体" w:cs="Times New Roman"/>
                <w:color w:val="auto"/>
                <w:lang w:val="en-US" w:eastAsia="zh-CN"/>
              </w:rPr>
              <w:t>成品堆场</w:t>
            </w:r>
            <w:r>
              <w:rPr>
                <w:rFonts w:hint="default" w:ascii="Times New Roman" w:hAnsi="Times New Roman" w:eastAsia="宋体" w:cs="Times New Roman"/>
                <w:color w:val="auto"/>
                <w:lang w:val="en-US" w:eastAsia="zh-CN"/>
              </w:rPr>
              <w:t>设置三面围挡加盖顶棚，</w:t>
            </w:r>
            <w:r>
              <w:rPr>
                <w:rFonts w:hint="eastAsia" w:ascii="Times New Roman" w:hAnsi="Times New Roman" w:eastAsia="宋体" w:cs="Times New Roman"/>
                <w:color w:val="auto"/>
                <w:lang w:val="en-US" w:eastAsia="zh-CN"/>
              </w:rPr>
              <w:t>堆场</w:t>
            </w:r>
            <w:r>
              <w:rPr>
                <w:rFonts w:hint="default" w:ascii="Times New Roman" w:hAnsi="Times New Roman" w:eastAsia="宋体" w:cs="Times New Roman"/>
                <w:color w:val="auto"/>
                <w:lang w:val="en-US" w:eastAsia="zh-CN"/>
              </w:rPr>
              <w:t>内设置喷淋装置进行洒水抑尘</w:t>
            </w:r>
            <w:r>
              <w:rPr>
                <w:rFonts w:hint="eastAsia" w:ascii="Times New Roman" w:hAnsi="Times New Roman" w:cs="Times New Roman"/>
                <w:caps w:val="0"/>
                <w:color w:val="auto"/>
                <w:sz w:val="24"/>
                <w:szCs w:val="24"/>
                <w:highlight w:val="none"/>
                <w:lang w:val="en-US" w:eastAsia="zh-CN"/>
              </w:rPr>
              <w:t>（通过在</w:t>
            </w:r>
            <w:r>
              <w:rPr>
                <w:rFonts w:hint="eastAsia" w:ascii="Times New Roman" w:hAnsi="Times New Roman" w:eastAsia="宋体" w:cs="Times New Roman"/>
                <w:caps w:val="0"/>
                <w:color w:val="auto"/>
                <w:sz w:val="24"/>
                <w:szCs w:val="24"/>
                <w:highlight w:val="none"/>
                <w:lang w:val="en-US" w:eastAsia="zh-CN"/>
              </w:rPr>
              <w:t>车间上方布设管道进行洒水降尘，每间隔10</w:t>
            </w:r>
            <w:r>
              <w:rPr>
                <w:rFonts w:hint="default" w:ascii="Times New Roman" w:hAnsi="Times New Roman" w:eastAsia="宋体" w:cs="Times New Roman"/>
                <w:caps w:val="0"/>
                <w:color w:val="auto"/>
                <w:sz w:val="24"/>
                <w:szCs w:val="24"/>
                <w:highlight w:val="none"/>
                <w:lang w:val="en-US" w:eastAsia="zh-CN"/>
              </w:rPr>
              <w:t>米设置一个喷头</w:t>
            </w:r>
            <w:r>
              <w:rPr>
                <w:rFonts w:hint="eastAsia" w:ascii="Times New Roman" w:hAnsi="Times New Roman" w:cs="Times New Roman"/>
                <w:caps w:val="0"/>
                <w:color w:val="auto"/>
                <w:sz w:val="24"/>
                <w:szCs w:val="24"/>
                <w:highlight w:val="none"/>
                <w:lang w:val="en-US" w:eastAsia="zh-CN"/>
              </w:rPr>
              <w:t>）</w:t>
            </w:r>
            <w:r>
              <w:rPr>
                <w:rFonts w:hint="default" w:ascii="Times New Roman" w:hAnsi="Times New Roman" w:eastAsia="宋体" w:cs="Times New Roman"/>
                <w:color w:val="auto"/>
                <w:lang w:val="en-US" w:eastAsia="zh-CN"/>
              </w:rPr>
              <w:t>；堆场地面进行硬化，定期清扫；规范堆存，文明装卸，最大限度降低堆场物料堆存量和物料落差。</w:t>
            </w:r>
            <w:r>
              <w:rPr>
                <w:rFonts w:hint="eastAsia" w:ascii="Times New Roman" w:hAnsi="Times New Roman" w:eastAsia="宋体" w:cs="Times New Roman"/>
                <w:color w:val="auto"/>
                <w:lang w:val="en-US" w:eastAsia="zh-CN"/>
              </w:rPr>
              <w:t>则</w:t>
            </w:r>
            <w:r>
              <w:rPr>
                <w:rFonts w:hint="default" w:ascii="Times New Roman" w:hAnsi="Times New Roman" w:eastAsia="宋体" w:cs="Times New Roman"/>
                <w:color w:val="auto"/>
                <w:lang w:val="en-US" w:eastAsia="zh-CN"/>
              </w:rPr>
              <w:t>堆场扬尘（含装卸扬尘）排放量核算：</w:t>
            </w:r>
          </w:p>
          <w:p w14:paraId="3FCF0AE3">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jc w:val="center"/>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 xml:space="preserve">   </w:t>
            </w:r>
            <w:r>
              <w:rPr>
                <w:rFonts w:hint="default" w:ascii="Times New Roman" w:hAnsi="Times New Roman" w:eastAsia="宋体" w:cs="Times New Roman"/>
                <w:caps w:val="0"/>
                <w:color w:val="auto"/>
                <w:position w:val="-12"/>
                <w:sz w:val="24"/>
                <w:szCs w:val="24"/>
                <w:highlight w:val="none"/>
                <w:lang w:val="en-US" w:eastAsia="zh-CN"/>
              </w:rPr>
              <w:object>
                <v:shape id="_x0000_i1036" o:spt="75" type="#_x0000_t75" style="height:18pt;width:121.95pt;" o:ole="t" filled="f" o:preferrelative="t" stroked="f" coordsize="21600,21600">
                  <v:path/>
                  <v:fill on="f" focussize="0,0"/>
                  <v:stroke on="f"/>
                  <v:imagedata r:id="rId32" o:title=""/>
                  <o:lock v:ext="edit" aspectratio="t"/>
                  <w10:wrap type="none"/>
                  <w10:anchorlock/>
                </v:shape>
                <o:OLEObject Type="Embed" ProgID="Equation.3" ShapeID="_x0000_i1036" DrawAspect="Content" ObjectID="_1468075736" r:id="rId34">
                  <o:LockedField>false</o:LockedField>
                </o:OLEObject>
              </w:object>
            </w:r>
            <w:r>
              <w:rPr>
                <w:rFonts w:hint="default" w:ascii="Times New Roman" w:hAnsi="Times New Roman" w:eastAsia="宋体" w:cs="Times New Roman"/>
                <w:caps w:val="0"/>
                <w:color w:val="auto"/>
                <w:sz w:val="24"/>
                <w:szCs w:val="24"/>
                <w:highlight w:val="none"/>
                <w:lang w:val="en-US" w:eastAsia="zh-CN"/>
              </w:rPr>
              <w:t></w:t>
            </w:r>
          </w:p>
          <w:p w14:paraId="514B7610">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式中：P</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堆场扬尘产生量（t）；</w:t>
            </w:r>
          </w:p>
          <w:p w14:paraId="0DDD363D">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U</w:t>
            </w:r>
            <w:r>
              <w:rPr>
                <w:rFonts w:hint="eastAsia" w:ascii="Times New Roman" w:hAnsi="Times New Roman" w:eastAsia="宋体" w:cs="Times New Roman"/>
                <w:caps w:val="0"/>
                <w:color w:val="auto"/>
                <w:sz w:val="24"/>
                <w:szCs w:val="24"/>
                <w:highlight w:val="none"/>
                <w:vertAlign w:val="subscript"/>
                <w:lang w:val="en-US" w:eastAsia="zh-CN"/>
              </w:rPr>
              <w:t>C</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堆场扬尘排放量（t）；</w:t>
            </w:r>
          </w:p>
          <w:p w14:paraId="034D44D0">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C</w:t>
            </w:r>
            <w:r>
              <w:rPr>
                <w:rFonts w:hint="default" w:ascii="Times New Roman" w:hAnsi="Times New Roman" w:eastAsia="宋体" w:cs="Times New Roman"/>
                <w:caps w:val="0"/>
                <w:color w:val="auto"/>
                <w:sz w:val="24"/>
                <w:szCs w:val="24"/>
                <w:highlight w:val="none"/>
                <w:vertAlign w:val="subscript"/>
                <w:lang w:val="en-US" w:eastAsia="zh-CN"/>
              </w:rPr>
              <w:t>m</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堆场扬尘控制措施控制效率（%），本项目堆场设置洒水</w:t>
            </w:r>
            <w:r>
              <w:rPr>
                <w:rFonts w:hint="eastAsia" w:ascii="Times New Roman" w:hAnsi="Times New Roman" w:cs="Times New Roman"/>
                <w:caps w:val="0"/>
                <w:color w:val="auto"/>
                <w:sz w:val="24"/>
                <w:szCs w:val="24"/>
                <w:highlight w:val="none"/>
                <w:lang w:val="en-US" w:eastAsia="zh-CN"/>
              </w:rPr>
              <w:t>降尘装置</w:t>
            </w:r>
            <w:r>
              <w:rPr>
                <w:rFonts w:hint="eastAsia"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aps w:val="0"/>
                <w:color w:val="auto"/>
                <w:sz w:val="24"/>
                <w:szCs w:val="24"/>
                <w:highlight w:val="none"/>
                <w:lang w:val="en-US" w:eastAsia="zh-CN"/>
              </w:rPr>
              <w:t>处理效率为</w:t>
            </w:r>
            <w:r>
              <w:rPr>
                <w:rFonts w:hint="default" w:ascii="Times New Roman" w:hAnsi="Times New Roman" w:eastAsia="宋体" w:cs="Times New Roman"/>
                <w:caps w:val="0"/>
                <w:color w:val="auto"/>
                <w:sz w:val="24"/>
                <w:szCs w:val="24"/>
                <w:highlight w:val="none"/>
                <w:lang w:val="en-US" w:eastAsia="zh-CN"/>
              </w:rPr>
              <w:t>74%</w:t>
            </w:r>
            <w:r>
              <w:rPr>
                <w:rFonts w:hint="eastAsia" w:ascii="Times New Roman" w:hAnsi="Times New Roman" w:eastAsia="宋体" w:cs="Times New Roman"/>
                <w:caps w:val="0"/>
                <w:color w:val="auto"/>
                <w:sz w:val="24"/>
                <w:szCs w:val="24"/>
                <w:highlight w:val="none"/>
                <w:lang w:val="en-US" w:eastAsia="zh-CN"/>
              </w:rPr>
              <w:t>，即</w:t>
            </w:r>
            <w:r>
              <w:rPr>
                <w:rFonts w:hint="default" w:ascii="Times New Roman" w:hAnsi="Times New Roman" w:eastAsia="宋体" w:cs="Times New Roman"/>
                <w:caps w:val="0"/>
                <w:color w:val="auto"/>
                <w:sz w:val="24"/>
                <w:szCs w:val="24"/>
                <w:highlight w:val="none"/>
                <w:lang w:val="en-US" w:eastAsia="zh-CN"/>
              </w:rPr>
              <w:t>C</w:t>
            </w:r>
            <w:r>
              <w:rPr>
                <w:rFonts w:hint="default" w:ascii="Times New Roman" w:hAnsi="Times New Roman" w:eastAsia="宋体" w:cs="Times New Roman"/>
                <w:caps w:val="0"/>
                <w:color w:val="auto"/>
                <w:sz w:val="24"/>
                <w:szCs w:val="24"/>
                <w:highlight w:val="none"/>
                <w:vertAlign w:val="subscript"/>
                <w:lang w:val="en-US" w:eastAsia="zh-CN"/>
              </w:rPr>
              <w:t>m</w:t>
            </w:r>
            <w:r>
              <w:rPr>
                <w:rFonts w:hint="default" w:ascii="Times New Roman" w:hAnsi="Times New Roman" w:eastAsia="宋体" w:cs="Times New Roman"/>
                <w:caps w:val="0"/>
                <w:color w:val="auto"/>
                <w:sz w:val="24"/>
                <w:szCs w:val="24"/>
                <w:highlight w:val="none"/>
                <w:lang w:val="en-US" w:eastAsia="zh-CN"/>
              </w:rPr>
              <w:t>取</w:t>
            </w:r>
            <w:r>
              <w:rPr>
                <w:rFonts w:hint="eastAsia" w:ascii="Times New Roman" w:hAnsi="Times New Roman" w:eastAsia="宋体" w:cs="Times New Roman"/>
                <w:caps w:val="0"/>
                <w:color w:val="auto"/>
                <w:sz w:val="24"/>
                <w:szCs w:val="24"/>
                <w:highlight w:val="none"/>
                <w:lang w:val="en-US" w:eastAsia="zh-CN"/>
              </w:rPr>
              <w:t>值按</w:t>
            </w:r>
            <w:r>
              <w:rPr>
                <w:rFonts w:hint="eastAsia" w:ascii="Times New Roman" w:hAnsi="Times New Roman" w:cs="Times New Roman"/>
                <w:caps w:val="0"/>
                <w:color w:val="auto"/>
                <w:sz w:val="24"/>
                <w:szCs w:val="24"/>
                <w:highlight w:val="none"/>
                <w:lang w:val="en-US" w:eastAsia="zh-CN"/>
              </w:rPr>
              <w:t>74</w:t>
            </w:r>
            <w:r>
              <w:rPr>
                <w:rFonts w:hint="eastAsia" w:ascii="Times New Roman" w:hAnsi="Times New Roman" w:eastAsia="宋体" w:cs="Times New Roman"/>
                <w:caps w:val="0"/>
                <w:color w:val="auto"/>
                <w:sz w:val="24"/>
                <w:szCs w:val="24"/>
                <w:highlight w:val="none"/>
                <w:lang w:val="en-US" w:eastAsia="zh-CN"/>
              </w:rPr>
              <w:t>%计</w:t>
            </w:r>
            <w:r>
              <w:rPr>
                <w:rFonts w:hint="default" w:ascii="Times New Roman" w:hAnsi="Times New Roman" w:eastAsia="宋体" w:cs="Times New Roman"/>
                <w:caps w:val="0"/>
                <w:color w:val="auto"/>
                <w:sz w:val="24"/>
                <w:szCs w:val="24"/>
                <w:highlight w:val="none"/>
                <w:lang w:val="en-US" w:eastAsia="zh-CN"/>
              </w:rPr>
              <w:t>；</w:t>
            </w:r>
          </w:p>
          <w:p w14:paraId="0EC12DFA">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1200" w:firstLineChars="500"/>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T</w:t>
            </w:r>
            <w:r>
              <w:rPr>
                <w:rFonts w:hint="default" w:ascii="Times New Roman" w:hAnsi="Times New Roman" w:eastAsia="宋体" w:cs="Times New Roman"/>
                <w:caps w:val="0"/>
                <w:color w:val="auto"/>
                <w:sz w:val="24"/>
                <w:szCs w:val="24"/>
                <w:highlight w:val="none"/>
                <w:vertAlign w:val="subscript"/>
                <w:lang w:val="en-US" w:eastAsia="zh-CN"/>
              </w:rPr>
              <w:t>m</w:t>
            </w:r>
            <w:r>
              <w:rPr>
                <w:rFonts w:hint="eastAsia" w:ascii="Times New Roman" w:hAnsi="Times New Roman" w:eastAsia="宋体"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堆场类型控制效率（%），本项目</w:t>
            </w:r>
            <w:r>
              <w:rPr>
                <w:rFonts w:hint="eastAsia" w:ascii="Times New Roman" w:hAnsi="Times New Roman" w:cs="Times New Roman"/>
                <w:caps w:val="0"/>
                <w:color w:val="auto"/>
                <w:sz w:val="24"/>
                <w:szCs w:val="24"/>
                <w:highlight w:val="none"/>
                <w:lang w:val="en-US" w:eastAsia="zh-CN"/>
              </w:rPr>
              <w:t>原料堆场位于封闭的车间内，本次评价考虑到密闭效果可能无法</w:t>
            </w:r>
            <w:r>
              <w:rPr>
                <w:rFonts w:hint="eastAsia" w:ascii="Times New Roman" w:hAnsi="Times New Roman" w:eastAsia="宋体" w:cs="Times New Roman"/>
                <w:color w:val="auto"/>
                <w:kern w:val="2"/>
                <w:sz w:val="24"/>
                <w:szCs w:val="24"/>
                <w:lang w:val="en-US" w:eastAsia="zh-CN" w:bidi="ar-SA"/>
              </w:rPr>
              <w:t>达到99%的控制效率，按</w:t>
            </w:r>
            <w:r>
              <w:rPr>
                <w:rFonts w:hint="default" w:ascii="Times New Roman" w:hAnsi="Times New Roman" w:eastAsia="宋体" w:cs="Times New Roman"/>
                <w:color w:val="auto"/>
                <w:kern w:val="2"/>
                <w:sz w:val="24"/>
                <w:szCs w:val="24"/>
                <w:lang w:val="en-US" w:eastAsia="zh-CN" w:bidi="ar-SA"/>
              </w:rPr>
              <w:t>半敞开式控制效率60%</w:t>
            </w:r>
            <w:r>
              <w:rPr>
                <w:rFonts w:hint="eastAsia" w:ascii="Times New Roman" w:hAnsi="Times New Roman" w:eastAsia="宋体" w:cs="Times New Roman"/>
                <w:color w:val="auto"/>
                <w:kern w:val="2"/>
                <w:sz w:val="24"/>
                <w:szCs w:val="24"/>
                <w:lang w:val="en-US" w:eastAsia="zh-CN" w:bidi="ar-SA"/>
              </w:rPr>
              <w:t>计</w:t>
            </w:r>
            <w:r>
              <w:rPr>
                <w:rFonts w:hint="eastAsia" w:ascii="Times New Roman" w:hAnsi="Times New Roman" w:eastAsia="宋体" w:cs="Times New Roman"/>
                <w:caps w:val="0"/>
                <w:color w:val="auto"/>
                <w:sz w:val="24"/>
                <w:szCs w:val="24"/>
                <w:highlight w:val="none"/>
                <w:lang w:val="en-US" w:eastAsia="zh-CN"/>
              </w:rPr>
              <w:t>，</w:t>
            </w:r>
            <w:r>
              <w:rPr>
                <w:rFonts w:hint="eastAsia" w:ascii="Times New Roman" w:hAnsi="Times New Roman" w:cs="Times New Roman"/>
                <w:caps w:val="0"/>
                <w:color w:val="auto"/>
                <w:sz w:val="24"/>
                <w:szCs w:val="24"/>
                <w:highlight w:val="none"/>
                <w:lang w:val="en-US" w:eastAsia="zh-CN"/>
              </w:rPr>
              <w:t>即</w:t>
            </w:r>
            <w:r>
              <w:rPr>
                <w:rFonts w:hint="default" w:ascii="Times New Roman" w:hAnsi="Times New Roman" w:eastAsia="宋体" w:cs="Times New Roman"/>
                <w:caps w:val="0"/>
                <w:color w:val="auto"/>
                <w:sz w:val="24"/>
                <w:szCs w:val="24"/>
                <w:highlight w:val="none"/>
                <w:lang w:val="en-US" w:eastAsia="zh-CN"/>
              </w:rPr>
              <w:t>T</w:t>
            </w:r>
            <w:r>
              <w:rPr>
                <w:rFonts w:hint="default" w:ascii="Times New Roman" w:hAnsi="Times New Roman" w:eastAsia="宋体" w:cs="Times New Roman"/>
                <w:caps w:val="0"/>
                <w:color w:val="auto"/>
                <w:sz w:val="24"/>
                <w:szCs w:val="24"/>
                <w:highlight w:val="none"/>
                <w:vertAlign w:val="subscript"/>
                <w:lang w:val="en-US" w:eastAsia="zh-CN"/>
              </w:rPr>
              <w:t>m</w:t>
            </w:r>
            <w:r>
              <w:rPr>
                <w:rFonts w:hint="eastAsia" w:ascii="Times New Roman" w:hAnsi="Times New Roman" w:eastAsia="宋体" w:cs="Times New Roman"/>
                <w:caps w:val="0"/>
                <w:color w:val="auto"/>
                <w:sz w:val="24"/>
                <w:szCs w:val="24"/>
                <w:highlight w:val="none"/>
                <w:lang w:val="en-US" w:eastAsia="zh-CN"/>
              </w:rPr>
              <w:t>取</w:t>
            </w:r>
            <w:r>
              <w:rPr>
                <w:rFonts w:hint="default" w:ascii="Times New Roman" w:hAnsi="Times New Roman" w:eastAsia="宋体" w:cs="Times New Roman"/>
                <w:caps w:val="0"/>
                <w:color w:val="auto"/>
                <w:sz w:val="24"/>
                <w:szCs w:val="24"/>
                <w:highlight w:val="none"/>
                <w:lang w:val="en-US" w:eastAsia="zh-CN"/>
              </w:rPr>
              <w:t>60%。</w:t>
            </w:r>
          </w:p>
          <w:p w14:paraId="2B8AC4F4">
            <w:pPr>
              <w:pStyle w:val="17"/>
              <w:keepNext w:val="0"/>
              <w:keepLines w:val="0"/>
              <w:pageBreakBefore w:val="0"/>
              <w:widowControl w:val="0"/>
              <w:kinsoku/>
              <w:wordWrap/>
              <w:overflowPunct/>
              <w:topLinePunct w:val="0"/>
              <w:autoSpaceDE/>
              <w:autoSpaceDN/>
              <w:bidi w:val="0"/>
              <w:adjustRightInd/>
              <w:snapToGrid/>
              <w:spacing w:beforeLines="0" w:line="360" w:lineRule="auto"/>
              <w:ind w:left="0" w:leftChars="0" w:right="0" w:rightChars="0" w:firstLine="480" w:firstLineChars="200"/>
              <w:jc w:val="both"/>
              <w:textAlignment w:val="auto"/>
              <w:outlineLvl w:val="9"/>
              <w:rPr>
                <w:rFonts w:hint="default" w:ascii="Times New Roman" w:hAnsi="Times New Roman" w:eastAsia="宋体" w:cs="Times New Roman"/>
                <w:caps w:val="0"/>
                <w:color w:val="auto"/>
                <w:sz w:val="24"/>
                <w:szCs w:val="24"/>
                <w:highlight w:val="none"/>
                <w:lang w:val="en-US" w:eastAsia="zh-CN"/>
              </w:rPr>
            </w:pPr>
            <w:r>
              <w:rPr>
                <w:rFonts w:hint="default" w:ascii="Times New Roman" w:hAnsi="Times New Roman" w:eastAsia="宋体" w:cs="Times New Roman"/>
                <w:caps w:val="0"/>
                <w:color w:val="auto"/>
                <w:sz w:val="24"/>
                <w:szCs w:val="24"/>
                <w:highlight w:val="none"/>
                <w:lang w:val="en-US" w:eastAsia="zh-CN"/>
              </w:rPr>
              <w:t>经计算，本项目</w:t>
            </w:r>
            <w:r>
              <w:rPr>
                <w:rFonts w:hint="eastAsia" w:ascii="Times New Roman" w:hAnsi="Times New Roman" w:eastAsia="宋体" w:cs="Times New Roman"/>
                <w:caps w:val="0"/>
                <w:color w:val="auto"/>
                <w:sz w:val="24"/>
                <w:szCs w:val="24"/>
                <w:highlight w:val="none"/>
                <w:lang w:val="en-US" w:eastAsia="zh-CN"/>
              </w:rPr>
              <w:t>成品</w:t>
            </w:r>
            <w:r>
              <w:rPr>
                <w:rFonts w:hint="default" w:ascii="Times New Roman" w:hAnsi="Times New Roman" w:eastAsia="宋体" w:cs="Times New Roman"/>
                <w:caps w:val="0"/>
                <w:color w:val="auto"/>
                <w:sz w:val="24"/>
                <w:szCs w:val="24"/>
                <w:highlight w:val="none"/>
                <w:lang w:val="en-US" w:eastAsia="zh-CN"/>
              </w:rPr>
              <w:t>堆场扬尘（含装卸扬尘）排放量约为</w:t>
            </w:r>
            <w:r>
              <w:rPr>
                <w:rFonts w:hint="eastAsia" w:ascii="Times New Roman" w:hAnsi="Times New Roman" w:cs="Times New Roman"/>
                <w:caps w:val="0"/>
                <w:color w:val="auto"/>
                <w:sz w:val="24"/>
                <w:szCs w:val="24"/>
                <w:highlight w:val="none"/>
                <w:lang w:val="en-US" w:eastAsia="zh-CN"/>
              </w:rPr>
              <w:t>5.319</w:t>
            </w:r>
            <w:r>
              <w:rPr>
                <w:rFonts w:hint="default" w:ascii="Times New Roman" w:hAnsi="Times New Roman" w:eastAsia="宋体" w:cs="Times New Roman"/>
                <w:caps w:val="0"/>
                <w:color w:val="auto"/>
                <w:sz w:val="24"/>
                <w:szCs w:val="24"/>
                <w:highlight w:val="none"/>
                <w:lang w:val="en-US" w:eastAsia="zh-CN"/>
              </w:rPr>
              <w:t>t</w:t>
            </w:r>
            <w:r>
              <w:rPr>
                <w:rFonts w:hint="eastAsia" w:ascii="Times New Roman" w:hAnsi="Times New Roman" w:eastAsia="宋体" w:cs="Times New Roman"/>
                <w:caps w:val="0"/>
                <w:color w:val="auto"/>
                <w:sz w:val="24"/>
                <w:szCs w:val="24"/>
                <w:highlight w:val="none"/>
                <w:lang w:val="en-US" w:eastAsia="zh-CN"/>
              </w:rPr>
              <w:t>/a，</w:t>
            </w:r>
            <w:r>
              <w:rPr>
                <w:rFonts w:hint="eastAsia" w:ascii="Times New Roman" w:hAnsi="Times New Roman" w:cs="Times New Roman"/>
                <w:caps w:val="0"/>
                <w:color w:val="auto"/>
                <w:sz w:val="24"/>
                <w:szCs w:val="24"/>
                <w:highlight w:val="none"/>
                <w:lang w:val="en-US" w:eastAsia="zh-CN"/>
              </w:rPr>
              <w:t>0.739</w:t>
            </w:r>
            <w:r>
              <w:rPr>
                <w:rFonts w:hint="eastAsia" w:ascii="Times New Roman" w:hAnsi="Times New Roman" w:eastAsia="宋体" w:cs="Times New Roman"/>
                <w:caps w:val="0"/>
                <w:color w:val="auto"/>
                <w:sz w:val="24"/>
                <w:szCs w:val="24"/>
                <w:highlight w:val="none"/>
                <w:lang w:val="en-US" w:eastAsia="zh-CN"/>
              </w:rPr>
              <w:t>kg/h，均</w:t>
            </w:r>
            <w:r>
              <w:rPr>
                <w:rFonts w:hint="default" w:ascii="Times New Roman" w:hAnsi="Times New Roman" w:eastAsia="宋体" w:cs="Times New Roman"/>
                <w:caps w:val="0"/>
                <w:color w:val="auto"/>
                <w:sz w:val="24"/>
                <w:szCs w:val="24"/>
                <w:highlight w:val="none"/>
                <w:lang w:val="en-US" w:eastAsia="zh-CN"/>
              </w:rPr>
              <w:t>以无组织形式排放。</w:t>
            </w:r>
          </w:p>
          <w:p w14:paraId="1F8B40B7">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eastAsia="宋体"/>
                <w:color w:val="auto"/>
                <w:lang w:val="en-US" w:eastAsia="zh-CN"/>
              </w:rPr>
            </w:pPr>
            <w:bookmarkStart w:id="26" w:name="_Toc21103"/>
            <w:bookmarkStart w:id="27" w:name="_Toc27856"/>
            <w:r>
              <w:rPr>
                <w:color w:val="auto"/>
              </w:rPr>
              <w:t>（</w:t>
            </w:r>
            <w:r>
              <w:rPr>
                <w:rFonts w:hint="eastAsia"/>
                <w:color w:val="auto"/>
                <w:lang w:val="en-US" w:eastAsia="zh-CN"/>
              </w:rPr>
              <w:t>4</w:t>
            </w:r>
            <w:r>
              <w:rPr>
                <w:color w:val="auto"/>
              </w:rPr>
              <w:t>）</w:t>
            </w:r>
            <w:r>
              <w:rPr>
                <w:rFonts w:hint="eastAsia"/>
                <w:color w:val="auto"/>
                <w:lang w:val="en-US" w:eastAsia="zh-CN"/>
              </w:rPr>
              <w:t>配煤颗粒物</w:t>
            </w:r>
          </w:p>
          <w:p w14:paraId="65BDF28A">
            <w:pPr>
              <w:pStyle w:val="43"/>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eastAsia="宋体" w:cs="Times New Roman"/>
                <w:bCs/>
                <w:color w:val="auto"/>
                <w:sz w:val="24"/>
                <w:szCs w:val="24"/>
                <w:lang w:val="en-US" w:eastAsia="zh-CN"/>
              </w:rPr>
            </w:pPr>
            <w:r>
              <w:rPr>
                <w:rFonts w:hint="eastAsia" w:ascii="Times New Roman" w:hAnsi="Times New Roman" w:eastAsia="宋体" w:cs="Times New Roman"/>
                <w:b w:val="0"/>
                <w:bCs/>
                <w:color w:val="auto"/>
                <w:kern w:val="2"/>
                <w:sz w:val="24"/>
                <w:szCs w:val="24"/>
                <w:lang w:val="en-US" w:eastAsia="zh-CN" w:bidi="ar-SA"/>
              </w:rPr>
              <w:t>项目根据客户对不同品质的煤炭的需求，采用配煤机对不同品质的煤炭进行配料混合，该过程会产生配</w:t>
            </w:r>
            <w:r>
              <w:rPr>
                <w:rFonts w:hint="eastAsia" w:ascii="Times New Roman" w:hAnsi="Times New Roman" w:cs="Times New Roman"/>
                <w:b w:val="0"/>
                <w:bCs/>
                <w:color w:val="auto"/>
                <w:kern w:val="2"/>
                <w:sz w:val="24"/>
                <w:szCs w:val="24"/>
                <w:lang w:val="en-US" w:eastAsia="zh-CN" w:bidi="ar-SA"/>
              </w:rPr>
              <w:t>煤</w:t>
            </w:r>
            <w:r>
              <w:rPr>
                <w:rFonts w:hint="eastAsia" w:ascii="Times New Roman" w:hAnsi="Times New Roman" w:eastAsia="宋体" w:cs="Times New Roman"/>
                <w:b w:val="0"/>
                <w:bCs/>
                <w:color w:val="auto"/>
                <w:kern w:val="2"/>
                <w:sz w:val="24"/>
                <w:szCs w:val="24"/>
                <w:lang w:val="en-US" w:eastAsia="zh-CN" w:bidi="ar-SA"/>
              </w:rPr>
              <w:t>粉尘。根据</w:t>
            </w:r>
            <w:r>
              <w:rPr>
                <w:rFonts w:hint="eastAsia" w:ascii="Times New Roman" w:hAnsi="Times New Roman" w:eastAsia="宋体" w:cs="Times New Roman"/>
                <w:bCs/>
                <w:color w:val="auto"/>
                <w:sz w:val="24"/>
                <w:szCs w:val="24"/>
                <w:lang w:val="en-US" w:eastAsia="zh-CN"/>
              </w:rPr>
              <w:t>《逸散性工业粉尘控制技术》中的行业经验系数</w:t>
            </w:r>
            <w:r>
              <w:rPr>
                <w:rFonts w:hint="eastAsia" w:ascii="Times New Roman" w:eastAsia="宋体" w:cs="Times New Roman"/>
                <w:bCs/>
                <w:color w:val="auto"/>
                <w:sz w:val="24"/>
                <w:szCs w:val="24"/>
                <w:lang w:val="en-US" w:eastAsia="zh-CN"/>
              </w:rPr>
              <w:t>，配</w:t>
            </w:r>
            <w:r>
              <w:rPr>
                <w:rFonts w:hint="eastAsia" w:ascii="Times New Roman" w:cs="Times New Roman"/>
                <w:bCs/>
                <w:color w:val="auto"/>
                <w:sz w:val="24"/>
                <w:szCs w:val="24"/>
                <w:lang w:val="en-US" w:eastAsia="zh-CN"/>
              </w:rPr>
              <w:t>煤</w:t>
            </w:r>
            <w:r>
              <w:rPr>
                <w:rFonts w:hint="eastAsia" w:ascii="Times New Roman" w:eastAsia="宋体" w:cs="Times New Roman"/>
                <w:bCs/>
                <w:color w:val="auto"/>
                <w:sz w:val="24"/>
                <w:szCs w:val="24"/>
                <w:lang w:val="en-US" w:eastAsia="zh-CN"/>
              </w:rPr>
              <w:t>上料过程中产生的粉尘量按0.03kg/t-料，落料过程中产生的粉尘量按0.01kg/t-料，则配煤过程中颗粒物产生量为4.8t/a。</w:t>
            </w:r>
          </w:p>
          <w:p w14:paraId="379CAF8C">
            <w:pPr>
              <w:pStyle w:val="27"/>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outlineLvl w:val="9"/>
              <w:rPr>
                <w:rFonts w:hint="default" w:eastAsia="宋体"/>
                <w:color w:val="auto"/>
                <w:lang w:val="en-US" w:eastAsia="zh-CN"/>
              </w:rPr>
            </w:pPr>
            <w:r>
              <w:rPr>
                <w:rFonts w:hint="eastAsia"/>
                <w:color w:val="auto"/>
                <w:lang w:val="en-US" w:eastAsia="zh-CN"/>
              </w:rPr>
              <w:t>项目将配煤工段布设在封闭的生产车间内，</w:t>
            </w:r>
            <w:r>
              <w:rPr>
                <w:rFonts w:hint="default" w:ascii="Times New Roman" w:hAnsi="Times New Roman" w:eastAsia="宋体" w:cs="Times New Roman"/>
                <w:caps w:val="0"/>
                <w:color w:val="auto"/>
                <w:sz w:val="24"/>
                <w:szCs w:val="24"/>
                <w:highlight w:val="none"/>
                <w:lang w:val="en-US" w:eastAsia="zh-CN"/>
              </w:rPr>
              <w:t>厂房内设置喷淋装置进行洒水抑尘</w:t>
            </w:r>
            <w:r>
              <w:rPr>
                <w:rFonts w:hint="eastAsia" w:ascii="Times New Roman" w:hAnsi="Times New Roman" w:cs="Times New Roman"/>
                <w:caps w:val="0"/>
                <w:color w:val="auto"/>
                <w:sz w:val="24"/>
                <w:szCs w:val="24"/>
                <w:highlight w:val="none"/>
                <w:lang w:val="en-US" w:eastAsia="zh-CN"/>
              </w:rPr>
              <w:t>（通过在</w:t>
            </w:r>
            <w:r>
              <w:rPr>
                <w:rFonts w:hint="eastAsia" w:ascii="Times New Roman" w:hAnsi="Times New Roman" w:eastAsia="宋体" w:cs="Times New Roman"/>
                <w:caps w:val="0"/>
                <w:color w:val="auto"/>
                <w:sz w:val="24"/>
                <w:szCs w:val="24"/>
                <w:highlight w:val="none"/>
                <w:lang w:val="en-US" w:eastAsia="zh-CN"/>
              </w:rPr>
              <w:t>车间上方布设管道进行洒水降尘，每间隔10</w:t>
            </w:r>
            <w:r>
              <w:rPr>
                <w:rFonts w:hint="default" w:ascii="Times New Roman" w:hAnsi="Times New Roman" w:eastAsia="宋体" w:cs="Times New Roman"/>
                <w:caps w:val="0"/>
                <w:color w:val="auto"/>
                <w:sz w:val="24"/>
                <w:szCs w:val="24"/>
                <w:highlight w:val="none"/>
                <w:lang w:val="en-US" w:eastAsia="zh-CN"/>
              </w:rPr>
              <w:t>米设置一个喷头</w:t>
            </w:r>
            <w:r>
              <w:rPr>
                <w:rFonts w:hint="eastAsia" w:ascii="Times New Roman" w:hAnsi="Times New Roman" w:cs="Times New Roman"/>
                <w:caps w:val="0"/>
                <w:color w:val="auto"/>
                <w:sz w:val="24"/>
                <w:szCs w:val="24"/>
                <w:highlight w:val="none"/>
                <w:lang w:val="en-US" w:eastAsia="zh-CN"/>
              </w:rPr>
              <w:t>）</w:t>
            </w:r>
            <w:r>
              <w:rPr>
                <w:rFonts w:hint="default" w:ascii="Times New Roman" w:hAnsi="Times New Roman" w:eastAsia="宋体" w:cs="Times New Roman"/>
                <w:caps w:val="0"/>
                <w:color w:val="auto"/>
                <w:sz w:val="24"/>
                <w:szCs w:val="24"/>
                <w:highlight w:val="none"/>
                <w:lang w:val="en-US" w:eastAsia="zh-CN"/>
              </w:rPr>
              <w:t>，厂房地面进行硬化，定期清扫，</w:t>
            </w:r>
            <w:r>
              <w:rPr>
                <w:rFonts w:hint="eastAsia" w:eastAsia="宋体" w:cs="Times New Roman"/>
                <w:caps w:val="0"/>
                <w:color w:val="auto"/>
                <w:sz w:val="24"/>
                <w:szCs w:val="24"/>
                <w:highlight w:val="none"/>
                <w:lang w:val="en-US" w:eastAsia="zh-CN"/>
              </w:rPr>
              <w:t>配煤</w:t>
            </w:r>
            <w:r>
              <w:rPr>
                <w:rFonts w:hint="eastAsia" w:ascii="Times New Roman" w:hAnsi="Times New Roman" w:eastAsia="宋体" w:cs="Times New Roman"/>
                <w:caps w:val="0"/>
                <w:color w:val="auto"/>
                <w:sz w:val="24"/>
                <w:szCs w:val="24"/>
                <w:highlight w:val="none"/>
                <w:lang w:val="en-US" w:eastAsia="zh-CN"/>
              </w:rPr>
              <w:t>颗粒物在车间内</w:t>
            </w:r>
            <w:r>
              <w:rPr>
                <w:rFonts w:hint="default" w:ascii="Times New Roman" w:hAnsi="Times New Roman" w:eastAsia="宋体" w:cs="Times New Roman"/>
                <w:caps w:val="0"/>
                <w:color w:val="auto"/>
                <w:sz w:val="24"/>
                <w:szCs w:val="24"/>
                <w:highlight w:val="none"/>
                <w:lang w:val="en-US" w:eastAsia="zh-CN"/>
              </w:rPr>
              <w:t>抑制效率可达到</w:t>
            </w:r>
            <w:r>
              <w:rPr>
                <w:rFonts w:hint="eastAsia" w:cs="Times New Roman"/>
                <w:caps w:val="0"/>
                <w:color w:val="auto"/>
                <w:sz w:val="24"/>
                <w:szCs w:val="24"/>
                <w:highlight w:val="none"/>
                <w:lang w:val="en-US" w:eastAsia="zh-CN"/>
              </w:rPr>
              <w:t>8</w:t>
            </w:r>
            <w:r>
              <w:rPr>
                <w:rFonts w:hint="default" w:ascii="Times New Roman" w:hAnsi="Times New Roman" w:eastAsia="宋体" w:cs="Times New Roman"/>
                <w:caps w:val="0"/>
                <w:color w:val="auto"/>
                <w:sz w:val="24"/>
                <w:szCs w:val="24"/>
                <w:highlight w:val="none"/>
                <w:lang w:val="en-US" w:eastAsia="zh-CN"/>
              </w:rPr>
              <w:t>0%</w:t>
            </w:r>
            <w:r>
              <w:rPr>
                <w:rFonts w:hint="eastAsia" w:ascii="Times New Roman" w:hAnsi="Times New Roman" w:eastAsia="宋体" w:cs="Times New Roman"/>
                <w:caps w:val="0"/>
                <w:color w:val="auto"/>
                <w:sz w:val="24"/>
                <w:szCs w:val="24"/>
                <w:highlight w:val="none"/>
                <w:lang w:val="en-US" w:eastAsia="zh-CN"/>
              </w:rPr>
              <w:t>，则</w:t>
            </w:r>
            <w:r>
              <w:rPr>
                <w:rFonts w:hint="eastAsia" w:eastAsia="宋体" w:cs="Times New Roman"/>
                <w:caps w:val="0"/>
                <w:color w:val="auto"/>
                <w:sz w:val="24"/>
                <w:szCs w:val="24"/>
                <w:highlight w:val="none"/>
                <w:lang w:val="en-US" w:eastAsia="zh-CN"/>
              </w:rPr>
              <w:t>配煤</w:t>
            </w:r>
            <w:r>
              <w:rPr>
                <w:rFonts w:hint="eastAsia" w:ascii="Times New Roman" w:hAnsi="Times New Roman" w:eastAsia="宋体" w:cs="Times New Roman"/>
                <w:caps w:val="0"/>
                <w:color w:val="auto"/>
                <w:sz w:val="24"/>
                <w:szCs w:val="24"/>
                <w:highlight w:val="none"/>
                <w:lang w:val="en-US" w:eastAsia="zh-CN"/>
              </w:rPr>
              <w:t>颗粒物排放量为</w:t>
            </w:r>
            <w:r>
              <w:rPr>
                <w:rFonts w:hint="eastAsia" w:eastAsia="宋体" w:cs="Times New Roman"/>
                <w:caps w:val="0"/>
                <w:color w:val="auto"/>
                <w:sz w:val="24"/>
                <w:szCs w:val="24"/>
                <w:highlight w:val="none"/>
                <w:lang w:val="en-US" w:eastAsia="zh-CN"/>
              </w:rPr>
              <w:t>0.96</w:t>
            </w:r>
            <w:r>
              <w:rPr>
                <w:rFonts w:hint="eastAsia" w:ascii="Times New Roman" w:hAnsi="Times New Roman" w:eastAsia="宋体" w:cs="Times New Roman"/>
                <w:caps w:val="0"/>
                <w:color w:val="auto"/>
                <w:sz w:val="24"/>
                <w:szCs w:val="24"/>
                <w:highlight w:val="none"/>
                <w:lang w:val="en-US" w:eastAsia="zh-CN"/>
              </w:rPr>
              <w:t>t/a，排放速率为0.</w:t>
            </w:r>
            <w:r>
              <w:rPr>
                <w:rFonts w:hint="eastAsia" w:eastAsia="宋体" w:cs="Times New Roman"/>
                <w:caps w:val="0"/>
                <w:color w:val="auto"/>
                <w:sz w:val="24"/>
                <w:szCs w:val="24"/>
                <w:highlight w:val="none"/>
                <w:lang w:val="en-US" w:eastAsia="zh-CN"/>
              </w:rPr>
              <w:t>4</w:t>
            </w:r>
            <w:r>
              <w:rPr>
                <w:rFonts w:hint="eastAsia" w:ascii="Times New Roman" w:hAnsi="Times New Roman" w:eastAsia="宋体" w:cs="Times New Roman"/>
                <w:caps w:val="0"/>
                <w:color w:val="auto"/>
                <w:sz w:val="24"/>
                <w:szCs w:val="24"/>
                <w:highlight w:val="none"/>
                <w:lang w:val="en-US" w:eastAsia="zh-CN"/>
              </w:rPr>
              <w:t>kg/h。</w:t>
            </w:r>
          </w:p>
          <w:bookmarkEnd w:id="26"/>
          <w:bookmarkEnd w:id="27"/>
          <w:p w14:paraId="26A481B7">
            <w:pPr>
              <w:pageBreakBefore w:val="0"/>
              <w:kinsoku/>
              <w:wordWrap/>
              <w:overflowPunct/>
              <w:topLinePunct w:val="0"/>
              <w:bidi w:val="0"/>
              <w:ind w:firstLine="480" w:firstLineChars="200"/>
              <w:textAlignment w:val="auto"/>
              <w:outlineLvl w:val="9"/>
              <w:rPr>
                <w:color w:val="auto"/>
              </w:rPr>
            </w:pPr>
            <w:bookmarkStart w:id="28" w:name="_Toc19326"/>
            <w:bookmarkStart w:id="29" w:name="_Toc23853"/>
            <w:r>
              <w:rPr>
                <w:rFonts w:hint="eastAsia"/>
                <w:color w:val="auto"/>
                <w:lang w:eastAsia="zh-CN"/>
              </w:rPr>
              <w:t>（</w:t>
            </w:r>
            <w:r>
              <w:rPr>
                <w:rFonts w:hint="eastAsia"/>
                <w:color w:val="auto"/>
                <w:lang w:val="en-US" w:eastAsia="zh-CN"/>
              </w:rPr>
              <w:t>5</w:t>
            </w:r>
            <w:r>
              <w:rPr>
                <w:rFonts w:hint="eastAsia"/>
                <w:color w:val="auto"/>
                <w:lang w:eastAsia="zh-CN"/>
              </w:rPr>
              <w:t>）</w:t>
            </w:r>
            <w:r>
              <w:rPr>
                <w:color w:val="auto"/>
              </w:rPr>
              <w:t>运输扬尘</w:t>
            </w:r>
            <w:bookmarkEnd w:id="28"/>
            <w:bookmarkEnd w:id="29"/>
          </w:p>
          <w:p w14:paraId="58CA5379">
            <w:pPr>
              <w:pageBreakBefore w:val="0"/>
              <w:kinsoku/>
              <w:wordWrap/>
              <w:overflowPunct/>
              <w:topLinePunct w:val="0"/>
              <w:bidi w:val="0"/>
              <w:ind w:firstLine="480" w:firstLineChars="200"/>
              <w:textAlignment w:val="auto"/>
              <w:outlineLvl w:val="9"/>
              <w:rPr>
                <w:color w:val="auto"/>
                <w:szCs w:val="22"/>
              </w:rPr>
            </w:pPr>
            <w:r>
              <w:rPr>
                <w:color w:val="auto"/>
              </w:rPr>
              <w:t>运输扬尘主要是车辆经过带起的粉尘，尤其是在旱季，有间断的粉尘产生，运输过程产生的粉尘量主要由运输量、运输距离以及路面状况确定。</w:t>
            </w:r>
            <w:r>
              <w:rPr>
                <w:color w:val="auto"/>
                <w:szCs w:val="22"/>
              </w:rPr>
              <w:t>项目生产区车辆行驶产生的扬尘，在道路完全干燥的情况下，可按下列经验公式计算：</w:t>
            </w:r>
          </w:p>
          <w:p w14:paraId="0D5F592B">
            <w:pPr>
              <w:pageBreakBefore w:val="0"/>
              <w:kinsoku/>
              <w:wordWrap/>
              <w:overflowPunct/>
              <w:topLinePunct w:val="0"/>
              <w:autoSpaceDE w:val="0"/>
              <w:autoSpaceDN w:val="0"/>
              <w:bidi w:val="0"/>
              <w:ind w:firstLine="480" w:firstLineChars="200"/>
              <w:jc w:val="left"/>
              <w:textAlignment w:val="auto"/>
              <w:outlineLvl w:val="9"/>
              <w:rPr>
                <w:color w:val="auto"/>
                <w:kern w:val="0"/>
                <w:szCs w:val="22"/>
                <w:vertAlign w:val="subscript"/>
              </w:rPr>
            </w:pPr>
            <w:r>
              <w:rPr>
                <w:color w:val="auto"/>
                <w:kern w:val="0"/>
                <w:szCs w:val="22"/>
              </w:rPr>
              <w:t>Qy=0.123*(V/5)*(M/6.8)</w:t>
            </w:r>
            <w:r>
              <w:rPr>
                <w:color w:val="auto"/>
                <w:kern w:val="0"/>
                <w:szCs w:val="22"/>
                <w:vertAlign w:val="superscript"/>
              </w:rPr>
              <w:t xml:space="preserve"> 0.85</w:t>
            </w:r>
            <w:r>
              <w:rPr>
                <w:color w:val="auto"/>
                <w:kern w:val="0"/>
                <w:szCs w:val="22"/>
              </w:rPr>
              <w:t xml:space="preserve"> *(P/0.5)</w:t>
            </w:r>
            <w:r>
              <w:rPr>
                <w:color w:val="auto"/>
                <w:kern w:val="0"/>
                <w:szCs w:val="22"/>
                <w:vertAlign w:val="superscript"/>
              </w:rPr>
              <w:t>0.75</w:t>
            </w:r>
          </w:p>
          <w:p w14:paraId="3399E511">
            <w:pPr>
              <w:pageBreakBefore w:val="0"/>
              <w:kinsoku/>
              <w:wordWrap/>
              <w:overflowPunct/>
              <w:topLinePunct w:val="0"/>
              <w:autoSpaceDE w:val="0"/>
              <w:autoSpaceDN w:val="0"/>
              <w:bidi w:val="0"/>
              <w:ind w:firstLine="480" w:firstLineChars="200"/>
              <w:jc w:val="left"/>
              <w:textAlignment w:val="auto"/>
              <w:outlineLvl w:val="9"/>
              <w:rPr>
                <w:color w:val="auto"/>
                <w:kern w:val="0"/>
                <w:szCs w:val="22"/>
              </w:rPr>
            </w:pPr>
            <w:r>
              <w:rPr>
                <w:color w:val="auto"/>
                <w:kern w:val="0"/>
                <w:szCs w:val="22"/>
              </w:rPr>
              <w:t>式中：Qy：交通运输起尘量，kg/km·辆；</w:t>
            </w:r>
          </w:p>
          <w:p w14:paraId="0FD948B0">
            <w:pPr>
              <w:pageBreakBefore w:val="0"/>
              <w:kinsoku/>
              <w:wordWrap/>
              <w:overflowPunct/>
              <w:topLinePunct w:val="0"/>
              <w:autoSpaceDE w:val="0"/>
              <w:autoSpaceDN w:val="0"/>
              <w:bidi w:val="0"/>
              <w:ind w:firstLine="1200" w:firstLineChars="500"/>
              <w:jc w:val="left"/>
              <w:textAlignment w:val="auto"/>
              <w:outlineLvl w:val="9"/>
              <w:rPr>
                <w:color w:val="auto"/>
                <w:kern w:val="0"/>
                <w:szCs w:val="22"/>
              </w:rPr>
            </w:pPr>
            <w:r>
              <w:rPr>
                <w:color w:val="auto"/>
                <w:kern w:val="0"/>
                <w:szCs w:val="22"/>
              </w:rPr>
              <w:t>V：车辆行驶速度，km/h；</w:t>
            </w:r>
          </w:p>
          <w:p w14:paraId="66534022">
            <w:pPr>
              <w:pageBreakBefore w:val="0"/>
              <w:kinsoku/>
              <w:wordWrap/>
              <w:overflowPunct/>
              <w:topLinePunct w:val="0"/>
              <w:autoSpaceDE w:val="0"/>
              <w:autoSpaceDN w:val="0"/>
              <w:bidi w:val="0"/>
              <w:ind w:firstLine="1200" w:firstLineChars="500"/>
              <w:jc w:val="left"/>
              <w:textAlignment w:val="auto"/>
              <w:outlineLvl w:val="9"/>
              <w:rPr>
                <w:color w:val="auto"/>
                <w:kern w:val="0"/>
                <w:szCs w:val="22"/>
              </w:rPr>
            </w:pPr>
            <w:r>
              <w:rPr>
                <w:color w:val="auto"/>
                <w:kern w:val="0"/>
                <w:szCs w:val="22"/>
              </w:rPr>
              <w:t>P：路面状况，以每平方米路面灰尘覆盖率表示，</w:t>
            </w:r>
            <w:r>
              <w:rPr>
                <w:rFonts w:hint="eastAsia"/>
                <w:color w:val="auto"/>
                <w:kern w:val="0"/>
                <w:szCs w:val="22"/>
                <w:lang w:val="en-US" w:eastAsia="zh-CN"/>
              </w:rPr>
              <w:t>按0.1</w:t>
            </w:r>
            <w:r>
              <w:rPr>
                <w:color w:val="auto"/>
                <w:kern w:val="0"/>
                <w:szCs w:val="22"/>
              </w:rPr>
              <w:t>kg/m</w:t>
            </w:r>
            <w:r>
              <w:rPr>
                <w:color w:val="auto"/>
                <w:kern w:val="0"/>
                <w:szCs w:val="22"/>
                <w:vertAlign w:val="superscript"/>
              </w:rPr>
              <w:t>2</w:t>
            </w:r>
            <w:r>
              <w:rPr>
                <w:color w:val="auto"/>
                <w:kern w:val="0"/>
                <w:szCs w:val="22"/>
              </w:rPr>
              <w:t>；</w:t>
            </w:r>
          </w:p>
          <w:p w14:paraId="2FD5D2FD">
            <w:pPr>
              <w:pageBreakBefore w:val="0"/>
              <w:kinsoku/>
              <w:wordWrap/>
              <w:overflowPunct/>
              <w:topLinePunct w:val="0"/>
              <w:autoSpaceDE w:val="0"/>
              <w:autoSpaceDN w:val="0"/>
              <w:bidi w:val="0"/>
              <w:ind w:firstLine="1200" w:firstLineChars="500"/>
              <w:jc w:val="left"/>
              <w:textAlignment w:val="auto"/>
              <w:outlineLvl w:val="9"/>
              <w:rPr>
                <w:color w:val="auto"/>
                <w:kern w:val="0"/>
                <w:szCs w:val="22"/>
              </w:rPr>
            </w:pPr>
            <w:r>
              <w:rPr>
                <w:color w:val="auto"/>
                <w:kern w:val="0"/>
                <w:szCs w:val="22"/>
              </w:rPr>
              <w:t>M：车辆载重，t/辆；</w:t>
            </w:r>
          </w:p>
          <w:p w14:paraId="6A69298E">
            <w:pPr>
              <w:pageBreakBefore w:val="0"/>
              <w:kinsoku/>
              <w:wordWrap/>
              <w:overflowPunct/>
              <w:topLinePunct w:val="0"/>
              <w:autoSpaceDE w:val="0"/>
              <w:autoSpaceDN w:val="0"/>
              <w:bidi w:val="0"/>
              <w:ind w:firstLine="480" w:firstLineChars="200"/>
              <w:jc w:val="both"/>
              <w:textAlignment w:val="auto"/>
              <w:outlineLvl w:val="9"/>
              <w:rPr>
                <w:color w:val="auto"/>
                <w:szCs w:val="22"/>
              </w:rPr>
            </w:pPr>
            <w:r>
              <w:rPr>
                <w:rFonts w:hint="default" w:ascii="Times New Roman" w:hAnsi="Times New Roman" w:cs="Times New Roman"/>
                <w:color w:val="auto"/>
              </w:rPr>
              <w:t>根据总平面布置及生产地势情况，项目厂区道路主要是用于运输原料及</w:t>
            </w:r>
            <w:r>
              <w:rPr>
                <w:rFonts w:hint="eastAsia" w:cs="Times New Roman"/>
                <w:color w:val="auto"/>
                <w:lang w:val="en-US" w:eastAsia="zh-CN"/>
              </w:rPr>
              <w:t>成品</w:t>
            </w:r>
            <w:r>
              <w:rPr>
                <w:rFonts w:hint="default" w:ascii="Times New Roman" w:hAnsi="Times New Roman" w:cs="Times New Roman"/>
                <w:color w:val="auto"/>
              </w:rPr>
              <w:t>，厂内运距均较短。本项目年运入原料量</w:t>
            </w:r>
            <w:r>
              <w:rPr>
                <w:rFonts w:hint="eastAsia" w:cs="Times New Roman"/>
                <w:color w:val="auto"/>
                <w:lang w:val="en-US" w:eastAsia="zh-CN"/>
              </w:rPr>
              <w:t>和成品约12</w:t>
            </w:r>
            <w:r>
              <w:rPr>
                <w:rFonts w:hint="eastAsia" w:ascii="Times New Roman" w:hAnsi="Times New Roman" w:cs="Times New Roman"/>
                <w:color w:val="auto"/>
                <w:lang w:eastAsia="zh-CN"/>
              </w:rPr>
              <w:t>万</w:t>
            </w:r>
            <w:r>
              <w:rPr>
                <w:rFonts w:hint="default" w:ascii="Times New Roman" w:hAnsi="Times New Roman" w:cs="Times New Roman"/>
                <w:color w:val="auto"/>
              </w:rPr>
              <w:t>t，总运输量</w:t>
            </w:r>
            <w:r>
              <w:rPr>
                <w:rFonts w:hint="eastAsia" w:cs="Times New Roman"/>
                <w:color w:val="auto"/>
                <w:lang w:val="en-US" w:eastAsia="zh-CN"/>
              </w:rPr>
              <w:t>24</w:t>
            </w:r>
            <w:r>
              <w:rPr>
                <w:rFonts w:hint="default" w:ascii="Times New Roman" w:hAnsi="Times New Roman" w:cs="Times New Roman"/>
                <w:color w:val="auto"/>
              </w:rPr>
              <w:t>万t</w:t>
            </w:r>
            <w:r>
              <w:rPr>
                <w:rFonts w:hint="default" w:ascii="Times New Roman" w:hAnsi="Times New Roman" w:cs="Times New Roman"/>
                <w:color w:val="auto"/>
                <w:kern w:val="0"/>
                <w:szCs w:val="22"/>
              </w:rPr>
              <w:t>。</w:t>
            </w:r>
            <w:r>
              <w:rPr>
                <w:rFonts w:hint="default" w:ascii="Times New Roman" w:hAnsi="Times New Roman" w:cs="Times New Roman"/>
                <w:color w:val="auto"/>
                <w:spacing w:val="20"/>
                <w:kern w:val="0"/>
                <w:szCs w:val="22"/>
              </w:rPr>
              <w:t>即</w:t>
            </w:r>
            <w:r>
              <w:rPr>
                <w:rFonts w:hint="default" w:ascii="Times New Roman" w:hAnsi="Times New Roman" w:cs="Times New Roman"/>
                <w:bCs/>
                <w:color w:val="auto"/>
                <w:szCs w:val="22"/>
              </w:rPr>
              <w:t>运输量平均约</w:t>
            </w:r>
            <w:r>
              <w:rPr>
                <w:rFonts w:hint="eastAsia" w:cs="Times New Roman"/>
                <w:color w:val="auto"/>
                <w:kern w:val="0"/>
                <w:szCs w:val="22"/>
                <w:lang w:val="en-US" w:eastAsia="zh-CN"/>
              </w:rPr>
              <w:t>800</w:t>
            </w:r>
            <w:r>
              <w:rPr>
                <w:rFonts w:hint="default" w:ascii="Times New Roman" w:hAnsi="Times New Roman" w:cs="Times New Roman"/>
                <w:color w:val="auto"/>
                <w:kern w:val="0"/>
                <w:szCs w:val="22"/>
              </w:rPr>
              <w:t>t/d</w:t>
            </w:r>
            <w:r>
              <w:rPr>
                <w:rFonts w:hint="default" w:ascii="Times New Roman" w:hAnsi="Times New Roman" w:cs="Times New Roman"/>
                <w:bCs/>
                <w:color w:val="auto"/>
                <w:szCs w:val="22"/>
              </w:rPr>
              <w:t>（</w:t>
            </w:r>
            <w:r>
              <w:rPr>
                <w:rFonts w:hint="default" w:ascii="Times New Roman" w:hAnsi="Times New Roman" w:cs="Times New Roman"/>
                <w:color w:val="auto"/>
                <w:szCs w:val="22"/>
              </w:rPr>
              <w:t>按3</w:t>
            </w:r>
            <w:r>
              <w:rPr>
                <w:rFonts w:hint="eastAsia" w:cs="Times New Roman"/>
                <w:color w:val="auto"/>
                <w:szCs w:val="22"/>
                <w:lang w:val="en-US" w:eastAsia="zh-CN"/>
              </w:rPr>
              <w:t>0</w:t>
            </w:r>
            <w:r>
              <w:rPr>
                <w:rFonts w:hint="default" w:ascii="Times New Roman" w:hAnsi="Times New Roman" w:cs="Times New Roman"/>
                <w:color w:val="auto"/>
                <w:szCs w:val="22"/>
              </w:rPr>
              <w:t>0d计</w:t>
            </w:r>
            <w:r>
              <w:rPr>
                <w:rFonts w:hint="default" w:ascii="Times New Roman" w:hAnsi="Times New Roman" w:cs="Times New Roman"/>
                <w:bCs/>
                <w:color w:val="auto"/>
                <w:szCs w:val="22"/>
              </w:rPr>
              <w:t>）计算，项目运输车核载运输量约为</w:t>
            </w:r>
            <w:r>
              <w:rPr>
                <w:rFonts w:hint="eastAsia" w:cs="Times New Roman"/>
                <w:bCs/>
                <w:color w:val="auto"/>
                <w:szCs w:val="22"/>
                <w:lang w:val="en-US" w:eastAsia="zh-CN"/>
              </w:rPr>
              <w:t>5</w:t>
            </w:r>
            <w:r>
              <w:rPr>
                <w:rFonts w:hint="default" w:ascii="Times New Roman" w:hAnsi="Times New Roman" w:cs="Times New Roman"/>
                <w:bCs/>
                <w:color w:val="auto"/>
                <w:szCs w:val="22"/>
              </w:rPr>
              <w:t>0t，</w:t>
            </w:r>
            <w:r>
              <w:rPr>
                <w:rFonts w:hint="default" w:ascii="Times New Roman" w:hAnsi="Times New Roman" w:cs="Times New Roman"/>
                <w:color w:val="auto"/>
                <w:kern w:val="0"/>
                <w:szCs w:val="22"/>
              </w:rPr>
              <w:t>则平均每天发车空、重载各约</w:t>
            </w:r>
            <w:r>
              <w:rPr>
                <w:rFonts w:hint="eastAsia" w:cs="Times New Roman"/>
                <w:color w:val="auto"/>
                <w:kern w:val="0"/>
                <w:szCs w:val="22"/>
                <w:lang w:val="en-US" w:eastAsia="zh-CN"/>
              </w:rPr>
              <w:t>16</w:t>
            </w:r>
            <w:r>
              <w:rPr>
                <w:rFonts w:hint="default" w:ascii="Times New Roman" w:hAnsi="Times New Roman" w:cs="Times New Roman"/>
                <w:color w:val="auto"/>
                <w:kern w:val="0"/>
                <w:szCs w:val="22"/>
              </w:rPr>
              <w:t>辆（次）；空车重约10.0t，重车重约</w:t>
            </w:r>
            <w:r>
              <w:rPr>
                <w:rFonts w:hint="eastAsia" w:cs="Times New Roman"/>
                <w:color w:val="auto"/>
                <w:kern w:val="0"/>
                <w:szCs w:val="22"/>
                <w:lang w:val="en-US" w:eastAsia="zh-CN"/>
              </w:rPr>
              <w:t>6</w:t>
            </w:r>
            <w:r>
              <w:rPr>
                <w:rFonts w:hint="default" w:ascii="Times New Roman" w:hAnsi="Times New Roman" w:cs="Times New Roman"/>
                <w:color w:val="auto"/>
                <w:kern w:val="0"/>
                <w:szCs w:val="22"/>
              </w:rPr>
              <w:t>0.0t，本项目车辆在厂区行驶距离按</w:t>
            </w:r>
            <w:r>
              <w:rPr>
                <w:rFonts w:hint="default" w:ascii="Times New Roman" w:hAnsi="Times New Roman" w:cs="Times New Roman"/>
                <w:color w:val="auto"/>
                <w:kern w:val="0"/>
                <w:szCs w:val="22"/>
                <w:lang w:val="en-US" w:eastAsia="zh-CN"/>
              </w:rPr>
              <w:t>100</w:t>
            </w:r>
            <w:r>
              <w:rPr>
                <w:rFonts w:hint="default" w:ascii="Times New Roman" w:hAnsi="Times New Roman" w:cs="Times New Roman"/>
                <w:color w:val="auto"/>
                <w:kern w:val="0"/>
                <w:szCs w:val="22"/>
              </w:rPr>
              <w:t>米计，</w:t>
            </w:r>
            <w:r>
              <w:rPr>
                <w:rFonts w:hint="eastAsia" w:ascii="Times New Roman" w:hAnsi="Times New Roman" w:cs="Times New Roman"/>
                <w:color w:val="auto"/>
                <w:kern w:val="0"/>
                <w:szCs w:val="22"/>
                <w:lang w:val="en-US" w:eastAsia="zh-CN"/>
              </w:rPr>
              <w:t>空车速度按</w:t>
            </w:r>
            <w:r>
              <w:rPr>
                <w:rFonts w:hint="default" w:ascii="Times New Roman" w:hAnsi="Times New Roman" w:cs="Times New Roman"/>
                <w:color w:val="auto"/>
                <w:kern w:val="0"/>
                <w:szCs w:val="22"/>
                <w:lang w:val="en-US" w:eastAsia="zh-CN"/>
              </w:rPr>
              <w:t>1</w:t>
            </w:r>
            <w:r>
              <w:rPr>
                <w:rFonts w:hint="default" w:ascii="Times New Roman" w:hAnsi="Times New Roman" w:cs="Times New Roman"/>
                <w:color w:val="auto"/>
                <w:kern w:val="0"/>
                <w:szCs w:val="22"/>
              </w:rPr>
              <w:t>0km/h行驶</w:t>
            </w:r>
            <w:r>
              <w:rPr>
                <w:rFonts w:hint="eastAsia" w:ascii="Times New Roman" w:hAnsi="Times New Roman" w:cs="Times New Roman"/>
                <w:color w:val="auto"/>
                <w:kern w:val="0"/>
                <w:szCs w:val="22"/>
                <w:lang w:eastAsia="zh-CN"/>
              </w:rPr>
              <w:t>，</w:t>
            </w:r>
            <w:r>
              <w:rPr>
                <w:rFonts w:hint="eastAsia" w:ascii="Times New Roman" w:hAnsi="Times New Roman" w:cs="Times New Roman"/>
                <w:color w:val="auto"/>
                <w:kern w:val="0"/>
                <w:szCs w:val="22"/>
                <w:lang w:val="en-US" w:eastAsia="zh-CN"/>
              </w:rPr>
              <w:t>重车速度按5</w:t>
            </w:r>
            <w:r>
              <w:rPr>
                <w:rFonts w:hint="default" w:ascii="Times New Roman" w:hAnsi="Times New Roman" w:cs="Times New Roman"/>
                <w:color w:val="auto"/>
                <w:kern w:val="0"/>
                <w:szCs w:val="22"/>
              </w:rPr>
              <w:t>km/h行驶</w:t>
            </w:r>
            <w:r>
              <w:rPr>
                <w:rFonts w:hint="default" w:ascii="Times New Roman" w:hAnsi="Times New Roman" w:cs="Times New Roman"/>
                <w:color w:val="auto"/>
              </w:rPr>
              <w:t>，则经计算得扬尘量为</w:t>
            </w:r>
            <w:r>
              <w:rPr>
                <w:rFonts w:hint="default" w:ascii="Times New Roman" w:hAnsi="Times New Roman" w:cs="Times New Roman"/>
                <w:color w:val="auto"/>
                <w:lang w:val="en-US" w:eastAsia="zh-CN"/>
              </w:rPr>
              <w:t>0.</w:t>
            </w:r>
            <w:r>
              <w:rPr>
                <w:rFonts w:hint="eastAsia" w:cs="Times New Roman"/>
                <w:color w:val="auto"/>
                <w:lang w:val="en-US" w:eastAsia="zh-CN"/>
              </w:rPr>
              <w:t>161</w:t>
            </w:r>
            <w:r>
              <w:rPr>
                <w:rFonts w:hint="default" w:ascii="Times New Roman" w:hAnsi="Times New Roman" w:cs="Times New Roman"/>
                <w:color w:val="auto"/>
              </w:rPr>
              <w:t>t/a。</w:t>
            </w:r>
            <w:r>
              <w:rPr>
                <w:rFonts w:hint="default" w:ascii="Times New Roman" w:hAnsi="Times New Roman" w:cs="Times New Roman"/>
                <w:color w:val="auto"/>
                <w:szCs w:val="22"/>
                <w:lang w:val="en-US" w:eastAsia="zh-CN"/>
              </w:rPr>
              <w:t>环评</w:t>
            </w:r>
            <w:r>
              <w:rPr>
                <w:rFonts w:hint="default" w:ascii="Times New Roman" w:hAnsi="Times New Roman" w:cs="Times New Roman"/>
                <w:color w:val="auto"/>
                <w:szCs w:val="22"/>
              </w:rPr>
              <w:t>建议建设单位对运输路面采取</w:t>
            </w:r>
            <w:r>
              <w:rPr>
                <w:color w:val="auto"/>
                <w:szCs w:val="22"/>
              </w:rPr>
              <w:t>洒水降尘、及时清扫路面</w:t>
            </w:r>
            <w:r>
              <w:rPr>
                <w:rFonts w:hint="eastAsia"/>
                <w:color w:val="auto"/>
                <w:szCs w:val="22"/>
                <w:lang w:val="en-US" w:eastAsia="zh-CN"/>
              </w:rPr>
              <w:t>的</w:t>
            </w:r>
            <w:r>
              <w:rPr>
                <w:color w:val="auto"/>
                <w:szCs w:val="22"/>
              </w:rPr>
              <w:t>措施，扬尘量可减少约</w:t>
            </w:r>
            <w:r>
              <w:rPr>
                <w:rFonts w:hint="eastAsia"/>
                <w:color w:val="auto"/>
                <w:szCs w:val="22"/>
                <w:lang w:val="en-US" w:eastAsia="zh-CN"/>
              </w:rPr>
              <w:t>70</w:t>
            </w:r>
            <w:r>
              <w:rPr>
                <w:color w:val="auto"/>
                <w:szCs w:val="22"/>
              </w:rPr>
              <w:t>%，则排放量约为</w:t>
            </w:r>
            <w:r>
              <w:rPr>
                <w:rFonts w:hint="eastAsia"/>
                <w:color w:val="auto"/>
                <w:szCs w:val="22"/>
                <w:lang w:val="en-US" w:eastAsia="zh-CN"/>
              </w:rPr>
              <w:t>0.048</w:t>
            </w:r>
            <w:r>
              <w:rPr>
                <w:color w:val="auto"/>
                <w:szCs w:val="22"/>
              </w:rPr>
              <w:t>t/a，</w:t>
            </w:r>
            <w:r>
              <w:rPr>
                <w:rFonts w:hint="eastAsia"/>
                <w:color w:val="auto"/>
                <w:szCs w:val="22"/>
                <w:lang w:val="en-US" w:eastAsia="zh-CN"/>
              </w:rPr>
              <w:t>0.02kg/h，</w:t>
            </w:r>
            <w:r>
              <w:rPr>
                <w:color w:val="auto"/>
                <w:szCs w:val="22"/>
              </w:rPr>
              <w:t>呈无组织排放。</w:t>
            </w:r>
          </w:p>
          <w:p w14:paraId="0515BD24">
            <w:pPr>
              <w:pageBreakBefore w:val="0"/>
              <w:tabs>
                <w:tab w:val="left" w:pos="180"/>
              </w:tabs>
              <w:kinsoku/>
              <w:wordWrap/>
              <w:overflowPunct/>
              <w:topLinePunct w:val="0"/>
              <w:bidi w:val="0"/>
              <w:ind w:firstLine="480" w:firstLineChars="200"/>
              <w:textAlignment w:val="auto"/>
              <w:outlineLvl w:val="9"/>
              <w:rPr>
                <w:bCs/>
                <w:color w:val="auto"/>
              </w:rPr>
            </w:pPr>
            <w:bookmarkStart w:id="30" w:name="_Toc19089"/>
            <w:bookmarkStart w:id="31" w:name="_Toc32046"/>
            <w:r>
              <w:rPr>
                <w:rFonts w:hint="eastAsia"/>
                <w:bCs/>
                <w:color w:val="auto"/>
                <w:lang w:eastAsia="zh-CN"/>
              </w:rPr>
              <w:t>（</w:t>
            </w:r>
            <w:r>
              <w:rPr>
                <w:rFonts w:hint="eastAsia"/>
                <w:bCs/>
                <w:color w:val="auto"/>
                <w:lang w:val="en-US" w:eastAsia="zh-CN"/>
              </w:rPr>
              <w:t>6</w:t>
            </w:r>
            <w:r>
              <w:rPr>
                <w:rFonts w:hint="eastAsia"/>
                <w:bCs/>
                <w:color w:val="auto"/>
                <w:lang w:eastAsia="zh-CN"/>
              </w:rPr>
              <w:t>）</w:t>
            </w:r>
            <w:r>
              <w:rPr>
                <w:bCs/>
                <w:color w:val="auto"/>
              </w:rPr>
              <w:t>进出车辆尾气</w:t>
            </w:r>
            <w:bookmarkEnd w:id="30"/>
            <w:bookmarkEnd w:id="31"/>
          </w:p>
          <w:p w14:paraId="3E6F1BA8">
            <w:pPr>
              <w:pageBreakBefore w:val="0"/>
              <w:tabs>
                <w:tab w:val="left" w:pos="180"/>
              </w:tabs>
              <w:kinsoku/>
              <w:wordWrap/>
              <w:overflowPunct/>
              <w:topLinePunct w:val="0"/>
              <w:bidi w:val="0"/>
              <w:ind w:firstLine="480" w:firstLineChars="200"/>
              <w:textAlignment w:val="auto"/>
              <w:outlineLvl w:val="9"/>
              <w:rPr>
                <w:rFonts w:hint="default" w:ascii="Times New Roman" w:hAnsi="Times New Roman" w:cs="Times New Roman"/>
                <w:color w:val="auto"/>
                <w:lang w:val="en-US" w:eastAsia="zh-CN"/>
              </w:rPr>
            </w:pPr>
            <w:r>
              <w:rPr>
                <w:bCs/>
                <w:color w:val="auto"/>
              </w:rPr>
              <w:t>项目营运期使用的运输车辆、装卸机主要以柴油为原料，加上重型机械的尾气排放量比较大，尾气的排放使区域大气环境受到一定的污染，尾气中所含的污染物主要有CO、THC、NOx等</w:t>
            </w:r>
            <w:r>
              <w:rPr>
                <w:rFonts w:hint="eastAsia"/>
                <w:bCs/>
                <w:color w:val="auto"/>
                <w:lang w:eastAsia="zh-CN"/>
              </w:rPr>
              <w:t>，</w:t>
            </w:r>
            <w:r>
              <w:rPr>
                <w:rFonts w:hint="eastAsia" w:ascii="Times New Roman" w:hAnsi="Times New Roman" w:cs="Times New Roman"/>
                <w:color w:val="auto"/>
                <w:lang w:val="en-US" w:eastAsia="zh-CN"/>
              </w:rPr>
              <w:t>本次评价建议建设单位优先选用新能源汽车进行运输，</w:t>
            </w:r>
            <w:r>
              <w:rPr>
                <w:rFonts w:hint="default" w:ascii="Times New Roman" w:hAnsi="Times New Roman" w:cs="Times New Roman"/>
                <w:color w:val="auto"/>
                <w:lang w:val="en-US" w:eastAsia="zh-CN"/>
              </w:rPr>
              <w:t>不得委派尾气排放不达标的车辆运输</w:t>
            </w:r>
            <w:r>
              <w:rPr>
                <w:rFonts w:hint="eastAsia" w:ascii="Times New Roman" w:hAnsi="Times New Roman" w:cs="Times New Roman"/>
                <w:color w:val="auto"/>
                <w:lang w:val="en-US" w:eastAsia="zh-CN"/>
              </w:rPr>
              <w:t>以及限速行驶等措施有效减少</w:t>
            </w:r>
            <w:r>
              <w:rPr>
                <w:rFonts w:hint="default" w:ascii="Times New Roman" w:hAnsi="Times New Roman" w:cs="Times New Roman"/>
                <w:color w:val="auto"/>
              </w:rPr>
              <w:t>进出车辆尾气</w:t>
            </w:r>
            <w:r>
              <w:rPr>
                <w:rFonts w:hint="eastAsia" w:ascii="Times New Roman" w:hAnsi="Times New Roman" w:cs="Times New Roman"/>
                <w:color w:val="auto"/>
                <w:lang w:val="en-US" w:eastAsia="zh-CN"/>
              </w:rPr>
              <w:t>对外环境的影响。</w:t>
            </w:r>
          </w:p>
          <w:p w14:paraId="07F3D50F">
            <w:pPr>
              <w:pStyle w:val="11"/>
              <w:keepNext w:val="0"/>
              <w:keepLines/>
              <w:pageBreakBefore w:val="0"/>
              <w:kinsoku/>
              <w:overflowPunct/>
              <w:bidi w:val="0"/>
              <w:adjustRightInd/>
              <w:ind w:firstLine="480"/>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综上所述，本项目废气产排措施、排放情况一览表详见</w:t>
            </w:r>
            <w:r>
              <w:rPr>
                <w:rFonts w:hint="default" w:ascii="Times New Roman" w:hAnsi="Times New Roman" w:eastAsia="宋体" w:cs="Times New Roman"/>
                <w:color w:val="auto"/>
                <w:kern w:val="2"/>
                <w:sz w:val="24"/>
                <w:szCs w:val="24"/>
                <w:lang w:val="en-US" w:eastAsia="zh-CN"/>
              </w:rPr>
              <w:t>下表4-</w:t>
            </w:r>
            <w:r>
              <w:rPr>
                <w:rFonts w:hint="eastAsia" w:cs="Times New Roman"/>
                <w:color w:val="auto"/>
                <w:kern w:val="2"/>
                <w:sz w:val="24"/>
                <w:szCs w:val="24"/>
                <w:lang w:val="en-US" w:eastAsia="zh-CN"/>
              </w:rPr>
              <w:t>1</w:t>
            </w:r>
            <w:r>
              <w:rPr>
                <w:rFonts w:hint="default" w:ascii="Times New Roman" w:hAnsi="Times New Roman" w:eastAsia="宋体" w:cs="Times New Roman"/>
                <w:color w:val="auto"/>
                <w:kern w:val="2"/>
                <w:sz w:val="24"/>
                <w:szCs w:val="24"/>
                <w:lang w:val="en-US" w:eastAsia="zh-CN"/>
              </w:rPr>
              <w:t>。</w:t>
            </w:r>
          </w:p>
          <w:p w14:paraId="27272B61">
            <w:pPr>
              <w:pStyle w:val="11"/>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项目废气产排情况一览表</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407"/>
              <w:gridCol w:w="420"/>
              <w:gridCol w:w="525"/>
              <w:gridCol w:w="507"/>
              <w:gridCol w:w="1323"/>
              <w:gridCol w:w="390"/>
              <w:gridCol w:w="569"/>
              <w:gridCol w:w="631"/>
              <w:gridCol w:w="678"/>
              <w:gridCol w:w="749"/>
              <w:gridCol w:w="720"/>
            </w:tblGrid>
            <w:tr w14:paraId="5159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81" w:type="pct"/>
                  <w:vMerge w:val="restart"/>
                  <w:noWrap w:val="0"/>
                  <w:vAlign w:val="center"/>
                </w:tcPr>
                <w:p w14:paraId="165A68D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产排污环节</w:t>
                  </w:r>
                </w:p>
              </w:tc>
              <w:tc>
                <w:tcPr>
                  <w:tcW w:w="259" w:type="pct"/>
                  <w:vMerge w:val="restart"/>
                  <w:noWrap w:val="0"/>
                  <w:vAlign w:val="center"/>
                </w:tcPr>
                <w:p w14:paraId="291A25BC">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排放口</w:t>
                  </w:r>
                </w:p>
              </w:tc>
              <w:tc>
                <w:tcPr>
                  <w:tcW w:w="268" w:type="pct"/>
                  <w:vMerge w:val="restart"/>
                  <w:noWrap w:val="0"/>
                  <w:vAlign w:val="center"/>
                </w:tcPr>
                <w:p w14:paraId="1E2C8BD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污染物种类</w:t>
                  </w:r>
                </w:p>
              </w:tc>
              <w:tc>
                <w:tcPr>
                  <w:tcW w:w="335" w:type="pct"/>
                  <w:vMerge w:val="restart"/>
                  <w:noWrap w:val="0"/>
                  <w:vAlign w:val="center"/>
                </w:tcPr>
                <w:p w14:paraId="3277B42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产生量总t/a</w:t>
                  </w:r>
                </w:p>
              </w:tc>
              <w:tc>
                <w:tcPr>
                  <w:tcW w:w="323" w:type="pct"/>
                  <w:vMerge w:val="restart"/>
                  <w:noWrap w:val="0"/>
                  <w:vAlign w:val="center"/>
                </w:tcPr>
                <w:p w14:paraId="566A081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r>
                    <w:rPr>
                      <w:rFonts w:hint="default" w:ascii="Times New Roman" w:hAnsi="Times New Roman" w:cs="Times New Roman" w:eastAsiaTheme="minorEastAsia"/>
                      <w:b/>
                      <w:bCs/>
                      <w:color w:val="auto"/>
                      <w:sz w:val="21"/>
                      <w:szCs w:val="21"/>
                      <w:vertAlign w:val="baseline"/>
                      <w:lang w:val="en-US" w:eastAsia="zh-CN"/>
                    </w:rPr>
                    <w:t>排放形式</w:t>
                  </w:r>
                </w:p>
                <w:p w14:paraId="1F68944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p>
              </w:tc>
              <w:tc>
                <w:tcPr>
                  <w:tcW w:w="1457" w:type="pct"/>
                  <w:gridSpan w:val="3"/>
                  <w:noWrap w:val="0"/>
                  <w:vAlign w:val="center"/>
                </w:tcPr>
                <w:p w14:paraId="45D17ED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rPr>
                    <w:t>治理措施</w:t>
                  </w:r>
                </w:p>
              </w:tc>
              <w:tc>
                <w:tcPr>
                  <w:tcW w:w="402" w:type="pct"/>
                  <w:vMerge w:val="restart"/>
                  <w:noWrap w:val="0"/>
                  <w:vAlign w:val="center"/>
                </w:tcPr>
                <w:p w14:paraId="69BF5F3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vertAlign w:val="baseline"/>
                      <w:lang w:val="en-US" w:eastAsia="zh-CN"/>
                    </w:rPr>
                    <w:t>产生量t/a</w:t>
                  </w:r>
                </w:p>
              </w:tc>
              <w:tc>
                <w:tcPr>
                  <w:tcW w:w="1371" w:type="pct"/>
                  <w:gridSpan w:val="3"/>
                  <w:noWrap w:val="0"/>
                  <w:vAlign w:val="center"/>
                </w:tcPr>
                <w:p w14:paraId="74A8B2F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排放情况</w:t>
                  </w:r>
                </w:p>
              </w:tc>
            </w:tr>
            <w:tr w14:paraId="7E83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581" w:type="pct"/>
                  <w:vMerge w:val="continue"/>
                  <w:noWrap w:val="0"/>
                  <w:vAlign w:val="center"/>
                </w:tcPr>
                <w:p w14:paraId="42A468A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p>
              </w:tc>
              <w:tc>
                <w:tcPr>
                  <w:tcW w:w="259" w:type="pct"/>
                  <w:vMerge w:val="continue"/>
                  <w:noWrap w:val="0"/>
                  <w:vAlign w:val="center"/>
                </w:tcPr>
                <w:p w14:paraId="52CBF3E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p>
              </w:tc>
              <w:tc>
                <w:tcPr>
                  <w:tcW w:w="268" w:type="pct"/>
                  <w:vMerge w:val="continue"/>
                  <w:noWrap w:val="0"/>
                  <w:vAlign w:val="center"/>
                </w:tcPr>
                <w:p w14:paraId="2304D27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p>
              </w:tc>
              <w:tc>
                <w:tcPr>
                  <w:tcW w:w="335" w:type="pct"/>
                  <w:vMerge w:val="continue"/>
                  <w:noWrap w:val="0"/>
                  <w:vAlign w:val="center"/>
                </w:tcPr>
                <w:p w14:paraId="6A77E1D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p>
              </w:tc>
              <w:tc>
                <w:tcPr>
                  <w:tcW w:w="323" w:type="pct"/>
                  <w:vMerge w:val="continue"/>
                  <w:noWrap w:val="0"/>
                  <w:vAlign w:val="center"/>
                </w:tcPr>
                <w:p w14:paraId="4256405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b/>
                      <w:bCs/>
                      <w:color w:val="auto"/>
                      <w:kern w:val="0"/>
                      <w:sz w:val="21"/>
                      <w:szCs w:val="21"/>
                      <w:vertAlign w:val="baseline"/>
                      <w:lang w:val="en-US" w:eastAsia="zh-CN" w:bidi="ar-SA"/>
                    </w:rPr>
                  </w:pPr>
                </w:p>
              </w:tc>
              <w:tc>
                <w:tcPr>
                  <w:tcW w:w="844" w:type="pct"/>
                  <w:noWrap w:val="0"/>
                  <w:vAlign w:val="center"/>
                </w:tcPr>
                <w:p w14:paraId="773918E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处理工艺</w:t>
                  </w:r>
                </w:p>
              </w:tc>
              <w:tc>
                <w:tcPr>
                  <w:tcW w:w="249" w:type="pct"/>
                  <w:noWrap w:val="0"/>
                  <w:vAlign w:val="center"/>
                </w:tcPr>
                <w:p w14:paraId="4DABDC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收集效率</w:t>
                  </w:r>
                </w:p>
              </w:tc>
              <w:tc>
                <w:tcPr>
                  <w:tcW w:w="363" w:type="pct"/>
                  <w:noWrap w:val="0"/>
                  <w:vAlign w:val="center"/>
                </w:tcPr>
                <w:p w14:paraId="39CB1B9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去除</w:t>
                  </w:r>
                  <w:r>
                    <w:rPr>
                      <w:rFonts w:hint="default" w:ascii="Times New Roman" w:hAnsi="Times New Roman" w:cs="Times New Roman" w:eastAsiaTheme="minorEastAsia"/>
                      <w:b/>
                      <w:bCs/>
                      <w:color w:val="auto"/>
                      <w:sz w:val="21"/>
                      <w:szCs w:val="21"/>
                    </w:rPr>
                    <w:t>效率</w:t>
                  </w:r>
                </w:p>
              </w:tc>
              <w:tc>
                <w:tcPr>
                  <w:tcW w:w="402" w:type="pct"/>
                  <w:vMerge w:val="continue"/>
                  <w:noWrap w:val="0"/>
                  <w:vAlign w:val="center"/>
                </w:tcPr>
                <w:p w14:paraId="2737869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p>
              </w:tc>
              <w:tc>
                <w:tcPr>
                  <w:tcW w:w="432" w:type="pct"/>
                  <w:noWrap w:val="0"/>
                  <w:vAlign w:val="center"/>
                </w:tcPr>
                <w:p w14:paraId="138916C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排放量t/a</w:t>
                  </w:r>
                </w:p>
              </w:tc>
              <w:tc>
                <w:tcPr>
                  <w:tcW w:w="478" w:type="pct"/>
                  <w:noWrap w:val="0"/>
                  <w:vAlign w:val="center"/>
                </w:tcPr>
                <w:p w14:paraId="75EB300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速率</w:t>
                  </w:r>
                </w:p>
                <w:p w14:paraId="12B0B04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kg/h</w:t>
                  </w:r>
                </w:p>
              </w:tc>
              <w:tc>
                <w:tcPr>
                  <w:tcW w:w="459" w:type="pct"/>
                  <w:noWrap w:val="0"/>
                  <w:vAlign w:val="center"/>
                </w:tcPr>
                <w:p w14:paraId="0D32F5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浓度mg/m</w:t>
                  </w:r>
                  <w:r>
                    <w:rPr>
                      <w:rFonts w:hint="default" w:ascii="Times New Roman" w:hAnsi="Times New Roman" w:cs="Times New Roman" w:eastAsiaTheme="minorEastAsia"/>
                      <w:b/>
                      <w:bCs/>
                      <w:color w:val="auto"/>
                      <w:sz w:val="21"/>
                      <w:szCs w:val="21"/>
                      <w:vertAlign w:val="superscript"/>
                    </w:rPr>
                    <w:t>3</w:t>
                  </w:r>
                </w:p>
              </w:tc>
            </w:tr>
            <w:tr w14:paraId="7B4B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581" w:type="pct"/>
                  <w:noWrap w:val="0"/>
                  <w:vAlign w:val="center"/>
                </w:tcPr>
                <w:p w14:paraId="1AE62F1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原</w:t>
                  </w:r>
                  <w:r>
                    <w:rPr>
                      <w:rFonts w:hint="eastAsia" w:cs="Times New Roman" w:eastAsiaTheme="minorEastAsia"/>
                      <w:color w:val="auto"/>
                      <w:sz w:val="21"/>
                      <w:szCs w:val="21"/>
                      <w:vertAlign w:val="baseline"/>
                      <w:lang w:val="en-US" w:eastAsia="zh-CN"/>
                    </w:rPr>
                    <w:t>煤</w:t>
                  </w:r>
                  <w:r>
                    <w:rPr>
                      <w:rFonts w:hint="default" w:ascii="Times New Roman" w:hAnsi="Times New Roman" w:cs="Times New Roman" w:eastAsiaTheme="minorEastAsia"/>
                      <w:color w:val="auto"/>
                      <w:sz w:val="21"/>
                      <w:szCs w:val="21"/>
                      <w:vertAlign w:val="baseline"/>
                      <w:lang w:val="en-US" w:eastAsia="zh-CN"/>
                    </w:rPr>
                    <w:t>堆场（含装卸粉尘）</w:t>
                  </w:r>
                </w:p>
              </w:tc>
              <w:tc>
                <w:tcPr>
                  <w:tcW w:w="259" w:type="pct"/>
                  <w:noWrap w:val="0"/>
                  <w:vAlign w:val="center"/>
                </w:tcPr>
                <w:p w14:paraId="73A3536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268" w:type="pct"/>
                  <w:noWrap w:val="0"/>
                  <w:vAlign w:val="center"/>
                </w:tcPr>
                <w:p w14:paraId="27500AF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颗粒物</w:t>
                  </w:r>
                </w:p>
              </w:tc>
              <w:tc>
                <w:tcPr>
                  <w:tcW w:w="335" w:type="pct"/>
                  <w:noWrap w:val="0"/>
                  <w:vAlign w:val="center"/>
                </w:tcPr>
                <w:p w14:paraId="535A66E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44.91</w:t>
                  </w:r>
                </w:p>
              </w:tc>
              <w:tc>
                <w:tcPr>
                  <w:tcW w:w="323" w:type="pct"/>
                  <w:noWrap w:val="0"/>
                  <w:vAlign w:val="center"/>
                </w:tcPr>
                <w:p w14:paraId="5626B40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无组织</w:t>
                  </w:r>
                </w:p>
              </w:tc>
              <w:tc>
                <w:tcPr>
                  <w:tcW w:w="844" w:type="pct"/>
                  <w:vMerge w:val="restart"/>
                  <w:noWrap w:val="0"/>
                  <w:vAlign w:val="center"/>
                </w:tcPr>
                <w:p w14:paraId="478EB38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封闭</w:t>
                  </w:r>
                  <w:r>
                    <w:rPr>
                      <w:rFonts w:hint="default" w:ascii="Times New Roman" w:hAnsi="Times New Roman" w:cs="Times New Roman" w:eastAsiaTheme="minorEastAsia"/>
                      <w:color w:val="auto"/>
                      <w:sz w:val="21"/>
                      <w:szCs w:val="21"/>
                      <w:vertAlign w:val="baseline"/>
                      <w:lang w:val="en-US" w:eastAsia="zh-CN"/>
                    </w:rPr>
                    <w:t>车间、洒水降尘</w:t>
                  </w:r>
                  <w:r>
                    <w:rPr>
                      <w:rFonts w:hint="eastAsia" w:ascii="Times New Roman" w:hAnsi="Times New Roman" w:cs="Times New Roman" w:eastAsiaTheme="minorEastAsia"/>
                      <w:color w:val="auto"/>
                      <w:sz w:val="21"/>
                      <w:szCs w:val="21"/>
                      <w:vertAlign w:val="baseline"/>
                      <w:lang w:val="en-US" w:eastAsia="zh-CN"/>
                    </w:rPr>
                    <w:t>（通过在车间上方布设管道进行洒水降尘，每间隔10</w:t>
                  </w:r>
                  <w:r>
                    <w:rPr>
                      <w:rFonts w:hint="default" w:ascii="Times New Roman" w:hAnsi="Times New Roman" w:cs="Times New Roman" w:eastAsiaTheme="minorEastAsia"/>
                      <w:color w:val="auto"/>
                      <w:sz w:val="21"/>
                      <w:szCs w:val="21"/>
                      <w:vertAlign w:val="baseline"/>
                      <w:lang w:val="en-US" w:eastAsia="zh-CN"/>
                    </w:rPr>
                    <w:t>米设置一个喷头</w:t>
                  </w:r>
                  <w:r>
                    <w:rPr>
                      <w:rFonts w:hint="eastAsia" w:ascii="Times New Roman" w:hAnsi="Times New Roman" w:cs="Times New Roman" w:eastAsiaTheme="minorEastAsia"/>
                      <w:color w:val="auto"/>
                      <w:sz w:val="21"/>
                      <w:szCs w:val="21"/>
                      <w:vertAlign w:val="baseline"/>
                      <w:lang w:val="en-US" w:eastAsia="zh-CN"/>
                    </w:rPr>
                    <w:t>）</w:t>
                  </w:r>
                </w:p>
              </w:tc>
              <w:tc>
                <w:tcPr>
                  <w:tcW w:w="249" w:type="pct"/>
                  <w:noWrap w:val="0"/>
                  <w:vAlign w:val="center"/>
                </w:tcPr>
                <w:p w14:paraId="55C7C36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363" w:type="pct"/>
                  <w:noWrap w:val="0"/>
                  <w:vAlign w:val="center"/>
                </w:tcPr>
                <w:p w14:paraId="6EFA5C9C">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89.6%</w:t>
                  </w:r>
                </w:p>
              </w:tc>
              <w:tc>
                <w:tcPr>
                  <w:tcW w:w="402" w:type="pct"/>
                  <w:noWrap w:val="0"/>
                  <w:vAlign w:val="center"/>
                </w:tcPr>
                <w:p w14:paraId="04398C7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44.91</w:t>
                  </w:r>
                </w:p>
              </w:tc>
              <w:tc>
                <w:tcPr>
                  <w:tcW w:w="432" w:type="pct"/>
                  <w:noWrap w:val="0"/>
                  <w:vAlign w:val="center"/>
                </w:tcPr>
                <w:p w14:paraId="73730F5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4.671</w:t>
                  </w:r>
                </w:p>
              </w:tc>
              <w:tc>
                <w:tcPr>
                  <w:tcW w:w="478" w:type="pct"/>
                  <w:noWrap w:val="0"/>
                  <w:vAlign w:val="center"/>
                </w:tcPr>
                <w:p w14:paraId="117FA465">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0.649</w:t>
                  </w:r>
                </w:p>
              </w:tc>
              <w:tc>
                <w:tcPr>
                  <w:tcW w:w="459" w:type="pct"/>
                  <w:noWrap w:val="0"/>
                  <w:vAlign w:val="center"/>
                </w:tcPr>
                <w:p w14:paraId="1098D62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w:t>
                  </w:r>
                </w:p>
              </w:tc>
            </w:tr>
            <w:tr w14:paraId="708B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81" w:type="pct"/>
                  <w:noWrap w:val="0"/>
                  <w:vAlign w:val="center"/>
                </w:tcPr>
                <w:p w14:paraId="74AD21E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成品堆场（含装卸粉尘）</w:t>
                  </w:r>
                </w:p>
              </w:tc>
              <w:tc>
                <w:tcPr>
                  <w:tcW w:w="259" w:type="pct"/>
                  <w:shd w:val="clear" w:color="auto" w:fill="auto"/>
                  <w:noWrap w:val="0"/>
                  <w:vAlign w:val="center"/>
                </w:tcPr>
                <w:p w14:paraId="207C184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268" w:type="pct"/>
                  <w:shd w:val="clear" w:color="auto" w:fill="auto"/>
                  <w:noWrap w:val="0"/>
                  <w:vAlign w:val="center"/>
                </w:tcPr>
                <w:p w14:paraId="7C32384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颗粒物</w:t>
                  </w:r>
                </w:p>
              </w:tc>
              <w:tc>
                <w:tcPr>
                  <w:tcW w:w="335" w:type="pct"/>
                  <w:shd w:val="clear" w:color="auto" w:fill="auto"/>
                  <w:noWrap w:val="0"/>
                  <w:vAlign w:val="center"/>
                </w:tcPr>
                <w:p w14:paraId="1A9DD12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51.14</w:t>
                  </w:r>
                </w:p>
              </w:tc>
              <w:tc>
                <w:tcPr>
                  <w:tcW w:w="323" w:type="pct"/>
                  <w:shd w:val="clear" w:color="auto" w:fill="auto"/>
                  <w:noWrap w:val="0"/>
                  <w:vAlign w:val="center"/>
                </w:tcPr>
                <w:p w14:paraId="7C15EB7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无组织</w:t>
                  </w:r>
                </w:p>
              </w:tc>
              <w:tc>
                <w:tcPr>
                  <w:tcW w:w="844" w:type="pct"/>
                  <w:vMerge w:val="continue"/>
                  <w:shd w:val="clear" w:color="auto" w:fill="auto"/>
                  <w:noWrap w:val="0"/>
                  <w:vAlign w:val="center"/>
                </w:tcPr>
                <w:p w14:paraId="3C58DF3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p>
              </w:tc>
              <w:tc>
                <w:tcPr>
                  <w:tcW w:w="249" w:type="pct"/>
                  <w:shd w:val="clear" w:color="auto" w:fill="auto"/>
                  <w:noWrap w:val="0"/>
                  <w:vAlign w:val="center"/>
                </w:tcPr>
                <w:p w14:paraId="33502F8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363" w:type="pct"/>
                  <w:shd w:val="clear" w:color="auto" w:fill="auto"/>
                  <w:noWrap w:val="0"/>
                  <w:vAlign w:val="center"/>
                </w:tcPr>
                <w:p w14:paraId="6AD8D2A9">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89.6%</w:t>
                  </w:r>
                </w:p>
              </w:tc>
              <w:tc>
                <w:tcPr>
                  <w:tcW w:w="402" w:type="pct"/>
                  <w:shd w:val="clear" w:color="auto" w:fill="auto"/>
                  <w:noWrap w:val="0"/>
                  <w:vAlign w:val="center"/>
                </w:tcPr>
                <w:p w14:paraId="4EF5C50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51.14</w:t>
                  </w:r>
                </w:p>
              </w:tc>
              <w:tc>
                <w:tcPr>
                  <w:tcW w:w="432" w:type="pct"/>
                  <w:shd w:val="clear" w:color="auto" w:fill="auto"/>
                  <w:noWrap w:val="0"/>
                  <w:vAlign w:val="center"/>
                </w:tcPr>
                <w:p w14:paraId="072E2164">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5.319</w:t>
                  </w:r>
                </w:p>
              </w:tc>
              <w:tc>
                <w:tcPr>
                  <w:tcW w:w="478" w:type="pct"/>
                  <w:shd w:val="clear" w:color="auto" w:fill="auto"/>
                  <w:noWrap w:val="0"/>
                  <w:vAlign w:val="center"/>
                </w:tcPr>
                <w:p w14:paraId="717A67E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eastAsia" w:cs="Times New Roman" w:eastAsiaTheme="minorEastAsia"/>
                      <w:color w:val="auto"/>
                      <w:sz w:val="21"/>
                      <w:szCs w:val="21"/>
                      <w:vertAlign w:val="baseline"/>
                      <w:lang w:val="en-US" w:eastAsia="zh-CN"/>
                    </w:rPr>
                    <w:t>0.739</w:t>
                  </w:r>
                </w:p>
              </w:tc>
              <w:tc>
                <w:tcPr>
                  <w:tcW w:w="459" w:type="pct"/>
                  <w:shd w:val="clear" w:color="auto" w:fill="auto"/>
                  <w:noWrap w:val="0"/>
                  <w:vAlign w:val="center"/>
                </w:tcPr>
                <w:p w14:paraId="009FF14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w:t>
                  </w:r>
                </w:p>
              </w:tc>
            </w:tr>
            <w:tr w14:paraId="1377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81" w:type="pct"/>
                  <w:noWrap w:val="0"/>
                  <w:vAlign w:val="center"/>
                </w:tcPr>
                <w:p w14:paraId="4DCAEF0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配煤工段</w:t>
                  </w:r>
                  <w:r>
                    <w:rPr>
                      <w:rFonts w:hint="default" w:ascii="Times New Roman" w:hAnsi="Times New Roman" w:cs="Times New Roman" w:eastAsiaTheme="minorEastAsia"/>
                      <w:color w:val="auto"/>
                      <w:sz w:val="21"/>
                      <w:szCs w:val="21"/>
                      <w:vertAlign w:val="baseline"/>
                      <w:lang w:val="en-US" w:eastAsia="zh-CN"/>
                    </w:rPr>
                    <w:t>粉尘</w:t>
                  </w:r>
                </w:p>
              </w:tc>
              <w:tc>
                <w:tcPr>
                  <w:tcW w:w="259" w:type="pct"/>
                  <w:shd w:val="clear" w:color="auto" w:fill="auto"/>
                  <w:noWrap w:val="0"/>
                  <w:vAlign w:val="center"/>
                </w:tcPr>
                <w:p w14:paraId="710AB2EE">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268" w:type="pct"/>
                  <w:shd w:val="clear" w:color="auto" w:fill="auto"/>
                  <w:noWrap w:val="0"/>
                  <w:vAlign w:val="center"/>
                </w:tcPr>
                <w:p w14:paraId="769A6CD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kern w:val="0"/>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颗粒物</w:t>
                  </w:r>
                </w:p>
              </w:tc>
              <w:tc>
                <w:tcPr>
                  <w:tcW w:w="335" w:type="pct"/>
                  <w:noWrap w:val="0"/>
                  <w:vAlign w:val="center"/>
                </w:tcPr>
                <w:p w14:paraId="6663A2E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4.8</w:t>
                  </w:r>
                </w:p>
              </w:tc>
              <w:tc>
                <w:tcPr>
                  <w:tcW w:w="323" w:type="pct"/>
                  <w:noWrap w:val="0"/>
                  <w:vAlign w:val="center"/>
                </w:tcPr>
                <w:p w14:paraId="2CDFC7B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w:t>
                  </w:r>
                </w:p>
              </w:tc>
              <w:tc>
                <w:tcPr>
                  <w:tcW w:w="844" w:type="pct"/>
                  <w:noWrap w:val="0"/>
                  <w:vAlign w:val="center"/>
                </w:tcPr>
                <w:p w14:paraId="63605A6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lang w:val="en-US" w:eastAsia="zh-CN"/>
                    </w:rPr>
                    <w:t>封闭车间、地面硬化、</w:t>
                  </w:r>
                  <w:r>
                    <w:rPr>
                      <w:rFonts w:hint="default" w:ascii="Times New Roman" w:hAnsi="Times New Roman" w:cs="Times New Roman" w:eastAsiaTheme="minorEastAsia"/>
                      <w:color w:val="auto"/>
                      <w:sz w:val="21"/>
                      <w:szCs w:val="21"/>
                    </w:rPr>
                    <w:t>洒水喷淋、</w:t>
                  </w:r>
                  <w:r>
                    <w:rPr>
                      <w:rFonts w:hint="eastAsia" w:cs="Times New Roman" w:eastAsiaTheme="minorEastAsia"/>
                      <w:color w:val="auto"/>
                      <w:sz w:val="21"/>
                      <w:szCs w:val="21"/>
                      <w:lang w:val="en-US" w:eastAsia="zh-CN"/>
                    </w:rPr>
                    <w:t>及时人工清扫</w:t>
                  </w:r>
                </w:p>
              </w:tc>
              <w:tc>
                <w:tcPr>
                  <w:tcW w:w="249" w:type="pct"/>
                  <w:noWrap w:val="0"/>
                  <w:vAlign w:val="center"/>
                </w:tcPr>
                <w:p w14:paraId="62A4BE06">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363" w:type="pct"/>
                  <w:noWrap w:val="0"/>
                  <w:vAlign w:val="center"/>
                </w:tcPr>
                <w:p w14:paraId="1CB9ED6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80</w:t>
                  </w:r>
                  <w:r>
                    <w:rPr>
                      <w:rFonts w:hint="eastAsia" w:cs="Times New Roman" w:eastAsiaTheme="minorEastAsia"/>
                      <w:color w:val="auto"/>
                      <w:sz w:val="21"/>
                      <w:szCs w:val="21"/>
                      <w:vertAlign w:val="baseline"/>
                      <w:lang w:val="en-US" w:eastAsia="zh-CN"/>
                    </w:rPr>
                    <w:t>%</w:t>
                  </w:r>
                </w:p>
              </w:tc>
              <w:tc>
                <w:tcPr>
                  <w:tcW w:w="402" w:type="pct"/>
                  <w:noWrap w:val="0"/>
                  <w:vAlign w:val="center"/>
                </w:tcPr>
                <w:p w14:paraId="3413405C">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4.8</w:t>
                  </w:r>
                </w:p>
              </w:tc>
              <w:tc>
                <w:tcPr>
                  <w:tcW w:w="432" w:type="pct"/>
                  <w:noWrap w:val="0"/>
                  <w:vAlign w:val="center"/>
                </w:tcPr>
                <w:p w14:paraId="5ADB858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0.96</w:t>
                  </w:r>
                </w:p>
              </w:tc>
              <w:tc>
                <w:tcPr>
                  <w:tcW w:w="478" w:type="pct"/>
                  <w:noWrap w:val="0"/>
                  <w:vAlign w:val="center"/>
                </w:tcPr>
                <w:p w14:paraId="252CC62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w:t>
                  </w:r>
                  <w:r>
                    <w:rPr>
                      <w:rFonts w:hint="eastAsia" w:cs="Times New Roman" w:eastAsiaTheme="minorEastAsia"/>
                      <w:color w:val="auto"/>
                      <w:sz w:val="21"/>
                      <w:szCs w:val="21"/>
                      <w:vertAlign w:val="baseline"/>
                      <w:lang w:val="en-US" w:eastAsia="zh-CN"/>
                    </w:rPr>
                    <w:t>4</w:t>
                  </w:r>
                </w:p>
              </w:tc>
              <w:tc>
                <w:tcPr>
                  <w:tcW w:w="459" w:type="pct"/>
                  <w:noWrap w:val="0"/>
                  <w:vAlign w:val="center"/>
                </w:tcPr>
                <w:p w14:paraId="4C0F413D">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r>
            <w:tr w14:paraId="6251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81" w:type="pct"/>
                  <w:noWrap w:val="0"/>
                  <w:vAlign w:val="center"/>
                </w:tcPr>
                <w:p w14:paraId="3077A20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运输扬尘</w:t>
                  </w:r>
                </w:p>
              </w:tc>
              <w:tc>
                <w:tcPr>
                  <w:tcW w:w="259" w:type="pct"/>
                  <w:noWrap w:val="0"/>
                  <w:vAlign w:val="center"/>
                </w:tcPr>
                <w:p w14:paraId="62939305">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268" w:type="pct"/>
                  <w:noWrap w:val="0"/>
                  <w:vAlign w:val="center"/>
                </w:tcPr>
                <w:p w14:paraId="6C992933">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颗粒物</w:t>
                  </w:r>
                </w:p>
              </w:tc>
              <w:tc>
                <w:tcPr>
                  <w:tcW w:w="335" w:type="pct"/>
                  <w:noWrap w:val="0"/>
                  <w:vAlign w:val="center"/>
                </w:tcPr>
                <w:p w14:paraId="56FAA6FA">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0.161</w:t>
                  </w:r>
                </w:p>
              </w:tc>
              <w:tc>
                <w:tcPr>
                  <w:tcW w:w="323" w:type="pct"/>
                  <w:noWrap w:val="0"/>
                  <w:vAlign w:val="center"/>
                </w:tcPr>
                <w:p w14:paraId="04C45B71">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w:t>
                  </w:r>
                </w:p>
              </w:tc>
              <w:tc>
                <w:tcPr>
                  <w:tcW w:w="844" w:type="pct"/>
                  <w:noWrap w:val="0"/>
                  <w:vAlign w:val="center"/>
                </w:tcPr>
                <w:p w14:paraId="4CBF6D9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Cs/>
                      <w:color w:val="auto"/>
                      <w:sz w:val="21"/>
                      <w:szCs w:val="21"/>
                    </w:rPr>
                    <w:t>规范车辆装载方式，</w:t>
                  </w:r>
                  <w:r>
                    <w:rPr>
                      <w:rFonts w:hint="default" w:ascii="Times New Roman" w:hAnsi="Times New Roman" w:cs="Times New Roman" w:eastAsiaTheme="minorEastAsia"/>
                      <w:color w:val="auto"/>
                      <w:sz w:val="21"/>
                      <w:szCs w:val="21"/>
                    </w:rPr>
                    <w:t>洒水降尘、及时清扫运输路面</w:t>
                  </w:r>
                </w:p>
              </w:tc>
              <w:tc>
                <w:tcPr>
                  <w:tcW w:w="249" w:type="pct"/>
                  <w:noWrap w:val="0"/>
                  <w:vAlign w:val="center"/>
                </w:tcPr>
                <w:p w14:paraId="7452804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363" w:type="pct"/>
                  <w:noWrap w:val="0"/>
                  <w:vAlign w:val="center"/>
                </w:tcPr>
                <w:p w14:paraId="2C667810">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70</w:t>
                  </w:r>
                  <w:r>
                    <w:rPr>
                      <w:rFonts w:hint="eastAsia" w:cs="Times New Roman" w:eastAsiaTheme="minorEastAsia"/>
                      <w:color w:val="auto"/>
                      <w:sz w:val="21"/>
                      <w:szCs w:val="21"/>
                      <w:vertAlign w:val="baseline"/>
                      <w:lang w:val="en-US" w:eastAsia="zh-CN"/>
                    </w:rPr>
                    <w:t>%</w:t>
                  </w:r>
                </w:p>
              </w:tc>
              <w:tc>
                <w:tcPr>
                  <w:tcW w:w="402" w:type="pct"/>
                  <w:noWrap w:val="0"/>
                  <w:vAlign w:val="center"/>
                </w:tcPr>
                <w:p w14:paraId="1C479B07">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0.161</w:t>
                  </w:r>
                </w:p>
              </w:tc>
              <w:tc>
                <w:tcPr>
                  <w:tcW w:w="432" w:type="pct"/>
                  <w:noWrap w:val="0"/>
                  <w:vAlign w:val="center"/>
                </w:tcPr>
                <w:p w14:paraId="233A57AB">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0.048</w:t>
                  </w:r>
                </w:p>
              </w:tc>
              <w:tc>
                <w:tcPr>
                  <w:tcW w:w="478" w:type="pct"/>
                  <w:noWrap w:val="0"/>
                  <w:vAlign w:val="center"/>
                </w:tcPr>
                <w:p w14:paraId="43415C02">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0.0</w:t>
                  </w:r>
                  <w:r>
                    <w:rPr>
                      <w:rFonts w:hint="eastAsia" w:cs="Times New Roman" w:eastAsiaTheme="minorEastAsia"/>
                      <w:color w:val="auto"/>
                      <w:sz w:val="21"/>
                      <w:szCs w:val="21"/>
                      <w:vertAlign w:val="baseline"/>
                      <w:lang w:val="en-US" w:eastAsia="zh-CN"/>
                    </w:rPr>
                    <w:t>2</w:t>
                  </w:r>
                </w:p>
              </w:tc>
              <w:tc>
                <w:tcPr>
                  <w:tcW w:w="459" w:type="pct"/>
                  <w:noWrap w:val="0"/>
                  <w:vAlign w:val="center"/>
                </w:tcPr>
                <w:p w14:paraId="289A358F">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r>
            <w:tr w14:paraId="6F21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628" w:type="pct"/>
                  <w:gridSpan w:val="9"/>
                  <w:noWrap w:val="0"/>
                  <w:vAlign w:val="center"/>
                </w:tcPr>
                <w:p w14:paraId="17FF6B15">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总计排放量</w:t>
                  </w:r>
                </w:p>
              </w:tc>
              <w:tc>
                <w:tcPr>
                  <w:tcW w:w="1371" w:type="pct"/>
                  <w:gridSpan w:val="3"/>
                  <w:noWrap w:val="0"/>
                  <w:vAlign w:val="center"/>
                </w:tcPr>
                <w:p w14:paraId="4A0FEE78">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10.998</w:t>
                  </w:r>
                  <w:r>
                    <w:rPr>
                      <w:rFonts w:hint="default" w:ascii="Times New Roman" w:hAnsi="Times New Roman" w:cs="Times New Roman"/>
                      <w:color w:val="auto"/>
                    </w:rPr>
                    <w:t>t/a</w:t>
                  </w:r>
                </w:p>
              </w:tc>
            </w:tr>
          </w:tbl>
          <w:p w14:paraId="43945A69">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pacing w:val="-10"/>
                <w:sz w:val="24"/>
                <w:szCs w:val="24"/>
                <w:lang w:val="en-US" w:eastAsia="zh-CN"/>
              </w:rPr>
              <w:t>项目废气排放预测结果</w:t>
            </w:r>
          </w:p>
          <w:p w14:paraId="0B32970E">
            <w:pPr>
              <w:pStyle w:val="43"/>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本环评采用《环境影响评价技术导则  大气环境》（HJ2.2-2018）推荐模式－AERSCREEN。估算模式AERSCREEN是一个单源高斯烟羽模式，可计算点源、火炬源、面源和体源的最大地面浓度以及下洗和岸边熏烟等特殊条件下的最大地面浓度。估算模式中嵌入了多种预设的气象组合条件，包括一些最不利的气象条件，在某个地区有可能发生，也有可能没有此种不利气象条件。经估算模式计算出的是某一污染源对环境空气质量的最大影响程度和影响范围的保守的结果。</w:t>
            </w:r>
          </w:p>
          <w:p w14:paraId="02CC7BD1">
            <w:pPr>
              <w:pStyle w:val="43"/>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①污染物评价标准</w:t>
            </w:r>
          </w:p>
          <w:p w14:paraId="7423FFE6">
            <w:pPr>
              <w:pStyle w:val="43"/>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污染物评价标准和来源见下表4-</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14:paraId="1066F96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宋体" w:hAnsi="宋体" w:eastAsia="宋体" w:cs="宋体"/>
                <w:b/>
                <w:color w:val="auto"/>
                <w:kern w:val="0"/>
                <w:sz w:val="24"/>
                <w:szCs w:val="24"/>
                <w:lang w:val="en-US" w:eastAsia="zh-CN"/>
              </w:rPr>
            </w:pPr>
            <w:r>
              <w:rPr>
                <w:rFonts w:hint="default" w:ascii="Times New Roman" w:hAnsi="Times New Roman" w:eastAsia="宋体" w:cs="Times New Roman"/>
                <w:b/>
                <w:color w:val="auto"/>
                <w:kern w:val="0"/>
                <w:sz w:val="24"/>
                <w:szCs w:val="24"/>
                <w:lang w:eastAsia="zh-CN"/>
              </w:rPr>
              <w:t>表</w:t>
            </w:r>
            <w:r>
              <w:rPr>
                <w:rFonts w:hint="default" w:ascii="Times New Roman" w:hAnsi="Times New Roman" w:eastAsia="宋体" w:cs="Times New Roman"/>
                <w:b/>
                <w:color w:val="auto"/>
                <w:kern w:val="0"/>
                <w:sz w:val="24"/>
                <w:szCs w:val="24"/>
                <w:lang w:val="en-US" w:eastAsia="zh-CN"/>
              </w:rPr>
              <w:t>4-</w:t>
            </w:r>
            <w:r>
              <w:rPr>
                <w:rFonts w:hint="eastAsia"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lang w:val="en-US" w:eastAsia="zh-CN"/>
              </w:rPr>
              <w:t xml:space="preserve"> </w:t>
            </w:r>
            <w:r>
              <w:rPr>
                <w:rFonts w:hint="eastAsia"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污染物评价标准</w:t>
            </w:r>
          </w:p>
          <w:tbl>
            <w:tblPr>
              <w:tblStyle w:val="28"/>
              <w:tblW w:w="4994"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059"/>
              <w:gridCol w:w="1067"/>
              <w:gridCol w:w="1180"/>
              <w:gridCol w:w="1228"/>
              <w:gridCol w:w="3298"/>
            </w:tblGrid>
            <w:tr w14:paraId="5065E4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7" w:hRule="atLeast"/>
              </w:trPr>
              <w:tc>
                <w:tcPr>
                  <w:tcW w:w="676" w:type="pct"/>
                  <w:noWrap w:val="0"/>
                  <w:vAlign w:val="center"/>
                </w:tcPr>
                <w:p w14:paraId="2ACC0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681" w:type="pct"/>
                  <w:noWrap w:val="0"/>
                  <w:vAlign w:val="center"/>
                </w:tcPr>
                <w:p w14:paraId="149BC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功能区</w:t>
                  </w:r>
                </w:p>
              </w:tc>
              <w:tc>
                <w:tcPr>
                  <w:tcW w:w="753" w:type="pct"/>
                  <w:noWrap w:val="0"/>
                  <w:vAlign w:val="center"/>
                </w:tcPr>
                <w:p w14:paraId="3601F4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取值时间</w:t>
                  </w:r>
                </w:p>
              </w:tc>
              <w:tc>
                <w:tcPr>
                  <w:tcW w:w="784" w:type="pct"/>
                  <w:noWrap w:val="0"/>
                  <w:vAlign w:val="center"/>
                </w:tcPr>
                <w:p w14:paraId="02336A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标准值(μg/m³)</w:t>
                  </w:r>
                </w:p>
              </w:tc>
              <w:tc>
                <w:tcPr>
                  <w:tcW w:w="2105" w:type="pct"/>
                  <w:noWrap w:val="0"/>
                  <w:vAlign w:val="center"/>
                </w:tcPr>
                <w:p w14:paraId="592CCA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14:paraId="0E01E3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89" w:hRule="atLeast"/>
              </w:trPr>
              <w:tc>
                <w:tcPr>
                  <w:tcW w:w="676" w:type="pct"/>
                  <w:noWrap w:val="0"/>
                  <w:vAlign w:val="center"/>
                </w:tcPr>
                <w:p w14:paraId="52F1B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粉尘（按TSP计）</w:t>
                  </w:r>
                </w:p>
              </w:tc>
              <w:tc>
                <w:tcPr>
                  <w:tcW w:w="681" w:type="pct"/>
                  <w:noWrap w:val="0"/>
                  <w:vAlign w:val="center"/>
                </w:tcPr>
                <w:p w14:paraId="2DB7F5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二类限区</w:t>
                  </w:r>
                </w:p>
              </w:tc>
              <w:tc>
                <w:tcPr>
                  <w:tcW w:w="753" w:type="pct"/>
                  <w:noWrap w:val="0"/>
                  <w:vAlign w:val="center"/>
                </w:tcPr>
                <w:p w14:paraId="6375A0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日均</w:t>
                  </w:r>
                </w:p>
              </w:tc>
              <w:tc>
                <w:tcPr>
                  <w:tcW w:w="784" w:type="pct"/>
                  <w:noWrap w:val="0"/>
                  <w:vAlign w:val="center"/>
                </w:tcPr>
                <w:p w14:paraId="6EF515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300.0</w:t>
                  </w:r>
                </w:p>
              </w:tc>
              <w:tc>
                <w:tcPr>
                  <w:tcW w:w="2105" w:type="pct"/>
                  <w:noWrap w:val="0"/>
                  <w:vAlign w:val="center"/>
                </w:tcPr>
                <w:p w14:paraId="03263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rPr>
                    <w:t>环境空气质量标准(GB 3095-20</w:t>
                  </w:r>
                  <w:r>
                    <w:rPr>
                      <w:rFonts w:hint="eastAsia" w:cs="Times New Roman"/>
                      <w:b w:val="0"/>
                      <w:color w:val="auto"/>
                      <w:sz w:val="21"/>
                      <w:szCs w:val="21"/>
                      <w:lang w:val="en-US" w:eastAsia="zh-CN"/>
                    </w:rPr>
                    <w:t>26</w:t>
                  </w:r>
                  <w:r>
                    <w:rPr>
                      <w:rFonts w:hint="default" w:ascii="Times New Roman" w:hAnsi="Times New Roman" w:eastAsia="宋体" w:cs="Times New Roman"/>
                      <w:b w:val="0"/>
                      <w:color w:val="auto"/>
                      <w:sz w:val="21"/>
                      <w:szCs w:val="21"/>
                    </w:rPr>
                    <w:t>)</w:t>
                  </w:r>
                </w:p>
              </w:tc>
            </w:tr>
          </w:tbl>
          <w:p w14:paraId="383A22F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val="0"/>
                <w:bCs w:val="0"/>
                <w:color w:val="auto"/>
                <w:sz w:val="24"/>
                <w:szCs w:val="24"/>
                <w:lang w:eastAsia="zh-CN"/>
              </w:rPr>
              <w:t>②</w:t>
            </w:r>
            <w:r>
              <w:rPr>
                <w:rFonts w:hint="eastAsia" w:cs="Times New Roman"/>
                <w:b w:val="0"/>
                <w:bCs w:val="0"/>
                <w:color w:val="auto"/>
                <w:sz w:val="24"/>
                <w:szCs w:val="24"/>
                <w:lang w:val="en-US" w:eastAsia="zh-CN"/>
              </w:rPr>
              <w:t>敏感点</w:t>
            </w:r>
            <w:r>
              <w:rPr>
                <w:rFonts w:hint="default" w:ascii="Times New Roman" w:hAnsi="Times New Roman" w:eastAsia="宋体" w:cs="Times New Roman"/>
                <w:b w:val="0"/>
                <w:bCs w:val="0"/>
                <w:color w:val="auto"/>
                <w:sz w:val="24"/>
                <w:szCs w:val="24"/>
                <w:lang w:val="en-US" w:eastAsia="zh-CN"/>
              </w:rPr>
              <w:t>预测结果及无组织废气达标分析一览表</w:t>
            </w:r>
          </w:p>
          <w:p w14:paraId="16F0083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表4-</w:t>
            </w:r>
            <w:r>
              <w:rPr>
                <w:rFonts w:hint="eastAsia" w:cs="Times New Roman"/>
                <w:b/>
                <w:color w:val="auto"/>
                <w:kern w:val="0"/>
                <w:sz w:val="24"/>
                <w:szCs w:val="24"/>
                <w:lang w:val="en-US" w:eastAsia="zh-CN"/>
              </w:rPr>
              <w:t xml:space="preserve">3 </w:t>
            </w:r>
            <w:r>
              <w:rPr>
                <w:rFonts w:hint="default" w:ascii="Times New Roman" w:hAnsi="Times New Roman" w:eastAsia="宋体" w:cs="Times New Roman"/>
                <w:b/>
                <w:color w:val="auto"/>
                <w:kern w:val="0"/>
                <w:sz w:val="24"/>
                <w:szCs w:val="24"/>
                <w:lang w:val="en-US" w:eastAsia="zh-CN"/>
              </w:rPr>
              <w:t xml:space="preserve"> 预测结果及无组织废气达标分析一览表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183"/>
              <w:gridCol w:w="1367"/>
              <w:gridCol w:w="1100"/>
              <w:gridCol w:w="1133"/>
              <w:gridCol w:w="1296"/>
            </w:tblGrid>
            <w:tr w14:paraId="3C01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19" w:type="pct"/>
                  <w:noWrap w:val="0"/>
                  <w:vAlign w:val="center"/>
                </w:tcPr>
                <w:p w14:paraId="072AF9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rPr>
                    <w:t>污染源名称</w:t>
                  </w:r>
                </w:p>
              </w:tc>
              <w:tc>
                <w:tcPr>
                  <w:tcW w:w="755" w:type="pct"/>
                  <w:noWrap w:val="0"/>
                  <w:vAlign w:val="center"/>
                </w:tcPr>
                <w:p w14:paraId="5B534B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rPr>
                    <w:t>评价因子</w:t>
                  </w:r>
                </w:p>
              </w:tc>
              <w:tc>
                <w:tcPr>
                  <w:tcW w:w="872" w:type="pct"/>
                  <w:noWrap w:val="0"/>
                  <w:vAlign w:val="center"/>
                </w:tcPr>
                <w:p w14:paraId="32DF67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预测浓度</w:t>
                  </w:r>
                </w:p>
              </w:tc>
              <w:tc>
                <w:tcPr>
                  <w:tcW w:w="702" w:type="pct"/>
                  <w:noWrap w:val="0"/>
                  <w:vAlign w:val="center"/>
                </w:tcPr>
                <w:p w14:paraId="6524E3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标准限值</w:t>
                  </w:r>
                </w:p>
              </w:tc>
              <w:tc>
                <w:tcPr>
                  <w:tcW w:w="723" w:type="pct"/>
                  <w:noWrap w:val="0"/>
                  <w:vAlign w:val="center"/>
                </w:tcPr>
                <w:p w14:paraId="3CA1FE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达标分析</w:t>
                  </w:r>
                </w:p>
              </w:tc>
              <w:tc>
                <w:tcPr>
                  <w:tcW w:w="827" w:type="pct"/>
                  <w:noWrap w:val="0"/>
                  <w:vAlign w:val="center"/>
                </w:tcPr>
                <w:p w14:paraId="4F977F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执行标准</w:t>
                  </w:r>
                </w:p>
              </w:tc>
            </w:tr>
            <w:tr w14:paraId="012E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19" w:type="pct"/>
                  <w:noWrap w:val="0"/>
                  <w:vAlign w:val="center"/>
                </w:tcPr>
                <w:p w14:paraId="359666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矩形面源</w:t>
                  </w:r>
                </w:p>
              </w:tc>
              <w:tc>
                <w:tcPr>
                  <w:tcW w:w="755" w:type="pct"/>
                  <w:vMerge w:val="restart"/>
                  <w:noWrap w:val="0"/>
                  <w:vAlign w:val="center"/>
                </w:tcPr>
                <w:p w14:paraId="44D058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粉尘（按TSP计）</w:t>
                  </w:r>
                </w:p>
              </w:tc>
              <w:tc>
                <w:tcPr>
                  <w:tcW w:w="872" w:type="pct"/>
                  <w:noWrap w:val="0"/>
                  <w:vAlign w:val="center"/>
                </w:tcPr>
                <w:p w14:paraId="6F569B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0.896</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02" w:type="pct"/>
                  <w:noWrap w:val="0"/>
                  <w:vAlign w:val="center"/>
                </w:tcPr>
                <w:p w14:paraId="29E9C0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23" w:type="pct"/>
                  <w:noWrap w:val="0"/>
                  <w:vAlign w:val="center"/>
                </w:tcPr>
                <w:p w14:paraId="7D6DD8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c>
                <w:tcPr>
                  <w:tcW w:w="827" w:type="pct"/>
                  <w:vMerge w:val="restart"/>
                  <w:noWrap w:val="0"/>
                  <w:vAlign w:val="center"/>
                </w:tcPr>
                <w:p w14:paraId="1EF5E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eastAsia="zh-CN"/>
                    </w:rPr>
                    <w:t>《煤炭工业污染物排放标准》（GB20426-2006）表</w:t>
                  </w:r>
                  <w:r>
                    <w:rPr>
                      <w:rFonts w:hint="default" w:ascii="Times New Roman" w:hAnsi="Times New Roman" w:eastAsia="宋体" w:cs="Times New Roman"/>
                      <w:b w:val="0"/>
                      <w:bCs/>
                      <w:color w:val="auto"/>
                      <w:sz w:val="21"/>
                      <w:szCs w:val="21"/>
                      <w:lang w:val="en-US" w:eastAsia="zh-CN"/>
                    </w:rPr>
                    <w:t>5无组织</w:t>
                  </w:r>
                  <w:r>
                    <w:rPr>
                      <w:rFonts w:hint="default" w:ascii="Times New Roman" w:hAnsi="Times New Roman" w:eastAsia="宋体" w:cs="Times New Roman"/>
                      <w:b w:val="0"/>
                      <w:bCs/>
                      <w:color w:val="auto"/>
                      <w:sz w:val="21"/>
                      <w:szCs w:val="21"/>
                      <w:lang w:eastAsia="zh-CN"/>
                    </w:rPr>
                    <w:t>标准限值</w:t>
                  </w:r>
                </w:p>
              </w:tc>
            </w:tr>
            <w:tr w14:paraId="0C64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119" w:type="pct"/>
                  <w:shd w:val="clear" w:color="auto" w:fill="auto"/>
                  <w:noWrap w:val="0"/>
                  <w:vAlign w:val="center"/>
                </w:tcPr>
                <w:p w14:paraId="1421ADC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厂界东</w:t>
                  </w:r>
                </w:p>
              </w:tc>
              <w:tc>
                <w:tcPr>
                  <w:tcW w:w="755" w:type="pct"/>
                  <w:vMerge w:val="continue"/>
                  <w:shd w:val="clear" w:color="auto" w:fill="auto"/>
                  <w:noWrap w:val="0"/>
                  <w:vAlign w:val="center"/>
                </w:tcPr>
                <w:p w14:paraId="7B0D2E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872" w:type="pct"/>
                  <w:shd w:val="clear" w:color="auto" w:fill="auto"/>
                  <w:noWrap w:val="0"/>
                  <w:vAlign w:val="center"/>
                </w:tcPr>
                <w:p w14:paraId="09399D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0.</w:t>
                  </w:r>
                  <w:r>
                    <w:rPr>
                      <w:rFonts w:hint="default" w:ascii="Times New Roman" w:hAnsi="Times New Roman" w:eastAsia="宋体" w:cs="Times New Roman"/>
                      <w:b w:val="0"/>
                      <w:color w:val="auto"/>
                      <w:sz w:val="21"/>
                      <w:szCs w:val="21"/>
                    </w:rPr>
                    <w:t>658</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02" w:type="pct"/>
                  <w:shd w:val="clear" w:color="auto" w:fill="auto"/>
                  <w:noWrap w:val="0"/>
                  <w:vAlign w:val="center"/>
                </w:tcPr>
                <w:p w14:paraId="4E3619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23" w:type="pct"/>
                  <w:shd w:val="clear" w:color="auto" w:fill="auto"/>
                  <w:noWrap w:val="0"/>
                  <w:vAlign w:val="center"/>
                </w:tcPr>
                <w:p w14:paraId="627B5E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c>
                <w:tcPr>
                  <w:tcW w:w="827" w:type="pct"/>
                  <w:vMerge w:val="continue"/>
                  <w:noWrap w:val="0"/>
                  <w:vAlign w:val="center"/>
                </w:tcPr>
                <w:p w14:paraId="1266D5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p>
              </w:tc>
            </w:tr>
            <w:tr w14:paraId="26F1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119" w:type="pct"/>
                  <w:shd w:val="clear" w:color="auto" w:fill="auto"/>
                  <w:noWrap w:val="0"/>
                  <w:vAlign w:val="center"/>
                </w:tcPr>
                <w:p w14:paraId="582E0C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厂界西</w:t>
                  </w:r>
                </w:p>
              </w:tc>
              <w:tc>
                <w:tcPr>
                  <w:tcW w:w="755" w:type="pct"/>
                  <w:vMerge w:val="continue"/>
                  <w:shd w:val="clear" w:color="auto" w:fill="auto"/>
                  <w:noWrap w:val="0"/>
                  <w:vAlign w:val="center"/>
                </w:tcPr>
                <w:p w14:paraId="0506E0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872" w:type="pct"/>
                  <w:shd w:val="clear" w:color="auto" w:fill="auto"/>
                  <w:noWrap w:val="0"/>
                  <w:vAlign w:val="center"/>
                </w:tcPr>
                <w:p w14:paraId="447530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0.</w:t>
                  </w:r>
                  <w:r>
                    <w:rPr>
                      <w:rFonts w:hint="default" w:ascii="Times New Roman" w:hAnsi="Times New Roman" w:eastAsia="宋体" w:cs="Times New Roman"/>
                      <w:b w:val="0"/>
                      <w:color w:val="auto"/>
                      <w:sz w:val="21"/>
                      <w:szCs w:val="21"/>
                    </w:rPr>
                    <w:t>704</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02" w:type="pct"/>
                  <w:shd w:val="clear" w:color="auto" w:fill="auto"/>
                  <w:noWrap w:val="0"/>
                  <w:vAlign w:val="center"/>
                </w:tcPr>
                <w:p w14:paraId="1FDA98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23" w:type="pct"/>
                  <w:shd w:val="clear" w:color="auto" w:fill="auto"/>
                  <w:noWrap w:val="0"/>
                  <w:vAlign w:val="center"/>
                </w:tcPr>
                <w:p w14:paraId="4664F6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c>
                <w:tcPr>
                  <w:tcW w:w="827" w:type="pct"/>
                  <w:vMerge w:val="continue"/>
                  <w:noWrap w:val="0"/>
                  <w:vAlign w:val="center"/>
                </w:tcPr>
                <w:p w14:paraId="18C8CA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p>
              </w:tc>
            </w:tr>
            <w:tr w14:paraId="2F8C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119" w:type="pct"/>
                  <w:shd w:val="clear" w:color="auto" w:fill="auto"/>
                  <w:noWrap w:val="0"/>
                  <w:vAlign w:val="center"/>
                </w:tcPr>
                <w:p w14:paraId="7B1AA05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厂界北</w:t>
                  </w:r>
                </w:p>
              </w:tc>
              <w:tc>
                <w:tcPr>
                  <w:tcW w:w="755" w:type="pct"/>
                  <w:vMerge w:val="continue"/>
                  <w:shd w:val="clear" w:color="auto" w:fill="auto"/>
                  <w:noWrap w:val="0"/>
                  <w:vAlign w:val="center"/>
                </w:tcPr>
                <w:p w14:paraId="564DD4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872" w:type="pct"/>
                  <w:shd w:val="clear" w:color="auto" w:fill="auto"/>
                  <w:noWrap w:val="0"/>
                  <w:vAlign w:val="center"/>
                </w:tcPr>
                <w:p w14:paraId="21DA7A9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0.</w:t>
                  </w:r>
                  <w:r>
                    <w:rPr>
                      <w:rFonts w:hint="default" w:ascii="Times New Roman" w:hAnsi="Times New Roman" w:eastAsia="宋体" w:cs="Times New Roman"/>
                      <w:b w:val="0"/>
                      <w:color w:val="auto"/>
                      <w:sz w:val="21"/>
                      <w:szCs w:val="21"/>
                    </w:rPr>
                    <w:t>871</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02" w:type="pct"/>
                  <w:shd w:val="clear" w:color="auto" w:fill="auto"/>
                  <w:noWrap w:val="0"/>
                  <w:vAlign w:val="center"/>
                </w:tcPr>
                <w:p w14:paraId="5C3C6E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23" w:type="pct"/>
                  <w:shd w:val="clear" w:color="auto" w:fill="auto"/>
                  <w:noWrap w:val="0"/>
                  <w:vAlign w:val="center"/>
                </w:tcPr>
                <w:p w14:paraId="492422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c>
                <w:tcPr>
                  <w:tcW w:w="827" w:type="pct"/>
                  <w:vMerge w:val="continue"/>
                  <w:noWrap w:val="0"/>
                  <w:vAlign w:val="center"/>
                </w:tcPr>
                <w:p w14:paraId="354DBF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p>
              </w:tc>
            </w:tr>
            <w:tr w14:paraId="619E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119" w:type="pct"/>
                  <w:shd w:val="clear" w:color="auto" w:fill="auto"/>
                  <w:noWrap w:val="0"/>
                  <w:vAlign w:val="center"/>
                </w:tcPr>
                <w:p w14:paraId="35281CF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rPr>
                    <w:t>厂界南</w:t>
                  </w:r>
                </w:p>
              </w:tc>
              <w:tc>
                <w:tcPr>
                  <w:tcW w:w="755" w:type="pct"/>
                  <w:vMerge w:val="continue"/>
                  <w:shd w:val="clear" w:color="auto" w:fill="auto"/>
                  <w:noWrap w:val="0"/>
                  <w:vAlign w:val="center"/>
                </w:tcPr>
                <w:p w14:paraId="6C1F92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872" w:type="pct"/>
                  <w:shd w:val="clear" w:color="auto" w:fill="auto"/>
                  <w:noWrap w:val="0"/>
                  <w:vAlign w:val="center"/>
                </w:tcPr>
                <w:p w14:paraId="2698791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color w:val="auto"/>
                      <w:sz w:val="21"/>
                      <w:szCs w:val="21"/>
                      <w:lang w:val="en-US" w:eastAsia="zh-CN"/>
                    </w:rPr>
                    <w:t>0.</w:t>
                  </w:r>
                  <w:r>
                    <w:rPr>
                      <w:rFonts w:hint="default" w:ascii="Times New Roman" w:hAnsi="Times New Roman" w:eastAsia="宋体" w:cs="Times New Roman"/>
                      <w:b w:val="0"/>
                      <w:color w:val="auto"/>
                      <w:sz w:val="21"/>
                      <w:szCs w:val="21"/>
                    </w:rPr>
                    <w:t>88</w:t>
                  </w:r>
                  <w:r>
                    <w:rPr>
                      <w:rFonts w:hint="default" w:ascii="Times New Roman" w:hAnsi="Times New Roman" w:eastAsia="宋体" w:cs="Times New Roman"/>
                      <w:b w:val="0"/>
                      <w:color w:val="auto"/>
                      <w:sz w:val="21"/>
                      <w:szCs w:val="21"/>
                      <w:lang w:val="en-US" w:eastAsia="zh-CN"/>
                    </w:rPr>
                    <w:t>4</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02" w:type="pct"/>
                  <w:shd w:val="clear" w:color="auto" w:fill="auto"/>
                  <w:noWrap w:val="0"/>
                  <w:vAlign w:val="center"/>
                </w:tcPr>
                <w:p w14:paraId="490A65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23" w:type="pct"/>
                  <w:shd w:val="clear" w:color="auto" w:fill="auto"/>
                  <w:noWrap w:val="0"/>
                  <w:vAlign w:val="center"/>
                </w:tcPr>
                <w:p w14:paraId="7C9815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c>
                <w:tcPr>
                  <w:tcW w:w="827" w:type="pct"/>
                  <w:vMerge w:val="continue"/>
                  <w:noWrap w:val="0"/>
                  <w:vAlign w:val="center"/>
                </w:tcPr>
                <w:p w14:paraId="4CB971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p>
              </w:tc>
            </w:tr>
            <w:tr w14:paraId="23AA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119" w:type="pct"/>
                  <w:noWrap w:val="0"/>
                  <w:vAlign w:val="center"/>
                </w:tcPr>
                <w:p w14:paraId="06E8EF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敏感点（龙潭村）</w:t>
                  </w:r>
                </w:p>
              </w:tc>
              <w:tc>
                <w:tcPr>
                  <w:tcW w:w="755" w:type="pct"/>
                  <w:vMerge w:val="continue"/>
                  <w:shd w:val="clear" w:color="auto" w:fill="auto"/>
                  <w:noWrap w:val="0"/>
                  <w:vAlign w:val="center"/>
                </w:tcPr>
                <w:p w14:paraId="5EACDB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p>
              </w:tc>
              <w:tc>
                <w:tcPr>
                  <w:tcW w:w="872" w:type="pct"/>
                  <w:shd w:val="clear" w:color="auto" w:fill="auto"/>
                  <w:noWrap w:val="0"/>
                  <w:vAlign w:val="center"/>
                </w:tcPr>
                <w:p w14:paraId="375915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0.328</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02" w:type="pct"/>
                  <w:shd w:val="clear" w:color="auto" w:fill="auto"/>
                  <w:noWrap w:val="0"/>
                  <w:vAlign w:val="center"/>
                </w:tcPr>
                <w:p w14:paraId="6422B6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23" w:type="pct"/>
                  <w:shd w:val="clear" w:color="auto" w:fill="auto"/>
                  <w:noWrap w:val="0"/>
                  <w:vAlign w:val="center"/>
                </w:tcPr>
                <w:p w14:paraId="626D7A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c>
                <w:tcPr>
                  <w:tcW w:w="827" w:type="pct"/>
                  <w:vMerge w:val="continue"/>
                  <w:noWrap w:val="0"/>
                  <w:vAlign w:val="center"/>
                </w:tcPr>
                <w:p w14:paraId="6171C6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p>
              </w:tc>
            </w:tr>
            <w:tr w14:paraId="0417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5000" w:type="pct"/>
                  <w:gridSpan w:val="6"/>
                  <w:noWrap w:val="0"/>
                  <w:vAlign w:val="center"/>
                </w:tcPr>
                <w:p w14:paraId="29DFE3BC">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备注：本次预测将在建配矿项目和配煤项目（本项目）一并核算</w:t>
                  </w:r>
                </w:p>
              </w:tc>
            </w:tr>
          </w:tbl>
          <w:p w14:paraId="636954B2">
            <w:pPr>
              <w:pStyle w:val="43"/>
              <w:keepNext w:val="0"/>
              <w:keepLines/>
              <w:pageBreakBefore w:val="0"/>
              <w:widowControl w:val="0"/>
              <w:kinsoku/>
              <w:wordWrap/>
              <w:overflowPunct/>
              <w:topLinePunct w:val="0"/>
              <w:autoSpaceDE w:val="0"/>
              <w:autoSpaceDN w:val="0"/>
              <w:bidi w:val="0"/>
              <w:adjustRightInd/>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根据上表可知，本项目排放的无组织粉尘产生的影响对环境空气敏感点（龙潭村）的影响在可接受范围内，</w:t>
            </w:r>
            <w:r>
              <w:rPr>
                <w:rFonts w:hint="default" w:ascii="Times New Roman" w:hAnsi="Times New Roman" w:eastAsia="宋体" w:cs="Times New Roman"/>
                <w:color w:val="auto"/>
                <w:sz w:val="24"/>
                <w:szCs w:val="24"/>
                <w:lang w:val="en-US" w:eastAsia="zh-CN"/>
              </w:rPr>
              <w:t>根据预测结果，本项目无组织颗粒物能满足</w:t>
            </w:r>
            <w:r>
              <w:rPr>
                <w:rFonts w:hint="eastAsia" w:ascii="Times New Roman" w:hAnsi="Times New Roman" w:eastAsia="宋体" w:cs="Times New Roman"/>
                <w:color w:val="auto"/>
                <w:sz w:val="24"/>
                <w:szCs w:val="24"/>
                <w:lang w:val="en-US" w:eastAsia="zh-CN"/>
              </w:rPr>
              <w:t>《煤炭工业污染物排放标准》（GB20426-2006）表5标准限值</w:t>
            </w:r>
            <w:r>
              <w:rPr>
                <w:rFonts w:hint="default" w:ascii="Times New Roman" w:hAnsi="Times New Roman" w:eastAsia="宋体" w:cs="Times New Roman"/>
                <w:color w:val="auto"/>
                <w:sz w:val="24"/>
                <w:szCs w:val="24"/>
                <w:lang w:val="en-US" w:eastAsia="zh-CN"/>
              </w:rPr>
              <w:t>，本项目无组织废气</w:t>
            </w:r>
            <w:r>
              <w:rPr>
                <w:rFonts w:hint="eastAsia" w:ascii="Times New Roman" w:hAnsi="Times New Roman" w:eastAsia="宋体" w:cs="Times New Roman"/>
                <w:color w:val="auto"/>
                <w:sz w:val="24"/>
                <w:szCs w:val="24"/>
                <w:lang w:val="en-US" w:eastAsia="zh-CN"/>
              </w:rPr>
              <w:t>可以做到达标外排，</w:t>
            </w:r>
            <w:r>
              <w:rPr>
                <w:rFonts w:hint="default" w:ascii="Times New Roman" w:hAnsi="Times New Roman" w:eastAsia="宋体" w:cs="Times New Roman"/>
                <w:color w:val="auto"/>
                <w:sz w:val="24"/>
                <w:szCs w:val="24"/>
                <w:lang w:val="en-US" w:eastAsia="zh-CN"/>
              </w:rPr>
              <w:t>对外环境影响较小。</w:t>
            </w:r>
          </w:p>
          <w:p w14:paraId="4B15A609">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4、</w:t>
            </w:r>
            <w:r>
              <w:rPr>
                <w:rFonts w:hint="default" w:ascii="Times New Roman" w:hAnsi="Times New Roman" w:cs="Times New Roman"/>
                <w:b/>
                <w:bCs/>
                <w:color w:val="auto"/>
                <w:sz w:val="24"/>
              </w:rPr>
              <w:t>废气治理可行性分析</w:t>
            </w:r>
          </w:p>
          <w:p w14:paraId="099DB2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本项目仅进行煤炭的混配，不涉及通用工序，</w:t>
            </w:r>
            <w:r>
              <w:rPr>
                <w:rFonts w:hint="default" w:ascii="Times New Roman" w:hAnsi="Times New Roman" w:eastAsia="宋体" w:cs="Times New Roman"/>
                <w:color w:val="auto"/>
                <w:sz w:val="24"/>
                <w:lang w:val="en-US" w:eastAsia="zh-CN"/>
              </w:rPr>
              <w:t>根据《固定污染源排污许可分类管理名录》（20</w:t>
            </w:r>
            <w:r>
              <w:rPr>
                <w:rFonts w:hint="eastAsia" w:ascii="Times New Roman" w:hAnsi="Times New Roman" w:eastAsia="宋体" w:cs="Times New Roman"/>
                <w:color w:val="auto"/>
                <w:sz w:val="24"/>
                <w:lang w:val="en-US" w:eastAsia="zh-CN"/>
              </w:rPr>
              <w:t>19</w:t>
            </w:r>
            <w:r>
              <w:rPr>
                <w:rFonts w:hint="default" w:ascii="Times New Roman" w:hAnsi="Times New Roman" w:eastAsia="宋体" w:cs="Times New Roman"/>
                <w:color w:val="auto"/>
                <w:sz w:val="24"/>
                <w:lang w:val="en-US" w:eastAsia="zh-CN"/>
              </w:rPr>
              <w:t>年版），本项目排污许可管理类别为登记管理，本次可行技术主要参照《火电厂污染防治可行技术指南》（ HJ2301-2017 ）表</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煤炭装卸 、贮存与输送过程扬尘防治可行技术中推荐的可行技术</w:t>
            </w:r>
            <w:r>
              <w:rPr>
                <w:rFonts w:hint="eastAsia" w:ascii="Times New Roman" w:hAnsi="Times New Roman" w:eastAsia="宋体" w:cs="Times New Roman"/>
                <w:color w:val="auto"/>
                <w:sz w:val="24"/>
                <w:lang w:val="en-US" w:eastAsia="zh-CN"/>
              </w:rPr>
              <w:t>，具体为“</w:t>
            </w:r>
            <w:r>
              <w:rPr>
                <w:rFonts w:hint="default" w:ascii="Times New Roman" w:hAnsi="Times New Roman" w:eastAsia="宋体" w:cs="Times New Roman"/>
                <w:color w:val="auto"/>
                <w:sz w:val="24"/>
                <w:lang w:val="en-US" w:eastAsia="zh-CN"/>
              </w:rPr>
              <w:t>厂内贮煤场扬尘防治</w:t>
            </w:r>
            <w:r>
              <w:rPr>
                <w:rFonts w:hint="eastAsia" w:ascii="Times New Roman" w:hAnsi="Times New Roman" w:eastAsia="宋体" w:cs="Times New Roman"/>
                <w:color w:val="auto"/>
                <w:sz w:val="24"/>
                <w:lang w:val="en-US" w:eastAsia="zh-CN"/>
              </w:rPr>
              <w:t xml:space="preserve">  封闭式煤场设置喷酒装置”</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val="en-US" w:eastAsia="zh-CN"/>
              </w:rPr>
              <w:t>项目原煤卸煤、配煤、混煤装载均在封闭式配煤车间进行，封闭式配煤车间设置</w:t>
            </w:r>
            <w:r>
              <w:rPr>
                <w:rFonts w:hint="eastAsia" w:ascii="Times New Roman" w:hAnsi="Times New Roman" w:eastAsia="宋体" w:cs="Times New Roman"/>
                <w:color w:val="auto"/>
                <w:sz w:val="24"/>
                <w:lang w:val="en-US" w:eastAsia="zh-CN"/>
              </w:rPr>
              <w:t>洒水降尘</w:t>
            </w:r>
            <w:r>
              <w:rPr>
                <w:rFonts w:hint="default" w:ascii="Times New Roman" w:hAnsi="Times New Roman" w:eastAsia="宋体" w:cs="Times New Roman"/>
                <w:color w:val="auto"/>
                <w:sz w:val="24"/>
                <w:lang w:val="en-US" w:eastAsia="zh-CN"/>
              </w:rPr>
              <w:t>装置</w:t>
            </w:r>
            <w:r>
              <w:rPr>
                <w:rFonts w:hint="eastAsia" w:ascii="Times New Roman" w:hAnsi="Times New Roman" w:eastAsia="宋体" w:cs="Times New Roman"/>
                <w:color w:val="auto"/>
                <w:sz w:val="24"/>
                <w:lang w:val="en-US" w:eastAsia="zh-CN"/>
              </w:rPr>
              <w:t>为推荐的</w:t>
            </w:r>
            <w:r>
              <w:rPr>
                <w:rFonts w:hint="default" w:ascii="Times New Roman" w:hAnsi="Times New Roman" w:eastAsia="宋体" w:cs="Times New Roman"/>
                <w:color w:val="auto"/>
                <w:sz w:val="24"/>
                <w:lang w:val="en-US" w:eastAsia="zh-CN"/>
              </w:rPr>
              <w:t>可行技术</w:t>
            </w:r>
            <w:r>
              <w:rPr>
                <w:rFonts w:hint="default" w:ascii="Times New Roman" w:hAnsi="Times New Roman" w:eastAsia="宋体" w:cs="Times New Roman"/>
                <w:color w:val="auto"/>
                <w:sz w:val="24"/>
              </w:rPr>
              <w:t>，根据上文</w:t>
            </w:r>
            <w:r>
              <w:rPr>
                <w:rFonts w:hint="eastAsia" w:ascii="Times New Roman" w:hAnsi="Times New Roman" w:eastAsia="宋体" w:cs="Times New Roman"/>
                <w:color w:val="auto"/>
                <w:sz w:val="24"/>
                <w:lang w:val="en-US" w:eastAsia="zh-CN"/>
              </w:rPr>
              <w:t>分析可知</w:t>
            </w:r>
            <w:r>
              <w:rPr>
                <w:rFonts w:hint="default" w:ascii="Times New Roman" w:hAnsi="Times New Roman" w:eastAsia="宋体" w:cs="Times New Roman"/>
                <w:color w:val="auto"/>
                <w:sz w:val="24"/>
              </w:rPr>
              <w:t>，本项目产生的废气均能够实现达标排放</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因此，项目采用的废气处理设施是有效可行的。</w:t>
            </w:r>
          </w:p>
          <w:p w14:paraId="68A80185">
            <w:pPr>
              <w:keepNext w:val="0"/>
              <w:keepLines/>
              <w:pageBreakBefore w:val="0"/>
              <w:tabs>
                <w:tab w:val="left" w:pos="4830"/>
              </w:tabs>
              <w:kinsoku/>
              <w:overflowPunct/>
              <w:bidi w:val="0"/>
              <w:adjustRightInd/>
              <w:spacing w:line="360" w:lineRule="auto"/>
              <w:ind w:firstLine="482" w:firstLineChars="200"/>
              <w:rPr>
                <w:rFonts w:hint="eastAsia" w:ascii="Times New Roman" w:hAnsi="Times New Roman" w:eastAsia="宋体" w:cs="Times New Roman"/>
                <w:b/>
                <w:bCs/>
                <w:color w:val="auto"/>
                <w:sz w:val="24"/>
                <w:lang w:val="en-US" w:eastAsia="zh-CN"/>
              </w:rPr>
            </w:pPr>
            <w:bookmarkStart w:id="32" w:name="_Toc1237"/>
            <w:r>
              <w:rPr>
                <w:rFonts w:hint="eastAsia" w:ascii="Times New Roman" w:hAnsi="Times New Roman" w:eastAsia="宋体" w:cs="Times New Roman"/>
                <w:b/>
                <w:bCs/>
                <w:color w:val="auto"/>
                <w:sz w:val="24"/>
                <w:lang w:val="en-US" w:eastAsia="zh-CN"/>
              </w:rPr>
              <w:t>5、物料运输产生的影响分析</w:t>
            </w:r>
            <w:bookmarkEnd w:id="32"/>
          </w:p>
          <w:p w14:paraId="1163B82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项目原</w:t>
            </w:r>
            <w:r>
              <w:rPr>
                <w:rFonts w:hint="eastAsia" w:cs="Times New Roman" w:eastAsiaTheme="minorEastAsia"/>
                <w:color w:val="auto"/>
                <w:sz w:val="24"/>
                <w:szCs w:val="24"/>
                <w:lang w:val="en-US" w:eastAsia="zh-CN"/>
              </w:rPr>
              <w:t>煤</w:t>
            </w:r>
            <w:r>
              <w:rPr>
                <w:rFonts w:hint="default" w:ascii="Times New Roman" w:hAnsi="Times New Roman" w:cs="Times New Roman" w:eastAsiaTheme="minorEastAsia"/>
                <w:color w:val="auto"/>
                <w:sz w:val="24"/>
                <w:szCs w:val="24"/>
                <w:lang w:val="en-US" w:eastAsia="zh-CN"/>
              </w:rPr>
              <w:t>和</w:t>
            </w:r>
            <w:r>
              <w:rPr>
                <w:rFonts w:hint="eastAsia" w:cs="Times New Roman" w:eastAsiaTheme="minorEastAsia"/>
                <w:color w:val="auto"/>
                <w:sz w:val="24"/>
                <w:szCs w:val="24"/>
                <w:lang w:val="en-US" w:eastAsia="zh-CN"/>
              </w:rPr>
              <w:t>配煤混合</w:t>
            </w:r>
            <w:r>
              <w:rPr>
                <w:rFonts w:hint="default" w:ascii="Times New Roman" w:hAnsi="Times New Roman" w:cs="Times New Roman" w:eastAsiaTheme="minorEastAsia"/>
                <w:color w:val="auto"/>
                <w:sz w:val="24"/>
                <w:szCs w:val="24"/>
                <w:lang w:val="en-US" w:eastAsia="zh-CN"/>
              </w:rPr>
              <w:t>的</w:t>
            </w:r>
            <w:r>
              <w:rPr>
                <w:rFonts w:hint="eastAsia" w:cs="Times New Roman" w:eastAsiaTheme="minorEastAsia"/>
                <w:color w:val="auto"/>
                <w:sz w:val="24"/>
                <w:szCs w:val="24"/>
                <w:lang w:val="en-US" w:eastAsia="zh-CN"/>
              </w:rPr>
              <w:t>混煤</w:t>
            </w:r>
            <w:r>
              <w:rPr>
                <w:rFonts w:hint="default" w:ascii="Times New Roman" w:hAnsi="Times New Roman" w:cs="Times New Roman" w:eastAsiaTheme="minorEastAsia"/>
                <w:color w:val="auto"/>
                <w:sz w:val="24"/>
                <w:szCs w:val="24"/>
                <w:lang w:val="en-US" w:eastAsia="zh-CN"/>
              </w:rPr>
              <w:t>均采用核载运输量约为50t的汽车进行运输，沿途会经过化念镇等村庄，运输途中会产生少量的扬尘污染，同时会对沿途的交通运输路线造成一定的影响和对运输途中沿途的居民造成噪声污染，为预防和减轻项目建成后对外环境的影响，本次环评建议建设单位采取以下措施来减少项目对外环境的影响，具体如下：</w:t>
            </w:r>
          </w:p>
          <w:p w14:paraId="055F39B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（1）严禁超高运输，降低装载物料的高度，保证装料高度不超过车厢边沿，并在装车完毕后洒水增湿料面，最后加盖苫布</w:t>
            </w:r>
            <w:r>
              <w:rPr>
                <w:rFonts w:hint="eastAsia" w:cs="Times New Roman" w:eastAsiaTheme="minorEastAsia"/>
                <w:color w:val="auto"/>
                <w:sz w:val="24"/>
                <w:szCs w:val="24"/>
                <w:lang w:val="en-US" w:eastAsia="zh-CN"/>
              </w:rPr>
              <w:t>，有条件的应做到密闭运输</w:t>
            </w:r>
            <w:r>
              <w:rPr>
                <w:rFonts w:hint="default" w:ascii="Times New Roman" w:hAnsi="Times New Roman" w:cs="Times New Roman" w:eastAsiaTheme="minorEastAsia"/>
                <w:color w:val="auto"/>
                <w:sz w:val="24"/>
                <w:szCs w:val="24"/>
                <w:lang w:val="en-US" w:eastAsia="zh-CN"/>
              </w:rPr>
              <w:t>，减少运输过程中车辆产生的扬尘</w:t>
            </w:r>
            <w:r>
              <w:rPr>
                <w:rFonts w:hint="eastAsia" w:cs="Times New Roman" w:eastAsiaTheme="minorEastAsia"/>
                <w:color w:val="auto"/>
                <w:sz w:val="24"/>
                <w:szCs w:val="24"/>
                <w:lang w:val="en-US" w:eastAsia="zh-CN"/>
              </w:rPr>
              <w:t>，同时应限速行驶，尽量减少无组织粉尘的逸散</w:t>
            </w:r>
            <w:r>
              <w:rPr>
                <w:rFonts w:hint="default" w:ascii="Times New Roman" w:hAnsi="Times New Roman" w:cs="Times New Roman" w:eastAsiaTheme="minorEastAsia"/>
                <w:color w:val="auto"/>
                <w:sz w:val="24"/>
                <w:szCs w:val="24"/>
                <w:lang w:val="en-US" w:eastAsia="zh-CN"/>
              </w:rPr>
              <w:t>；</w:t>
            </w:r>
          </w:p>
          <w:p w14:paraId="5EE693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（2）委托运输时应查看车辆是否已经过汽车尾气年检，不得委派尾气排放不达标的车辆运输</w:t>
            </w:r>
            <w:r>
              <w:rPr>
                <w:rFonts w:hint="eastAsia" w:cs="Times New Roman" w:eastAsiaTheme="minorEastAsia"/>
                <w:color w:val="auto"/>
                <w:sz w:val="24"/>
                <w:szCs w:val="24"/>
                <w:lang w:val="en-US" w:eastAsia="zh-CN"/>
              </w:rPr>
              <w:t>，本次评价建议建设单位优先选用新能源汽车进行运输，尽量减少化石能源的使用</w:t>
            </w:r>
            <w:r>
              <w:rPr>
                <w:rFonts w:hint="default" w:ascii="Times New Roman" w:hAnsi="Times New Roman" w:cs="Times New Roman" w:eastAsiaTheme="minorEastAsia"/>
                <w:color w:val="auto"/>
                <w:sz w:val="24"/>
                <w:szCs w:val="24"/>
                <w:lang w:val="en-US" w:eastAsia="zh-CN"/>
              </w:rPr>
              <w:t>；</w:t>
            </w:r>
          </w:p>
          <w:p w14:paraId="56F137F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（3）加强对司机的环境保护意识，严格控制机动车辆鸣笛、刹车和其他音响信号装置噪声等偶发噪声，在车辆路过村庄外围时应减速慢行（车速≤35km/h）、禁鸣喇叭，减轻交通噪声对附近村屯敏感点的影响</w:t>
            </w:r>
            <w:r>
              <w:rPr>
                <w:rFonts w:hint="eastAsia" w:cs="Times New Roman" w:eastAsiaTheme="minorEastAsia"/>
                <w:color w:val="auto"/>
                <w:sz w:val="24"/>
                <w:szCs w:val="24"/>
                <w:lang w:val="en-US" w:eastAsia="zh-CN"/>
              </w:rPr>
              <w:t>；</w:t>
            </w:r>
          </w:p>
          <w:p w14:paraId="6227A3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（4）运输经过村庄、农田时要减速慢行，运输只在白天进行，合理调配运输时段，尽量避免在午休等居民正常休息时段经过城镇外围；</w:t>
            </w:r>
          </w:p>
          <w:p w14:paraId="39344E1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（5）建议建设单位征得当地村委会同意后，可在途径村庄外围的道路设置减速带、竖立限速和禁止鸣笛警示牌提醒过路车辆。</w:t>
            </w:r>
          </w:p>
          <w:p w14:paraId="5848D4E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eastAsiaTheme="minorEastAsia"/>
                <w:color w:val="auto"/>
                <w:sz w:val="24"/>
                <w:szCs w:val="24"/>
                <w:lang w:val="en-US" w:eastAsia="zh-CN"/>
              </w:rPr>
              <w:t>通过采取上述措施，本工程建成后，对外环境的影响相较小。</w:t>
            </w:r>
          </w:p>
          <w:p w14:paraId="711D649D">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6、</w:t>
            </w:r>
            <w:r>
              <w:rPr>
                <w:rFonts w:hint="default" w:ascii="Times New Roman" w:hAnsi="Times New Roman" w:cs="Times New Roman"/>
                <w:b/>
                <w:bCs/>
                <w:color w:val="auto"/>
                <w:sz w:val="24"/>
              </w:rPr>
              <w:t>自行监测一览表</w:t>
            </w:r>
          </w:p>
          <w:p w14:paraId="643D5780">
            <w:pPr>
              <w:keepNext w:val="0"/>
              <w:keepLines/>
              <w:pageBreakBefore w:val="0"/>
              <w:kinsoku/>
              <w:overflowPunct/>
              <w:bidi w:val="0"/>
              <w:adjustRightInd/>
              <w:spacing w:line="360" w:lineRule="auto"/>
              <w:ind w:firstLine="472" w:firstLineChars="200"/>
              <w:rPr>
                <w:rFonts w:hint="default" w:ascii="Times New Roman" w:hAnsi="Times New Roman" w:eastAsia="宋体" w:cs="Times New Roman"/>
                <w:b/>
                <w:color w:val="auto"/>
                <w:sz w:val="24"/>
                <w:szCs w:val="24"/>
              </w:rPr>
            </w:pPr>
            <w:r>
              <w:rPr>
                <w:color w:val="auto"/>
                <w:spacing w:val="-2"/>
              </w:rPr>
              <w:t>根据《固定污染源排污许可分类管理名录》（</w:t>
            </w:r>
            <w:r>
              <w:rPr>
                <w:rFonts w:hint="eastAsia" w:eastAsia="宋体" w:cs="Times New Roman"/>
                <w:color w:val="auto"/>
                <w:spacing w:val="-2"/>
                <w:lang w:val="en-US" w:eastAsia="zh-CN"/>
              </w:rPr>
              <w:t>2019</w:t>
            </w:r>
            <w:r>
              <w:rPr>
                <w:rFonts w:ascii="Times New Roman" w:hAnsi="Times New Roman" w:eastAsia="Times New Roman" w:cs="Times New Roman"/>
                <w:color w:val="auto"/>
                <w:spacing w:val="-2"/>
              </w:rPr>
              <w:t xml:space="preserve"> </w:t>
            </w:r>
            <w:r>
              <w:rPr>
                <w:color w:val="auto"/>
                <w:spacing w:val="-2"/>
              </w:rPr>
              <w:t>年版</w:t>
            </w:r>
            <w:r>
              <w:rPr>
                <w:color w:val="auto"/>
                <w:spacing w:val="1"/>
              </w:rPr>
              <w:t>），</w:t>
            </w:r>
            <w:r>
              <w:rPr>
                <w:color w:val="auto"/>
                <w:spacing w:val="-2"/>
              </w:rPr>
              <w:t>本项目排污许</w:t>
            </w:r>
            <w:r>
              <w:rPr>
                <w:color w:val="auto"/>
              </w:rPr>
              <w:t>可管理类别为登记管理</w:t>
            </w:r>
            <w:r>
              <w:rPr>
                <w:rFonts w:hint="eastAsia"/>
                <w:color w:val="auto"/>
                <w:lang w:eastAsia="zh-CN"/>
              </w:rPr>
              <w:t>，</w:t>
            </w:r>
            <w:r>
              <w:rPr>
                <w:rFonts w:hint="default" w:ascii="Times New Roman" w:hAnsi="Times New Roman" w:eastAsia="宋体" w:cs="Times New Roman"/>
                <w:color w:val="auto"/>
              </w:rPr>
              <w:t>自行监测</w:t>
            </w:r>
            <w:r>
              <w:rPr>
                <w:rFonts w:hint="eastAsia" w:ascii="Times New Roman" w:hAnsi="Times New Roman" w:eastAsia="宋体" w:cs="Times New Roman"/>
                <w:color w:val="auto"/>
                <w:lang w:val="en-US" w:eastAsia="zh-CN"/>
              </w:rPr>
              <w:t>参照</w:t>
            </w:r>
            <w:r>
              <w:rPr>
                <w:rFonts w:hint="default" w:ascii="Times New Roman" w:hAnsi="Times New Roman" w:eastAsia="宋体" w:cs="Times New Roman"/>
                <w:color w:val="auto"/>
              </w:rPr>
              <w:t>《排污单位自行监测技术指南-总则》（HJ819-2017）</w:t>
            </w:r>
            <w:r>
              <w:rPr>
                <w:rFonts w:hint="eastAsia" w:cs="Times New Roman"/>
                <w:color w:val="auto"/>
                <w:lang w:val="en-US" w:eastAsia="zh-CN"/>
              </w:rPr>
              <w:t>执行</w:t>
            </w:r>
            <w:r>
              <w:rPr>
                <w:rFonts w:hint="default" w:ascii="Times New Roman" w:hAnsi="Times New Roman" w:eastAsia="宋体" w:cs="Times New Roman"/>
                <w:color w:val="auto"/>
                <w:sz w:val="24"/>
              </w:rPr>
              <w:t>，具体详见下表。</w:t>
            </w:r>
          </w:p>
          <w:p w14:paraId="00A5D2A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项目废气自行监测一览表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778"/>
              <w:gridCol w:w="956"/>
              <w:gridCol w:w="680"/>
              <w:gridCol w:w="2052"/>
              <w:gridCol w:w="794"/>
              <w:gridCol w:w="1343"/>
              <w:gridCol w:w="641"/>
            </w:tblGrid>
            <w:tr w14:paraId="68C6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375" w:type="pct"/>
                  <w:noWrap w:val="0"/>
                  <w:vAlign w:val="center"/>
                </w:tcPr>
                <w:p w14:paraId="027FAC79">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类别</w:t>
                  </w:r>
                </w:p>
              </w:tc>
              <w:tc>
                <w:tcPr>
                  <w:tcW w:w="496" w:type="pct"/>
                  <w:noWrap w:val="0"/>
                  <w:vAlign w:val="center"/>
                </w:tcPr>
                <w:p w14:paraId="10FBFE85">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监测点位</w:t>
                  </w:r>
                </w:p>
              </w:tc>
              <w:tc>
                <w:tcPr>
                  <w:tcW w:w="610" w:type="pct"/>
                  <w:noWrap w:val="0"/>
                  <w:vAlign w:val="center"/>
                </w:tcPr>
                <w:p w14:paraId="0F3DC5A9">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监测指标</w:t>
                  </w:r>
                </w:p>
              </w:tc>
              <w:tc>
                <w:tcPr>
                  <w:tcW w:w="434" w:type="pct"/>
                  <w:noWrap w:val="0"/>
                  <w:vAlign w:val="center"/>
                </w:tcPr>
                <w:p w14:paraId="0FC68484">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监测频次</w:t>
                  </w:r>
                </w:p>
              </w:tc>
              <w:tc>
                <w:tcPr>
                  <w:tcW w:w="1309" w:type="pct"/>
                  <w:noWrap w:val="0"/>
                  <w:vAlign w:val="center"/>
                </w:tcPr>
                <w:p w14:paraId="66CB2F0C">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执行标准</w:t>
                  </w:r>
                </w:p>
              </w:tc>
              <w:tc>
                <w:tcPr>
                  <w:tcW w:w="1364" w:type="pct"/>
                  <w:gridSpan w:val="2"/>
                  <w:noWrap w:val="0"/>
                  <w:vAlign w:val="center"/>
                </w:tcPr>
                <w:p w14:paraId="076AEC9B">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限值</w:t>
                  </w:r>
                </w:p>
              </w:tc>
              <w:tc>
                <w:tcPr>
                  <w:tcW w:w="409" w:type="pct"/>
                  <w:noWrap w:val="0"/>
                  <w:vAlign w:val="center"/>
                </w:tcPr>
                <w:p w14:paraId="701CA7EB">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备注</w:t>
                  </w:r>
                </w:p>
              </w:tc>
            </w:tr>
            <w:tr w14:paraId="48DB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75" w:type="pct"/>
                  <w:noWrap w:val="0"/>
                  <w:vAlign w:val="center"/>
                </w:tcPr>
                <w:p w14:paraId="15E0AA60">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废气</w:t>
                  </w:r>
                </w:p>
              </w:tc>
              <w:tc>
                <w:tcPr>
                  <w:tcW w:w="496" w:type="pct"/>
                  <w:noWrap w:val="0"/>
                  <w:vAlign w:val="center"/>
                </w:tcPr>
                <w:p w14:paraId="5570F45C">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厂界</w:t>
                  </w:r>
                </w:p>
              </w:tc>
              <w:tc>
                <w:tcPr>
                  <w:tcW w:w="610" w:type="pct"/>
                  <w:noWrap w:val="0"/>
                  <w:vAlign w:val="center"/>
                </w:tcPr>
                <w:p w14:paraId="2C9E270E">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颗粒物</w:t>
                  </w:r>
                </w:p>
              </w:tc>
              <w:tc>
                <w:tcPr>
                  <w:tcW w:w="434" w:type="pct"/>
                  <w:noWrap w:val="0"/>
                  <w:vAlign w:val="center"/>
                </w:tcPr>
                <w:p w14:paraId="4F887E7C">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1次/年</w:t>
                  </w:r>
                </w:p>
              </w:tc>
              <w:tc>
                <w:tcPr>
                  <w:tcW w:w="1309" w:type="pct"/>
                  <w:noWrap w:val="0"/>
                  <w:vAlign w:val="center"/>
                </w:tcPr>
                <w:p w14:paraId="6E3723DB">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执行</w:t>
                  </w:r>
                  <w:r>
                    <w:rPr>
                      <w:rFonts w:hint="default" w:ascii="Times New Roman" w:hAnsi="Times New Roman" w:cs="Times New Roman" w:eastAsiaTheme="minorEastAsia"/>
                      <w:color w:val="auto"/>
                      <w:kern w:val="0"/>
                      <w:sz w:val="21"/>
                      <w:szCs w:val="21"/>
                    </w:rPr>
                    <w:t>《</w:t>
                  </w:r>
                  <w:r>
                    <w:rPr>
                      <w:rFonts w:hint="eastAsia" w:cs="Times New Roman" w:eastAsiaTheme="minorEastAsia"/>
                      <w:color w:val="auto"/>
                      <w:kern w:val="0"/>
                      <w:sz w:val="21"/>
                      <w:szCs w:val="21"/>
                      <w:lang w:eastAsia="zh-CN"/>
                    </w:rPr>
                    <w:t>煤炭工业污染物排放标准</w:t>
                  </w:r>
                  <w:r>
                    <w:rPr>
                      <w:rFonts w:hint="default" w:ascii="Times New Roman" w:hAnsi="Times New Roman" w:cs="Times New Roman" w:eastAsiaTheme="minorEastAsia"/>
                      <w:color w:val="auto"/>
                      <w:kern w:val="0"/>
                      <w:sz w:val="21"/>
                      <w:szCs w:val="21"/>
                    </w:rPr>
                    <w:t>》（GB20426-2006）表</w:t>
                  </w:r>
                  <w:r>
                    <w:rPr>
                      <w:rFonts w:hint="eastAsia" w:cs="Times New Roman" w:eastAsiaTheme="minorEastAsia"/>
                      <w:color w:val="auto"/>
                      <w:kern w:val="0"/>
                      <w:sz w:val="21"/>
                      <w:szCs w:val="21"/>
                      <w:lang w:val="en-US" w:eastAsia="zh-CN"/>
                    </w:rPr>
                    <w:t>5无</w:t>
                  </w:r>
                  <w:r>
                    <w:rPr>
                      <w:rFonts w:hint="default" w:ascii="Times New Roman" w:hAnsi="Times New Roman" w:cs="Times New Roman" w:eastAsiaTheme="minorEastAsia"/>
                      <w:color w:val="auto"/>
                      <w:kern w:val="0"/>
                      <w:sz w:val="21"/>
                      <w:szCs w:val="21"/>
                      <w:lang w:val="en-US" w:eastAsia="zh-CN"/>
                    </w:rPr>
                    <w:t>组织排放限值</w:t>
                  </w:r>
                </w:p>
              </w:tc>
              <w:tc>
                <w:tcPr>
                  <w:tcW w:w="506" w:type="pct"/>
                  <w:noWrap w:val="0"/>
                  <w:vAlign w:val="center"/>
                </w:tcPr>
                <w:p w14:paraId="0776AA2C">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857" w:type="pct"/>
                  <w:noWrap w:val="0"/>
                  <w:vAlign w:val="center"/>
                </w:tcPr>
                <w:p w14:paraId="4E5507D1">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409" w:type="pct"/>
                  <w:noWrap w:val="0"/>
                  <w:vAlign w:val="center"/>
                </w:tcPr>
                <w:p w14:paraId="3B2E62F9">
                  <w:pPr>
                    <w:pStyle w:val="26"/>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无组织排放</w:t>
                  </w:r>
                </w:p>
              </w:tc>
            </w:tr>
          </w:tbl>
          <w:p w14:paraId="0DF67E21">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7</w:t>
            </w:r>
            <w:r>
              <w:rPr>
                <w:rFonts w:hint="eastAsia" w:eastAsia="宋体" w:cs="Times New Roman"/>
                <w:b/>
                <w:bCs/>
                <w:color w:val="auto"/>
                <w:sz w:val="24"/>
                <w:lang w:val="en-US" w:eastAsia="zh-CN"/>
              </w:rPr>
              <w:t>、</w:t>
            </w:r>
            <w:r>
              <w:rPr>
                <w:rFonts w:hint="default" w:ascii="Times New Roman" w:hAnsi="Times New Roman" w:eastAsia="宋体" w:cs="Times New Roman"/>
                <w:b/>
                <w:bCs/>
                <w:color w:val="auto"/>
                <w:spacing w:val="-10"/>
                <w:sz w:val="24"/>
                <w:szCs w:val="24"/>
                <w:lang w:val="en-US" w:eastAsia="zh-CN"/>
              </w:rPr>
              <w:t>大气环境影响评价结论</w:t>
            </w:r>
          </w:p>
          <w:p w14:paraId="74FCA96F">
            <w:pPr>
              <w:pStyle w:val="27"/>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根据</w:t>
            </w:r>
            <w:r>
              <w:rPr>
                <w:rFonts w:hint="default" w:ascii="Times New Roman" w:hAnsi="Times New Roman" w:eastAsia="宋体" w:cs="Times New Roman"/>
                <w:color w:val="auto"/>
                <w:sz w:val="24"/>
                <w:szCs w:val="24"/>
                <w:lang w:val="en-US" w:eastAsia="zh-CN"/>
              </w:rPr>
              <w:t>峨山</w:t>
            </w:r>
            <w:r>
              <w:rPr>
                <w:rFonts w:hint="default" w:ascii="Times New Roman" w:hAnsi="Times New Roman" w:eastAsia="宋体" w:cs="Times New Roman"/>
                <w:color w:val="auto"/>
                <w:sz w:val="24"/>
                <w:szCs w:val="24"/>
              </w:rPr>
              <w:t>县环境空气质量自动监测站</w:t>
            </w:r>
            <w:r>
              <w:rPr>
                <w:rFonts w:hint="default" w:ascii="Times New Roman" w:hAnsi="Times New Roman" w:eastAsia="宋体" w:cs="Times New Roman"/>
                <w:color w:val="auto"/>
                <w:sz w:val="24"/>
                <w:szCs w:val="24"/>
                <w:lang w:val="en-US" w:eastAsia="zh-CN"/>
              </w:rPr>
              <w:t>2024年全年长期监测数据统计可知，</w:t>
            </w:r>
            <w:r>
              <w:rPr>
                <w:rFonts w:hint="default" w:ascii="Times New Roman" w:hAnsi="Times New Roman" w:eastAsia="宋体" w:cs="Times New Roman"/>
                <w:bCs/>
                <w:color w:val="auto"/>
                <w:sz w:val="24"/>
                <w:szCs w:val="24"/>
                <w:lang w:val="en-US" w:eastAsia="zh-CN"/>
              </w:rPr>
              <w:t>项目所在地的</w:t>
            </w:r>
            <w:r>
              <w:rPr>
                <w:rFonts w:hint="default" w:ascii="Times New Roman" w:hAnsi="Times New Roman" w:eastAsia="宋体" w:cs="Times New Roman"/>
                <w:bCs/>
                <w:color w:val="auto"/>
                <w:sz w:val="24"/>
                <w:szCs w:val="24"/>
              </w:rPr>
              <w:t>环境空气PM</w:t>
            </w:r>
            <w:r>
              <w:rPr>
                <w:rFonts w:hint="default" w:ascii="Times New Roman" w:hAnsi="Times New Roman" w:eastAsia="宋体" w:cs="Times New Roman"/>
                <w:bCs/>
                <w:color w:val="auto"/>
                <w:sz w:val="24"/>
                <w:szCs w:val="24"/>
                <w:vertAlign w:val="subscript"/>
              </w:rPr>
              <w:t>10</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2.5</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、NO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、CO、O</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均达到《环境空气质量标准》（GB3095-20</w:t>
            </w:r>
            <w:r>
              <w:rPr>
                <w:rFonts w:hint="eastAsia" w:cs="Times New Roman"/>
                <w:bCs/>
                <w:color w:val="auto"/>
                <w:sz w:val="24"/>
                <w:szCs w:val="24"/>
                <w:lang w:val="en-US" w:eastAsia="zh-CN"/>
              </w:rPr>
              <w:t>12</w:t>
            </w:r>
            <w:r>
              <w:rPr>
                <w:rFonts w:hint="default" w:ascii="Times New Roman" w:hAnsi="Times New Roman" w:eastAsia="宋体" w:cs="Times New Roman"/>
                <w:bCs/>
                <w:color w:val="auto"/>
                <w:sz w:val="24"/>
                <w:szCs w:val="24"/>
              </w:rPr>
              <w:t>）中的二级标准，</w:t>
            </w:r>
            <w:r>
              <w:rPr>
                <w:rFonts w:hint="default" w:ascii="Times New Roman" w:hAnsi="Times New Roman" w:eastAsia="宋体" w:cs="Times New Roman"/>
                <w:color w:val="auto"/>
                <w:sz w:val="24"/>
                <w:szCs w:val="24"/>
              </w:rPr>
              <w:t>所在区域环境空气质量达标，为达标区。</w:t>
            </w:r>
            <w:r>
              <w:rPr>
                <w:rFonts w:hint="default" w:ascii="Times New Roman" w:hAnsi="Times New Roman" w:eastAsia="宋体" w:cs="Times New Roman"/>
                <w:color w:val="auto"/>
                <w:sz w:val="24"/>
                <w:szCs w:val="24"/>
                <w:lang w:val="en-US" w:eastAsia="zh-CN"/>
              </w:rPr>
              <w:t>根据引用的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云南玉溪玉昆钢铁集团有限公司精炼炉工程项目环境影响报告书</w:t>
            </w:r>
            <w:r>
              <w:rPr>
                <w:rFonts w:hint="default" w:ascii="Times New Roman" w:hAnsi="Times New Roman" w:eastAsia="宋体" w:cs="Times New Roman"/>
                <w:color w:val="auto"/>
                <w:sz w:val="24"/>
                <w:szCs w:val="24"/>
                <w:lang w:eastAsia="zh-CN"/>
              </w:rPr>
              <w:t>》中监测数据</w:t>
            </w:r>
            <w:r>
              <w:rPr>
                <w:rFonts w:hint="default" w:ascii="Times New Roman" w:hAnsi="Times New Roman" w:eastAsia="宋体" w:cs="Times New Roman"/>
                <w:color w:val="auto"/>
                <w:sz w:val="24"/>
                <w:szCs w:val="24"/>
                <w:lang w:val="en-US" w:eastAsia="zh-CN"/>
              </w:rPr>
              <w:t>的监测结果可知，项目所在区域环境空气中的TSP满足《环境空气质量标准》（GB3095-20</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的二级标准。</w:t>
            </w:r>
            <w:r>
              <w:rPr>
                <w:rFonts w:hint="default" w:ascii="Times New Roman" w:hAnsi="Times New Roman" w:eastAsia="宋体" w:cs="Times New Roman"/>
                <w:color w:val="auto"/>
                <w:sz w:val="24"/>
                <w:szCs w:val="24"/>
              </w:rPr>
              <w:t>本次评价对项目废气产排量及达标排放进行了分析，根据对比分析，</w:t>
            </w:r>
            <w:r>
              <w:rPr>
                <w:rFonts w:hint="default" w:ascii="Times New Roman" w:hAnsi="Times New Roman" w:eastAsia="宋体" w:cs="Times New Roman"/>
                <w:color w:val="auto"/>
                <w:sz w:val="24"/>
                <w:szCs w:val="24"/>
                <w:lang w:val="en-US" w:eastAsia="zh-CN"/>
              </w:rPr>
              <w:t>本项目无需布设大气环境防护距离，同时，</w:t>
            </w:r>
            <w:r>
              <w:rPr>
                <w:rFonts w:hint="default" w:ascii="Times New Roman" w:hAnsi="Times New Roman" w:eastAsia="宋体" w:cs="Times New Roman"/>
                <w:color w:val="auto"/>
                <w:sz w:val="24"/>
                <w:szCs w:val="24"/>
                <w:lang w:eastAsia="zh-CN"/>
              </w:rPr>
              <w:t>本项目采用的污染治理措施均为排污许可技术规范中的可行技术，</w:t>
            </w:r>
            <w:r>
              <w:rPr>
                <w:rFonts w:hint="default" w:ascii="Times New Roman" w:hAnsi="Times New Roman" w:eastAsia="宋体" w:cs="Times New Roman"/>
                <w:color w:val="auto"/>
                <w:sz w:val="24"/>
                <w:szCs w:val="24"/>
              </w:rPr>
              <w:t>项目运营期主要大气污染物均能达标排放</w:t>
            </w:r>
            <w:r>
              <w:rPr>
                <w:rFonts w:hint="eastAsia" w:cs="Times New Roman"/>
                <w:color w:val="auto"/>
                <w:sz w:val="24"/>
                <w:szCs w:val="24"/>
                <w:lang w:eastAsia="zh-CN"/>
              </w:rPr>
              <w:t>，</w:t>
            </w:r>
            <w:r>
              <w:rPr>
                <w:rFonts w:hint="eastAsia" w:cs="Times New Roman"/>
                <w:color w:val="auto"/>
                <w:sz w:val="24"/>
                <w:szCs w:val="24"/>
                <w:lang w:val="en-US" w:eastAsia="zh-CN"/>
              </w:rPr>
              <w:t>根据预测结果，项目对龙潭村的影响在可接受范围内</w:t>
            </w:r>
            <w:r>
              <w:rPr>
                <w:rFonts w:hint="default" w:ascii="Times New Roman" w:hAnsi="Times New Roman" w:eastAsia="宋体" w:cs="Times New Roman"/>
                <w:color w:val="auto"/>
                <w:sz w:val="24"/>
                <w:szCs w:val="24"/>
                <w:lang w:eastAsia="zh-CN"/>
              </w:rPr>
              <w:t>，因此</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环境空气影响</w:t>
            </w:r>
            <w:r>
              <w:rPr>
                <w:rFonts w:hint="default" w:ascii="Times New Roman" w:hAnsi="Times New Roman" w:eastAsia="宋体" w:cs="Times New Roman"/>
                <w:color w:val="auto"/>
                <w:sz w:val="24"/>
                <w:szCs w:val="24"/>
                <w:lang w:eastAsia="zh-CN"/>
              </w:rPr>
              <w:t>在</w:t>
            </w:r>
            <w:r>
              <w:rPr>
                <w:rFonts w:hint="default" w:ascii="Times New Roman" w:hAnsi="Times New Roman" w:eastAsia="宋体" w:cs="Times New Roman"/>
                <w:color w:val="auto"/>
                <w:sz w:val="24"/>
                <w:szCs w:val="24"/>
              </w:rPr>
              <w:t>可接受</w:t>
            </w:r>
            <w:r>
              <w:rPr>
                <w:rFonts w:hint="default" w:ascii="Times New Roman" w:hAnsi="Times New Roman" w:eastAsia="宋体" w:cs="Times New Roman"/>
                <w:color w:val="auto"/>
                <w:sz w:val="24"/>
                <w:szCs w:val="24"/>
                <w:lang w:eastAsia="zh-CN"/>
              </w:rPr>
              <w:t>范围内</w:t>
            </w:r>
            <w:r>
              <w:rPr>
                <w:rFonts w:hint="default" w:ascii="Times New Roman" w:hAnsi="Times New Roman" w:eastAsia="宋体" w:cs="Times New Roman"/>
                <w:color w:val="auto"/>
                <w:sz w:val="24"/>
                <w:szCs w:val="24"/>
              </w:rPr>
              <w:t>。</w:t>
            </w:r>
          </w:p>
          <w:p w14:paraId="7E94076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color w:val="auto"/>
                <w:sz w:val="24"/>
                <w:szCs w:val="24"/>
                <w:lang w:eastAsia="zh-CN"/>
              </w:rPr>
            </w:pPr>
            <w:r>
              <w:rPr>
                <w:rFonts w:hint="eastAsia" w:ascii="宋体" w:hAnsi="宋体" w:eastAsia="宋体" w:cs="宋体"/>
                <w:b/>
                <w:bCs w:val="0"/>
                <w:color w:val="auto"/>
                <w:spacing w:val="-10"/>
                <w:kern w:val="0"/>
                <w:sz w:val="24"/>
                <w:szCs w:val="24"/>
                <w:lang w:val="en-US" w:eastAsia="zh-CN" w:bidi="ar-SA"/>
              </w:rPr>
              <w:t>二、地表水</w:t>
            </w:r>
            <w:r>
              <w:rPr>
                <w:rFonts w:hint="default" w:ascii="宋体" w:hAnsi="宋体" w:eastAsia="宋体" w:cs="宋体"/>
                <w:b/>
                <w:bCs w:val="0"/>
                <w:color w:val="auto"/>
                <w:spacing w:val="-10"/>
                <w:kern w:val="0"/>
                <w:sz w:val="24"/>
                <w:szCs w:val="24"/>
                <w:lang w:val="en-US" w:eastAsia="zh-CN" w:bidi="ar-SA"/>
              </w:rPr>
              <w:t>环境影响和保护措施</w:t>
            </w:r>
          </w:p>
          <w:p w14:paraId="50E9E343">
            <w:pPr>
              <w:keepNext w:val="0"/>
              <w:keepLines/>
              <w:pageBreakBefore w:val="0"/>
              <w:tabs>
                <w:tab w:val="left" w:pos="4830"/>
              </w:tabs>
              <w:kinsoku/>
              <w:overflowPunct/>
              <w:bidi w:val="0"/>
              <w:adjustRightInd/>
              <w:snapToGrid/>
              <w:spacing w:line="360" w:lineRule="auto"/>
              <w:ind w:firstLine="482" w:firstLineChars="200"/>
              <w:jc w:val="left"/>
              <w:rPr>
                <w:rFonts w:hint="default" w:ascii="Times New Roman" w:hAnsi="Times New Roman" w:eastAsia="宋体" w:cs="Times New Roman"/>
                <w:b/>
                <w:color w:val="auto"/>
                <w:sz w:val="24"/>
                <w:lang w:eastAsia="zh-CN"/>
              </w:rPr>
            </w:pPr>
            <w:r>
              <w:rPr>
                <w:rFonts w:hint="eastAsia" w:cs="Times New Roman"/>
                <w:b/>
                <w:color w:val="auto"/>
                <w:sz w:val="24"/>
                <w:lang w:val="en-US" w:eastAsia="zh-CN"/>
              </w:rPr>
              <w:t>1、</w:t>
            </w:r>
            <w:r>
              <w:rPr>
                <w:rFonts w:hint="default" w:ascii="Times New Roman" w:hAnsi="Times New Roman" w:eastAsia="宋体" w:cs="Times New Roman"/>
                <w:b/>
                <w:color w:val="auto"/>
                <w:sz w:val="24"/>
                <w:lang w:eastAsia="zh-CN"/>
              </w:rPr>
              <w:t>废水产排情况</w:t>
            </w:r>
          </w:p>
          <w:p w14:paraId="46CB99E1">
            <w:pPr>
              <w:keepNext w:val="0"/>
              <w:keepLines/>
              <w:pageBreakBefore w:val="0"/>
              <w:widowControl w:val="0"/>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根据工程分析可知（上文7 水平衡），本项目初期雨水经</w:t>
            </w:r>
            <w:r>
              <w:rPr>
                <w:rFonts w:hint="default" w:ascii="Times New Roman" w:hAnsi="Times New Roman" w:eastAsia="宋体" w:cs="Times New Roman"/>
                <w:color w:val="auto"/>
                <w:sz w:val="24"/>
                <w:szCs w:val="24"/>
                <w:lang w:val="en-US" w:eastAsia="zh-CN"/>
              </w:rPr>
              <w:t>初期雨水收集池收集沉淀后，回用于厂区洒水降尘，不外排；生活污水产生量为1.17m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/d，351m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生活污水</w:t>
            </w:r>
            <w:r>
              <w:rPr>
                <w:rFonts w:hint="default" w:ascii="Times New Roman" w:hAnsi="Times New Roman" w:eastAsia="宋体" w:cs="Times New Roman"/>
                <w:color w:val="auto"/>
                <w:sz w:val="24"/>
                <w:szCs w:val="24"/>
                <w:lang w:val="en-US" w:eastAsia="zh-CN"/>
              </w:rPr>
              <w:t>经2m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/d的一体化污水处理设施处理达标后，晴天回用于厂区绿化，不外排，雨天暂存于中水池（5m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），待晴天后回用于厂区绿化，不外排；</w:t>
            </w:r>
            <w:r>
              <w:rPr>
                <w:rFonts w:hint="default" w:ascii="Times New Roman" w:hAnsi="Times New Roman" w:eastAsia="宋体" w:cs="Times New Roman"/>
                <w:b w:val="0"/>
                <w:bCs/>
                <w:color w:val="auto"/>
                <w:sz w:val="24"/>
                <w:szCs w:val="24"/>
                <w:lang w:val="en-US" w:eastAsia="zh-CN"/>
              </w:rPr>
              <w:t>车辆冲洗废水产生量为15.36m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/d，4608m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/a，经</w:t>
            </w:r>
            <w:r>
              <w:rPr>
                <w:rFonts w:hint="default" w:ascii="Times New Roman" w:hAnsi="Times New Roman" w:eastAsia="宋体" w:cs="Times New Roman"/>
                <w:color w:val="auto"/>
                <w:sz w:val="24"/>
                <w:szCs w:val="24"/>
                <w:lang w:val="en-US" w:eastAsia="zh-CN"/>
              </w:rPr>
              <w:t>配套建设的1个容积为的60m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三级沉淀池沉淀处理后循环使用，不外排，故本项目运营期无废水外排。</w:t>
            </w:r>
          </w:p>
          <w:p w14:paraId="6759649A">
            <w:pPr>
              <w:pStyle w:val="17"/>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2"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2、废水处置可行性分析</w:t>
            </w:r>
          </w:p>
          <w:p w14:paraId="48509808">
            <w:pPr>
              <w:pStyle w:val="110"/>
              <w:keepNext w:val="0"/>
              <w:keepLines w:val="0"/>
              <w:pageBreakBefore w:val="0"/>
              <w:widowControl w:val="0"/>
              <w:kinsoku/>
              <w:wordWrap/>
              <w:overflowPunct/>
              <w:topLinePunct w:val="0"/>
              <w:autoSpaceDE/>
              <w:autoSpaceDN/>
              <w:bidi w:val="0"/>
              <w:spacing w:before="0" w:beforeAutospacing="0" w:line="360" w:lineRule="auto"/>
              <w:ind w:left="0" w:leftChars="0" w:firstLine="480" w:firstLineChars="200"/>
              <w:jc w:val="both"/>
              <w:textAlignment w:val="auto"/>
              <w:outlineLvl w:val="9"/>
              <w:rPr>
                <w:rFonts w:hint="eastAsia"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color w:val="auto"/>
                <w:sz w:val="24"/>
                <w:szCs w:val="24"/>
                <w:lang w:val="en-US" w:eastAsia="zh-CN"/>
              </w:rPr>
              <w:t>沉淀池</w:t>
            </w:r>
            <w:r>
              <w:rPr>
                <w:rFonts w:hint="default" w:ascii="Times New Roman" w:hAnsi="Times New Roman" w:eastAsia="宋体" w:cs="Times New Roman"/>
                <w:b w:val="0"/>
                <w:bCs/>
                <w:color w:val="auto"/>
                <w:sz w:val="24"/>
                <w:szCs w:val="24"/>
              </w:rPr>
              <w:t>设置可行性</w:t>
            </w:r>
            <w:r>
              <w:rPr>
                <w:rFonts w:hint="eastAsia" w:cs="Times New Roman"/>
                <w:b w:val="0"/>
                <w:bCs/>
                <w:color w:val="auto"/>
                <w:sz w:val="24"/>
                <w:szCs w:val="24"/>
                <w:lang w:val="en-US" w:eastAsia="zh-CN"/>
              </w:rPr>
              <w:t>分析</w:t>
            </w:r>
          </w:p>
          <w:p w14:paraId="7926D5B6">
            <w:pPr>
              <w:pStyle w:val="110"/>
              <w:keepNext w:val="0"/>
              <w:keepLines w:val="0"/>
              <w:pageBreakBefore w:val="0"/>
              <w:widowControl w:val="0"/>
              <w:kinsoku/>
              <w:wordWrap/>
              <w:overflowPunct/>
              <w:topLinePunct w:val="0"/>
              <w:autoSpaceDE/>
              <w:autoSpaceDN/>
              <w:bidi w:val="0"/>
              <w:spacing w:before="0" w:beforeAutospacing="0" w:line="360" w:lineRule="auto"/>
              <w:ind w:left="0" w:leftChars="0" w:firstLine="480" w:firstLineChars="200"/>
              <w:jc w:val="both"/>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color w:val="auto"/>
                <w:sz w:val="24"/>
                <w:szCs w:val="24"/>
                <w:lang w:val="en-US" w:eastAsia="zh-CN"/>
              </w:rPr>
              <w:t>根据工程分析可知，本项目</w:t>
            </w:r>
            <w:r>
              <w:rPr>
                <w:rFonts w:hint="default" w:ascii="Times New Roman" w:hAnsi="Times New Roman" w:eastAsia="宋体" w:cs="Times New Roman"/>
                <w:b w:val="0"/>
                <w:bCs/>
                <w:color w:val="auto"/>
                <w:sz w:val="24"/>
                <w:szCs w:val="24"/>
                <w:lang w:val="en-US" w:eastAsia="zh-CN"/>
              </w:rPr>
              <w:t>车辆冲洗废水产生量为15.36m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/d，4608m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/a，本次评价拟建设1个容积为</w:t>
            </w:r>
            <w:r>
              <w:rPr>
                <w:rFonts w:hint="eastAsia" w:cs="Times New Roman"/>
                <w:b w:val="0"/>
                <w:bCs/>
                <w:color w:val="auto"/>
                <w:sz w:val="24"/>
                <w:szCs w:val="24"/>
                <w:lang w:val="en-US" w:eastAsia="zh-CN"/>
              </w:rPr>
              <w:t>6</w:t>
            </w:r>
            <w:r>
              <w:rPr>
                <w:rFonts w:hint="default" w:ascii="Times New Roman" w:hAnsi="Times New Roman" w:eastAsia="宋体" w:cs="Times New Roman"/>
                <w:b w:val="0"/>
                <w:bCs/>
                <w:color w:val="auto"/>
                <w:sz w:val="24"/>
                <w:szCs w:val="24"/>
                <w:lang w:val="en-US" w:eastAsia="zh-CN"/>
              </w:rPr>
              <w:t>0m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的</w:t>
            </w:r>
            <w:r>
              <w:rPr>
                <w:rFonts w:hint="eastAsia" w:cs="Times New Roman"/>
                <w:b w:val="0"/>
                <w:bCs/>
                <w:color w:val="auto"/>
                <w:sz w:val="24"/>
                <w:szCs w:val="24"/>
                <w:lang w:val="en-US" w:eastAsia="zh-CN"/>
              </w:rPr>
              <w:t>三</w:t>
            </w:r>
            <w:r>
              <w:rPr>
                <w:rFonts w:hint="default" w:ascii="Times New Roman" w:hAnsi="Times New Roman" w:eastAsia="宋体" w:cs="Times New Roman"/>
                <w:b w:val="0"/>
                <w:bCs/>
                <w:color w:val="auto"/>
                <w:sz w:val="24"/>
                <w:szCs w:val="24"/>
                <w:lang w:val="en-US" w:eastAsia="zh-CN"/>
              </w:rPr>
              <w:t>级沉淀池，满足暂存车辆冲洗废水3d的量（46.08m</w:t>
            </w:r>
            <w:r>
              <w:rPr>
                <w:rFonts w:hint="default" w:ascii="Times New Roman" w:hAnsi="Times New Roman" w:eastAsia="宋体" w:cs="Times New Roman"/>
                <w:b w:val="0"/>
                <w:bCs/>
                <w:color w:val="auto"/>
                <w:sz w:val="24"/>
                <w:szCs w:val="24"/>
                <w:vertAlign w:val="superscript"/>
                <w:lang w:val="en-US" w:eastAsia="zh-CN"/>
              </w:rPr>
              <w:t>3</w:t>
            </w:r>
            <w:r>
              <w:rPr>
                <w:rFonts w:hint="default" w:ascii="Times New Roman" w:hAnsi="Times New Roman" w:eastAsia="宋体" w:cs="Times New Roman"/>
                <w:b w:val="0"/>
                <w:bCs/>
                <w:color w:val="auto"/>
                <w:sz w:val="24"/>
                <w:szCs w:val="24"/>
                <w:lang w:val="en-US" w:eastAsia="zh-CN"/>
              </w:rPr>
              <w:t>），车辆冲洗废水经沉淀后，回用于车辆冲洗，不外排，</w:t>
            </w:r>
            <w:r>
              <w:rPr>
                <w:rFonts w:hint="default" w:ascii="Times New Roman" w:hAnsi="Times New Roman" w:eastAsia="宋体" w:cs="Times New Roman"/>
                <w:color w:val="auto"/>
                <w:sz w:val="24"/>
                <w:szCs w:val="24"/>
                <w:lang w:val="en-US" w:eastAsia="zh-CN"/>
              </w:rPr>
              <w:t>故项目沉淀池</w:t>
            </w:r>
            <w:r>
              <w:rPr>
                <w:rFonts w:hint="default" w:ascii="Times New Roman" w:hAnsi="Times New Roman" w:eastAsia="宋体" w:cs="Times New Roman"/>
                <w:color w:val="auto"/>
                <w:sz w:val="24"/>
                <w:szCs w:val="24"/>
              </w:rPr>
              <w:t>设置合理可行</w:t>
            </w:r>
            <w:r>
              <w:rPr>
                <w:rFonts w:hint="default" w:ascii="Times New Roman" w:hAnsi="Times New Roman" w:eastAsia="宋体" w:cs="Times New Roman"/>
                <w:color w:val="auto"/>
                <w:sz w:val="24"/>
                <w:szCs w:val="24"/>
                <w:lang w:eastAsia="zh-CN"/>
              </w:rPr>
              <w:t>。</w:t>
            </w:r>
          </w:p>
          <w:p w14:paraId="273438EA">
            <w:pPr>
              <w:pStyle w:val="110"/>
              <w:keepNext w:val="0"/>
              <w:keepLines w:val="0"/>
              <w:pageBreakBefore w:val="0"/>
              <w:widowControl w:val="0"/>
              <w:kinsoku/>
              <w:wordWrap/>
              <w:overflowPunct/>
              <w:topLinePunct w:val="0"/>
              <w:autoSpaceDE/>
              <w:autoSpaceDN/>
              <w:bidi w:val="0"/>
              <w:spacing w:before="0" w:beforeAutospacing="0" w:line="360" w:lineRule="auto"/>
              <w:ind w:left="0" w:leftChars="0" w:firstLine="480" w:firstLineChars="200"/>
              <w:jc w:val="both"/>
              <w:textAlignment w:val="auto"/>
              <w:outlineLvl w:val="9"/>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val="0"/>
                <w:color w:val="auto"/>
                <w:sz w:val="24"/>
                <w:szCs w:val="24"/>
                <w:lang w:val="en-US" w:eastAsia="zh-CN"/>
              </w:rPr>
              <w:t>初期</w:t>
            </w:r>
            <w:r>
              <w:rPr>
                <w:rFonts w:hint="default" w:ascii="Times New Roman" w:hAnsi="Times New Roman" w:eastAsia="宋体" w:cs="Times New Roman"/>
                <w:b w:val="0"/>
                <w:bCs w:val="0"/>
                <w:color w:val="auto"/>
                <w:sz w:val="24"/>
                <w:szCs w:val="24"/>
              </w:rPr>
              <w:t>雨水收集池</w:t>
            </w:r>
            <w:r>
              <w:rPr>
                <w:rFonts w:hint="eastAsia" w:cs="Times New Roman"/>
                <w:b w:val="0"/>
                <w:bCs w:val="0"/>
                <w:color w:val="auto"/>
                <w:sz w:val="24"/>
                <w:szCs w:val="24"/>
                <w:lang w:val="en-US" w:eastAsia="zh-CN"/>
              </w:rPr>
              <w:t>设置</w:t>
            </w:r>
            <w:r>
              <w:rPr>
                <w:rFonts w:hint="default" w:ascii="Times New Roman" w:hAnsi="Times New Roman" w:eastAsia="宋体" w:cs="Times New Roman"/>
                <w:b w:val="0"/>
                <w:bCs w:val="0"/>
                <w:color w:val="auto"/>
                <w:sz w:val="24"/>
                <w:szCs w:val="24"/>
              </w:rPr>
              <w:t>可行性</w:t>
            </w:r>
            <w:r>
              <w:rPr>
                <w:rFonts w:hint="eastAsia" w:cs="Times New Roman"/>
                <w:b w:val="0"/>
                <w:bCs w:val="0"/>
                <w:color w:val="auto"/>
                <w:sz w:val="24"/>
                <w:szCs w:val="24"/>
                <w:lang w:val="en-US" w:eastAsia="zh-CN"/>
              </w:rPr>
              <w:t>分析</w:t>
            </w:r>
          </w:p>
          <w:p w14:paraId="02510E20">
            <w:pPr>
              <w:pStyle w:val="110"/>
              <w:keepNext w:val="0"/>
              <w:keepLines w:val="0"/>
              <w:pageBreakBefore w:val="0"/>
              <w:widowControl w:val="0"/>
              <w:kinsoku/>
              <w:wordWrap/>
              <w:overflowPunct/>
              <w:topLinePunct w:val="0"/>
              <w:autoSpaceDE/>
              <w:autoSpaceDN/>
              <w:bidi w:val="0"/>
              <w:spacing w:before="0" w:beforeAutospacing="0" w:line="36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color w:val="auto"/>
                <w:sz w:val="24"/>
                <w:szCs w:val="24"/>
              </w:rPr>
              <w:t>项目</w:t>
            </w:r>
            <w:r>
              <w:rPr>
                <w:rFonts w:hint="eastAsia" w:ascii="Times New Roman" w:hAnsi="Times New Roman" w:cs="Times New Roman" w:eastAsiaTheme="minorEastAsia"/>
                <w:color w:val="auto"/>
                <w:sz w:val="24"/>
                <w:szCs w:val="24"/>
                <w:lang w:val="en-US" w:eastAsia="zh-CN"/>
              </w:rPr>
              <w:t>初期</w:t>
            </w:r>
            <w:r>
              <w:rPr>
                <w:rFonts w:hint="default" w:ascii="Times New Roman" w:hAnsi="Times New Roman" w:cs="Times New Roman" w:eastAsiaTheme="minorEastAsia"/>
                <w:color w:val="auto"/>
                <w:sz w:val="24"/>
                <w:szCs w:val="24"/>
              </w:rPr>
              <w:t>雨水收集池收集暴雨条件下前15min的初期雨水量（约为</w:t>
            </w:r>
            <w:r>
              <w:rPr>
                <w:rFonts w:hint="default" w:ascii="Times New Roman" w:hAnsi="Times New Roman" w:cs="Times New Roman" w:eastAsiaTheme="minorEastAsia"/>
                <w:caps w:val="0"/>
                <w:color w:val="auto"/>
                <w:sz w:val="24"/>
                <w:szCs w:val="24"/>
                <w:highlight w:val="none"/>
                <w:lang w:val="en-US" w:eastAsia="zh-CN"/>
              </w:rPr>
              <w:t>44.</w:t>
            </w:r>
            <w:r>
              <w:rPr>
                <w:rFonts w:hint="default" w:ascii="Times New Roman" w:hAnsi="Times New Roman" w:cs="Times New Roman" w:eastAsiaTheme="minorEastAsia"/>
                <w:color w:val="auto"/>
                <w:sz w:val="24"/>
                <w:szCs w:val="24"/>
                <w:lang w:val="en-US" w:eastAsia="zh-CN"/>
              </w:rPr>
              <w:t>56</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次</w:t>
            </w:r>
            <w:r>
              <w:rPr>
                <w:rFonts w:hint="default" w:ascii="Times New Roman" w:hAnsi="Times New Roman" w:cs="Times New Roman" w:eastAsiaTheme="minorEastAsia"/>
                <w:color w:val="auto"/>
                <w:sz w:val="24"/>
                <w:szCs w:val="24"/>
              </w:rPr>
              <w:t>）</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雨水收集池容积</w:t>
            </w:r>
            <w:r>
              <w:rPr>
                <w:rFonts w:hint="default" w:ascii="Times New Roman" w:hAnsi="Times New Roman" w:cs="Times New Roman" w:eastAsiaTheme="minorEastAsia"/>
                <w:color w:val="auto"/>
                <w:sz w:val="24"/>
                <w:szCs w:val="24"/>
                <w:lang w:val="en-US" w:eastAsia="zh-CN"/>
              </w:rPr>
              <w:t>60</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可满足初期雨水暴雨条件下前15min的雨水停留量及1.2的容积剩余量，其设置合理可行</w:t>
            </w:r>
            <w:r>
              <w:rPr>
                <w:rFonts w:hint="default" w:ascii="Times New Roman" w:hAnsi="Times New Roman" w:eastAsia="宋体" w:cs="Times New Roman"/>
                <w:color w:val="auto"/>
                <w:sz w:val="24"/>
                <w:szCs w:val="24"/>
                <w:lang w:val="en-US" w:eastAsia="zh-CN"/>
              </w:rPr>
              <w:t>。</w:t>
            </w:r>
          </w:p>
          <w:p w14:paraId="5413321D">
            <w:pPr>
              <w:pStyle w:val="110"/>
              <w:keepNext w:val="0"/>
              <w:keepLines w:val="0"/>
              <w:pageBreakBefore w:val="0"/>
              <w:widowControl w:val="0"/>
              <w:kinsoku/>
              <w:wordWrap/>
              <w:overflowPunct/>
              <w:topLinePunct w:val="0"/>
              <w:autoSpaceDE/>
              <w:autoSpaceDN/>
              <w:bidi w:val="0"/>
              <w:spacing w:before="0" w:beforeAutospacing="0" w:line="360" w:lineRule="auto"/>
              <w:ind w:left="0" w:leftChars="0"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（3）化粪池设置</w:t>
            </w:r>
            <w:r>
              <w:rPr>
                <w:rFonts w:hint="default" w:ascii="Times New Roman" w:hAnsi="Times New Roman" w:eastAsia="宋体" w:cs="Times New Roman"/>
                <w:b w:val="0"/>
                <w:bCs/>
                <w:color w:val="auto"/>
                <w:sz w:val="24"/>
                <w:szCs w:val="24"/>
                <w:lang w:val="en-US" w:eastAsia="zh-CN"/>
              </w:rPr>
              <w:t>可行性</w:t>
            </w:r>
            <w:r>
              <w:rPr>
                <w:rFonts w:hint="eastAsia" w:cs="Times New Roman"/>
                <w:b w:val="0"/>
                <w:bCs/>
                <w:color w:val="auto"/>
                <w:sz w:val="24"/>
                <w:szCs w:val="24"/>
                <w:lang w:val="en-US" w:eastAsia="zh-CN"/>
              </w:rPr>
              <w:t>分析</w:t>
            </w:r>
          </w:p>
          <w:p w14:paraId="3698AEEE">
            <w:pPr>
              <w:keepNext w:val="0"/>
              <w:keepLines/>
              <w:pageBreakBefore w:val="0"/>
              <w:kinsoku/>
              <w:wordWrap/>
              <w:overflowPunct/>
              <w:topLinePunct/>
              <w:autoSpaceDE/>
              <w:autoSpaceDN/>
              <w:bidi w:val="0"/>
              <w:adjustRightInd/>
              <w:spacing w:line="360" w:lineRule="auto"/>
              <w:ind w:left="0" w:leftChars="0" w:right="0"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eastAsia" w:ascii="Times New Roman" w:hAnsi="Times New Roman" w:cs="Times New Roman" w:eastAsiaTheme="minorEastAsia"/>
                <w:color w:val="auto"/>
                <w:sz w:val="24"/>
                <w:szCs w:val="24"/>
                <w:lang w:val="en-US" w:eastAsia="zh-CN"/>
              </w:rPr>
              <w:t>根据工程分析可知，本项目</w:t>
            </w:r>
            <w:r>
              <w:rPr>
                <w:rFonts w:hint="eastAsia" w:cs="Times New Roman" w:eastAsiaTheme="minorEastAsia"/>
                <w:color w:val="auto"/>
                <w:sz w:val="24"/>
                <w:szCs w:val="24"/>
                <w:lang w:val="en-US" w:eastAsia="zh-CN"/>
              </w:rPr>
              <w:t>建成</w:t>
            </w:r>
            <w:r>
              <w:rPr>
                <w:rFonts w:hint="eastAsia" w:ascii="Times New Roman" w:hAnsi="Times New Roman" w:cs="Times New Roman" w:eastAsiaTheme="minorEastAsia"/>
                <w:color w:val="auto"/>
                <w:sz w:val="24"/>
                <w:szCs w:val="24"/>
                <w:lang w:val="en-US" w:eastAsia="zh-CN"/>
              </w:rPr>
              <w:t>运行后，全厂生活污水产生量为</w:t>
            </w:r>
            <w:r>
              <w:rPr>
                <w:rFonts w:hint="default" w:ascii="Times New Roman" w:hAnsi="Times New Roman" w:cs="Times New Roman" w:eastAsiaTheme="minorEastAsia"/>
                <w:color w:val="auto"/>
                <w:sz w:val="24"/>
                <w:szCs w:val="24"/>
                <w:lang w:val="en-US" w:eastAsia="zh-CN"/>
              </w:rPr>
              <w:t>1.</w:t>
            </w:r>
            <w:r>
              <w:rPr>
                <w:rFonts w:hint="eastAsia" w:cs="Times New Roman" w:eastAsiaTheme="minorEastAsia"/>
                <w:color w:val="auto"/>
                <w:sz w:val="24"/>
                <w:szCs w:val="24"/>
                <w:lang w:val="en-US" w:eastAsia="zh-CN"/>
              </w:rPr>
              <w:t>17</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351</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本项目拟布设1个容积为</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的化粪池，满足暂存生活污水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d的量（</w:t>
            </w:r>
            <w:r>
              <w:rPr>
                <w:rFonts w:hint="eastAsia" w:ascii="Times New Roman" w:hAnsi="Times New Roman" w:eastAsia="宋体" w:cs="Times New Roman"/>
                <w:color w:val="auto"/>
                <w:sz w:val="24"/>
                <w:szCs w:val="24"/>
                <w:lang w:val="en-US" w:eastAsia="zh-CN"/>
              </w:rPr>
              <w:t>8.19</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），且项目产生的生活污水经化粪池（</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）预处理后，可以有效处理生活污水及生活污水中的粪便等，为下一步工艺（泵送至</w:t>
            </w:r>
            <w:r>
              <w:rPr>
                <w:rFonts w:hint="default" w:ascii="Times New Roman" w:hAnsi="Times New Roman" w:eastAsia="宋体" w:cs="Times New Roman"/>
                <w:b w:val="0"/>
                <w:bCs w:val="0"/>
                <w:color w:val="auto"/>
                <w:sz w:val="24"/>
                <w:szCs w:val="24"/>
                <w:lang w:val="en-US" w:eastAsia="zh-CN"/>
              </w:rPr>
              <w:t>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/d的一体化污水处理设施</w:t>
            </w:r>
            <w:r>
              <w:rPr>
                <w:rFonts w:hint="default" w:ascii="Times New Roman" w:hAnsi="Times New Roman" w:eastAsia="宋体" w:cs="Times New Roman"/>
                <w:color w:val="auto"/>
                <w:sz w:val="24"/>
                <w:szCs w:val="24"/>
                <w:lang w:val="en-US" w:eastAsia="zh-CN"/>
              </w:rPr>
              <w:t>进行处理）创造条件。项目产生的生活污水通过泵输送至</w:t>
            </w:r>
            <w:r>
              <w:rPr>
                <w:rFonts w:hint="default" w:ascii="Times New Roman" w:hAnsi="Times New Roman" w:eastAsia="宋体" w:cs="Times New Roman"/>
                <w:b w:val="0"/>
                <w:bCs w:val="0"/>
                <w:color w:val="auto"/>
                <w:sz w:val="24"/>
                <w:szCs w:val="24"/>
                <w:lang w:val="en-US" w:eastAsia="zh-CN"/>
              </w:rPr>
              <w:t>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/d的一体化污水处理设施</w:t>
            </w:r>
            <w:r>
              <w:rPr>
                <w:rFonts w:hint="default" w:ascii="Times New Roman" w:hAnsi="Times New Roman" w:eastAsia="宋体" w:cs="Times New Roman"/>
                <w:color w:val="auto"/>
                <w:sz w:val="24"/>
                <w:szCs w:val="24"/>
                <w:lang w:val="en-US" w:eastAsia="zh-CN"/>
              </w:rPr>
              <w:t>，经处理达标后，</w:t>
            </w:r>
            <w:r>
              <w:rPr>
                <w:rFonts w:hint="default" w:ascii="Times New Roman" w:hAnsi="Times New Roman" w:cs="Times New Roman" w:eastAsiaTheme="minorEastAsia"/>
                <w:color w:val="auto"/>
                <w:sz w:val="24"/>
                <w:szCs w:val="24"/>
                <w:lang w:val="en-US" w:eastAsia="zh-CN"/>
              </w:rPr>
              <w:t>晴天回用于厂区绿化，不外排，雨天暂存于中水池，待晴天后回用于厂区绿化，不外排，故项目化粪池</w:t>
            </w:r>
            <w:r>
              <w:rPr>
                <w:rFonts w:hint="default" w:ascii="Times New Roman" w:hAnsi="Times New Roman" w:cs="Times New Roman" w:eastAsiaTheme="minorEastAsia"/>
                <w:color w:val="auto"/>
                <w:sz w:val="24"/>
                <w:szCs w:val="24"/>
              </w:rPr>
              <w:t>设置合理可行</w:t>
            </w:r>
            <w:r>
              <w:rPr>
                <w:rFonts w:hint="default" w:ascii="Times New Roman" w:hAnsi="Times New Roman" w:eastAsia="宋体" w:cs="Times New Roman"/>
                <w:color w:val="auto"/>
                <w:kern w:val="0"/>
                <w:sz w:val="24"/>
                <w:szCs w:val="24"/>
                <w:lang w:val="en-US" w:eastAsia="zh-CN" w:bidi="ar"/>
              </w:rPr>
              <w:t>。</w:t>
            </w:r>
          </w:p>
          <w:p w14:paraId="51CC504C">
            <w:pPr>
              <w:pStyle w:val="110"/>
              <w:keepNext w:val="0"/>
              <w:keepLines w:val="0"/>
              <w:pageBreakBefore w:val="0"/>
              <w:widowControl w:val="0"/>
              <w:kinsoku/>
              <w:wordWrap/>
              <w:overflowPunct/>
              <w:topLinePunct w:val="0"/>
              <w:autoSpaceDE/>
              <w:autoSpaceDN/>
              <w:bidi w:val="0"/>
              <w:spacing w:before="0" w:beforeAutospacing="0" w:line="360" w:lineRule="auto"/>
              <w:ind w:left="0" w:leftChars="0"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lang w:val="en-US" w:eastAsia="zh-CN"/>
              </w:rPr>
              <w:t>）中水池</w:t>
            </w:r>
            <w:r>
              <w:rPr>
                <w:rFonts w:hint="eastAsia" w:cs="Times New Roman"/>
                <w:b w:val="0"/>
                <w:bCs/>
                <w:color w:val="auto"/>
                <w:sz w:val="24"/>
                <w:szCs w:val="24"/>
                <w:lang w:val="en-US" w:eastAsia="zh-CN"/>
              </w:rPr>
              <w:t>设置</w:t>
            </w:r>
            <w:r>
              <w:rPr>
                <w:rFonts w:hint="default" w:ascii="Times New Roman" w:hAnsi="Times New Roman" w:eastAsia="宋体" w:cs="Times New Roman"/>
                <w:b w:val="0"/>
                <w:bCs/>
                <w:color w:val="auto"/>
                <w:sz w:val="24"/>
                <w:szCs w:val="24"/>
                <w:lang w:val="en-US" w:eastAsia="zh-CN"/>
              </w:rPr>
              <w:t>可行性</w:t>
            </w:r>
            <w:r>
              <w:rPr>
                <w:rFonts w:hint="eastAsia" w:cs="Times New Roman"/>
                <w:b w:val="0"/>
                <w:bCs/>
                <w:color w:val="auto"/>
                <w:sz w:val="24"/>
                <w:szCs w:val="24"/>
                <w:lang w:val="en-US" w:eastAsia="zh-CN"/>
              </w:rPr>
              <w:t>分析</w:t>
            </w:r>
          </w:p>
          <w:p w14:paraId="241897BD">
            <w:pPr>
              <w:pStyle w:val="110"/>
              <w:keepNext w:val="0"/>
              <w:keepLines w:val="0"/>
              <w:pageBreakBefore w:val="0"/>
              <w:widowControl w:val="0"/>
              <w:kinsoku/>
              <w:wordWrap/>
              <w:overflowPunct/>
              <w:topLinePunct w:val="0"/>
              <w:autoSpaceDE/>
              <w:autoSpaceDN/>
              <w:bidi w:val="0"/>
              <w:spacing w:before="0" w:beforeAutospacing="0" w:line="36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根据工程分析可知，本项目建设运行后，全厂生活污水产生量为</w:t>
            </w:r>
            <w:r>
              <w:rPr>
                <w:rFonts w:hint="default" w:ascii="Times New Roman" w:hAnsi="Times New Roman" w:cs="Times New Roman" w:eastAsiaTheme="minorEastAsia"/>
                <w:color w:val="auto"/>
                <w:sz w:val="24"/>
                <w:szCs w:val="24"/>
                <w:lang w:val="en-US" w:eastAsia="zh-CN"/>
              </w:rPr>
              <w:t>1.</w:t>
            </w:r>
            <w:r>
              <w:rPr>
                <w:rFonts w:hint="eastAsia" w:cs="Times New Roman" w:eastAsiaTheme="minorEastAsia"/>
                <w:color w:val="auto"/>
                <w:sz w:val="24"/>
                <w:szCs w:val="24"/>
                <w:lang w:val="en-US" w:eastAsia="zh-CN"/>
              </w:rPr>
              <w:t>17</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w:t>
            </w:r>
            <w:r>
              <w:rPr>
                <w:rFonts w:hint="eastAsia" w:ascii="Times New Roman" w:hAnsi="Times New Roman" w:cs="Times New Roman" w:eastAsiaTheme="minorEastAsia"/>
                <w:color w:val="auto"/>
                <w:sz w:val="24"/>
                <w:szCs w:val="24"/>
                <w:lang w:val="en-US" w:eastAsia="zh-CN"/>
              </w:rPr>
              <w:t>，本次评价拟建设1个容积为5m</w:t>
            </w:r>
            <w:r>
              <w:rPr>
                <w:rFonts w:hint="eastAsia" w:ascii="Times New Roman" w:hAnsi="Times New Roman" w:cs="Times New Roman" w:eastAsiaTheme="minorEastAsia"/>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的中水池（布设于一体化污水处理设施末端），</w:t>
            </w:r>
            <w:r>
              <w:rPr>
                <w:rFonts w:hint="eastAsia" w:cs="Times New Roman" w:eastAsiaTheme="minorEastAsia"/>
                <w:color w:val="auto"/>
                <w:sz w:val="24"/>
                <w:szCs w:val="24"/>
                <w:lang w:val="en-US" w:eastAsia="zh-CN"/>
              </w:rPr>
              <w:t>同时，本项目建设了1个容积为10m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的化粪池，可以保证连续7d下雨的状态下，暂存全厂产生的</w:t>
            </w:r>
            <w:r>
              <w:rPr>
                <w:rFonts w:hint="eastAsia" w:ascii="Times New Roman" w:hAnsi="Times New Roman" w:cs="Times New Roman" w:eastAsiaTheme="minorEastAsia"/>
                <w:color w:val="auto"/>
                <w:sz w:val="24"/>
                <w:szCs w:val="24"/>
                <w:lang w:val="en-US" w:eastAsia="zh-CN"/>
              </w:rPr>
              <w:t>生活污水</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8.19</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实现项目废水零排放</w:t>
            </w:r>
            <w:r>
              <w:rPr>
                <w:rFonts w:hint="default" w:ascii="Times New Roman" w:hAnsi="Times New Roman" w:eastAsia="宋体" w:cs="Times New Roman"/>
                <w:color w:val="auto"/>
                <w:sz w:val="24"/>
                <w:szCs w:val="24"/>
                <w:lang w:val="en-US" w:eastAsia="zh-CN"/>
              </w:rPr>
              <w:t>。</w:t>
            </w:r>
          </w:p>
          <w:p w14:paraId="6D9736A6">
            <w:pPr>
              <w:pStyle w:val="110"/>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firstLine="480" w:firstLineChars="20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/d的一体化污水处理设施可行性分析</w:t>
            </w:r>
          </w:p>
          <w:p w14:paraId="38DB59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项目建设完成后，全厂生活污水产生量为1.</w:t>
            </w:r>
            <w:r>
              <w:rPr>
                <w:rFonts w:hint="eastAsia" w:cs="Times New Roman" w:eastAsiaTheme="minorEastAsia"/>
                <w:color w:val="auto"/>
                <w:sz w:val="24"/>
                <w:szCs w:val="24"/>
                <w:lang w:val="en-US" w:eastAsia="zh-CN"/>
              </w:rPr>
              <w:t>17</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/d，考虑1.2的保障系数，一体化生活污水处理设施处理规模应不小于</w:t>
            </w:r>
            <w:r>
              <w:rPr>
                <w:rFonts w:hint="default" w:ascii="Times New Roman" w:hAnsi="Times New Roman" w:cs="Times New Roman" w:eastAsiaTheme="minorEastAsia"/>
                <w:color w:val="auto"/>
                <w:sz w:val="24"/>
                <w:szCs w:val="24"/>
                <w:lang w:val="en-US" w:eastAsia="zh-CN"/>
              </w:rPr>
              <w:t>1.</w:t>
            </w:r>
            <w:r>
              <w:rPr>
                <w:rFonts w:hint="eastAsia"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/d，本项目设置</w:t>
            </w:r>
            <w:r>
              <w:rPr>
                <w:rFonts w:hint="default" w:ascii="Times New Roman" w:hAnsi="Times New Roman" w:cs="Times New Roman" w:eastAsiaTheme="minorEastAsia"/>
                <w:color w:val="auto"/>
                <w:sz w:val="24"/>
                <w:szCs w:val="24"/>
                <w:lang w:val="en-US" w:eastAsia="zh-CN"/>
              </w:rPr>
              <w:t>一体化</w:t>
            </w:r>
            <w:r>
              <w:rPr>
                <w:rFonts w:hint="default" w:ascii="Times New Roman" w:hAnsi="Times New Roman" w:cs="Times New Roman" w:eastAsiaTheme="minorEastAsia"/>
                <w:color w:val="auto"/>
                <w:sz w:val="24"/>
                <w:szCs w:val="24"/>
              </w:rPr>
              <w:t>污水处理</w:t>
            </w:r>
            <w:r>
              <w:rPr>
                <w:rFonts w:hint="default" w:ascii="Times New Roman" w:hAnsi="Times New Roman" w:cs="Times New Roman" w:eastAsiaTheme="minorEastAsia"/>
                <w:color w:val="auto"/>
                <w:sz w:val="24"/>
                <w:szCs w:val="24"/>
                <w:lang w:val="en-US" w:eastAsia="zh-CN"/>
              </w:rPr>
              <w:t>设施</w:t>
            </w:r>
            <w:r>
              <w:rPr>
                <w:rFonts w:hint="default" w:ascii="Times New Roman" w:hAnsi="Times New Roman" w:cs="Times New Roman" w:eastAsiaTheme="minorEastAsia"/>
                <w:color w:val="auto"/>
                <w:sz w:val="24"/>
                <w:szCs w:val="24"/>
              </w:rPr>
              <w:t>设计规模</w:t>
            </w:r>
            <w:r>
              <w:rPr>
                <w:rFonts w:hint="default" w:ascii="Times New Roman" w:hAnsi="Times New Roman" w:cs="Times New Roman" w:eastAsiaTheme="minorEastAsia"/>
                <w:color w:val="auto"/>
                <w:sz w:val="24"/>
                <w:szCs w:val="24"/>
                <w:lang w:val="en-US" w:eastAsia="zh-CN"/>
              </w:rPr>
              <w:t>为2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/d，可满足要求</w:t>
            </w:r>
            <w:r>
              <w:rPr>
                <w:rFonts w:hint="default" w:ascii="Times New Roman" w:hAnsi="Times New Roman" w:eastAsia="宋体" w:cs="Times New Roman"/>
                <w:b w:val="0"/>
                <w:bCs w:val="0"/>
                <w:color w:val="auto"/>
                <w:sz w:val="24"/>
                <w:szCs w:val="24"/>
                <w:lang w:val="en-US" w:eastAsia="zh-CN"/>
              </w:rPr>
              <w:t>。</w:t>
            </w:r>
          </w:p>
          <w:p w14:paraId="54A8D889">
            <w:pPr>
              <w:pStyle w:val="110"/>
              <w:keepNext w:val="0"/>
              <w:keepLines w:val="0"/>
              <w:pageBreakBefore w:val="0"/>
              <w:widowControl w:val="0"/>
              <w:kinsoku/>
              <w:wordWrap/>
              <w:overflowPunct/>
              <w:topLinePunct w:val="0"/>
              <w:autoSpaceDE/>
              <w:autoSpaceDN/>
              <w:bidi w:val="0"/>
              <w:adjustRightInd w:val="0"/>
              <w:snapToGrid w:val="0"/>
              <w:spacing w:before="0" w:beforeAutospacing="0" w:line="360" w:lineRule="auto"/>
              <w:ind w:left="0" w:leftChars="0" w:firstLine="480" w:firstLineChars="200"/>
              <w:jc w:val="both"/>
              <w:textAlignment w:val="auto"/>
              <w:outlineLvl w:val="9"/>
              <w:rPr>
                <w:rFonts w:hint="default" w:ascii="Times New Roman" w:hAnsi="Times New Roman" w:eastAsia="宋体" w:cs="Times New Roman"/>
                <w:bCs w:val="0"/>
                <w:color w:val="auto"/>
                <w:kern w:val="2"/>
                <w:sz w:val="24"/>
                <w:szCs w:val="24"/>
                <w:lang w:val="en-US" w:eastAsia="zh-CN" w:bidi="ar-SA"/>
              </w:rPr>
            </w:pPr>
            <w:r>
              <w:rPr>
                <w:rFonts w:hint="default" w:ascii="Times New Roman" w:hAnsi="Times New Roman" w:eastAsia="宋体" w:cs="Times New Roman"/>
                <w:bCs w:val="0"/>
                <w:color w:val="auto"/>
                <w:kern w:val="2"/>
                <w:sz w:val="24"/>
                <w:szCs w:val="24"/>
                <w:lang w:val="en-US" w:eastAsia="zh-CN" w:bidi="ar-SA"/>
              </w:rPr>
              <w:t>1）一体化污水处理设施处理工艺流程</w:t>
            </w:r>
          </w:p>
          <w:p w14:paraId="76605A9E">
            <w:pPr>
              <w:pStyle w:val="110"/>
              <w:keepNext w:val="0"/>
              <w:keepLines w:val="0"/>
              <w:pageBreakBefore w:val="0"/>
              <w:widowControl w:val="0"/>
              <w:kinsoku/>
              <w:wordWrap/>
              <w:overflowPunct/>
              <w:topLinePunct w:val="0"/>
              <w:autoSpaceDE/>
              <w:autoSpaceDN/>
              <w:bidi w:val="0"/>
              <w:adjustRightInd w:val="0"/>
              <w:snapToGrid w:val="0"/>
              <w:spacing w:before="0" w:beforeAutospacing="0" w:line="360" w:lineRule="auto"/>
              <w:ind w:left="0" w:lef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auto"/>
                <w:sz w:val="24"/>
                <w:szCs w:val="24"/>
              </w:rPr>
              <w:t>本环评建议项目采取一体化污水处理设施进行处理，采用A/O法生物处理工艺。A级是缺氧生物处理，兼氧微生物利用有机碳源作为电子供体，能将污水中的NO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-N、NO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-N转化成N</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达到脱氮的目的，从而消除了氮的富营养化污染，同时又去除了部分有机物。通常厌氧消化对生化性较好的废水中的COD去除率可达60%左右。O级是好氧生物处理，是为了使有机物得到进一步氧化分解，同时在碳化作用趋于完成的情况下，使硝化作用能顺利进行，在O级池中主要存在好氧微生物和自养型细菌（硝化菌）。其中好氧微生物将有机物分解成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和H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O；自养型细菌（硝化菌）能将污水中NH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-N转化为NO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-N、NO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-N。O级池的出水部分回流到A级，为A级池提供电子接受体，通过硝化作用最终消除氮污染。项目实施时具体采用的污水处理工艺可由建设单位委托有资质的单位设计施工，保证出水水质达到《城市污水再生利用  城市杂用水水质》（GB/T 18920-2020）</w:t>
            </w:r>
            <w:r>
              <w:rPr>
                <w:rFonts w:hint="default" w:ascii="Times New Roman" w:hAnsi="Times New Roman" w:cs="Times New Roman" w:eastAsiaTheme="minorEastAsia"/>
                <w:color w:val="auto"/>
                <w:sz w:val="24"/>
                <w:szCs w:val="24"/>
              </w:rPr>
              <w:t>标准中</w:t>
            </w:r>
            <w:r>
              <w:rPr>
                <w:rFonts w:hint="default" w:ascii="Times New Roman" w:hAnsi="Times New Roman" w:cs="Times New Roman" w:eastAsiaTheme="minorEastAsia"/>
                <w:color w:val="auto"/>
                <w:sz w:val="24"/>
                <w:szCs w:val="24"/>
                <w:lang w:val="en-US" w:eastAsia="zh-CN"/>
              </w:rPr>
              <w:t>绿化</w:t>
            </w:r>
            <w:r>
              <w:rPr>
                <w:rFonts w:hint="default" w:ascii="Times New Roman" w:hAnsi="Times New Roman" w:cs="Times New Roman" w:eastAsiaTheme="minorEastAsia"/>
                <w:color w:val="auto"/>
                <w:sz w:val="24"/>
                <w:szCs w:val="24"/>
              </w:rPr>
              <w:t>标准。本项目一体化生活污水处理设施工艺流程见</w:t>
            </w:r>
            <w:r>
              <w:rPr>
                <w:rFonts w:hint="default" w:ascii="Times New Roman" w:hAnsi="Times New Roman" w:cs="Times New Roman" w:eastAsiaTheme="minorEastAsia"/>
                <w:color w:val="auto"/>
                <w:sz w:val="24"/>
                <w:szCs w:val="24"/>
                <w:lang w:val="en-US" w:eastAsia="zh-CN"/>
              </w:rPr>
              <w:t>下图4-1。</w:t>
            </w:r>
          </w:p>
          <w:p w14:paraId="09369D5E">
            <w:pPr>
              <w:pStyle w:val="110"/>
              <w:keepNext w:val="0"/>
              <w:keepLines w:val="0"/>
              <w:pageBreakBefore w:val="0"/>
              <w:widowControl w:val="0"/>
              <w:kinsoku/>
              <w:wordWrap/>
              <w:overflowPunct/>
              <w:topLinePunct w:val="0"/>
              <w:autoSpaceDE/>
              <w:autoSpaceDN/>
              <w:bidi w:val="0"/>
              <w:adjustRightInd w:val="0"/>
              <w:snapToGrid w:val="0"/>
              <w:spacing w:before="0" w:beforeAutospacing="0" w:line="360" w:lineRule="auto"/>
              <w:ind w:left="0" w:leftChars="0"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object>
                <v:shape id="_x0000_i1037" o:spt="75" type="#_x0000_t75" style="height:78.5pt;width:342.65pt;" o:ole="t" filled="f" o:preferrelative="t" stroked="f" coordsize="21600,21600">
                  <v:path/>
                  <v:fill on="f" focussize="0,0"/>
                  <v:stroke on="f"/>
                  <v:imagedata r:id="rId36" o:title=""/>
                  <o:lock v:ext="edit" aspectratio="f"/>
                  <w10:wrap type="none"/>
                  <w10:anchorlock/>
                </v:shape>
                <o:OLEObject Type="Embed" ProgID="Visio.Drawing.11" ShapeID="_x0000_i1037" DrawAspect="Content" ObjectID="_1468075737" r:id="rId35">
                  <o:LockedField>false</o:LockedField>
                </o:OLEObject>
              </w:object>
            </w:r>
          </w:p>
          <w:p w14:paraId="38A8BD30">
            <w:pPr>
              <w:pStyle w:val="110"/>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firstLine="0" w:firstLineChars="0"/>
              <w:jc w:val="center"/>
              <w:textAlignment w:val="auto"/>
              <w:outlineLvl w:val="9"/>
              <w:rPr>
                <w:b/>
                <w:color w:val="auto"/>
              </w:rPr>
            </w:pPr>
            <w:r>
              <w:rPr>
                <w:b/>
                <w:bCs/>
                <w:color w:val="auto"/>
              </w:rPr>
              <w:t>图</w:t>
            </w:r>
            <w:r>
              <w:rPr>
                <w:rFonts w:hint="eastAsia"/>
                <w:b/>
                <w:bCs/>
                <w:color w:val="auto"/>
                <w:lang w:val="en-US" w:eastAsia="zh-CN"/>
              </w:rPr>
              <w:t>4-1 一体化污水</w:t>
            </w:r>
            <w:r>
              <w:rPr>
                <w:b/>
                <w:bCs/>
                <w:color w:val="auto"/>
              </w:rPr>
              <w:t>处理设施</w:t>
            </w:r>
            <w:r>
              <w:rPr>
                <w:rFonts w:hint="eastAsia"/>
                <w:b/>
                <w:bCs/>
                <w:color w:val="auto"/>
                <w:lang w:val="en-US" w:eastAsia="zh-CN"/>
              </w:rPr>
              <w:t>处理</w:t>
            </w:r>
            <w:r>
              <w:rPr>
                <w:b/>
                <w:bCs/>
                <w:color w:val="auto"/>
              </w:rPr>
              <w:t>工艺流程图</w:t>
            </w:r>
          </w:p>
          <w:p w14:paraId="7DB5DE62">
            <w:pPr>
              <w:pStyle w:val="110"/>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firstLine="480" w:firstLineChars="200"/>
              <w:jc w:val="both"/>
              <w:textAlignment w:val="auto"/>
              <w:outlineLvl w:val="9"/>
              <w:rPr>
                <w:rFonts w:hint="default" w:ascii="Times New Roman" w:hAnsi="Times New Roman" w:cs="Times New Roman" w:eastAsiaTheme="minorEastAsia"/>
                <w:bCs w:val="0"/>
                <w:color w:val="auto"/>
                <w:kern w:val="2"/>
                <w:sz w:val="24"/>
                <w:szCs w:val="24"/>
                <w:lang w:val="en-US" w:eastAsia="zh-CN" w:bidi="ar-SA"/>
              </w:rPr>
            </w:pPr>
            <w:r>
              <w:rPr>
                <w:rFonts w:hint="default" w:ascii="Times New Roman" w:hAnsi="Times New Roman" w:cs="Times New Roman" w:eastAsiaTheme="minorEastAsia"/>
                <w:bCs w:val="0"/>
                <w:color w:val="auto"/>
                <w:kern w:val="2"/>
                <w:sz w:val="24"/>
                <w:szCs w:val="24"/>
                <w:lang w:val="en-US" w:eastAsia="zh-CN" w:bidi="ar-SA"/>
              </w:rPr>
              <w:t>2）生活污水处理达标情况</w:t>
            </w:r>
          </w:p>
          <w:p w14:paraId="38D6900F">
            <w:pPr>
              <w:keepNext w:val="0"/>
              <w:keepLines w:val="0"/>
              <w:pageBreakBefore w:val="0"/>
              <w:widowControl w:val="0"/>
              <w:kinsoku/>
              <w:wordWrap/>
              <w:overflowPunct/>
              <w:topLinePunct w:val="0"/>
              <w:autoSpaceDE/>
              <w:autoSpaceDN/>
              <w:bidi w:val="0"/>
              <w:adjustRightInd/>
              <w:snapToGrid/>
              <w:ind w:firstLine="480" w:firstLineChars="200"/>
              <w:jc w:val="left"/>
              <w:textAlignment w:val="auto"/>
              <w:outlineLvl w:val="9"/>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类比同类项目，本项目采取的化粪池、一体化污水处理设施对废水中污染物的综合去除效率约为：COD去除效率为90%、BOD</w:t>
            </w:r>
            <w:r>
              <w:rPr>
                <w:rFonts w:hint="default" w:ascii="Times New Roman" w:hAnsi="Times New Roman" w:cs="Times New Roman" w:eastAsiaTheme="minorEastAsia"/>
                <w:color w:val="auto"/>
                <w:vertAlign w:val="subscript"/>
              </w:rPr>
              <w:t>5</w:t>
            </w:r>
            <w:r>
              <w:rPr>
                <w:rFonts w:hint="default" w:ascii="Times New Roman" w:hAnsi="Times New Roman" w:cs="Times New Roman" w:eastAsiaTheme="minorEastAsia"/>
                <w:color w:val="auto"/>
              </w:rPr>
              <w:t>去除效率为9</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%、NH</w:t>
            </w:r>
            <w:r>
              <w:rPr>
                <w:rFonts w:hint="default" w:ascii="Times New Roman" w:hAnsi="Times New Roman" w:cs="Times New Roman" w:eastAsiaTheme="minorEastAsia"/>
                <w:color w:val="auto"/>
                <w:vertAlign w:val="subscript"/>
              </w:rPr>
              <w:t>3</w:t>
            </w:r>
            <w:r>
              <w:rPr>
                <w:rFonts w:hint="default" w:ascii="Times New Roman" w:hAnsi="Times New Roman" w:cs="Times New Roman" w:eastAsiaTheme="minorEastAsia"/>
                <w:color w:val="auto"/>
              </w:rPr>
              <w:t>-N去除效率为</w:t>
            </w:r>
            <w:r>
              <w:rPr>
                <w:rFonts w:hint="default" w:ascii="Times New Roman" w:hAnsi="Times New Roman" w:cs="Times New Roman" w:eastAsiaTheme="minorEastAsia"/>
                <w:color w:val="auto"/>
                <w:lang w:val="en-US" w:eastAsia="zh-CN"/>
              </w:rPr>
              <w:t>8</w:t>
            </w:r>
            <w:r>
              <w:rPr>
                <w:rFonts w:hint="default" w:ascii="Times New Roman" w:hAnsi="Times New Roman" w:cs="Times New Roman" w:eastAsiaTheme="minorEastAsia"/>
                <w:color w:val="auto"/>
              </w:rPr>
              <w:t>0%、SS去除效率为90%</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处理效率和出水水质详见下表</w:t>
            </w:r>
            <w:r>
              <w:rPr>
                <w:rFonts w:hint="default" w:ascii="Times New Roman" w:hAnsi="Times New Roman" w:cs="Times New Roman" w:eastAsiaTheme="minorEastAsia"/>
                <w:color w:val="auto"/>
                <w:lang w:val="en-US" w:eastAsia="zh-CN"/>
              </w:rPr>
              <w:t>4-</w:t>
            </w:r>
            <w:r>
              <w:rPr>
                <w:rFonts w:hint="eastAsia" w:cs="Times New Roman" w:eastAsiaTheme="minorEastAsia"/>
                <w:color w:val="auto"/>
                <w:lang w:val="en-US" w:eastAsia="zh-CN"/>
              </w:rPr>
              <w:t>5</w:t>
            </w:r>
            <w:r>
              <w:rPr>
                <w:rFonts w:hint="default" w:ascii="Times New Roman" w:hAnsi="Times New Roman" w:cs="Times New Roman" w:eastAsiaTheme="minorEastAsia"/>
                <w:color w:val="auto"/>
                <w:lang w:val="en-US" w:eastAsia="zh-CN"/>
              </w:rPr>
              <w:t>。</w:t>
            </w:r>
          </w:p>
          <w:p w14:paraId="4C646432">
            <w:pPr>
              <w:pStyle w:val="13"/>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b/>
                <w:bCs/>
                <w:i w:val="0"/>
                <w:iCs/>
                <w:color w:val="auto"/>
                <w:lang w:val="en-US" w:eastAsia="zh-CN"/>
              </w:rPr>
            </w:pPr>
            <w:r>
              <w:rPr>
                <w:rFonts w:hint="default" w:ascii="Times New Roman" w:hAnsi="Times New Roman" w:cs="Times New Roman" w:eastAsiaTheme="minorEastAsia"/>
                <w:b/>
                <w:bCs/>
                <w:i w:val="0"/>
                <w:iCs/>
                <w:color w:val="auto"/>
                <w:lang w:val="en-US" w:eastAsia="zh-CN"/>
              </w:rPr>
              <w:t>表4-</w:t>
            </w:r>
            <w:r>
              <w:rPr>
                <w:rFonts w:hint="eastAsia" w:ascii="Times New Roman" w:hAnsi="Times New Roman" w:cs="Times New Roman" w:eastAsiaTheme="minorEastAsia"/>
                <w:b/>
                <w:bCs/>
                <w:i w:val="0"/>
                <w:iCs/>
                <w:color w:val="auto"/>
                <w:lang w:val="en-US" w:eastAsia="zh-CN"/>
              </w:rPr>
              <w:t>5</w:t>
            </w:r>
            <w:r>
              <w:rPr>
                <w:rFonts w:hint="default" w:ascii="Times New Roman" w:hAnsi="Times New Roman" w:cs="Times New Roman" w:eastAsiaTheme="minorEastAsia"/>
                <w:b/>
                <w:bCs/>
                <w:i w:val="0"/>
                <w:iCs/>
                <w:color w:val="auto"/>
                <w:lang w:val="en-US" w:eastAsia="zh-CN"/>
              </w:rPr>
              <w:t xml:space="preserve"> 一体化污水处理设施出水水质情况一览表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0"/>
              <w:gridCol w:w="1029"/>
              <w:gridCol w:w="1705"/>
              <w:gridCol w:w="887"/>
              <w:gridCol w:w="721"/>
              <w:gridCol w:w="616"/>
              <w:gridCol w:w="961"/>
              <w:gridCol w:w="964"/>
            </w:tblGrid>
            <w:tr w14:paraId="4CC8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07" w:type="pct"/>
                  <w:vMerge w:val="restart"/>
                  <w:tcBorders>
                    <w:top w:val="single" w:color="auto" w:sz="4" w:space="0"/>
                    <w:left w:val="single" w:color="auto" w:sz="4" w:space="0"/>
                    <w:bottom w:val="single" w:color="auto" w:sz="4" w:space="0"/>
                    <w:right w:val="single" w:color="auto" w:sz="4" w:space="0"/>
                  </w:tcBorders>
                  <w:noWrap w:val="0"/>
                  <w:vAlign w:val="center"/>
                </w:tcPr>
                <w:p w14:paraId="2AA5BC45">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657" w:type="pct"/>
                  <w:vMerge w:val="restart"/>
                  <w:tcBorders>
                    <w:top w:val="single" w:color="auto" w:sz="4" w:space="0"/>
                    <w:left w:val="single" w:color="auto" w:sz="4" w:space="0"/>
                    <w:bottom w:val="single" w:color="auto" w:sz="4" w:space="0"/>
                    <w:right w:val="single" w:color="auto" w:sz="4" w:space="0"/>
                  </w:tcBorders>
                  <w:noWrap w:val="0"/>
                  <w:vAlign w:val="center"/>
                </w:tcPr>
                <w:p w14:paraId="522A5ED3">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/a</w:t>
                  </w:r>
                </w:p>
              </w:tc>
              <w:tc>
                <w:tcPr>
                  <w:tcW w:w="1088" w:type="pct"/>
                  <w:vMerge w:val="restart"/>
                  <w:tcBorders>
                    <w:top w:val="single" w:color="auto" w:sz="4" w:space="0"/>
                    <w:left w:val="single" w:color="auto" w:sz="4" w:space="0"/>
                    <w:bottom w:val="single" w:color="auto" w:sz="4" w:space="0"/>
                    <w:right w:val="single" w:color="auto" w:sz="4" w:space="0"/>
                  </w:tcBorders>
                  <w:noWrap w:val="0"/>
                  <w:vAlign w:val="center"/>
                </w:tcPr>
                <w:p w14:paraId="4B7EAA48">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指标</w:t>
                  </w:r>
                </w:p>
              </w:tc>
              <w:tc>
                <w:tcPr>
                  <w:tcW w:w="2647" w:type="pct"/>
                  <w:gridSpan w:val="5"/>
                  <w:tcBorders>
                    <w:top w:val="single" w:color="auto" w:sz="4" w:space="0"/>
                    <w:left w:val="single" w:color="auto" w:sz="4" w:space="0"/>
                    <w:bottom w:val="single" w:color="auto" w:sz="4" w:space="0"/>
                    <w:right w:val="single" w:color="auto" w:sz="4" w:space="0"/>
                  </w:tcBorders>
                  <w:noWrap w:val="0"/>
                  <w:vAlign w:val="center"/>
                </w:tcPr>
                <w:p w14:paraId="5E87978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r>
            <w:tr w14:paraId="7E83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07" w:type="pct"/>
                  <w:vMerge w:val="continue"/>
                  <w:tcBorders>
                    <w:top w:val="single" w:color="auto" w:sz="4" w:space="0"/>
                    <w:left w:val="single" w:color="auto" w:sz="4" w:space="0"/>
                    <w:bottom w:val="single" w:color="auto" w:sz="4" w:space="0"/>
                    <w:right w:val="single" w:color="auto" w:sz="4" w:space="0"/>
                  </w:tcBorders>
                  <w:noWrap w:val="0"/>
                  <w:vAlign w:val="center"/>
                </w:tcPr>
                <w:p w14:paraId="11B5C63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p>
              </w:tc>
              <w:tc>
                <w:tcPr>
                  <w:tcW w:w="657" w:type="pct"/>
                  <w:vMerge w:val="continue"/>
                  <w:tcBorders>
                    <w:top w:val="single" w:color="auto" w:sz="4" w:space="0"/>
                    <w:left w:val="single" w:color="auto" w:sz="4" w:space="0"/>
                    <w:bottom w:val="single" w:color="auto" w:sz="4" w:space="0"/>
                    <w:right w:val="single" w:color="auto" w:sz="4" w:space="0"/>
                  </w:tcBorders>
                  <w:noWrap w:val="0"/>
                  <w:vAlign w:val="center"/>
                </w:tcPr>
                <w:p w14:paraId="648219BD">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p>
              </w:tc>
              <w:tc>
                <w:tcPr>
                  <w:tcW w:w="1088" w:type="pct"/>
                  <w:vMerge w:val="continue"/>
                  <w:tcBorders>
                    <w:top w:val="single" w:color="auto" w:sz="4" w:space="0"/>
                    <w:left w:val="single" w:color="auto" w:sz="4" w:space="0"/>
                    <w:bottom w:val="single" w:color="auto" w:sz="4" w:space="0"/>
                    <w:right w:val="single" w:color="auto" w:sz="4" w:space="0"/>
                  </w:tcBorders>
                  <w:noWrap w:val="0"/>
                  <w:vAlign w:val="center"/>
                </w:tcPr>
                <w:p w14:paraId="69DF05E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14:paraId="4B7A726E">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r>
                    <w:rPr>
                      <w:rFonts w:hint="default" w:ascii="Times New Roman" w:hAnsi="Times New Roman" w:eastAsia="宋体" w:cs="Times New Roman"/>
                      <w:b/>
                      <w:bCs/>
                      <w:color w:val="auto"/>
                      <w:sz w:val="21"/>
                      <w:szCs w:val="21"/>
                      <w:vertAlign w:val="subscript"/>
                    </w:rPr>
                    <w:t>cr</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25575B79">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332190D6">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动植物油</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7DEECF3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15EC5EE">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SS</w:t>
                  </w:r>
                </w:p>
              </w:tc>
            </w:tr>
            <w:tr w14:paraId="72A3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7" w:type="pct"/>
                  <w:vMerge w:val="restart"/>
                  <w:tcBorders>
                    <w:top w:val="single" w:color="auto" w:sz="4" w:space="0"/>
                    <w:left w:val="single" w:color="auto" w:sz="4" w:space="0"/>
                    <w:right w:val="single" w:color="auto" w:sz="4" w:space="0"/>
                  </w:tcBorders>
                  <w:noWrap w:val="0"/>
                  <w:vAlign w:val="center"/>
                </w:tcPr>
                <w:p w14:paraId="61FD6EDD">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处理前</w:t>
                  </w:r>
                </w:p>
              </w:tc>
              <w:tc>
                <w:tcPr>
                  <w:tcW w:w="657" w:type="pct"/>
                  <w:vMerge w:val="restart"/>
                  <w:tcBorders>
                    <w:top w:val="single" w:color="auto" w:sz="4" w:space="0"/>
                    <w:left w:val="single" w:color="auto" w:sz="4" w:space="0"/>
                    <w:right w:val="single" w:color="auto" w:sz="4" w:space="0"/>
                  </w:tcBorders>
                  <w:noWrap w:val="0"/>
                  <w:vAlign w:val="center"/>
                </w:tcPr>
                <w:p w14:paraId="2CC15AA5">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352</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08580A84">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浓度（mg/L）</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20D916F">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325</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100A4608">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136</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072EC4F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4.66</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50E1120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37.7</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E6BE7B2">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r>
            <w:tr w14:paraId="717E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7" w:type="pct"/>
                  <w:vMerge w:val="continue"/>
                  <w:tcBorders>
                    <w:left w:val="single" w:color="auto" w:sz="4" w:space="0"/>
                    <w:right w:val="single" w:color="auto" w:sz="4" w:space="0"/>
                  </w:tcBorders>
                  <w:noWrap w:val="0"/>
                  <w:vAlign w:val="center"/>
                </w:tcPr>
                <w:p w14:paraId="7F565B15">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657" w:type="pct"/>
                  <w:vMerge w:val="continue"/>
                  <w:tcBorders>
                    <w:left w:val="single" w:color="auto" w:sz="4" w:space="0"/>
                    <w:right w:val="single" w:color="auto" w:sz="4" w:space="0"/>
                  </w:tcBorders>
                  <w:noWrap w:val="0"/>
                  <w:vAlign w:val="center"/>
                </w:tcPr>
                <w:p w14:paraId="34F05AE2">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88" w:type="pct"/>
                  <w:tcBorders>
                    <w:top w:val="single" w:color="auto" w:sz="4" w:space="0"/>
                    <w:left w:val="single" w:color="auto" w:sz="4" w:space="0"/>
                    <w:bottom w:val="single" w:color="auto" w:sz="4" w:space="0"/>
                    <w:right w:val="single" w:color="auto" w:sz="4" w:space="0"/>
                  </w:tcBorders>
                  <w:noWrap w:val="0"/>
                  <w:vAlign w:val="center"/>
                </w:tcPr>
                <w:p w14:paraId="44976C05">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376580D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14</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6AA066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48</w:t>
                  </w:r>
                  <w:r>
                    <w:rPr>
                      <w:rFonts w:hint="default" w:ascii="Times New Roman" w:hAnsi="Times New Roman" w:eastAsia="宋体" w:cs="Times New Roman"/>
                      <w:color w:val="auto"/>
                      <w:sz w:val="21"/>
                      <w:szCs w:val="21"/>
                    </w:rPr>
                    <w:t xml:space="preserve"> </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3876A6E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2F9E148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0.01</w:t>
                  </w:r>
                  <w:r>
                    <w:rPr>
                      <w:rFonts w:hint="eastAsia" w:cs="Times New Roman"/>
                      <w:color w:val="auto"/>
                      <w:sz w:val="21"/>
                      <w:szCs w:val="21"/>
                      <w:lang w:val="en-US" w:eastAsia="zh-CN"/>
                    </w:rPr>
                    <w:t>3</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E60A541">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r>
                    <w:rPr>
                      <w:rFonts w:hint="eastAsia" w:cs="Times New Roman"/>
                      <w:color w:val="auto"/>
                      <w:sz w:val="21"/>
                      <w:szCs w:val="21"/>
                      <w:lang w:val="en-US" w:eastAsia="zh-CN"/>
                    </w:rPr>
                    <w:t>06</w:t>
                  </w:r>
                </w:p>
              </w:tc>
            </w:tr>
            <w:tr w14:paraId="0673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2" w:hRule="atLeast"/>
                <w:jc w:val="center"/>
              </w:trPr>
              <w:tc>
                <w:tcPr>
                  <w:tcW w:w="2352" w:type="pct"/>
                  <w:gridSpan w:val="3"/>
                  <w:tcBorders>
                    <w:left w:val="single" w:color="auto" w:sz="4" w:space="0"/>
                    <w:right w:val="single" w:color="auto" w:sz="4" w:space="0"/>
                  </w:tcBorders>
                  <w:noWrap w:val="0"/>
                  <w:vAlign w:val="center"/>
                </w:tcPr>
                <w:p w14:paraId="69698B6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化粪池</w:t>
                  </w:r>
                  <w:r>
                    <w:rPr>
                      <w:rFonts w:hint="default" w:ascii="Times New Roman" w:hAnsi="Times New Roman" w:eastAsia="宋体" w:cs="Times New Roman"/>
                      <w:color w:val="auto"/>
                      <w:sz w:val="21"/>
                      <w:szCs w:val="21"/>
                      <w:lang w:val="en-US" w:eastAsia="zh-CN"/>
                    </w:rPr>
                    <w:t>+一体化污水处理设施去除效率</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344306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613227F">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240612B6">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5D847C3F">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75931DC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r>
            <w:tr w14:paraId="6B47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2" w:hRule="atLeast"/>
                <w:jc w:val="center"/>
              </w:trPr>
              <w:tc>
                <w:tcPr>
                  <w:tcW w:w="607" w:type="pct"/>
                  <w:vMerge w:val="restart"/>
                  <w:tcBorders>
                    <w:left w:val="single" w:color="auto" w:sz="4" w:space="0"/>
                    <w:right w:val="single" w:color="auto" w:sz="4" w:space="0"/>
                  </w:tcBorders>
                  <w:noWrap w:val="0"/>
                  <w:vAlign w:val="center"/>
                </w:tcPr>
                <w:p w14:paraId="4C161BE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预处理后</w:t>
                  </w:r>
                </w:p>
              </w:tc>
              <w:tc>
                <w:tcPr>
                  <w:tcW w:w="657" w:type="pct"/>
                  <w:vMerge w:val="restart"/>
                  <w:tcBorders>
                    <w:left w:val="single" w:color="auto" w:sz="4" w:space="0"/>
                    <w:right w:val="single" w:color="auto" w:sz="4" w:space="0"/>
                  </w:tcBorders>
                  <w:noWrap w:val="0"/>
                  <w:vAlign w:val="center"/>
                </w:tcPr>
                <w:p w14:paraId="0623B05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352</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5ABF27A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浓度（mg/L）</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6F9A6D8">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32.5</w:t>
                  </w:r>
                  <w:r>
                    <w:rPr>
                      <w:rFonts w:hint="default" w:ascii="Times New Roman" w:hAnsi="Times New Roman" w:eastAsia="宋体" w:cs="Times New Roman"/>
                      <w:color w:val="auto"/>
                      <w:sz w:val="21"/>
                      <w:szCs w:val="21"/>
                    </w:rPr>
                    <w:t xml:space="preserve"> </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32255FD2">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9.52</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7B80AE3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0.84</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269AD214">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7.54</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1FDDAFE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r>
            <w:tr w14:paraId="6B90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9" w:hRule="atLeast"/>
                <w:jc w:val="center"/>
              </w:trPr>
              <w:tc>
                <w:tcPr>
                  <w:tcW w:w="607" w:type="pct"/>
                  <w:vMerge w:val="continue"/>
                  <w:tcBorders>
                    <w:left w:val="single" w:color="auto" w:sz="4" w:space="0"/>
                    <w:right w:val="single" w:color="auto" w:sz="4" w:space="0"/>
                  </w:tcBorders>
                  <w:noWrap w:val="0"/>
                  <w:vAlign w:val="center"/>
                </w:tcPr>
                <w:p w14:paraId="7E7BF0CE">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657" w:type="pct"/>
                  <w:vMerge w:val="continue"/>
                  <w:tcBorders>
                    <w:left w:val="single" w:color="auto" w:sz="4" w:space="0"/>
                    <w:right w:val="single" w:color="auto" w:sz="4" w:space="0"/>
                  </w:tcBorders>
                  <w:noWrap w:val="0"/>
                  <w:vAlign w:val="center"/>
                </w:tcPr>
                <w:p w14:paraId="6EA48B5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88" w:type="pct"/>
                  <w:tcBorders>
                    <w:top w:val="single" w:color="auto" w:sz="4" w:space="0"/>
                    <w:left w:val="single" w:color="auto" w:sz="4" w:space="0"/>
                    <w:bottom w:val="single" w:color="auto" w:sz="4" w:space="0"/>
                    <w:right w:val="single" w:color="auto" w:sz="4" w:space="0"/>
                  </w:tcBorders>
                  <w:noWrap w:val="0"/>
                  <w:vAlign w:val="center"/>
                </w:tcPr>
                <w:p w14:paraId="554BC1A8">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0BE0FDE">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11</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5FB6F83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0.003</w:t>
                  </w:r>
                  <w:r>
                    <w:rPr>
                      <w:rFonts w:hint="default" w:ascii="Times New Roman" w:hAnsi="Times New Roman" w:eastAsia="宋体" w:cs="Times New Roman"/>
                      <w:color w:val="auto"/>
                      <w:sz w:val="21"/>
                      <w:szCs w:val="21"/>
                    </w:rPr>
                    <w:t xml:space="preserve"> </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64C24C6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7353D0C7">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58F41CC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0.011</w:t>
                  </w:r>
                </w:p>
              </w:tc>
            </w:tr>
            <w:tr w14:paraId="125D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jc w:val="center"/>
              </w:trPr>
              <w:tc>
                <w:tcPr>
                  <w:tcW w:w="2352" w:type="pct"/>
                  <w:gridSpan w:val="3"/>
                  <w:tcBorders>
                    <w:left w:val="single" w:color="auto" w:sz="4" w:space="0"/>
                    <w:right w:val="single" w:color="auto" w:sz="4" w:space="0"/>
                  </w:tcBorders>
                  <w:noWrap w:val="0"/>
                  <w:vAlign w:val="center"/>
                </w:tcPr>
                <w:p w14:paraId="7203AE6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GB/T18920-2020《城市污水再生利用城市杂用水水质》中</w:t>
                  </w:r>
                  <w:r>
                    <w:rPr>
                      <w:rFonts w:hint="default" w:ascii="Times New Roman" w:hAnsi="Times New Roman" w:eastAsia="宋体" w:cs="Times New Roman"/>
                      <w:color w:val="auto"/>
                      <w:sz w:val="21"/>
                      <w:szCs w:val="21"/>
                      <w:lang w:val="en-US" w:eastAsia="zh-CN"/>
                    </w:rPr>
                    <w:t>绿化标准</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73A3739B">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D9ADBE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4897E9F0">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467CE9F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B121E3B">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7BC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2352" w:type="pct"/>
                  <w:gridSpan w:val="3"/>
                  <w:tcBorders>
                    <w:left w:val="single" w:color="auto" w:sz="4" w:space="0"/>
                    <w:right w:val="single" w:color="auto" w:sz="4" w:space="0"/>
                  </w:tcBorders>
                  <w:noWrap w:val="0"/>
                  <w:vAlign w:val="center"/>
                </w:tcPr>
                <w:p w14:paraId="661E215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1B8E708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7719734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31E8F8B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6DCFD92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5C10313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bl>
          <w:p w14:paraId="255280A2">
            <w:pPr>
              <w:pStyle w:val="111"/>
              <w:keepNext w:val="0"/>
              <w:keepLines w:val="0"/>
              <w:pageBreakBefore w:val="0"/>
              <w:widowControl w:val="0"/>
              <w:kinsoku/>
              <w:wordWrap/>
              <w:overflowPunct/>
              <w:topLinePunct w:val="0"/>
              <w:autoSpaceDE/>
              <w:autoSpaceDN/>
              <w:bidi w:val="0"/>
              <w:adjustRightInd/>
              <w:snapToGrid/>
              <w:ind w:firstLineChars="200"/>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w:t>
            </w:r>
            <w:r>
              <w:rPr>
                <w:rFonts w:hint="eastAsia" w:cs="Times New Roman" w:eastAsiaTheme="minorEastAsia"/>
                <w:color w:val="auto"/>
                <w:lang w:val="en-US" w:eastAsia="zh-CN"/>
              </w:rPr>
              <w:t>全厂</w:t>
            </w:r>
            <w:r>
              <w:rPr>
                <w:rFonts w:hint="default" w:ascii="Times New Roman" w:hAnsi="Times New Roman" w:cs="Times New Roman" w:eastAsiaTheme="minorEastAsia"/>
                <w:color w:val="auto"/>
              </w:rPr>
              <w:t>生活污水经</w:t>
            </w:r>
            <w:r>
              <w:rPr>
                <w:rFonts w:hint="eastAsia" w:cs="Times New Roman" w:eastAsiaTheme="minorEastAsia"/>
                <w:color w:val="auto"/>
                <w:lang w:val="en-US" w:eastAsia="zh-CN"/>
              </w:rPr>
              <w:t>2m</w:t>
            </w:r>
            <w:r>
              <w:rPr>
                <w:rFonts w:hint="eastAsia" w:cs="Times New Roman" w:eastAsiaTheme="minorEastAsia"/>
                <w:color w:val="auto"/>
                <w:vertAlign w:val="superscript"/>
                <w:lang w:val="en-US" w:eastAsia="zh-CN"/>
              </w:rPr>
              <w:t>3</w:t>
            </w:r>
            <w:r>
              <w:rPr>
                <w:rFonts w:hint="eastAsia" w:cs="Times New Roman" w:eastAsiaTheme="minorEastAsia"/>
                <w:color w:val="auto"/>
                <w:lang w:val="en-US" w:eastAsia="zh-CN"/>
              </w:rPr>
              <w:t>/d</w:t>
            </w:r>
            <w:r>
              <w:rPr>
                <w:rFonts w:hint="default" w:ascii="Times New Roman" w:hAnsi="Times New Roman" w:cs="Times New Roman" w:eastAsiaTheme="minorEastAsia"/>
                <w:color w:val="auto"/>
              </w:rPr>
              <w:t>一体化污水处理站处理后，其水质可达《城市污水再生利用  城市杂用水水质》（GB/T 18920-2020）标准中</w:t>
            </w:r>
            <w:r>
              <w:rPr>
                <w:rFonts w:hint="default" w:ascii="Times New Roman" w:hAnsi="Times New Roman" w:cs="Times New Roman" w:eastAsiaTheme="minorEastAsia"/>
                <w:color w:val="auto"/>
                <w:lang w:val="en-US" w:eastAsia="zh-CN"/>
              </w:rPr>
              <w:t>绿化</w:t>
            </w:r>
            <w:r>
              <w:rPr>
                <w:rFonts w:hint="default" w:ascii="Times New Roman" w:hAnsi="Times New Roman" w:cs="Times New Roman" w:eastAsiaTheme="minorEastAsia"/>
                <w:color w:val="auto"/>
              </w:rPr>
              <w:t>标准</w:t>
            </w:r>
            <w:r>
              <w:rPr>
                <w:rFonts w:hint="default" w:ascii="Times New Roman" w:hAnsi="Times New Roman" w:cs="Times New Roman" w:eastAsiaTheme="minorEastAsia"/>
                <w:color w:val="auto"/>
                <w:lang w:val="en-US" w:eastAsia="zh-CN"/>
              </w:rPr>
              <w:t>限值，回用于厂区绿化，不外排</w:t>
            </w:r>
            <w:r>
              <w:rPr>
                <w:rFonts w:hint="default" w:ascii="Times New Roman" w:hAnsi="Times New Roman" w:cs="Times New Roman" w:eastAsiaTheme="minorEastAsia"/>
                <w:color w:val="auto"/>
              </w:rPr>
              <w:t>，对地表水</w:t>
            </w:r>
            <w:r>
              <w:rPr>
                <w:rFonts w:hint="default" w:ascii="Times New Roman" w:hAnsi="Times New Roman" w:cs="Times New Roman" w:eastAsiaTheme="minorEastAsia"/>
                <w:color w:val="auto"/>
                <w:lang w:val="en-US" w:eastAsia="zh-CN"/>
              </w:rPr>
              <w:t>影响较小</w:t>
            </w:r>
            <w:r>
              <w:rPr>
                <w:rFonts w:hint="default" w:ascii="Times New Roman" w:hAnsi="Times New Roman" w:cs="Times New Roman" w:eastAsiaTheme="minorEastAsia"/>
                <w:color w:val="auto"/>
              </w:rPr>
              <w:t>。</w:t>
            </w:r>
          </w:p>
          <w:p w14:paraId="49DCBDBC">
            <w:pPr>
              <w:pStyle w:val="111"/>
              <w:keepNext w:val="0"/>
              <w:keepLines w:val="0"/>
              <w:pageBreakBefore w:val="0"/>
              <w:widowControl w:val="0"/>
              <w:numPr>
                <w:ilvl w:val="0"/>
                <w:numId w:val="7"/>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可行技术分析</w:t>
            </w:r>
          </w:p>
          <w:p w14:paraId="2EFBE5C1">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s="Times New Roman" w:eastAsiaTheme="minorEastAsia"/>
                <w:color w:val="auto"/>
                <w:lang w:val="en-US" w:eastAsia="zh-CN"/>
              </w:rPr>
            </w:pPr>
            <w:r>
              <w:rPr>
                <w:rFonts w:hint="default" w:ascii="Times New Roman" w:hAnsi="Times New Roman" w:cs="Times New Roman" w:eastAsiaTheme="minorEastAsia"/>
                <w:color w:val="auto"/>
              </w:rPr>
              <w:t>项目生活污水</w:t>
            </w:r>
            <w:r>
              <w:rPr>
                <w:rFonts w:hint="default" w:ascii="Times New Roman" w:hAnsi="Times New Roman" w:cs="Times New Roman" w:eastAsiaTheme="minorEastAsia"/>
                <w:color w:val="auto"/>
                <w:lang w:val="en-US" w:eastAsia="zh-CN"/>
              </w:rPr>
              <w:t>经</w:t>
            </w:r>
            <w:r>
              <w:rPr>
                <w:rFonts w:hint="default" w:ascii="Times New Roman" w:hAnsi="Times New Roman" w:cs="Times New Roman" w:eastAsiaTheme="minorEastAsia"/>
                <w:color w:val="auto"/>
              </w:rPr>
              <w:t>化粪池和一体化污水处理</w:t>
            </w:r>
            <w:r>
              <w:rPr>
                <w:rFonts w:hint="default" w:ascii="Times New Roman" w:hAnsi="Times New Roman" w:cs="Times New Roman" w:eastAsiaTheme="minorEastAsia"/>
                <w:color w:val="auto"/>
                <w:lang w:val="en-US" w:eastAsia="zh-CN"/>
              </w:rPr>
              <w:t>设施</w:t>
            </w:r>
            <w:r>
              <w:rPr>
                <w:rFonts w:hint="default" w:ascii="Times New Roman" w:hAnsi="Times New Roman" w:cs="Times New Roman" w:eastAsiaTheme="minorEastAsia"/>
                <w:color w:val="auto"/>
              </w:rPr>
              <w:t>处理达到</w:t>
            </w:r>
            <w:r>
              <w:rPr>
                <w:rFonts w:hint="default" w:ascii="Times New Roman" w:hAnsi="Times New Roman" w:cs="Times New Roman" w:eastAsiaTheme="minorEastAsia"/>
                <w:bCs/>
                <w:color w:val="auto"/>
                <w:szCs w:val="24"/>
              </w:rPr>
              <w:t>《城市污水再生利用城市杂用水水质标准》（GB/T18920-2020）中</w:t>
            </w:r>
            <w:r>
              <w:rPr>
                <w:rFonts w:hint="default" w:ascii="Times New Roman" w:hAnsi="Times New Roman" w:cs="Times New Roman" w:eastAsiaTheme="minorEastAsia"/>
                <w:bCs/>
                <w:color w:val="auto"/>
                <w:szCs w:val="24"/>
                <w:lang w:val="en-US" w:eastAsia="zh-CN"/>
              </w:rPr>
              <w:t>绿化</w:t>
            </w:r>
            <w:r>
              <w:rPr>
                <w:rFonts w:hint="default" w:ascii="Times New Roman" w:hAnsi="Times New Roman" w:cs="Times New Roman" w:eastAsiaTheme="minorEastAsia"/>
                <w:color w:val="auto"/>
                <w:szCs w:val="24"/>
              </w:rPr>
              <w:t>水质标准</w:t>
            </w:r>
            <w:r>
              <w:rPr>
                <w:rFonts w:hint="default" w:ascii="Times New Roman" w:hAnsi="Times New Roman" w:cs="Times New Roman" w:eastAsiaTheme="minorEastAsia"/>
                <w:color w:val="auto"/>
              </w:rPr>
              <w:t>后，回用于</w:t>
            </w:r>
            <w:r>
              <w:rPr>
                <w:rFonts w:hint="default" w:ascii="Times New Roman" w:hAnsi="Times New Roman" w:cs="Times New Roman" w:eastAsiaTheme="minorEastAsia"/>
                <w:color w:val="auto"/>
                <w:lang w:val="en-US" w:eastAsia="zh-CN"/>
              </w:rPr>
              <w:t>厂区绿化</w:t>
            </w:r>
            <w:r>
              <w:rPr>
                <w:rFonts w:hint="default" w:ascii="Times New Roman" w:hAnsi="Times New Roman" w:cs="Times New Roman" w:eastAsiaTheme="minorEastAsia"/>
                <w:color w:val="auto"/>
              </w:rPr>
              <w:t>，不外排。一体化污水处理站采用“A/O工艺”，</w:t>
            </w:r>
            <w:r>
              <w:rPr>
                <w:rFonts w:hint="default" w:ascii="Times New Roman" w:hAnsi="Times New Roman" w:cs="Times New Roman" w:eastAsiaTheme="minorEastAsia"/>
                <w:color w:val="auto"/>
                <w:kern w:val="24"/>
              </w:rPr>
              <w:t>根据</w:t>
            </w:r>
            <w:r>
              <w:rPr>
                <w:rFonts w:hint="default" w:ascii="Times New Roman" w:hAnsi="Times New Roman" w:cs="Times New Roman" w:eastAsiaTheme="minorEastAsia"/>
                <w:color w:val="auto"/>
              </w:rPr>
              <w:t>《排污许可证申请与核发技术规范 水处理通用工序》（HJ1120-2020）中生产类排污单位废水处理可行性技术包括：“预处理：调节、隔油、沉淀、气浮、中和、吸附；生化处理：水解酸化、厌氧、好氧、缺氧好氧（A/O）、厌氧缺氧好氧（A</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O）、序批式活性污泥（SBR）、氧化沟、曝气生物滤池（BAF）、移动生物床反应器（MBBR）、膜生物反应器（MBR）、二沉池；深度处理及回用：混凝沉淀、沉淀、过滤、反硝化、高级氧化、曝气生物滤池、生物接触氧化、超滤、反渗透、电渗析、离子交换”，项目生活污水处理工艺</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A/O</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为推荐的可行技术，出水水质可以满足</w:t>
            </w:r>
            <w:r>
              <w:rPr>
                <w:rFonts w:hint="default" w:ascii="Times New Roman" w:hAnsi="Times New Roman" w:cs="Times New Roman" w:eastAsiaTheme="minorEastAsia"/>
                <w:bCs/>
                <w:color w:val="auto"/>
              </w:rPr>
              <w:t>《城市污水再生利用城市杂用水水质标准》（GB/T18920-2020）中绿化</w:t>
            </w:r>
            <w:r>
              <w:rPr>
                <w:rFonts w:hint="default" w:ascii="Times New Roman" w:hAnsi="Times New Roman" w:cs="Times New Roman" w:eastAsiaTheme="minorEastAsia"/>
                <w:color w:val="auto"/>
              </w:rPr>
              <w:t>水质标准后回用于厂区</w:t>
            </w:r>
            <w:r>
              <w:rPr>
                <w:rFonts w:hint="default" w:ascii="Times New Roman" w:hAnsi="Times New Roman" w:cs="Times New Roman" w:eastAsiaTheme="minorEastAsia"/>
                <w:color w:val="auto"/>
                <w:lang w:val="en-US" w:eastAsia="zh-CN"/>
              </w:rPr>
              <w:t>绿化</w:t>
            </w:r>
            <w:r>
              <w:rPr>
                <w:rFonts w:hint="default" w:ascii="Times New Roman" w:hAnsi="Times New Roman" w:cs="Times New Roman" w:eastAsiaTheme="minorEastAsia"/>
                <w:color w:val="auto"/>
              </w:rPr>
              <w:t>，不外排。</w:t>
            </w:r>
            <w:r>
              <w:rPr>
                <w:rFonts w:hint="eastAsia" w:cs="Times New Roman" w:eastAsiaTheme="minorEastAsia"/>
                <w:color w:val="auto"/>
                <w:lang w:val="en-US" w:eastAsia="zh-CN"/>
              </w:rPr>
              <w:t>项目污水处理设施可行性分析详见下表。</w:t>
            </w:r>
          </w:p>
          <w:p w14:paraId="13593BEE">
            <w:pPr>
              <w:pStyle w:val="13"/>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cs="Times New Roman" w:eastAsiaTheme="minorEastAsia"/>
                <w:b/>
                <w:bCs/>
                <w:i w:val="0"/>
                <w:iCs/>
                <w:color w:val="auto"/>
                <w:lang w:val="en-US" w:eastAsia="zh-CN"/>
              </w:rPr>
            </w:pPr>
            <w:r>
              <w:rPr>
                <w:rFonts w:hint="eastAsia" w:ascii="Times New Roman" w:hAnsi="Times New Roman" w:cs="Times New Roman" w:eastAsiaTheme="minorEastAsia"/>
                <w:b/>
                <w:bCs/>
                <w:i w:val="0"/>
                <w:iCs/>
                <w:color w:val="auto"/>
                <w:lang w:val="en-US" w:eastAsia="zh-CN"/>
              </w:rPr>
              <w:t>表4-6 项目污水处理设施可行性分析一览表</w:t>
            </w:r>
          </w:p>
          <w:tbl>
            <w:tblPr>
              <w:tblStyle w:val="29"/>
              <w:tblW w:w="7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2"/>
              <w:gridCol w:w="2475"/>
              <w:gridCol w:w="779"/>
            </w:tblGrid>
            <w:tr w14:paraId="20D0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2" w:type="dxa"/>
                  <w:vAlign w:val="center"/>
                </w:tcPr>
                <w:p w14:paraId="35CA84FA">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生产类排污单位废水可行性对照内容</w:t>
                  </w:r>
                </w:p>
              </w:tc>
              <w:tc>
                <w:tcPr>
                  <w:tcW w:w="2475" w:type="dxa"/>
                  <w:vAlign w:val="center"/>
                </w:tcPr>
                <w:p w14:paraId="2392804B">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本项目采取的措施</w:t>
                  </w:r>
                </w:p>
              </w:tc>
              <w:tc>
                <w:tcPr>
                  <w:tcW w:w="779" w:type="dxa"/>
                  <w:vAlign w:val="center"/>
                </w:tcPr>
                <w:p w14:paraId="1E306AA4">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是否符合</w:t>
                  </w:r>
                </w:p>
              </w:tc>
            </w:tr>
            <w:tr w14:paraId="053E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592" w:type="dxa"/>
                  <w:vAlign w:val="center"/>
                </w:tcPr>
                <w:p w14:paraId="2B14F23C">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预处理：调节、隔油、沉淀、气浮、中和、吸附</w:t>
                  </w:r>
                </w:p>
              </w:tc>
              <w:tc>
                <w:tcPr>
                  <w:tcW w:w="2475" w:type="dxa"/>
                  <w:vMerge w:val="restart"/>
                  <w:vAlign w:val="center"/>
                </w:tcPr>
                <w:p w14:paraId="050F8EE7">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项目生活污水</w:t>
                  </w:r>
                  <w:r>
                    <w:rPr>
                      <w:rFonts w:hint="eastAsia" w:cs="Times New Roman" w:eastAsiaTheme="minorEastAsia"/>
                      <w:color w:val="auto"/>
                      <w:sz w:val="21"/>
                      <w:szCs w:val="21"/>
                      <w:lang w:val="en-US" w:eastAsia="zh-CN"/>
                    </w:rPr>
                    <w:t>经</w:t>
                  </w:r>
                  <w:r>
                    <w:rPr>
                      <w:rFonts w:hint="eastAsia" w:ascii="Times New Roman" w:hAnsi="Times New Roman" w:cs="Times New Roman" w:eastAsiaTheme="minorEastAsia"/>
                      <w:color w:val="auto"/>
                      <w:sz w:val="21"/>
                      <w:szCs w:val="21"/>
                      <w:lang w:val="en-US" w:eastAsia="zh-CN"/>
                    </w:rPr>
                    <w:t>2m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lang w:val="en-US" w:eastAsia="zh-CN"/>
                    </w:rPr>
                    <w:t>/d的</w:t>
                  </w:r>
                  <w:r>
                    <w:rPr>
                      <w:rFonts w:hint="default" w:ascii="Times New Roman" w:hAnsi="Times New Roman" w:cs="Times New Roman" w:eastAsiaTheme="minorEastAsia"/>
                      <w:color w:val="auto"/>
                      <w:sz w:val="21"/>
                      <w:szCs w:val="21"/>
                    </w:rPr>
                    <w:t>一体化污水处理</w:t>
                  </w:r>
                  <w:r>
                    <w:rPr>
                      <w:rFonts w:hint="default" w:ascii="Times New Roman" w:hAnsi="Times New Roman" w:cs="Times New Roman" w:eastAsiaTheme="minorEastAsia"/>
                      <w:color w:val="auto"/>
                      <w:sz w:val="21"/>
                      <w:szCs w:val="21"/>
                      <w:lang w:val="en-US" w:eastAsia="zh-CN"/>
                    </w:rPr>
                    <w:t>设施</w:t>
                  </w:r>
                  <w:r>
                    <w:rPr>
                      <w:rFonts w:hint="default" w:ascii="Times New Roman" w:hAnsi="Times New Roman" w:cs="Times New Roman" w:eastAsiaTheme="minorEastAsia"/>
                      <w:color w:val="auto"/>
                      <w:sz w:val="21"/>
                      <w:szCs w:val="21"/>
                    </w:rPr>
                    <w:t>处理</w:t>
                  </w:r>
                  <w:r>
                    <w:rPr>
                      <w:rFonts w:hint="default" w:ascii="Times New Roman" w:hAnsi="Times New Roman" w:cs="Times New Roman" w:eastAsiaTheme="minorEastAsia"/>
                      <w:color w:val="auto"/>
                      <w:sz w:val="21"/>
                      <w:szCs w:val="21"/>
                      <w:lang w:val="en-US" w:eastAsia="zh-CN"/>
                    </w:rPr>
                    <w:t>达标后</w:t>
                  </w:r>
                  <w:r>
                    <w:rPr>
                      <w:rFonts w:hint="eastAsia" w:ascii="Times New Roman" w:hAnsi="Times New Roman" w:cs="Times New Roman" w:eastAsiaTheme="minorEastAsia"/>
                      <w:color w:val="auto"/>
                      <w:sz w:val="21"/>
                      <w:szCs w:val="21"/>
                      <w:lang w:val="en-US" w:eastAsia="zh-CN"/>
                    </w:rPr>
                    <w:t>回用于厂区绿化</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一体化污水处理</w:t>
                  </w:r>
                  <w:r>
                    <w:rPr>
                      <w:rFonts w:hint="default" w:ascii="Times New Roman" w:hAnsi="Times New Roman" w:cs="Times New Roman" w:eastAsiaTheme="minorEastAsia"/>
                      <w:color w:val="auto"/>
                      <w:sz w:val="21"/>
                      <w:szCs w:val="21"/>
                      <w:lang w:val="en-US" w:eastAsia="zh-CN"/>
                    </w:rPr>
                    <w:t>设施处理工艺为</w:t>
                  </w:r>
                  <w:r>
                    <w:rPr>
                      <w:rFonts w:hint="default" w:ascii="Times New Roman" w:hAnsi="Times New Roman" w:cs="Times New Roman" w:eastAsiaTheme="minorEastAsia"/>
                      <w:color w:val="auto"/>
                      <w:sz w:val="21"/>
                      <w:szCs w:val="21"/>
                    </w:rPr>
                    <w:t>缺氧好氧（A/O）</w:t>
                  </w:r>
                </w:p>
              </w:tc>
              <w:tc>
                <w:tcPr>
                  <w:tcW w:w="779" w:type="dxa"/>
                  <w:vMerge w:val="restart"/>
                  <w:vAlign w:val="center"/>
                </w:tcPr>
                <w:p w14:paraId="35A789AC">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符合</w:t>
                  </w:r>
                </w:p>
              </w:tc>
            </w:tr>
            <w:tr w14:paraId="3959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2" w:type="dxa"/>
                  <w:vAlign w:val="center"/>
                </w:tcPr>
                <w:p w14:paraId="6553939D">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生化处理：水解酸化、厌氧、好氧、缺氧好氧（A/O）、厌氧缺氧好氧（A</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/O）、序批式活性污泥（SBR）、氧化沟、曝气生物滤池（BAF）、移动生物床反应器（MBBR）、膜生物反应器（MBR）、二沉池</w:t>
                  </w:r>
                </w:p>
              </w:tc>
              <w:tc>
                <w:tcPr>
                  <w:tcW w:w="2475" w:type="dxa"/>
                  <w:vMerge w:val="continue"/>
                  <w:vAlign w:val="center"/>
                </w:tcPr>
                <w:p w14:paraId="39406EC4">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p>
              </w:tc>
              <w:tc>
                <w:tcPr>
                  <w:tcW w:w="779" w:type="dxa"/>
                  <w:vMerge w:val="continue"/>
                  <w:vAlign w:val="center"/>
                </w:tcPr>
                <w:p w14:paraId="0E812964">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p>
              </w:tc>
            </w:tr>
          </w:tbl>
          <w:p w14:paraId="61F6AED8">
            <w:pPr>
              <w:keepNext w:val="0"/>
              <w:keepLines/>
              <w:pageBreakBefore w:val="0"/>
              <w:kinsoku/>
              <w:overflowPunct/>
              <w:bidi w:val="0"/>
              <w:adjustRightInd/>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3、项目废水不外排可行性分析</w:t>
            </w:r>
          </w:p>
          <w:p w14:paraId="0E7C87F7">
            <w:pPr>
              <w:pStyle w:val="36"/>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初期雨水：本项目采用雨污分流制，</w:t>
            </w:r>
            <w:r>
              <w:rPr>
                <w:rFonts w:hint="default" w:ascii="Times New Roman" w:hAnsi="Times New Roman" w:eastAsia="宋体" w:cs="Times New Roman"/>
                <w:color w:val="auto"/>
                <w:sz w:val="24"/>
                <w:szCs w:val="24"/>
                <w:lang w:val="en-US" w:eastAsia="zh-CN"/>
              </w:rPr>
              <w:t>雨水经雨水管网收集后，汇入初期雨水收集池，经沉淀后回用于厂区洒水降尘，不外排，根据工程分析可知，</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初期</w:t>
            </w:r>
            <w:r>
              <w:rPr>
                <w:rFonts w:hint="default" w:ascii="Times New Roman" w:hAnsi="Times New Roman" w:eastAsia="宋体" w:cs="Times New Roman"/>
                <w:color w:val="auto"/>
                <w:sz w:val="24"/>
                <w:szCs w:val="24"/>
              </w:rPr>
              <w:t>雨水</w:t>
            </w:r>
            <w:r>
              <w:rPr>
                <w:rFonts w:hint="default" w:ascii="Times New Roman" w:hAnsi="Times New Roman" w:eastAsia="宋体" w:cs="Times New Roman"/>
                <w:color w:val="auto"/>
                <w:sz w:val="24"/>
                <w:szCs w:val="24"/>
                <w:lang w:val="en-US" w:eastAsia="zh-CN"/>
              </w:rPr>
              <w:t>产生量为</w:t>
            </w:r>
            <w:r>
              <w:rPr>
                <w:rFonts w:hint="default" w:ascii="Times New Roman" w:hAnsi="Times New Roman" w:eastAsia="宋体" w:cs="Times New Roman"/>
                <w:caps w:val="0"/>
                <w:color w:val="auto"/>
                <w:sz w:val="24"/>
                <w:szCs w:val="24"/>
                <w:highlight w:val="none"/>
                <w:lang w:val="en-US" w:eastAsia="zh-CN"/>
              </w:rPr>
              <w:t>44.56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eastAsia" w:cs="Times New Roman"/>
                <w:color w:val="auto"/>
                <w:sz w:val="24"/>
                <w:szCs w:val="24"/>
                <w:lang w:val="en-US" w:eastAsia="zh-CN"/>
              </w:rPr>
              <w:t>/次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项目拟建设的初期雨水</w:t>
            </w:r>
            <w:r>
              <w:rPr>
                <w:rFonts w:hint="default" w:ascii="Times New Roman" w:hAnsi="Times New Roman" w:eastAsia="宋体" w:cs="Times New Roman"/>
                <w:color w:val="auto"/>
                <w:sz w:val="24"/>
                <w:szCs w:val="24"/>
              </w:rPr>
              <w:t>收集池容积</w:t>
            </w:r>
            <w:r>
              <w:rPr>
                <w:rFonts w:hint="default" w:ascii="Times New Roman" w:hAnsi="Times New Roman" w:eastAsia="宋体" w:cs="Times New Roman"/>
                <w:color w:val="auto"/>
                <w:sz w:val="24"/>
                <w:szCs w:val="24"/>
                <w:lang w:val="en-US" w:eastAsia="zh-CN"/>
              </w:rPr>
              <w:t>为60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可以</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color w:val="auto"/>
                <w:sz w:val="24"/>
                <w:szCs w:val="24"/>
                <w:lang w:val="en-US" w:eastAsia="zh-CN"/>
              </w:rPr>
              <w:t>初期雨水收集沉淀后，回用于厂区洒水降尘，实现废水零排放。</w:t>
            </w:r>
          </w:p>
          <w:p w14:paraId="374DCF86">
            <w:pPr>
              <w:pStyle w:val="36"/>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生活污水：根据工程分析可知，项目</w:t>
            </w:r>
            <w:r>
              <w:rPr>
                <w:rFonts w:hint="default" w:ascii="Times New Roman" w:hAnsi="Times New Roman" w:eastAsia="宋体" w:cs="Times New Roman"/>
                <w:color w:val="auto"/>
                <w:lang w:val="en-US" w:eastAsia="zh-CN"/>
              </w:rPr>
              <w:t>全厂生活污水产生量</w:t>
            </w:r>
            <w:r>
              <w:rPr>
                <w:rFonts w:hint="default" w:ascii="Times New Roman" w:hAnsi="Times New Roman" w:eastAsia="宋体" w:cs="Times New Roman"/>
                <w:color w:val="auto"/>
                <w:sz w:val="24"/>
                <w:szCs w:val="24"/>
                <w:lang w:val="en-US" w:eastAsia="zh-CN"/>
              </w:rPr>
              <w:t>为1.17m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/d，351m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/a，本项目拟建设1个容积为10m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的化粪池和1个容积为5m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的中水池，总容积为15m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，可以保证连续7d下雨的状态下，暂存全厂产生的生活污水（8.19m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），同时，项目拟建设了1个处理能力为2m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/d的一体化污水处理设施，项目全厂生活污水经泵输送在2m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/d的一体化污水处理设施处理，经处理达标后，</w:t>
            </w:r>
            <w:r>
              <w:rPr>
                <w:rFonts w:hint="default" w:ascii="Times New Roman" w:hAnsi="Times New Roman" w:eastAsia="宋体" w:cs="Times New Roman"/>
                <w:color w:val="auto"/>
                <w:sz w:val="24"/>
                <w:lang w:val="en-US" w:eastAsia="zh-CN"/>
              </w:rPr>
              <w:t>晴天回用于厂区绿化，不外排，雨天暂存于中水池和化粪池，待晴天后回用于厂区绿化，不外排，可以实现</w:t>
            </w:r>
            <w:r>
              <w:rPr>
                <w:rFonts w:hint="eastAsia" w:ascii="Times New Roman" w:hAnsi="Times New Roman" w:eastAsia="宋体" w:cs="Times New Roman"/>
                <w:color w:val="auto"/>
                <w:sz w:val="24"/>
                <w:lang w:val="en-US" w:eastAsia="zh-CN"/>
              </w:rPr>
              <w:t>厂区</w:t>
            </w:r>
            <w:r>
              <w:rPr>
                <w:rFonts w:hint="default" w:ascii="Times New Roman" w:hAnsi="Times New Roman" w:eastAsia="宋体" w:cs="Times New Roman"/>
                <w:color w:val="auto"/>
                <w:sz w:val="24"/>
                <w:lang w:val="en-US" w:eastAsia="zh-CN"/>
              </w:rPr>
              <w:t>生活污水零排放。</w:t>
            </w:r>
          </w:p>
          <w:p w14:paraId="1436B976">
            <w:pPr>
              <w:pStyle w:val="110"/>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sz w:val="24"/>
                <w:szCs w:val="24"/>
                <w:lang w:val="en-US" w:eastAsia="zh-CN"/>
              </w:rPr>
              <w:t>车辆清洗用水经配套建设的三级沉淀池（60m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）沉淀处理后循环使用，不外排。</w:t>
            </w:r>
          </w:p>
          <w:p w14:paraId="6FCA5663">
            <w:pPr>
              <w:keepNext w:val="0"/>
              <w:keepLines/>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综上所述，本项目初期雨水、生产废水和生活污水均可以合理处置，实现厂区废水零排放。</w:t>
            </w:r>
          </w:p>
          <w:p w14:paraId="15256280">
            <w:pPr>
              <w:keepNext w:val="0"/>
              <w:keepLines/>
              <w:pageBreakBefore w:val="0"/>
              <w:kinsoku/>
              <w:overflowPunct/>
              <w:bidi w:val="0"/>
              <w:adjustRightInd/>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lang w:val="en-US" w:eastAsia="zh-CN"/>
              </w:rPr>
              <w:t>结论</w:t>
            </w:r>
          </w:p>
          <w:p w14:paraId="34625E42">
            <w:pPr>
              <w:keepNext w:val="0"/>
              <w:keepLines/>
              <w:pageBreakBefore w:val="0"/>
              <w:widowControl/>
              <w:suppressLineNumbers w:val="0"/>
              <w:kinsoku/>
              <w:overflowPunct/>
              <w:bidi w:val="0"/>
              <w:adjustRightInd/>
              <w:jc w:val="both"/>
              <w:rPr>
                <w:rFonts w:hint="default" w:cs="Times New Roman"/>
                <w:color w:val="auto"/>
                <w:lang w:val="en-US" w:eastAsia="zh-CN"/>
              </w:rPr>
            </w:pPr>
            <w:r>
              <w:rPr>
                <w:rFonts w:hint="default" w:cs="Times New Roman"/>
                <w:color w:val="auto"/>
                <w:lang w:val="en-US" w:eastAsia="zh-CN"/>
              </w:rPr>
              <w:t>本项目位于</w:t>
            </w:r>
            <w:r>
              <w:rPr>
                <w:rFonts w:hint="eastAsia" w:cs="Times New Roman"/>
                <w:color w:val="auto"/>
                <w:lang w:val="en-US" w:eastAsia="zh-CN"/>
              </w:rPr>
              <w:t>云南省玉溪市峨山彝族自治县化念镇</w:t>
            </w:r>
            <w:r>
              <w:rPr>
                <w:rFonts w:hint="default" w:cs="Times New Roman"/>
                <w:color w:val="auto"/>
                <w:lang w:val="en-US" w:eastAsia="zh-CN"/>
              </w:rPr>
              <w:t>，</w:t>
            </w:r>
            <w:r>
              <w:rPr>
                <w:rFonts w:hint="default" w:ascii="Times New Roman" w:hAnsi="Times New Roman" w:eastAsia="宋体" w:cs="Times New Roman"/>
                <w:color w:val="auto"/>
                <w:lang w:eastAsia="zh-CN"/>
              </w:rPr>
              <w:t>项目区最近地表水为</w:t>
            </w:r>
            <w:r>
              <w:rPr>
                <w:rFonts w:hint="default" w:ascii="Times New Roman" w:hAnsi="Times New Roman" w:eastAsia="宋体" w:cs="Times New Roman"/>
                <w:color w:val="auto"/>
                <w:lang w:val="zh-CN" w:eastAsia="zh-CN"/>
              </w:rPr>
              <w:t>西侧</w:t>
            </w:r>
            <w:r>
              <w:rPr>
                <w:rFonts w:hint="eastAsia" w:cs="Times New Roman"/>
                <w:color w:val="auto"/>
                <w:lang w:val="en-US" w:eastAsia="zh-CN"/>
              </w:rPr>
              <w:t>560m的化念东大沟，化念</w:t>
            </w:r>
            <w:r>
              <w:rPr>
                <w:rFonts w:hint="default" w:ascii="Times New Roman" w:hAnsi="Times New Roman" w:eastAsia="宋体" w:cs="Times New Roman"/>
                <w:color w:val="auto"/>
              </w:rPr>
              <w:t>东大沟</w:t>
            </w:r>
            <w:r>
              <w:rPr>
                <w:rFonts w:hint="default" w:ascii="Times New Roman" w:hAnsi="Times New Roman" w:eastAsia="宋体" w:cs="Times New Roman"/>
                <w:color w:val="auto"/>
                <w:lang w:val="en-US" w:eastAsia="zh-CN"/>
              </w:rPr>
              <w:t>由</w:t>
            </w:r>
            <w:r>
              <w:rPr>
                <w:rFonts w:hint="default" w:ascii="Times New Roman" w:hAnsi="Times New Roman" w:eastAsia="宋体" w:cs="Times New Roman"/>
                <w:color w:val="auto"/>
              </w:rPr>
              <w:t>北向南径流，最终进入</w:t>
            </w:r>
            <w:r>
              <w:rPr>
                <w:rFonts w:hint="default" w:ascii="Times New Roman" w:hAnsi="Times New Roman" w:eastAsia="宋体" w:cs="Times New Roman"/>
                <w:color w:val="auto"/>
                <w:lang w:eastAsia="zh-CN"/>
              </w:rPr>
              <w:t>化念河</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化念河由北向南流入小河底河，小河底河由西北向东南再向西南汇入元江</w:t>
            </w:r>
            <w:r>
              <w:rPr>
                <w:rFonts w:hint="eastAsia" w:ascii="Times New Roman" w:hAnsi="Times New Roman" w:eastAsia="宋体" w:cs="Times New Roman"/>
                <w:color w:val="auto"/>
                <w:lang w:eastAsia="zh-CN"/>
              </w:rPr>
              <w:t>，</w:t>
            </w:r>
            <w:r>
              <w:rPr>
                <w:rFonts w:hint="eastAsia" w:cs="Times New Roman"/>
                <w:color w:val="auto"/>
                <w:lang w:val="en-US" w:eastAsia="zh-CN"/>
              </w:rPr>
              <w:t>化念东大沟、</w:t>
            </w:r>
            <w:r>
              <w:rPr>
                <w:rFonts w:hint="default" w:ascii="Times New Roman" w:hAnsi="Times New Roman" w:eastAsia="宋体" w:cs="Times New Roman"/>
                <w:color w:val="auto"/>
              </w:rPr>
              <w:t>化念河</w:t>
            </w:r>
            <w:r>
              <w:rPr>
                <w:rFonts w:hint="default" w:ascii="Times New Roman" w:hAnsi="Times New Roman" w:eastAsia="宋体" w:cs="Times New Roman"/>
                <w:color w:val="auto"/>
                <w:sz w:val="24"/>
                <w:szCs w:val="24"/>
                <w:lang w:val="en-US" w:eastAsia="zh-CN"/>
              </w:rPr>
              <w:t>水质类别执行</w:t>
            </w:r>
            <w:r>
              <w:rPr>
                <w:rFonts w:hint="default" w:ascii="Times New Roman" w:hAnsi="Times New Roman" w:eastAsia="宋体" w:cs="Times New Roman"/>
                <w:b w:val="0"/>
                <w:bCs w:val="0"/>
                <w:color w:val="auto"/>
                <w:lang w:val="zh-CN" w:eastAsia="zh-CN"/>
              </w:rPr>
              <w:t>Ⅲ</w:t>
            </w:r>
            <w:r>
              <w:rPr>
                <w:rFonts w:hint="default" w:ascii="Times New Roman" w:hAnsi="Times New Roman" w:eastAsia="宋体" w:cs="Times New Roman"/>
                <w:color w:val="auto"/>
                <w:sz w:val="24"/>
                <w:szCs w:val="24"/>
                <w:lang w:val="en-US" w:eastAsia="zh-CN"/>
              </w:rPr>
              <w:t>类水质标准</w:t>
            </w:r>
            <w:r>
              <w:rPr>
                <w:rFonts w:hint="default" w:cs="Times New Roman"/>
                <w:color w:val="auto"/>
                <w:lang w:val="en-US" w:eastAsia="zh-CN"/>
              </w:rPr>
              <w:t>，根据《202</w:t>
            </w:r>
            <w:r>
              <w:rPr>
                <w:rFonts w:hint="eastAsia" w:cs="Times New Roman"/>
                <w:color w:val="auto"/>
                <w:lang w:val="en-US" w:eastAsia="zh-CN"/>
              </w:rPr>
              <w:t>4</w:t>
            </w:r>
            <w:r>
              <w:rPr>
                <w:rFonts w:hint="default" w:cs="Times New Roman"/>
                <w:color w:val="auto"/>
                <w:lang w:val="en-US" w:eastAsia="zh-CN"/>
              </w:rPr>
              <w:t>年度玉溪市生态环境状况公报》，化念水库（小河底河）：202</w:t>
            </w:r>
            <w:r>
              <w:rPr>
                <w:rFonts w:hint="eastAsia" w:cs="Times New Roman"/>
                <w:color w:val="auto"/>
                <w:lang w:val="en-US" w:eastAsia="zh-CN"/>
              </w:rPr>
              <w:t>4</w:t>
            </w:r>
            <w:r>
              <w:rPr>
                <w:rFonts w:hint="default" w:cs="Times New Roman"/>
                <w:color w:val="auto"/>
                <w:lang w:val="en-US" w:eastAsia="zh-CN"/>
              </w:rPr>
              <w:t>年水质类别为</w:t>
            </w:r>
            <w:r>
              <w:rPr>
                <w:rFonts w:hint="default" w:ascii="Times New Roman" w:hAnsi="Times New Roman" w:eastAsia="宋体" w:cs="Times New Roman"/>
                <w:color w:val="auto"/>
              </w:rPr>
              <w:t>Ⅲ</w:t>
            </w:r>
            <w:r>
              <w:rPr>
                <w:rFonts w:hint="default" w:cs="Times New Roman"/>
                <w:color w:val="auto"/>
                <w:lang w:val="en-US" w:eastAsia="zh-CN"/>
              </w:rPr>
              <w:t>类，故项目所在区域地表水水体为达标区。</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生活污水</w:t>
            </w:r>
            <w:r>
              <w:rPr>
                <w:rFonts w:hint="default" w:ascii="Times New Roman" w:hAnsi="Times New Roman" w:eastAsia="宋体" w:cs="Times New Roman"/>
                <w:color w:val="auto"/>
                <w:sz w:val="24"/>
                <w:szCs w:val="24"/>
                <w:lang w:val="en-US" w:eastAsia="zh-CN"/>
              </w:rPr>
              <w:t>经2m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/d的</w:t>
            </w:r>
            <w:r>
              <w:rPr>
                <w:rFonts w:hint="default" w:ascii="Times New Roman" w:hAnsi="Times New Roman" w:eastAsia="宋体" w:cs="Times New Roman"/>
                <w:color w:val="auto"/>
                <w:sz w:val="24"/>
                <w:szCs w:val="24"/>
              </w:rPr>
              <w:t>一体化污水处理</w:t>
            </w:r>
            <w:r>
              <w:rPr>
                <w:rFonts w:hint="default" w:ascii="Times New Roman" w:hAnsi="Times New Roman" w:eastAsia="宋体" w:cs="Times New Roman"/>
                <w:color w:val="auto"/>
                <w:sz w:val="24"/>
                <w:szCs w:val="24"/>
                <w:lang w:val="en-US" w:eastAsia="zh-CN"/>
              </w:rPr>
              <w:t>设施</w:t>
            </w:r>
            <w:r>
              <w:rPr>
                <w:rFonts w:hint="default" w:ascii="Times New Roman" w:hAnsi="Times New Roman" w:eastAsia="宋体" w:cs="Times New Roman"/>
                <w:color w:val="auto"/>
                <w:sz w:val="24"/>
                <w:szCs w:val="24"/>
              </w:rPr>
              <w:t>处理</w:t>
            </w:r>
            <w:r>
              <w:rPr>
                <w:rFonts w:hint="default" w:ascii="Times New Roman" w:hAnsi="Times New Roman" w:eastAsia="宋体" w:cs="Times New Roman"/>
                <w:color w:val="auto"/>
                <w:sz w:val="24"/>
                <w:szCs w:val="24"/>
                <w:lang w:val="en-US" w:eastAsia="zh-CN"/>
              </w:rPr>
              <w:t>达标后回用于厂区绿化，不外排，初期雨水</w:t>
            </w:r>
            <w:r>
              <w:rPr>
                <w:rFonts w:hint="eastAsia" w:cs="Times New Roman"/>
                <w:color w:val="auto"/>
                <w:lang w:val="en-US" w:eastAsia="zh-CN"/>
              </w:rPr>
              <w:t>经初期雨水收集池收集沉淀后，回用于厂区道路洒水降尘，不外排，</w:t>
            </w:r>
            <w:r>
              <w:rPr>
                <w:rFonts w:hint="default" w:ascii="Times New Roman" w:hAnsi="Times New Roman" w:cs="Times New Roman" w:eastAsiaTheme="minorEastAsia"/>
                <w:color w:val="auto"/>
                <w:kern w:val="2"/>
                <w:sz w:val="24"/>
                <w:szCs w:val="24"/>
                <w:lang w:val="en-US" w:eastAsia="zh-CN" w:bidi="ar-SA"/>
              </w:rPr>
              <w:t>本项目</w:t>
            </w:r>
            <w:r>
              <w:rPr>
                <w:rFonts w:hint="default" w:ascii="Times New Roman" w:hAnsi="Times New Roman" w:eastAsia="宋体" w:cs="Times New Roman"/>
                <w:color w:val="auto"/>
                <w:sz w:val="24"/>
                <w:szCs w:val="24"/>
                <w:lang w:val="en-US" w:eastAsia="zh-CN"/>
              </w:rPr>
              <w:t>车辆清洗用水经配套建设的</w:t>
            </w:r>
            <w:r>
              <w:rPr>
                <w:rFonts w:hint="eastAsia"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级沉淀池（</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）沉淀处理后循环使用，不外排</w:t>
            </w:r>
            <w:r>
              <w:rPr>
                <w:rFonts w:hint="default" w:cs="Times New Roman"/>
                <w:color w:val="auto"/>
                <w:lang w:val="en-US" w:eastAsia="zh-CN"/>
              </w:rPr>
              <w:t>，因此，本项目的建设不会对地表水产生不利影响，对周边的水环境影响不大。</w:t>
            </w:r>
          </w:p>
          <w:p w14:paraId="4D6008A8">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、废水自行监测一览表</w:t>
            </w:r>
          </w:p>
          <w:p w14:paraId="5A201896">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根据《排污单位自行监测技术指南总则》（HJ819-2017）制定本次监测计划</w:t>
            </w:r>
            <w:r>
              <w:rPr>
                <w:rFonts w:hint="eastAsia" w:ascii="Times New Roman" w:hAnsi="Times New Roman" w:eastAsia="宋体" w:cs="Times New Roman"/>
                <w:color w:val="auto"/>
                <w:kern w:val="0"/>
                <w:sz w:val="24"/>
                <w:szCs w:val="24"/>
                <w:lang w:val="en-US" w:eastAsia="zh-CN" w:bidi="ar-SA"/>
              </w:rPr>
              <w:t>，项目各监测点位、监测因子、监测频次见下表4-</w:t>
            </w:r>
            <w:r>
              <w:rPr>
                <w:rFonts w:hint="eastAsia" w:ascii="Times New Roman" w:hAnsi="Times New Roman" w:cs="Times New Roman"/>
                <w:color w:val="auto"/>
                <w:kern w:val="0"/>
                <w:sz w:val="24"/>
                <w:szCs w:val="24"/>
                <w:lang w:val="en-US" w:eastAsia="zh-CN" w:bidi="ar-SA"/>
              </w:rPr>
              <w:t>7</w:t>
            </w:r>
            <w:r>
              <w:rPr>
                <w:rFonts w:hint="eastAsia" w:ascii="Times New Roman" w:hAnsi="Times New Roman" w:eastAsia="宋体" w:cs="Times New Roman"/>
                <w:color w:val="auto"/>
                <w:kern w:val="0"/>
                <w:sz w:val="24"/>
                <w:szCs w:val="24"/>
                <w:lang w:val="en-US" w:eastAsia="zh-CN" w:bidi="ar-SA"/>
              </w:rPr>
              <w:t>。</w:t>
            </w:r>
          </w:p>
          <w:p w14:paraId="53335B35">
            <w:pPr>
              <w:pStyle w:val="56"/>
              <w:keepNext w:val="0"/>
              <w:keepLines w:val="0"/>
              <w:pageBreakBefore w:val="0"/>
              <w:widowControl w:val="0"/>
              <w:tabs>
                <w:tab w:val="left" w:pos="3480"/>
                <w:tab w:val="clear" w:pos="3780"/>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表4-</w:t>
            </w:r>
            <w:r>
              <w:rPr>
                <w:rFonts w:hint="eastAsia"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 xml:space="preserve"> 项目生活污水</w:t>
            </w:r>
            <w:r>
              <w:rPr>
                <w:rFonts w:hint="default" w:ascii="Times New Roman" w:hAnsi="Times New Roman" w:cs="Times New Roman" w:eastAsiaTheme="minorEastAsia"/>
                <w:color w:val="auto"/>
                <w:sz w:val="24"/>
                <w:szCs w:val="24"/>
              </w:rPr>
              <w:t>监测内容</w:t>
            </w:r>
          </w:p>
          <w:tbl>
            <w:tblPr>
              <w:tblStyle w:val="28"/>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911"/>
              <w:gridCol w:w="1156"/>
              <w:gridCol w:w="2684"/>
              <w:gridCol w:w="1965"/>
              <w:gridCol w:w="1107"/>
            </w:tblGrid>
            <w:tr w14:paraId="6808E8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82" w:type="pct"/>
                  <w:noWrap w:val="0"/>
                  <w:vAlign w:val="center"/>
                </w:tcPr>
                <w:p w14:paraId="0789DFA5">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监测点</w:t>
                  </w:r>
                </w:p>
              </w:tc>
              <w:tc>
                <w:tcPr>
                  <w:tcW w:w="738" w:type="pct"/>
                  <w:noWrap w:val="0"/>
                  <w:vAlign w:val="center"/>
                </w:tcPr>
                <w:p w14:paraId="347ABF6E">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rPr>
                    <w:t>执行标准</w:t>
                  </w:r>
                </w:p>
              </w:tc>
              <w:tc>
                <w:tcPr>
                  <w:tcW w:w="1715" w:type="pct"/>
                  <w:noWrap w:val="0"/>
                  <w:vAlign w:val="center"/>
                </w:tcPr>
                <w:p w14:paraId="28908934">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基本控制项目</w:t>
                  </w:r>
                </w:p>
              </w:tc>
              <w:tc>
                <w:tcPr>
                  <w:tcW w:w="1255" w:type="pct"/>
                  <w:noWrap w:val="0"/>
                  <w:vAlign w:val="center"/>
                </w:tcPr>
                <w:p w14:paraId="4BD6FA67">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标准限值</w:t>
                  </w:r>
                </w:p>
              </w:tc>
              <w:tc>
                <w:tcPr>
                  <w:tcW w:w="707" w:type="pct"/>
                  <w:noWrap w:val="0"/>
                  <w:vAlign w:val="center"/>
                </w:tcPr>
                <w:p w14:paraId="10E5373F">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rPr>
                    <w:t>监测频次</w:t>
                  </w:r>
                </w:p>
              </w:tc>
            </w:tr>
            <w:tr w14:paraId="5A01FD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restart"/>
                  <w:noWrap w:val="0"/>
                  <w:vAlign w:val="center"/>
                </w:tcPr>
                <w:p w14:paraId="11F34781">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一体化污水处理设施出口</w:t>
                  </w:r>
                </w:p>
              </w:tc>
              <w:tc>
                <w:tcPr>
                  <w:tcW w:w="738" w:type="pct"/>
                  <w:vMerge w:val="restart"/>
                  <w:noWrap w:val="0"/>
                  <w:vAlign w:val="center"/>
                </w:tcPr>
                <w:p w14:paraId="16104F4F">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lang w:val="en-US" w:eastAsia="zh-CN"/>
                    </w:rPr>
                    <w:t>《城市污水再生利用城市杂用水水质》（GB/T18920-2020）</w:t>
                  </w:r>
                  <w:r>
                    <w:rPr>
                      <w:rFonts w:hint="default" w:ascii="Times New Roman" w:hAnsi="Times New Roman" w:eastAsia="宋体" w:cs="Times New Roman"/>
                      <w:b w:val="0"/>
                      <w:bCs w:val="0"/>
                      <w:color w:val="auto"/>
                      <w:sz w:val="21"/>
                      <w:szCs w:val="21"/>
                    </w:rPr>
                    <w:t>标准</w:t>
                  </w:r>
                </w:p>
              </w:tc>
              <w:tc>
                <w:tcPr>
                  <w:tcW w:w="1715" w:type="pct"/>
                  <w:shd w:val="clear" w:color="auto" w:fill="auto"/>
                  <w:noWrap w:val="0"/>
                  <w:vAlign w:val="center"/>
                </w:tcPr>
                <w:p w14:paraId="62D612DF">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w:t>
                  </w:r>
                </w:p>
              </w:tc>
              <w:tc>
                <w:tcPr>
                  <w:tcW w:w="1255" w:type="pct"/>
                  <w:shd w:val="clear" w:color="auto" w:fill="auto"/>
                  <w:noWrap w:val="0"/>
                  <w:vAlign w:val="center"/>
                </w:tcPr>
                <w:p w14:paraId="40389635">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6.0～9.0</w:t>
                  </w:r>
                </w:p>
              </w:tc>
              <w:tc>
                <w:tcPr>
                  <w:tcW w:w="707" w:type="pct"/>
                  <w:vMerge w:val="restart"/>
                  <w:noWrap w:val="0"/>
                  <w:vAlign w:val="center"/>
                </w:tcPr>
                <w:p w14:paraId="44E73E52">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rPr>
                    <w:t>每年监测1次，每次连续监测2天，每天监测4次</w:t>
                  </w:r>
                </w:p>
              </w:tc>
            </w:tr>
            <w:tr w14:paraId="6FEA91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469A2363">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62512F97">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70B4BF08">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色（度）</w:t>
                  </w:r>
                </w:p>
              </w:tc>
              <w:tc>
                <w:tcPr>
                  <w:tcW w:w="1255" w:type="pct"/>
                  <w:shd w:val="clear" w:color="auto" w:fill="auto"/>
                  <w:noWrap w:val="0"/>
                  <w:vAlign w:val="center"/>
                </w:tcPr>
                <w:p w14:paraId="3352BFFE">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w:t>
                  </w:r>
                </w:p>
              </w:tc>
              <w:tc>
                <w:tcPr>
                  <w:tcW w:w="707" w:type="pct"/>
                  <w:vMerge w:val="continue"/>
                  <w:noWrap w:val="0"/>
                  <w:vAlign w:val="center"/>
                </w:tcPr>
                <w:p w14:paraId="5B08FECA">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7680C8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24FD2E8B">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2694387B">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65FF1DB3">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嗅</w:t>
                  </w:r>
                </w:p>
              </w:tc>
              <w:tc>
                <w:tcPr>
                  <w:tcW w:w="1255" w:type="pct"/>
                  <w:shd w:val="clear" w:color="auto" w:fill="auto"/>
                  <w:noWrap w:val="0"/>
                  <w:vAlign w:val="center"/>
                </w:tcPr>
                <w:p w14:paraId="6939AC2B">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无不快感觉</w:t>
                  </w:r>
                </w:p>
              </w:tc>
              <w:tc>
                <w:tcPr>
                  <w:tcW w:w="707" w:type="pct"/>
                  <w:vMerge w:val="continue"/>
                  <w:noWrap w:val="0"/>
                  <w:vAlign w:val="center"/>
                </w:tcPr>
                <w:p w14:paraId="7997A968">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476646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0A8D36DE">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38FBFD4E">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633E642B">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浊度（NTU）</w:t>
                  </w:r>
                </w:p>
              </w:tc>
              <w:tc>
                <w:tcPr>
                  <w:tcW w:w="1255" w:type="pct"/>
                  <w:shd w:val="clear" w:color="auto" w:fill="auto"/>
                  <w:noWrap w:val="0"/>
                  <w:vAlign w:val="center"/>
                </w:tcPr>
                <w:p w14:paraId="1960D04F">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707" w:type="pct"/>
                  <w:vMerge w:val="continue"/>
                  <w:noWrap w:val="0"/>
                  <w:vAlign w:val="center"/>
                </w:tcPr>
                <w:p w14:paraId="0E6B836F">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0B0B66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6B789E16">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6E34EDC7">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0BFD5C8E">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溶解性总固体（mg/L）</w:t>
                  </w:r>
                </w:p>
              </w:tc>
              <w:tc>
                <w:tcPr>
                  <w:tcW w:w="1255" w:type="pct"/>
                  <w:shd w:val="clear" w:color="auto" w:fill="auto"/>
                  <w:noWrap w:val="0"/>
                  <w:vAlign w:val="center"/>
                </w:tcPr>
                <w:p w14:paraId="6195CF25">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1000</w:t>
                  </w:r>
                </w:p>
              </w:tc>
              <w:tc>
                <w:tcPr>
                  <w:tcW w:w="707" w:type="pct"/>
                  <w:vMerge w:val="continue"/>
                  <w:noWrap w:val="0"/>
                  <w:vAlign w:val="center"/>
                </w:tcPr>
                <w:p w14:paraId="437CA9D9">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3346CF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6768D1F7">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25167B96">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321D844F">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（mg/L）</w:t>
                  </w:r>
                </w:p>
              </w:tc>
              <w:tc>
                <w:tcPr>
                  <w:tcW w:w="1255" w:type="pct"/>
                  <w:shd w:val="clear" w:color="auto" w:fill="auto"/>
                  <w:noWrap w:val="0"/>
                  <w:vAlign w:val="center"/>
                </w:tcPr>
                <w:p w14:paraId="65EB857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707" w:type="pct"/>
                  <w:vMerge w:val="continue"/>
                  <w:noWrap w:val="0"/>
                  <w:vAlign w:val="center"/>
                </w:tcPr>
                <w:p w14:paraId="7B2DB2CD">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7C692D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54D1BA2F">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2050BD21">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51EF5FC0">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氨氮（mg/L）</w:t>
                  </w:r>
                </w:p>
              </w:tc>
              <w:tc>
                <w:tcPr>
                  <w:tcW w:w="1255" w:type="pct"/>
                  <w:shd w:val="clear" w:color="auto" w:fill="auto"/>
                  <w:noWrap w:val="0"/>
                  <w:vAlign w:val="center"/>
                </w:tcPr>
                <w:p w14:paraId="7F3762E5">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707" w:type="pct"/>
                  <w:vMerge w:val="continue"/>
                  <w:noWrap w:val="0"/>
                  <w:vAlign w:val="center"/>
                </w:tcPr>
                <w:p w14:paraId="461E01AB">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5D2957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3DA4A160">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5973D692">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0397174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阴离子表面活性剂（mg/L）</w:t>
                  </w:r>
                </w:p>
              </w:tc>
              <w:tc>
                <w:tcPr>
                  <w:tcW w:w="1255" w:type="pct"/>
                  <w:shd w:val="clear" w:color="auto" w:fill="auto"/>
                  <w:noWrap w:val="0"/>
                  <w:vAlign w:val="center"/>
                </w:tcPr>
                <w:p w14:paraId="7D04E2BE">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0.5</w:t>
                  </w:r>
                </w:p>
              </w:tc>
              <w:tc>
                <w:tcPr>
                  <w:tcW w:w="707" w:type="pct"/>
                  <w:vMerge w:val="continue"/>
                  <w:noWrap w:val="0"/>
                  <w:vAlign w:val="center"/>
                </w:tcPr>
                <w:p w14:paraId="0647D82B">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2797D4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5D64782F">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062F343A">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757DB8B4">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溶解氧（mg/L）≥</w:t>
                  </w:r>
                </w:p>
              </w:tc>
              <w:tc>
                <w:tcPr>
                  <w:tcW w:w="1255" w:type="pct"/>
                  <w:shd w:val="clear" w:color="auto" w:fill="auto"/>
                  <w:noWrap w:val="0"/>
                  <w:vAlign w:val="center"/>
                </w:tcPr>
                <w:p w14:paraId="4F142BE6">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c>
                <w:tcPr>
                  <w:tcW w:w="707" w:type="pct"/>
                  <w:vMerge w:val="continue"/>
                  <w:noWrap w:val="0"/>
                  <w:vAlign w:val="center"/>
                </w:tcPr>
                <w:p w14:paraId="11DA9D20">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370DDE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hRule="atLeast"/>
                <w:jc w:val="center"/>
              </w:trPr>
              <w:tc>
                <w:tcPr>
                  <w:tcW w:w="582" w:type="pct"/>
                  <w:vMerge w:val="continue"/>
                  <w:noWrap w:val="0"/>
                  <w:vAlign w:val="center"/>
                </w:tcPr>
                <w:p w14:paraId="54CD9F0D">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7592C30B">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11CE8D8A">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总氯（mg/L）≥</w:t>
                  </w:r>
                </w:p>
              </w:tc>
              <w:tc>
                <w:tcPr>
                  <w:tcW w:w="1255" w:type="pct"/>
                  <w:shd w:val="clear" w:color="auto" w:fill="auto"/>
                  <w:noWrap w:val="0"/>
                  <w:vAlign w:val="center"/>
                </w:tcPr>
                <w:p w14:paraId="4F80EC9B">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1.0（出厂），0.2（管网末端）</w:t>
                  </w:r>
                </w:p>
              </w:tc>
              <w:tc>
                <w:tcPr>
                  <w:tcW w:w="707" w:type="pct"/>
                  <w:vMerge w:val="continue"/>
                  <w:noWrap w:val="0"/>
                  <w:vAlign w:val="center"/>
                </w:tcPr>
                <w:p w14:paraId="58C84BD1">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727A60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hRule="atLeast"/>
                <w:jc w:val="center"/>
              </w:trPr>
              <w:tc>
                <w:tcPr>
                  <w:tcW w:w="582" w:type="pct"/>
                  <w:vMerge w:val="continue"/>
                  <w:noWrap w:val="0"/>
                  <w:vAlign w:val="center"/>
                </w:tcPr>
                <w:p w14:paraId="11007A5D">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3E330CF5">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51146074">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氯化物</w:t>
                  </w:r>
                </w:p>
              </w:tc>
              <w:tc>
                <w:tcPr>
                  <w:tcW w:w="1255" w:type="pct"/>
                  <w:shd w:val="clear" w:color="auto" w:fill="auto"/>
                  <w:noWrap w:val="0"/>
                  <w:vAlign w:val="center"/>
                </w:tcPr>
                <w:p w14:paraId="06828672">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不大于</w:t>
                  </w:r>
                  <w:r>
                    <w:rPr>
                      <w:rFonts w:hint="default" w:ascii="Times New Roman" w:hAnsi="Times New Roman" w:eastAsia="宋体" w:cs="Times New Roman"/>
                      <w:color w:val="auto"/>
                      <w:sz w:val="21"/>
                      <w:szCs w:val="21"/>
                    </w:rPr>
                    <w:t>350</w:t>
                  </w:r>
                </w:p>
              </w:tc>
              <w:tc>
                <w:tcPr>
                  <w:tcW w:w="707" w:type="pct"/>
                  <w:vMerge w:val="continue"/>
                  <w:noWrap w:val="0"/>
                  <w:vAlign w:val="center"/>
                </w:tcPr>
                <w:p w14:paraId="2DC6B1E2">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50360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49C1068A">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4529D6BE">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1297B52B">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硫酸盐</w:t>
                  </w:r>
                </w:p>
              </w:tc>
              <w:tc>
                <w:tcPr>
                  <w:tcW w:w="1255" w:type="pct"/>
                  <w:shd w:val="clear" w:color="auto" w:fill="auto"/>
                  <w:noWrap w:val="0"/>
                  <w:vAlign w:val="center"/>
                </w:tcPr>
                <w:p w14:paraId="6B77B344">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不大于</w:t>
                  </w:r>
                  <w:r>
                    <w:rPr>
                      <w:rFonts w:hint="default" w:ascii="Times New Roman" w:hAnsi="Times New Roman" w:eastAsia="宋体" w:cs="Times New Roman"/>
                      <w:color w:val="auto"/>
                      <w:sz w:val="21"/>
                      <w:szCs w:val="21"/>
                    </w:rPr>
                    <w:t>500</w:t>
                  </w:r>
                </w:p>
              </w:tc>
              <w:tc>
                <w:tcPr>
                  <w:tcW w:w="707" w:type="pct"/>
                  <w:vMerge w:val="continue"/>
                  <w:noWrap w:val="0"/>
                  <w:vAlign w:val="center"/>
                </w:tcPr>
                <w:p w14:paraId="486981C5">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069B5A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3E54B43E">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6234742C">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387DE07A">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铁</w:t>
                  </w:r>
                </w:p>
              </w:tc>
              <w:tc>
                <w:tcPr>
                  <w:tcW w:w="1255" w:type="pct"/>
                  <w:shd w:val="clear" w:color="auto" w:fill="auto"/>
                  <w:noWrap w:val="0"/>
                  <w:vAlign w:val="center"/>
                </w:tcPr>
                <w:p w14:paraId="511213D6">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7" w:type="pct"/>
                  <w:vMerge w:val="continue"/>
                  <w:noWrap w:val="0"/>
                  <w:vAlign w:val="center"/>
                </w:tcPr>
                <w:p w14:paraId="682A7E52">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1AA77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439F26CD">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43C8B021">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21A9D3F4">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锰</w:t>
                  </w:r>
                </w:p>
              </w:tc>
              <w:tc>
                <w:tcPr>
                  <w:tcW w:w="1255" w:type="pct"/>
                  <w:shd w:val="clear" w:color="auto" w:fill="auto"/>
                  <w:noWrap w:val="0"/>
                  <w:vAlign w:val="center"/>
                </w:tcPr>
                <w:p w14:paraId="68D96796">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7" w:type="pct"/>
                  <w:vMerge w:val="continue"/>
                  <w:noWrap w:val="0"/>
                  <w:vAlign w:val="center"/>
                </w:tcPr>
                <w:p w14:paraId="5DBC2531">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r w14:paraId="3FA9B2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582" w:type="pct"/>
                  <w:vMerge w:val="continue"/>
                  <w:noWrap w:val="0"/>
                  <w:vAlign w:val="center"/>
                </w:tcPr>
                <w:p w14:paraId="623B5C17">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738" w:type="pct"/>
                  <w:vMerge w:val="continue"/>
                  <w:noWrap w:val="0"/>
                  <w:vAlign w:val="center"/>
                </w:tcPr>
                <w:p w14:paraId="0F227EDB">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715" w:type="pct"/>
                  <w:shd w:val="clear" w:color="auto" w:fill="auto"/>
                  <w:noWrap w:val="0"/>
                  <w:vAlign w:val="center"/>
                </w:tcPr>
                <w:p w14:paraId="5F2A8EB6">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大肠埃希氏菌（MPN/100mL）</w:t>
                  </w:r>
                </w:p>
              </w:tc>
              <w:tc>
                <w:tcPr>
                  <w:tcW w:w="1255" w:type="pct"/>
                  <w:shd w:val="clear" w:color="auto" w:fill="auto"/>
                  <w:noWrap w:val="0"/>
                  <w:vAlign w:val="center"/>
                </w:tcPr>
                <w:p w14:paraId="3EA56CE7">
                  <w:pPr>
                    <w:keepNext w:val="0"/>
                    <w:keepLines w:val="0"/>
                    <w:pageBreakBefore w:val="0"/>
                    <w:widowControl w:val="0"/>
                    <w:tabs>
                      <w:tab w:val="left" w:pos="-1132"/>
                      <w:tab w:val="left" w:pos="-566"/>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无</w:t>
                  </w:r>
                  <w:r>
                    <w:rPr>
                      <w:rFonts w:hint="default" w:ascii="Times New Roman" w:hAnsi="Times New Roman" w:eastAsia="宋体" w:cs="Times New Roman"/>
                      <w:color w:val="auto"/>
                      <w:sz w:val="21"/>
                      <w:szCs w:val="21"/>
                      <w:vertAlign w:val="superscript"/>
                      <w:lang w:val="en-US" w:eastAsia="zh-CN"/>
                    </w:rPr>
                    <w:t>c</w:t>
                  </w:r>
                </w:p>
              </w:tc>
              <w:tc>
                <w:tcPr>
                  <w:tcW w:w="707" w:type="pct"/>
                  <w:vMerge w:val="continue"/>
                  <w:noWrap w:val="0"/>
                  <w:vAlign w:val="center"/>
                </w:tcPr>
                <w:p w14:paraId="07F0EA68">
                  <w:pPr>
                    <w:pStyle w:val="58"/>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p>
              </w:tc>
            </w:tr>
          </w:tbl>
          <w:p w14:paraId="70C0744D">
            <w:pPr>
              <w:pStyle w:val="27"/>
              <w:keepNext w:val="0"/>
              <w:keepLines/>
              <w:pageBreakBefore w:val="0"/>
              <w:kinsoku/>
              <w:overflowPunct/>
              <w:bidi w:val="0"/>
              <w:adjustRightInd/>
              <w:spacing w:line="360" w:lineRule="auto"/>
              <w:ind w:left="0" w:leftChars="0" w:firstLine="0" w:firstLineChars="0"/>
              <w:jc w:val="left"/>
              <w:rPr>
                <w:rFonts w:hint="default" w:ascii="Times New Roman" w:hAnsi="Times New Roman" w:cs="Times New Roman"/>
                <w:b/>
                <w:bCs/>
                <w:color w:val="auto"/>
                <w:sz w:val="24"/>
              </w:rPr>
            </w:pPr>
            <w:r>
              <w:rPr>
                <w:rFonts w:hint="eastAsia" w:cs="Times New Roman"/>
                <w:b/>
                <w:bCs/>
                <w:color w:val="auto"/>
                <w:sz w:val="24"/>
                <w:lang w:val="en-US" w:eastAsia="zh-CN"/>
              </w:rPr>
              <w:t>三、</w:t>
            </w:r>
            <w:r>
              <w:rPr>
                <w:rFonts w:hint="default" w:ascii="Times New Roman" w:hAnsi="Times New Roman" w:cs="Times New Roman"/>
                <w:b/>
                <w:bCs/>
                <w:color w:val="auto"/>
                <w:sz w:val="24"/>
              </w:rPr>
              <w:t>声环境影响和保护措施</w:t>
            </w:r>
          </w:p>
          <w:p w14:paraId="31DCDD5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1、噪声源分析</w:t>
            </w:r>
          </w:p>
          <w:p w14:paraId="3D3438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0"/>
                <w:sz w:val="24"/>
                <w:szCs w:val="24"/>
                <w:lang w:val="en-US" w:eastAsia="zh-CN" w:bidi="ar-SA"/>
              </w:rPr>
            </w:pPr>
            <w:bookmarkStart w:id="33" w:name="_Toc385437799"/>
            <w:bookmarkStart w:id="34" w:name="_Toc385439108"/>
            <w:bookmarkStart w:id="35" w:name="_Toc385439524"/>
            <w:r>
              <w:rPr>
                <w:rFonts w:hint="eastAsia" w:ascii="宋体" w:hAnsi="宋体" w:eastAsia="宋体" w:cs="宋体"/>
                <w:color w:val="auto"/>
                <w:kern w:val="0"/>
                <w:sz w:val="24"/>
                <w:szCs w:val="24"/>
                <w:lang w:val="en-US" w:eastAsia="zh-CN" w:bidi="ar-SA"/>
              </w:rPr>
              <w:t>项目营运期噪声主要来源于加工等噪声设备运转过程中产生的，噪声源强类比同类型生产项目，噪声源强见下表。</w:t>
            </w:r>
          </w:p>
          <w:p w14:paraId="355D7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表4-</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项目运营期各生产设备源强</w:t>
            </w:r>
            <w:r>
              <w:rPr>
                <w:rFonts w:hint="eastAsia" w:ascii="Times New Roman" w:hAnsi="Times New Roman" w:eastAsia="宋体" w:cs="Times New Roman"/>
                <w:b/>
                <w:bCs/>
                <w:color w:val="auto"/>
                <w:sz w:val="24"/>
                <w:szCs w:val="24"/>
                <w:lang w:val="en-US" w:eastAsia="zh-CN"/>
              </w:rPr>
              <w:t>一览表</w:t>
            </w:r>
          </w:p>
          <w:tbl>
            <w:tblPr>
              <w:tblStyle w:val="28"/>
              <w:tblW w:w="7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8"/>
              <w:gridCol w:w="790"/>
              <w:gridCol w:w="970"/>
              <w:gridCol w:w="744"/>
              <w:gridCol w:w="775"/>
              <w:gridCol w:w="1315"/>
              <w:gridCol w:w="1907"/>
              <w:gridCol w:w="846"/>
            </w:tblGrid>
            <w:tr w14:paraId="50EE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347" w:type="pct"/>
                  <w:vMerge w:val="restart"/>
                  <w:noWrap w:val="0"/>
                  <w:vAlign w:val="center"/>
                </w:tcPr>
                <w:p w14:paraId="68509C4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工序</w:t>
                  </w:r>
                </w:p>
              </w:tc>
              <w:tc>
                <w:tcPr>
                  <w:tcW w:w="500" w:type="pct"/>
                  <w:vMerge w:val="restart"/>
                  <w:noWrap w:val="0"/>
                  <w:vAlign w:val="center"/>
                </w:tcPr>
                <w:p w14:paraId="0DEF927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噪声源</w:t>
                  </w:r>
                </w:p>
              </w:tc>
              <w:tc>
                <w:tcPr>
                  <w:tcW w:w="614" w:type="pct"/>
                  <w:vMerge w:val="restart"/>
                  <w:noWrap w:val="0"/>
                  <w:vAlign w:val="center"/>
                </w:tcPr>
                <w:p w14:paraId="1E3E19D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数量（台）</w:t>
                  </w:r>
                </w:p>
              </w:tc>
              <w:tc>
                <w:tcPr>
                  <w:tcW w:w="471" w:type="pct"/>
                  <w:vMerge w:val="restart"/>
                  <w:noWrap w:val="0"/>
                  <w:vAlign w:val="center"/>
                </w:tcPr>
                <w:p w14:paraId="3530B9A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声源位置</w:t>
                  </w:r>
                </w:p>
              </w:tc>
              <w:tc>
                <w:tcPr>
                  <w:tcW w:w="491" w:type="pct"/>
                  <w:vMerge w:val="restart"/>
                  <w:noWrap w:val="0"/>
                  <w:vAlign w:val="center"/>
                </w:tcPr>
                <w:p w14:paraId="4FDB0E5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声源类型</w:t>
                  </w:r>
                </w:p>
              </w:tc>
              <w:tc>
                <w:tcPr>
                  <w:tcW w:w="833" w:type="pct"/>
                  <w:noWrap w:val="0"/>
                  <w:vAlign w:val="center"/>
                </w:tcPr>
                <w:p w14:paraId="6675054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声源源强</w:t>
                  </w:r>
                </w:p>
              </w:tc>
              <w:tc>
                <w:tcPr>
                  <w:tcW w:w="1208" w:type="pct"/>
                  <w:vMerge w:val="restart"/>
                  <w:noWrap w:val="0"/>
                  <w:vAlign w:val="center"/>
                </w:tcPr>
                <w:p w14:paraId="7B94A5F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源强数据来源</w:t>
                  </w:r>
                </w:p>
              </w:tc>
              <w:tc>
                <w:tcPr>
                  <w:tcW w:w="533" w:type="pct"/>
                  <w:vMerge w:val="restart"/>
                  <w:noWrap w:val="0"/>
                  <w:vAlign w:val="center"/>
                </w:tcPr>
                <w:p w14:paraId="717DD02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运行时间/h</w:t>
                  </w:r>
                </w:p>
              </w:tc>
            </w:tr>
            <w:tr w14:paraId="1F3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trPr>
              <w:tc>
                <w:tcPr>
                  <w:tcW w:w="347" w:type="pct"/>
                  <w:vMerge w:val="continue"/>
                  <w:noWrap w:val="0"/>
                  <w:vAlign w:val="center"/>
                </w:tcPr>
                <w:p w14:paraId="51F48B1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500" w:type="pct"/>
                  <w:vMerge w:val="continue"/>
                  <w:noWrap w:val="0"/>
                  <w:vAlign w:val="center"/>
                </w:tcPr>
                <w:p w14:paraId="54B6450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614" w:type="pct"/>
                  <w:vMerge w:val="continue"/>
                  <w:noWrap w:val="0"/>
                  <w:vAlign w:val="center"/>
                </w:tcPr>
                <w:p w14:paraId="78D08ED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71" w:type="pct"/>
                  <w:vMerge w:val="continue"/>
                  <w:noWrap w:val="0"/>
                  <w:vAlign w:val="center"/>
                </w:tcPr>
                <w:p w14:paraId="7DA01D0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91" w:type="pct"/>
                  <w:vMerge w:val="continue"/>
                  <w:noWrap w:val="0"/>
                  <w:vAlign w:val="center"/>
                </w:tcPr>
                <w:p w14:paraId="6CBF8BB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833" w:type="pct"/>
                  <w:noWrap w:val="0"/>
                  <w:vAlign w:val="center"/>
                </w:tcPr>
                <w:p w14:paraId="65B7029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声功率级/(dB(A))</w:t>
                  </w:r>
                </w:p>
              </w:tc>
              <w:tc>
                <w:tcPr>
                  <w:tcW w:w="1208" w:type="pct"/>
                  <w:vMerge w:val="continue"/>
                  <w:noWrap w:val="0"/>
                  <w:vAlign w:val="center"/>
                </w:tcPr>
                <w:p w14:paraId="365CE7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p>
              </w:tc>
              <w:tc>
                <w:tcPr>
                  <w:tcW w:w="533" w:type="pct"/>
                  <w:vMerge w:val="continue"/>
                  <w:noWrap w:val="0"/>
                  <w:vAlign w:val="center"/>
                </w:tcPr>
                <w:p w14:paraId="4928FF0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r>
            <w:tr w14:paraId="0071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347" w:type="pct"/>
                  <w:vMerge w:val="restart"/>
                  <w:noWrap w:val="0"/>
                  <w:vAlign w:val="center"/>
                </w:tcPr>
                <w:p w14:paraId="3521C50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生产厂房</w:t>
                  </w:r>
                </w:p>
              </w:tc>
              <w:tc>
                <w:tcPr>
                  <w:tcW w:w="500" w:type="pct"/>
                  <w:shd w:val="clear" w:color="auto" w:fill="auto"/>
                  <w:noWrap w:val="0"/>
                  <w:vAlign w:val="center"/>
                </w:tcPr>
                <w:p w14:paraId="5176FC01">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配煤机</w:t>
                  </w:r>
                </w:p>
              </w:tc>
              <w:tc>
                <w:tcPr>
                  <w:tcW w:w="614" w:type="pct"/>
                  <w:noWrap w:val="0"/>
                  <w:vAlign w:val="center"/>
                </w:tcPr>
                <w:p w14:paraId="4E99670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1</w:t>
                  </w:r>
                </w:p>
              </w:tc>
              <w:tc>
                <w:tcPr>
                  <w:tcW w:w="471" w:type="pct"/>
                  <w:vMerge w:val="restart"/>
                  <w:noWrap w:val="0"/>
                  <w:vAlign w:val="center"/>
                </w:tcPr>
                <w:p w14:paraId="6B35C69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室内（生产车间内）</w:t>
                  </w:r>
                </w:p>
              </w:tc>
              <w:tc>
                <w:tcPr>
                  <w:tcW w:w="491" w:type="pct"/>
                  <w:noWrap w:val="0"/>
                  <w:vAlign w:val="center"/>
                </w:tcPr>
                <w:p w14:paraId="0F7E8E9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频发</w:t>
                  </w:r>
                </w:p>
              </w:tc>
              <w:tc>
                <w:tcPr>
                  <w:tcW w:w="833" w:type="pct"/>
                  <w:noWrap w:val="0"/>
                  <w:vAlign w:val="center"/>
                </w:tcPr>
                <w:p w14:paraId="7954E75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80</w:t>
                  </w:r>
                </w:p>
              </w:tc>
              <w:tc>
                <w:tcPr>
                  <w:tcW w:w="1208" w:type="pct"/>
                  <w:vMerge w:val="restart"/>
                  <w:noWrap w:val="0"/>
                  <w:vAlign w:val="center"/>
                </w:tcPr>
                <w:p w14:paraId="16244B6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参考《污染源源强核算技术指南》各行业技术指南附录中相关设备声源源强资料</w:t>
                  </w:r>
                </w:p>
              </w:tc>
              <w:tc>
                <w:tcPr>
                  <w:tcW w:w="533" w:type="pct"/>
                  <w:noWrap w:val="0"/>
                  <w:vAlign w:val="center"/>
                </w:tcPr>
                <w:p w14:paraId="2F60A10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2400</w:t>
                  </w:r>
                </w:p>
              </w:tc>
            </w:tr>
            <w:tr w14:paraId="608E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347" w:type="pct"/>
                  <w:vMerge w:val="continue"/>
                  <w:noWrap w:val="0"/>
                  <w:vAlign w:val="center"/>
                </w:tcPr>
                <w:p w14:paraId="19CF742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500" w:type="pct"/>
                  <w:shd w:val="clear" w:color="auto" w:fill="auto"/>
                  <w:noWrap w:val="0"/>
                  <w:vAlign w:val="center"/>
                </w:tcPr>
                <w:p w14:paraId="3F389531">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装载机</w:t>
                  </w:r>
                </w:p>
              </w:tc>
              <w:tc>
                <w:tcPr>
                  <w:tcW w:w="614" w:type="pct"/>
                  <w:noWrap w:val="0"/>
                  <w:vAlign w:val="center"/>
                </w:tcPr>
                <w:p w14:paraId="55ECE7B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1</w:t>
                  </w:r>
                </w:p>
              </w:tc>
              <w:tc>
                <w:tcPr>
                  <w:tcW w:w="471" w:type="pct"/>
                  <w:vMerge w:val="continue"/>
                  <w:noWrap w:val="0"/>
                  <w:vAlign w:val="center"/>
                </w:tcPr>
                <w:p w14:paraId="2152CC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91" w:type="pct"/>
                  <w:noWrap w:val="0"/>
                  <w:vAlign w:val="center"/>
                </w:tcPr>
                <w:p w14:paraId="2C7FE56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频发</w:t>
                  </w:r>
                </w:p>
              </w:tc>
              <w:tc>
                <w:tcPr>
                  <w:tcW w:w="833" w:type="pct"/>
                  <w:noWrap w:val="0"/>
                  <w:vAlign w:val="center"/>
                </w:tcPr>
                <w:p w14:paraId="78CA9C4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90</w:t>
                  </w:r>
                </w:p>
              </w:tc>
              <w:tc>
                <w:tcPr>
                  <w:tcW w:w="1208" w:type="pct"/>
                  <w:vMerge w:val="continue"/>
                  <w:noWrap w:val="0"/>
                  <w:vAlign w:val="center"/>
                </w:tcPr>
                <w:p w14:paraId="56351D7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533" w:type="pct"/>
                  <w:noWrap w:val="0"/>
                  <w:vAlign w:val="center"/>
                </w:tcPr>
                <w:p w14:paraId="3C21A47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24</w:t>
                  </w:r>
                  <w:r>
                    <w:rPr>
                      <w:rFonts w:hint="default" w:ascii="Times New Roman" w:hAnsi="Times New Roman" w:cs="Times New Roman" w:eastAsiaTheme="minorEastAsia"/>
                      <w:b w:val="0"/>
                      <w:bCs/>
                      <w:color w:val="auto"/>
                      <w:kern w:val="2"/>
                      <w:sz w:val="21"/>
                      <w:szCs w:val="21"/>
                      <w:lang w:val="en-US" w:eastAsia="zh-CN"/>
                    </w:rPr>
                    <w:t>00</w:t>
                  </w:r>
                </w:p>
              </w:tc>
            </w:tr>
            <w:tr w14:paraId="2157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000" w:type="pct"/>
                  <w:gridSpan w:val="8"/>
                  <w:noWrap w:val="0"/>
                  <w:vAlign w:val="center"/>
                </w:tcPr>
                <w:p w14:paraId="2AEBF76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bCs w:val="0"/>
                      <w:color w:val="auto"/>
                      <w:kern w:val="2"/>
                      <w:sz w:val="21"/>
                      <w:szCs w:val="21"/>
                      <w:lang w:val="en-US" w:eastAsia="zh-CN"/>
                    </w:rPr>
                    <w:t>备注：</w:t>
                  </w:r>
                  <w:r>
                    <w:rPr>
                      <w:rFonts w:hint="eastAsia" w:cs="Times New Roman" w:eastAsiaTheme="minorEastAsia"/>
                      <w:b w:val="0"/>
                      <w:bCs/>
                      <w:color w:val="auto"/>
                      <w:kern w:val="2"/>
                      <w:sz w:val="21"/>
                      <w:szCs w:val="21"/>
                      <w:lang w:val="en-US" w:eastAsia="zh-CN"/>
                    </w:rPr>
                    <w:t>本项目整个生产工段均布设在封闭的车间内，噪声源全部为室内声源</w:t>
                  </w:r>
                </w:p>
              </w:tc>
            </w:tr>
          </w:tbl>
          <w:p w14:paraId="2B85D30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2、声环境影响分析</w:t>
            </w:r>
          </w:p>
          <w:p w14:paraId="1109859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（1）预测模型</w:t>
            </w:r>
          </w:p>
          <w:p w14:paraId="48A61C8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根据项目建设内容及《环境影响评价技术导则 声环境》（HJ2.4-2021）的要求，项目声环境预测采用的模型为《环境影响评价技术导则 声环境》(HJ2.4.2021)附录A（规范性附录）户外声传播的衰减和附录B（规范性附录）中“B.1工业噪声预测计算模型”。</w:t>
            </w:r>
          </w:p>
          <w:p w14:paraId="6AB2592B">
            <w:pPr>
              <w:keepNext w:val="0"/>
              <w:keepLines w:val="0"/>
              <w:pageBreakBefore w:val="0"/>
              <w:kinsoku/>
              <w:wordWrap/>
              <w:overflowPunct/>
              <w:topLinePunct w:val="0"/>
              <w:bidi w:val="0"/>
              <w:adjustRightInd/>
              <w:spacing w:line="360" w:lineRule="auto"/>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①室内声源 ：</w:t>
            </w:r>
          </w:p>
          <w:p w14:paraId="56A1FBF4">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如果已知声源的声压级 L（r</w:t>
            </w:r>
            <w:r>
              <w:rPr>
                <w:rFonts w:hint="default" w:ascii="Times New Roman" w:hAnsi="Times New Roman" w:eastAsia="宋体" w:cs="Times New Roman"/>
                <w:color w:val="auto"/>
                <w:sz w:val="24"/>
                <w:szCs w:val="24"/>
                <w:vertAlign w:val="subscript"/>
                <w:lang w:bidi="zh-CN"/>
              </w:rPr>
              <w:t>0</w:t>
            </w:r>
            <w:r>
              <w:rPr>
                <w:rFonts w:hint="default" w:ascii="Times New Roman" w:hAnsi="Times New Roman" w:eastAsia="宋体" w:cs="Times New Roman"/>
                <w:color w:val="auto"/>
                <w:sz w:val="24"/>
                <w:szCs w:val="24"/>
                <w:lang w:bidi="zh-CN"/>
              </w:rPr>
              <w:t xml:space="preserve">），且声源位于地面上，则： </w:t>
            </w:r>
          </w:p>
          <w:p w14:paraId="0068F8E3">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position w:val="-12"/>
                <w:sz w:val="24"/>
                <w:szCs w:val="24"/>
                <w:lang w:bidi="zh-CN"/>
              </w:rPr>
              <w:object>
                <v:shape id="_x0000_i1038" o:spt="75" type="#_x0000_t75" style="height:18.4pt;width:116.35pt;" o:ole="t" filled="f" o:preferrelative="t" stroked="f" coordsize="21600,21600">
                  <v:path/>
                  <v:fill on="f" focussize="0,0"/>
                  <v:stroke on="f" joinstyle="miter"/>
                  <v:imagedata r:id="rId38" o:title=""/>
                  <o:lock v:ext="edit" aspectratio="t"/>
                  <w10:wrap type="none"/>
                  <w10:anchorlock/>
                </v:shape>
                <o:OLEObject Type="Embed" ProgID="Equation.3" ShapeID="_x0000_i1038" DrawAspect="Content" ObjectID="_1468075738" r:id="rId37">
                  <o:LockedField>false</o:LockedField>
                </o:OLEObject>
              </w:object>
            </w:r>
          </w:p>
          <w:p w14:paraId="76A0ABC2">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计算出某个室内声源靠近围护结构处的声压级：</w:t>
            </w:r>
          </w:p>
          <w:p w14:paraId="4FC123A5">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position w:val="-24"/>
                <w:sz w:val="24"/>
                <w:szCs w:val="24"/>
                <w:lang w:bidi="zh-CN"/>
              </w:rPr>
              <w:object>
                <v:shape id="_x0000_i1039" o:spt="75" type="#_x0000_t75" style="height:31pt;width:140.7pt;" o:ole="t" filled="f" o:preferrelative="t" stroked="f" coordsize="21600,21600">
                  <v:path/>
                  <v:fill on="f" focussize="0,0"/>
                  <v:stroke on="f" joinstyle="miter"/>
                  <v:imagedata r:id="rId40" o:title=""/>
                  <o:lock v:ext="edit" aspectratio="t"/>
                  <w10:wrap type="none"/>
                  <w10:anchorlock/>
                </v:shape>
                <o:OLEObject Type="Embed" ProgID="Equation.3" ShapeID="_x0000_i1039" DrawAspect="Content" ObjectID="_1468075739" r:id="rId39">
                  <o:LockedField>false</o:LockedField>
                </o:OLEObject>
              </w:object>
            </w:r>
          </w:p>
          <w:p w14:paraId="0D00B14D">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式中：Lp</w:t>
            </w:r>
            <w:r>
              <w:rPr>
                <w:rFonts w:hint="default" w:ascii="Times New Roman" w:hAnsi="Times New Roman" w:eastAsia="宋体" w:cs="Times New Roman"/>
                <w:color w:val="auto"/>
                <w:sz w:val="24"/>
                <w:szCs w:val="24"/>
                <w:vertAlign w:val="subscript"/>
                <w:lang w:bidi="zh-CN"/>
              </w:rPr>
              <w:t>1</w:t>
            </w:r>
            <w:r>
              <w:rPr>
                <w:rFonts w:hint="default" w:ascii="Times New Roman" w:hAnsi="Times New Roman" w:eastAsia="宋体" w:cs="Times New Roman"/>
                <w:color w:val="auto"/>
                <w:sz w:val="24"/>
                <w:szCs w:val="24"/>
                <w:lang w:bidi="zh-CN"/>
              </w:rPr>
              <w:t xml:space="preserve">——某个室内声源靠近维护结构处的声压级。 </w:t>
            </w:r>
          </w:p>
          <w:p w14:paraId="7395B5C7">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Lw——某个室内声源靠近维护结构处产生的声功率级。 </w:t>
            </w:r>
          </w:p>
          <w:p w14:paraId="1FFCFEBB">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Q——指向性因数；通常对无指向性声源，当声源放在房间中心时，Q=1；当放在一面墙的中心时，Q=2；当放在两面墙夹角处时，Q=4；当放在三面墙夹角处时，Q=8。 </w:t>
            </w:r>
          </w:p>
          <w:p w14:paraId="2E8A28EC">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R——房间常数；R=Sa/（1-a），S为房间内表面面积，m</w:t>
            </w:r>
            <w:r>
              <w:rPr>
                <w:rFonts w:hint="default" w:ascii="Times New Roman" w:hAnsi="Times New Roman" w:eastAsia="宋体" w:cs="Times New Roman"/>
                <w:color w:val="auto"/>
                <w:sz w:val="24"/>
                <w:szCs w:val="24"/>
                <w:vertAlign w:val="superscript"/>
                <w:lang w:bidi="zh-CN"/>
              </w:rPr>
              <w:t>2</w:t>
            </w:r>
            <w:r>
              <w:rPr>
                <w:rFonts w:hint="default" w:ascii="Times New Roman" w:hAnsi="Times New Roman" w:eastAsia="宋体" w:cs="Times New Roman"/>
                <w:color w:val="auto"/>
                <w:sz w:val="24"/>
                <w:szCs w:val="24"/>
                <w:lang w:bidi="zh-CN"/>
              </w:rPr>
              <w:t xml:space="preserve">；a为平均吸声系数，本评价a取0.15。 </w:t>
            </w:r>
          </w:p>
          <w:p w14:paraId="28763594">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t>R——声源到靠近围护结构某点处的距离，m。</w:t>
            </w:r>
          </w:p>
          <w:p w14:paraId="2D8D43AB">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计算出所有室内声源在靠近围护结构处产生的总声压级：</w:t>
            </w:r>
          </w:p>
          <w:p w14:paraId="67B531B4">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position w:val="-30"/>
                <w:sz w:val="24"/>
                <w:szCs w:val="24"/>
                <w:lang w:bidi="zh-CN"/>
              </w:rPr>
              <w:object>
                <v:shape id="_x0000_i1040" o:spt="75" type="#_x0000_t75" style="height:36pt;width:126.4pt;" o:ole="t" filled="f" o:preferrelative="t" stroked="f" coordsize="21600,21600">
                  <v:path/>
                  <v:fill on="f" focussize="0,0"/>
                  <v:stroke on="f" joinstyle="miter"/>
                  <v:imagedata r:id="rId42" o:title=""/>
                  <o:lock v:ext="edit" aspectratio="t"/>
                  <w10:wrap type="none"/>
                  <w10:anchorlock/>
                </v:shape>
                <o:OLEObject Type="Embed" ProgID="Equation.3" ShapeID="_x0000_i1040" DrawAspect="Content" ObjectID="_1468075740" r:id="rId41">
                  <o:LockedField>false</o:LockedField>
                </o:OLEObject>
              </w:object>
            </w:r>
          </w:p>
          <w:p w14:paraId="3A1A9FBC">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t>式中：L</w:t>
            </w:r>
            <w:r>
              <w:rPr>
                <w:rFonts w:hint="default" w:ascii="Times New Roman" w:hAnsi="Times New Roman" w:eastAsia="宋体" w:cs="Times New Roman"/>
                <w:color w:val="auto"/>
                <w:sz w:val="24"/>
                <w:szCs w:val="24"/>
                <w:vertAlign w:val="subscript"/>
                <w:lang w:bidi="zh-CN"/>
              </w:rPr>
              <w:t>p1j</w:t>
            </w:r>
            <w:r>
              <w:rPr>
                <w:rFonts w:hint="default" w:ascii="Times New Roman" w:hAnsi="Times New Roman" w:eastAsia="宋体" w:cs="Times New Roman"/>
                <w:color w:val="auto"/>
                <w:sz w:val="24"/>
                <w:szCs w:val="24"/>
                <w:lang w:bidi="zh-CN"/>
              </w:rPr>
              <w:t>——j声源的声压级，dB（A）；</w:t>
            </w:r>
          </w:p>
          <w:p w14:paraId="163F34D9">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N—室内声源总数； </w:t>
            </w:r>
          </w:p>
          <w:p w14:paraId="68A88CDE">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t>L</w:t>
            </w:r>
            <w:r>
              <w:rPr>
                <w:rFonts w:hint="default" w:ascii="Times New Roman" w:hAnsi="Times New Roman" w:eastAsia="宋体" w:cs="Times New Roman"/>
                <w:color w:val="auto"/>
                <w:sz w:val="24"/>
                <w:szCs w:val="24"/>
                <w:vertAlign w:val="subscript"/>
                <w:lang w:bidi="zh-CN"/>
              </w:rPr>
              <w:t>p1</w:t>
            </w:r>
            <w:r>
              <w:rPr>
                <w:rFonts w:hint="default" w:ascii="Times New Roman" w:hAnsi="Times New Roman" w:eastAsia="宋体" w:cs="Times New Roman"/>
                <w:color w:val="auto"/>
                <w:sz w:val="24"/>
                <w:szCs w:val="24"/>
                <w:lang w:bidi="zh-CN"/>
              </w:rPr>
              <w:t>（T）——靠近围护结构处室内N个声源的叠加声压级，dB（A）；</w:t>
            </w:r>
          </w:p>
          <w:p w14:paraId="71EBCB34">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计算出室外靠近围护结构处的声压级： </w:t>
            </w:r>
          </w:p>
          <w:p w14:paraId="287C5C5E">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position w:val="-10"/>
                <w:sz w:val="24"/>
                <w:szCs w:val="24"/>
                <w:lang w:bidi="zh-CN"/>
              </w:rPr>
              <w:object>
                <v:shape id="_x0000_i1041" o:spt="75" type="#_x0000_t75" style="height:17.6pt;width:131.5pt;" o:ole="t" filled="f" o:preferrelative="t" stroked="f" coordsize="21600,21600">
                  <v:path/>
                  <v:fill on="f" focussize="0,0"/>
                  <v:stroke on="f" joinstyle="miter"/>
                  <v:imagedata r:id="rId44" o:title=""/>
                  <o:lock v:ext="edit" aspectratio="t"/>
                  <w10:wrap type="none"/>
                  <w10:anchorlock/>
                </v:shape>
                <o:OLEObject Type="Embed" ProgID="Equation.3" ShapeID="_x0000_i1041" DrawAspect="Content" ObjectID="_1468075741" r:id="rId43">
                  <o:LockedField>false</o:LockedField>
                </o:OLEObject>
              </w:object>
            </w:r>
          </w:p>
          <w:p w14:paraId="0B3AEAEE">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式中：L</w:t>
            </w:r>
            <w:r>
              <w:rPr>
                <w:rFonts w:hint="default" w:ascii="Times New Roman" w:hAnsi="Times New Roman" w:eastAsia="宋体" w:cs="Times New Roman"/>
                <w:color w:val="auto"/>
                <w:sz w:val="24"/>
                <w:szCs w:val="24"/>
                <w:vertAlign w:val="subscript"/>
                <w:lang w:bidi="zh-CN"/>
              </w:rPr>
              <w:t>p2</w:t>
            </w:r>
            <w:r>
              <w:rPr>
                <w:rFonts w:hint="default" w:ascii="Times New Roman" w:hAnsi="Times New Roman" w:eastAsia="宋体" w:cs="Times New Roman"/>
                <w:color w:val="auto"/>
                <w:sz w:val="24"/>
                <w:szCs w:val="24"/>
                <w:lang w:bidi="zh-CN"/>
              </w:rPr>
              <w:t xml:space="preserve">（T）——靠近围护结构处室外N个声源的叠加声压级，dB（A）； </w:t>
            </w:r>
          </w:p>
          <w:p w14:paraId="51BD01D5">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TL——围护结构的隔声量，dB（A）。 </w:t>
            </w:r>
          </w:p>
          <w:p w14:paraId="7701AEF1">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将室外声级L</w:t>
            </w:r>
            <w:r>
              <w:rPr>
                <w:rFonts w:hint="default" w:ascii="Times New Roman" w:hAnsi="Times New Roman" w:eastAsia="宋体" w:cs="Times New Roman"/>
                <w:color w:val="auto"/>
                <w:sz w:val="24"/>
                <w:szCs w:val="24"/>
                <w:vertAlign w:val="subscript"/>
                <w:lang w:bidi="zh-CN"/>
              </w:rPr>
              <w:t>p2</w:t>
            </w:r>
            <w:r>
              <w:rPr>
                <w:rFonts w:hint="default" w:ascii="Times New Roman" w:hAnsi="Times New Roman" w:eastAsia="宋体" w:cs="Times New Roman"/>
                <w:color w:val="auto"/>
                <w:sz w:val="24"/>
                <w:szCs w:val="24"/>
                <w:lang w:bidi="zh-CN"/>
              </w:rPr>
              <w:t>（T）和透声面积换算成等效的室外声源，计算出等效声源的声功率级L</w:t>
            </w:r>
            <w:r>
              <w:rPr>
                <w:rFonts w:hint="default" w:ascii="Times New Roman" w:hAnsi="Times New Roman" w:eastAsia="宋体" w:cs="Times New Roman"/>
                <w:color w:val="auto"/>
                <w:sz w:val="24"/>
                <w:szCs w:val="24"/>
                <w:vertAlign w:val="subscript"/>
                <w:lang w:bidi="zh-CN"/>
              </w:rPr>
              <w:t>W</w:t>
            </w:r>
            <w:r>
              <w:rPr>
                <w:rFonts w:hint="default" w:ascii="Times New Roman" w:hAnsi="Times New Roman" w:eastAsia="宋体" w:cs="Times New Roman"/>
                <w:color w:val="auto"/>
                <w:sz w:val="24"/>
                <w:szCs w:val="24"/>
                <w:lang w:bidi="zh-CN"/>
              </w:rPr>
              <w:t xml:space="preserve">。 </w:t>
            </w:r>
          </w:p>
          <w:p w14:paraId="673EA082">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等效室外声源的位置为围护结构的位置，其声功率级为L</w:t>
            </w:r>
            <w:r>
              <w:rPr>
                <w:rFonts w:hint="default" w:ascii="Times New Roman" w:hAnsi="Times New Roman" w:eastAsia="宋体" w:cs="Times New Roman"/>
                <w:color w:val="auto"/>
                <w:sz w:val="24"/>
                <w:szCs w:val="24"/>
                <w:vertAlign w:val="subscript"/>
                <w:lang w:bidi="zh-CN"/>
              </w:rPr>
              <w:t>W</w:t>
            </w:r>
            <w:r>
              <w:rPr>
                <w:rFonts w:hint="default" w:ascii="Times New Roman" w:hAnsi="Times New Roman" w:eastAsia="宋体" w:cs="Times New Roman"/>
                <w:color w:val="auto"/>
                <w:sz w:val="24"/>
                <w:szCs w:val="24"/>
                <w:lang w:bidi="zh-CN"/>
              </w:rPr>
              <w:t xml:space="preserve">，由此按室外声源方法计算等效室外声源在预测点产生的A声级。 </w:t>
            </w:r>
          </w:p>
          <w:p w14:paraId="364E6127">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 xml:space="preserve">②室外声源 </w:t>
            </w:r>
          </w:p>
          <w:p w14:paraId="7015BCB2">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计算某个声源在预测点的声压级</w:t>
            </w:r>
          </w:p>
          <w:p w14:paraId="7C647C6E">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object>
                <v:shape id="_x0000_i1042" o:spt="75" type="#_x0000_t75" style="height:18.4pt;width:93.75pt;" o:ole="t" filled="f" o:preferrelative="t" stroked="f" coordsize="21600,21600">
                  <v:path/>
                  <v:fill on="f" focussize="0,0"/>
                  <v:stroke on="f" joinstyle="miter"/>
                  <v:imagedata r:id="rId46" o:title=""/>
                  <o:lock v:ext="edit" aspectratio="t"/>
                  <w10:wrap type="none"/>
                  <w10:anchorlock/>
                </v:shape>
                <o:OLEObject Type="Embed" ProgID="Equation.3" ShapeID="_x0000_i1042" DrawAspect="Content" ObjectID="_1468075742" r:id="rId45">
                  <o:LockedField>false</o:LockedField>
                </o:OLEObject>
              </w:object>
            </w:r>
          </w:p>
          <w:p w14:paraId="08084E1A">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式中：L（</w:t>
            </w:r>
            <w:r>
              <w:rPr>
                <w:rFonts w:hint="default" w:ascii="Times New Roman" w:hAnsi="Times New Roman" w:eastAsia="宋体" w:cs="Times New Roman"/>
                <w:i/>
                <w:iCs/>
                <w:color w:val="auto"/>
                <w:kern w:val="0"/>
                <w:sz w:val="24"/>
                <w:szCs w:val="24"/>
                <w:lang w:bidi="ar"/>
              </w:rPr>
              <w:t>r</w:t>
            </w:r>
            <w:r>
              <w:rPr>
                <w:rFonts w:hint="default" w:ascii="Times New Roman" w:hAnsi="Times New Roman" w:eastAsia="宋体" w:cs="Times New Roman"/>
                <w:color w:val="auto"/>
                <w:kern w:val="0"/>
                <w:sz w:val="24"/>
                <w:szCs w:val="24"/>
                <w:lang w:bidi="ar"/>
              </w:rPr>
              <w:t xml:space="preserve">）——点声源在预测点产生的声压级，dB（A）； </w:t>
            </w:r>
          </w:p>
          <w:p w14:paraId="6613AB52">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L（</w:t>
            </w:r>
            <w:r>
              <w:rPr>
                <w:rFonts w:hint="default" w:ascii="Times New Roman" w:hAnsi="Times New Roman" w:eastAsia="宋体" w:cs="Times New Roman"/>
                <w:i/>
                <w:iCs/>
                <w:color w:val="auto"/>
                <w:kern w:val="0"/>
                <w:sz w:val="24"/>
                <w:szCs w:val="24"/>
                <w:lang w:bidi="ar"/>
              </w:rPr>
              <w:t>r</w:t>
            </w:r>
            <w:r>
              <w:rPr>
                <w:rFonts w:hint="default" w:ascii="Times New Roman" w:hAnsi="Times New Roman" w:eastAsia="宋体" w:cs="Times New Roman"/>
                <w:color w:val="auto"/>
                <w:kern w:val="0"/>
                <w:sz w:val="24"/>
                <w:szCs w:val="24"/>
                <w:vertAlign w:val="subscript"/>
                <w:lang w:bidi="ar"/>
              </w:rPr>
              <w:t>0</w:t>
            </w:r>
            <w:r>
              <w:rPr>
                <w:rFonts w:hint="default" w:ascii="Times New Roman" w:hAnsi="Times New Roman" w:eastAsia="宋体" w:cs="Times New Roman"/>
                <w:color w:val="auto"/>
                <w:kern w:val="0"/>
                <w:sz w:val="24"/>
                <w:szCs w:val="24"/>
                <w:lang w:bidi="ar"/>
              </w:rPr>
              <w:t>）——参考位置</w:t>
            </w:r>
            <w:r>
              <w:rPr>
                <w:rFonts w:hint="default" w:ascii="Times New Roman" w:hAnsi="Times New Roman" w:eastAsia="宋体" w:cs="Times New Roman"/>
                <w:i/>
                <w:iCs/>
                <w:color w:val="auto"/>
                <w:kern w:val="0"/>
                <w:sz w:val="24"/>
                <w:szCs w:val="24"/>
                <w:lang w:bidi="ar"/>
              </w:rPr>
              <w:t>r0</w:t>
            </w:r>
            <w:r>
              <w:rPr>
                <w:rFonts w:hint="default" w:ascii="Times New Roman" w:hAnsi="Times New Roman" w:eastAsia="宋体" w:cs="Times New Roman"/>
                <w:color w:val="auto"/>
                <w:kern w:val="0"/>
                <w:sz w:val="24"/>
                <w:szCs w:val="24"/>
                <w:lang w:bidi="ar"/>
              </w:rPr>
              <w:t xml:space="preserve">处的声压级，dB（A）； </w:t>
            </w:r>
          </w:p>
          <w:p w14:paraId="35CB0F20">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kern w:val="0"/>
                <w:sz w:val="24"/>
                <w:szCs w:val="24"/>
                <w:lang w:bidi="ar"/>
              </w:rPr>
              <w:t>r</w:t>
            </w:r>
            <w:r>
              <w:rPr>
                <w:rFonts w:hint="default" w:ascii="Times New Roman" w:hAnsi="Times New Roman" w:eastAsia="宋体" w:cs="Times New Roman"/>
                <w:color w:val="auto"/>
                <w:kern w:val="0"/>
                <w:sz w:val="24"/>
                <w:szCs w:val="24"/>
                <w:lang w:bidi="ar"/>
              </w:rPr>
              <w:t xml:space="preserve">——预测点距声源的距离，m； </w:t>
            </w:r>
          </w:p>
          <w:p w14:paraId="7CA63D1F">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kern w:val="0"/>
                <w:sz w:val="24"/>
                <w:szCs w:val="24"/>
                <w:lang w:bidi="ar"/>
              </w:rPr>
              <w:t>r</w:t>
            </w:r>
            <w:r>
              <w:rPr>
                <w:rFonts w:hint="default" w:ascii="Times New Roman" w:hAnsi="Times New Roman" w:eastAsia="宋体" w:cs="Times New Roman"/>
                <w:color w:val="auto"/>
                <w:kern w:val="0"/>
                <w:sz w:val="24"/>
                <w:szCs w:val="24"/>
                <w:vertAlign w:val="subscript"/>
                <w:lang w:bidi="ar"/>
              </w:rPr>
              <w:t>0</w:t>
            </w:r>
            <w:r>
              <w:rPr>
                <w:rFonts w:hint="default" w:ascii="Times New Roman" w:hAnsi="Times New Roman" w:eastAsia="宋体" w:cs="Times New Roman"/>
                <w:color w:val="auto"/>
                <w:kern w:val="0"/>
                <w:sz w:val="24"/>
                <w:szCs w:val="24"/>
                <w:lang w:bidi="ar"/>
              </w:rPr>
              <w:t xml:space="preserve">——参考位置距声源的距离，m； </w:t>
            </w:r>
          </w:p>
          <w:p w14:paraId="12734676">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A——各种因素引起的衰减量（包括几何发散衰减、声屏障衰减，其计算方法详见“导则”正文）。</w:t>
            </w:r>
          </w:p>
          <w:p w14:paraId="70BB3669">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 xml:space="preserve">③总声压级 </w:t>
            </w:r>
          </w:p>
          <w:p w14:paraId="65CF696B">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设第</w:t>
            </w:r>
            <w:r>
              <w:rPr>
                <w:rFonts w:hint="default" w:ascii="Times New Roman" w:hAnsi="Times New Roman" w:eastAsia="宋体" w:cs="Times New Roman"/>
                <w:i/>
                <w:iCs/>
                <w:color w:val="auto"/>
                <w:kern w:val="0"/>
                <w:sz w:val="24"/>
                <w:szCs w:val="24"/>
                <w:lang w:bidi="ar"/>
              </w:rPr>
              <w:t>i</w:t>
            </w:r>
            <w:r>
              <w:rPr>
                <w:rFonts w:hint="default" w:ascii="Times New Roman" w:hAnsi="Times New Roman" w:eastAsia="宋体" w:cs="Times New Roman"/>
                <w:color w:val="auto"/>
                <w:kern w:val="0"/>
                <w:sz w:val="24"/>
                <w:szCs w:val="24"/>
                <w:lang w:bidi="ar"/>
              </w:rPr>
              <w:t>室外声源在预测点产生的A声级为</w:t>
            </w:r>
            <w:r>
              <w:rPr>
                <w:rFonts w:hint="default" w:ascii="Times New Roman" w:hAnsi="Times New Roman" w:eastAsia="宋体" w:cs="Times New Roman"/>
                <w:i/>
                <w:iCs/>
                <w:color w:val="auto"/>
                <w:kern w:val="0"/>
                <w:sz w:val="24"/>
                <w:szCs w:val="24"/>
                <w:lang w:bidi="ar"/>
              </w:rPr>
              <w:t>L</w:t>
            </w:r>
            <w:r>
              <w:rPr>
                <w:rFonts w:hint="default" w:ascii="Times New Roman" w:hAnsi="Times New Roman" w:eastAsia="宋体" w:cs="Times New Roman"/>
                <w:i/>
                <w:iCs/>
                <w:color w:val="auto"/>
                <w:kern w:val="0"/>
                <w:sz w:val="24"/>
                <w:szCs w:val="24"/>
                <w:vertAlign w:val="subscript"/>
                <w:lang w:bidi="ar"/>
              </w:rPr>
              <w:t>Ai，</w:t>
            </w:r>
            <w:r>
              <w:rPr>
                <w:rFonts w:hint="default" w:ascii="Times New Roman" w:hAnsi="Times New Roman" w:eastAsia="宋体" w:cs="Times New Roman"/>
                <w:color w:val="auto"/>
                <w:kern w:val="0"/>
                <w:sz w:val="24"/>
                <w:szCs w:val="24"/>
                <w:lang w:bidi="ar"/>
              </w:rPr>
              <w:t>在T时间内该声源工作时间为t</w:t>
            </w:r>
            <w:r>
              <w:rPr>
                <w:rFonts w:hint="default" w:ascii="Times New Roman" w:hAnsi="Times New Roman" w:eastAsia="宋体" w:cs="Times New Roman"/>
                <w:color w:val="auto"/>
                <w:kern w:val="0"/>
                <w:sz w:val="24"/>
                <w:szCs w:val="24"/>
                <w:vertAlign w:val="subscript"/>
                <w:lang w:bidi="ar"/>
              </w:rPr>
              <w:t>i</w:t>
            </w:r>
            <w:r>
              <w:rPr>
                <w:rFonts w:hint="default" w:ascii="Times New Roman" w:hAnsi="Times New Roman" w:eastAsia="宋体" w:cs="Times New Roman"/>
                <w:color w:val="auto"/>
                <w:kern w:val="0"/>
                <w:sz w:val="24"/>
                <w:szCs w:val="24"/>
                <w:lang w:bidi="ar"/>
              </w:rPr>
              <w:t>；第</w:t>
            </w:r>
            <w:r>
              <w:rPr>
                <w:rFonts w:hint="default" w:ascii="Times New Roman" w:hAnsi="Times New Roman" w:eastAsia="宋体" w:cs="Times New Roman"/>
                <w:i/>
                <w:iCs/>
                <w:color w:val="auto"/>
                <w:kern w:val="0"/>
                <w:sz w:val="24"/>
                <w:szCs w:val="24"/>
                <w:lang w:bidi="ar"/>
              </w:rPr>
              <w:t>j</w:t>
            </w:r>
            <w:r>
              <w:rPr>
                <w:rFonts w:hint="default" w:ascii="Times New Roman" w:hAnsi="Times New Roman" w:eastAsia="宋体" w:cs="Times New Roman"/>
                <w:color w:val="auto"/>
                <w:kern w:val="0"/>
                <w:sz w:val="24"/>
                <w:szCs w:val="24"/>
                <w:lang w:bidi="ar"/>
              </w:rPr>
              <w:t>个等效室外声源在预测点产生的A声级为</w:t>
            </w:r>
            <w:r>
              <w:rPr>
                <w:rFonts w:hint="default" w:ascii="Times New Roman" w:hAnsi="Times New Roman" w:eastAsia="宋体" w:cs="Times New Roman"/>
                <w:i/>
                <w:iCs/>
                <w:color w:val="auto"/>
                <w:kern w:val="0"/>
                <w:sz w:val="24"/>
                <w:szCs w:val="24"/>
                <w:lang w:bidi="ar"/>
              </w:rPr>
              <w:t>L</w:t>
            </w:r>
            <w:r>
              <w:rPr>
                <w:rFonts w:hint="default" w:ascii="Times New Roman" w:hAnsi="Times New Roman" w:eastAsia="宋体" w:cs="Times New Roman"/>
                <w:i/>
                <w:iCs/>
                <w:color w:val="auto"/>
                <w:kern w:val="0"/>
                <w:sz w:val="24"/>
                <w:szCs w:val="24"/>
                <w:vertAlign w:val="subscript"/>
                <w:lang w:bidi="ar"/>
              </w:rPr>
              <w:t>Aj</w:t>
            </w:r>
            <w:r>
              <w:rPr>
                <w:rFonts w:hint="default" w:ascii="Times New Roman" w:hAnsi="Times New Roman" w:eastAsia="宋体" w:cs="Times New Roman"/>
                <w:color w:val="auto"/>
                <w:kern w:val="0"/>
                <w:sz w:val="24"/>
                <w:szCs w:val="24"/>
                <w:lang w:bidi="ar"/>
              </w:rPr>
              <w:t>，在T时间内该声源工作时间为</w:t>
            </w:r>
            <w:r>
              <w:rPr>
                <w:rFonts w:hint="default" w:ascii="Times New Roman" w:hAnsi="Times New Roman" w:eastAsia="宋体" w:cs="Times New Roman"/>
                <w:i/>
                <w:iCs/>
                <w:color w:val="auto"/>
                <w:kern w:val="0"/>
                <w:sz w:val="24"/>
                <w:szCs w:val="24"/>
                <w:lang w:bidi="ar"/>
              </w:rPr>
              <w:t>t</w:t>
            </w:r>
            <w:r>
              <w:rPr>
                <w:rFonts w:hint="default" w:ascii="Times New Roman" w:hAnsi="Times New Roman" w:eastAsia="宋体" w:cs="Times New Roman"/>
                <w:i/>
                <w:iCs/>
                <w:color w:val="auto"/>
                <w:kern w:val="0"/>
                <w:sz w:val="24"/>
                <w:szCs w:val="24"/>
                <w:vertAlign w:val="subscript"/>
                <w:lang w:bidi="ar"/>
              </w:rPr>
              <w:t>j</w:t>
            </w:r>
            <w:r>
              <w:rPr>
                <w:rFonts w:hint="default" w:ascii="Times New Roman" w:hAnsi="Times New Roman" w:eastAsia="宋体" w:cs="Times New Roman"/>
                <w:color w:val="auto"/>
                <w:kern w:val="0"/>
                <w:sz w:val="24"/>
                <w:szCs w:val="24"/>
                <w:lang w:bidi="ar"/>
              </w:rPr>
              <w:t>，则项目声源对预测点产生的贡献值（</w:t>
            </w:r>
            <w:r>
              <w:rPr>
                <w:rFonts w:hint="default" w:ascii="Times New Roman" w:hAnsi="Times New Roman" w:eastAsia="宋体" w:cs="Times New Roman"/>
                <w:i/>
                <w:iCs/>
                <w:color w:val="auto"/>
                <w:kern w:val="0"/>
                <w:sz w:val="24"/>
                <w:szCs w:val="24"/>
                <w:lang w:bidi="ar"/>
              </w:rPr>
              <w:t>L</w:t>
            </w:r>
            <w:r>
              <w:rPr>
                <w:rFonts w:hint="default" w:ascii="Times New Roman" w:hAnsi="Times New Roman" w:eastAsia="宋体" w:cs="Times New Roman"/>
                <w:i/>
                <w:iCs/>
                <w:color w:val="auto"/>
                <w:kern w:val="0"/>
                <w:sz w:val="24"/>
                <w:szCs w:val="24"/>
                <w:vertAlign w:val="subscript"/>
                <w:lang w:bidi="ar"/>
              </w:rPr>
              <w:t>eqg</w:t>
            </w:r>
            <w:r>
              <w:rPr>
                <w:rFonts w:hint="default" w:ascii="Times New Roman" w:hAnsi="Times New Roman" w:eastAsia="宋体" w:cs="Times New Roman"/>
                <w:color w:val="auto"/>
                <w:kern w:val="0"/>
                <w:sz w:val="24"/>
                <w:szCs w:val="24"/>
                <w:lang w:bidi="ar"/>
              </w:rPr>
              <w:t>）为：</w:t>
            </w:r>
          </w:p>
          <w:p w14:paraId="3D66695B">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position w:val="-32"/>
                <w:sz w:val="24"/>
                <w:szCs w:val="24"/>
                <w:lang w:bidi="zh-CN"/>
              </w:rPr>
              <w:object>
                <v:shape id="_x0000_i1043" o:spt="75" type="#_x0000_t75" style="height:38.5pt;width:210.95pt;" o:ole="t" filled="f" o:preferrelative="t" stroked="f" coordsize="21600,21600">
                  <v:path/>
                  <v:fill on="f" focussize="0,0"/>
                  <v:stroke on="f" joinstyle="miter"/>
                  <v:imagedata r:id="rId48" o:title=""/>
                  <o:lock v:ext="edit" aspectratio="t"/>
                  <w10:wrap type="none"/>
                  <w10:anchorlock/>
                </v:shape>
                <o:OLEObject Type="Embed" ProgID="Equation.3" ShapeID="_x0000_i1043" DrawAspect="Content" ObjectID="_1468075743" r:id="rId47">
                  <o:LockedField>false</o:LockedField>
                </o:OLEObject>
              </w:object>
            </w:r>
          </w:p>
          <w:p w14:paraId="30A32FF3">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式中：</w:t>
            </w:r>
            <w:r>
              <w:rPr>
                <w:rFonts w:hint="default" w:ascii="Times New Roman" w:hAnsi="Times New Roman" w:eastAsia="宋体" w:cs="Times New Roman"/>
                <w:i/>
                <w:iCs/>
                <w:color w:val="auto"/>
                <w:sz w:val="24"/>
                <w:szCs w:val="24"/>
                <w:lang w:bidi="zh-CN"/>
              </w:rPr>
              <w:t>t</w:t>
            </w:r>
            <w:r>
              <w:rPr>
                <w:rFonts w:hint="default" w:ascii="Times New Roman" w:hAnsi="Times New Roman" w:eastAsia="宋体" w:cs="Times New Roman"/>
                <w:i/>
                <w:iCs/>
                <w:color w:val="auto"/>
                <w:sz w:val="24"/>
                <w:szCs w:val="24"/>
                <w:vertAlign w:val="subscript"/>
                <w:lang w:bidi="zh-CN"/>
              </w:rPr>
              <w:t>j</w:t>
            </w:r>
            <w:r>
              <w:rPr>
                <w:rFonts w:hint="default" w:ascii="Times New Roman" w:hAnsi="Times New Roman" w:eastAsia="宋体" w:cs="Times New Roman"/>
                <w:color w:val="auto"/>
                <w:sz w:val="24"/>
                <w:szCs w:val="24"/>
                <w:lang w:bidi="zh-CN"/>
              </w:rPr>
              <w:t xml:space="preserve">——在T时间内j声源工作时间，s； </w:t>
            </w:r>
          </w:p>
          <w:p w14:paraId="38A0C570">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sz w:val="24"/>
                <w:szCs w:val="24"/>
                <w:lang w:bidi="zh-CN"/>
              </w:rPr>
              <w:t>t</w:t>
            </w:r>
            <w:r>
              <w:rPr>
                <w:rFonts w:hint="default" w:ascii="Times New Roman" w:hAnsi="Times New Roman" w:eastAsia="宋体" w:cs="Times New Roman"/>
                <w:i/>
                <w:iCs/>
                <w:color w:val="auto"/>
                <w:sz w:val="24"/>
                <w:szCs w:val="24"/>
                <w:vertAlign w:val="subscript"/>
                <w:lang w:bidi="zh-CN"/>
              </w:rPr>
              <w:t>i</w:t>
            </w:r>
            <w:r>
              <w:rPr>
                <w:rFonts w:hint="default" w:ascii="Times New Roman" w:hAnsi="Times New Roman" w:eastAsia="宋体" w:cs="Times New Roman"/>
                <w:color w:val="auto"/>
                <w:sz w:val="24"/>
                <w:szCs w:val="24"/>
                <w:lang w:bidi="zh-CN"/>
              </w:rPr>
              <w:t>——在T时间内</w:t>
            </w:r>
            <w:r>
              <w:rPr>
                <w:rFonts w:hint="default" w:ascii="Times New Roman" w:hAnsi="Times New Roman" w:eastAsia="宋体" w:cs="Times New Roman"/>
                <w:i/>
                <w:iCs/>
                <w:color w:val="auto"/>
                <w:sz w:val="24"/>
                <w:szCs w:val="24"/>
                <w:lang w:bidi="zh-CN"/>
              </w:rPr>
              <w:t>i</w:t>
            </w:r>
            <w:r>
              <w:rPr>
                <w:rFonts w:hint="default" w:ascii="Times New Roman" w:hAnsi="Times New Roman" w:eastAsia="宋体" w:cs="Times New Roman"/>
                <w:color w:val="auto"/>
                <w:sz w:val="24"/>
                <w:szCs w:val="24"/>
                <w:lang w:bidi="zh-CN"/>
              </w:rPr>
              <w:t xml:space="preserve">声源工作时间，s； </w:t>
            </w:r>
          </w:p>
          <w:p w14:paraId="7FDB550A">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sz w:val="24"/>
                <w:szCs w:val="24"/>
                <w:lang w:bidi="zh-CN"/>
              </w:rPr>
              <w:t>T</w:t>
            </w:r>
            <w:r>
              <w:rPr>
                <w:rFonts w:hint="default" w:ascii="Times New Roman" w:hAnsi="Times New Roman" w:eastAsia="宋体" w:cs="Times New Roman"/>
                <w:color w:val="auto"/>
                <w:sz w:val="24"/>
                <w:szCs w:val="24"/>
                <w:lang w:bidi="zh-CN"/>
              </w:rPr>
              <w:t xml:space="preserve">——用于计算等效声级的时间，s； </w:t>
            </w:r>
          </w:p>
          <w:p w14:paraId="0FB45531">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sz w:val="24"/>
                <w:szCs w:val="24"/>
                <w:lang w:bidi="zh-CN"/>
              </w:rPr>
              <w:t>N</w:t>
            </w:r>
            <w:r>
              <w:rPr>
                <w:rFonts w:hint="default" w:ascii="Times New Roman" w:hAnsi="Times New Roman" w:eastAsia="宋体" w:cs="Times New Roman"/>
                <w:color w:val="auto"/>
                <w:sz w:val="24"/>
                <w:szCs w:val="24"/>
                <w:lang w:bidi="zh-CN"/>
              </w:rPr>
              <w:t xml:space="preserve">——室外声源个数； </w:t>
            </w:r>
          </w:p>
          <w:p w14:paraId="53EA33FA">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lang w:bidi="zh-CN"/>
              </w:rPr>
              <w:t>M——等效室外声源个数</w:t>
            </w:r>
          </w:p>
          <w:p w14:paraId="2851A8E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项目产生噪声的噪声源强调查清单见表4-</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w:t>
            </w:r>
          </w:p>
          <w:p w14:paraId="14C2629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本项目取总平面图中西厂界与南厂界交点作为坐标原点（0，0，0）。</w:t>
            </w:r>
          </w:p>
          <w:p w14:paraId="2C123DA7">
            <w:pPr>
              <w:spacing w:line="240" w:lineRule="auto"/>
              <w:ind w:firstLine="422"/>
              <w:jc w:val="center"/>
              <w:rPr>
                <w:rFonts w:hint="eastAsia" w:eastAsia="宋体"/>
                <w:b/>
                <w:color w:val="auto"/>
                <w:sz w:val="24"/>
                <w:szCs w:val="24"/>
                <w:lang w:eastAsia="zh-CN"/>
              </w:rPr>
            </w:pPr>
            <w:r>
              <w:rPr>
                <w:rFonts w:hint="eastAsia"/>
                <w:b/>
                <w:color w:val="auto"/>
                <w:sz w:val="24"/>
                <w:szCs w:val="24"/>
              </w:rPr>
              <w:t>表4-</w:t>
            </w:r>
            <w:r>
              <w:rPr>
                <w:rFonts w:hint="eastAsia"/>
                <w:b/>
                <w:color w:val="auto"/>
                <w:sz w:val="24"/>
                <w:szCs w:val="24"/>
                <w:lang w:val="en-US" w:eastAsia="zh-CN"/>
              </w:rPr>
              <w:t>9</w:t>
            </w:r>
            <w:r>
              <w:rPr>
                <w:rFonts w:hint="eastAsia"/>
                <w:b/>
                <w:color w:val="auto"/>
                <w:sz w:val="24"/>
                <w:szCs w:val="24"/>
              </w:rPr>
              <w:t xml:space="preserve">  工业企业噪声源强调查清单</w:t>
            </w:r>
            <w:r>
              <w:rPr>
                <w:rFonts w:hint="eastAsia"/>
                <w:b/>
                <w:color w:val="auto"/>
                <w:sz w:val="24"/>
                <w:szCs w:val="24"/>
                <w:lang w:eastAsia="zh-CN"/>
              </w:rPr>
              <w:t>（</w:t>
            </w:r>
            <w:r>
              <w:rPr>
                <w:rFonts w:hint="eastAsia"/>
                <w:b/>
                <w:color w:val="auto"/>
                <w:sz w:val="24"/>
                <w:szCs w:val="24"/>
                <w:lang w:val="en-US" w:eastAsia="zh-CN"/>
              </w:rPr>
              <w:t>室内声源</w:t>
            </w:r>
            <w:r>
              <w:rPr>
                <w:rFonts w:hint="eastAsia"/>
                <w:b/>
                <w:color w:val="auto"/>
                <w:sz w:val="24"/>
                <w:szCs w:val="24"/>
                <w:lang w:eastAsia="zh-CN"/>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400"/>
              <w:gridCol w:w="643"/>
              <w:gridCol w:w="709"/>
              <w:gridCol w:w="645"/>
              <w:gridCol w:w="525"/>
              <w:gridCol w:w="442"/>
              <w:gridCol w:w="348"/>
              <w:gridCol w:w="676"/>
              <w:gridCol w:w="646"/>
              <w:gridCol w:w="465"/>
              <w:gridCol w:w="691"/>
              <w:gridCol w:w="570"/>
              <w:gridCol w:w="680"/>
            </w:tblGrid>
            <w:tr w14:paraId="4264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52" w:type="pct"/>
                  <w:vMerge w:val="restart"/>
                  <w:noWrap w:val="0"/>
                  <w:vAlign w:val="center"/>
                </w:tcPr>
                <w:p w14:paraId="1274FF95">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序号</w:t>
                  </w:r>
                </w:p>
              </w:tc>
              <w:tc>
                <w:tcPr>
                  <w:tcW w:w="255" w:type="pct"/>
                  <w:vMerge w:val="restart"/>
                  <w:noWrap w:val="0"/>
                  <w:vAlign w:val="center"/>
                </w:tcPr>
                <w:p w14:paraId="137FA85F">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建筑物名称</w:t>
                  </w:r>
                </w:p>
              </w:tc>
              <w:tc>
                <w:tcPr>
                  <w:tcW w:w="410" w:type="pct"/>
                  <w:vMerge w:val="restart"/>
                  <w:noWrap w:val="0"/>
                  <w:vAlign w:val="center"/>
                </w:tcPr>
                <w:p w14:paraId="372B48C2">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声源名称</w:t>
                  </w:r>
                </w:p>
              </w:tc>
              <w:tc>
                <w:tcPr>
                  <w:tcW w:w="452" w:type="pct"/>
                  <w:noWrap w:val="0"/>
                  <w:vAlign w:val="center"/>
                </w:tcPr>
                <w:p w14:paraId="05616573">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声源源强</w:t>
                  </w:r>
                </w:p>
              </w:tc>
              <w:tc>
                <w:tcPr>
                  <w:tcW w:w="411" w:type="pct"/>
                  <w:vMerge w:val="restart"/>
                  <w:noWrap w:val="0"/>
                  <w:vAlign w:val="center"/>
                </w:tcPr>
                <w:p w14:paraId="1C9DCD60">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声源控制措施</w:t>
                  </w:r>
                </w:p>
              </w:tc>
              <w:tc>
                <w:tcPr>
                  <w:tcW w:w="839" w:type="pct"/>
                  <w:gridSpan w:val="3"/>
                  <w:noWrap w:val="0"/>
                  <w:vAlign w:val="center"/>
                </w:tcPr>
                <w:p w14:paraId="52C2DF87">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空间相对位置/m</w:t>
                  </w:r>
                </w:p>
              </w:tc>
              <w:tc>
                <w:tcPr>
                  <w:tcW w:w="431" w:type="pct"/>
                  <w:vMerge w:val="restart"/>
                  <w:noWrap w:val="0"/>
                  <w:vAlign w:val="center"/>
                </w:tcPr>
                <w:p w14:paraId="0ADCDB63">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距室内边界距离/m</w:t>
                  </w:r>
                </w:p>
              </w:tc>
              <w:tc>
                <w:tcPr>
                  <w:tcW w:w="412" w:type="pct"/>
                  <w:vMerge w:val="restart"/>
                  <w:noWrap w:val="0"/>
                  <w:vAlign w:val="center"/>
                </w:tcPr>
                <w:p w14:paraId="49852F46">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室内边界声级/dB(A)</w:t>
                  </w:r>
                </w:p>
              </w:tc>
              <w:tc>
                <w:tcPr>
                  <w:tcW w:w="296" w:type="pct"/>
                  <w:vMerge w:val="restart"/>
                  <w:noWrap w:val="0"/>
                  <w:vAlign w:val="center"/>
                </w:tcPr>
                <w:p w14:paraId="46752E2D">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运行时段</w:t>
                  </w:r>
                </w:p>
              </w:tc>
              <w:tc>
                <w:tcPr>
                  <w:tcW w:w="440" w:type="pct"/>
                  <w:vMerge w:val="restart"/>
                  <w:noWrap w:val="0"/>
                  <w:vAlign w:val="center"/>
                </w:tcPr>
                <w:p w14:paraId="10A74BFF">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建筑物插入损失/ dB(A)</w:t>
                  </w:r>
                </w:p>
              </w:tc>
              <w:tc>
                <w:tcPr>
                  <w:tcW w:w="797" w:type="pct"/>
                  <w:gridSpan w:val="2"/>
                  <w:noWrap w:val="0"/>
                  <w:vAlign w:val="center"/>
                </w:tcPr>
                <w:p w14:paraId="7B54AD21">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建筑物外噪声</w:t>
                  </w:r>
                </w:p>
              </w:tc>
            </w:tr>
            <w:tr w14:paraId="3CE5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vMerge w:val="continue"/>
                  <w:noWrap w:val="0"/>
                  <w:vAlign w:val="center"/>
                </w:tcPr>
                <w:p w14:paraId="623ACFE7">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p>
              </w:tc>
              <w:tc>
                <w:tcPr>
                  <w:tcW w:w="255" w:type="pct"/>
                  <w:vMerge w:val="continue"/>
                  <w:noWrap w:val="0"/>
                  <w:vAlign w:val="center"/>
                </w:tcPr>
                <w:p w14:paraId="7A7F932E">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p>
              </w:tc>
              <w:tc>
                <w:tcPr>
                  <w:tcW w:w="410" w:type="pct"/>
                  <w:vMerge w:val="continue"/>
                  <w:noWrap w:val="0"/>
                  <w:vAlign w:val="center"/>
                </w:tcPr>
                <w:p w14:paraId="678DD6CE">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p>
              </w:tc>
              <w:tc>
                <w:tcPr>
                  <w:tcW w:w="452" w:type="pct"/>
                  <w:noWrap w:val="0"/>
                  <w:vAlign w:val="center"/>
                </w:tcPr>
                <w:p w14:paraId="1F2621AE">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rPr>
                    <w:t>声功率级/dB（A）</w:t>
                  </w:r>
                </w:p>
              </w:tc>
              <w:tc>
                <w:tcPr>
                  <w:tcW w:w="411" w:type="pct"/>
                  <w:vMerge w:val="continue"/>
                  <w:noWrap w:val="0"/>
                  <w:vAlign w:val="center"/>
                </w:tcPr>
                <w:p w14:paraId="6EC56542">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p>
              </w:tc>
              <w:tc>
                <w:tcPr>
                  <w:tcW w:w="334" w:type="pct"/>
                  <w:noWrap w:val="0"/>
                  <w:vAlign w:val="center"/>
                </w:tcPr>
                <w:p w14:paraId="3D56019C">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X</w:t>
                  </w:r>
                </w:p>
              </w:tc>
              <w:tc>
                <w:tcPr>
                  <w:tcW w:w="282" w:type="pct"/>
                  <w:noWrap w:val="0"/>
                  <w:vAlign w:val="center"/>
                </w:tcPr>
                <w:p w14:paraId="3F99D88F">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Y</w:t>
                  </w:r>
                </w:p>
              </w:tc>
              <w:tc>
                <w:tcPr>
                  <w:tcW w:w="222" w:type="pct"/>
                  <w:noWrap w:val="0"/>
                  <w:vAlign w:val="center"/>
                </w:tcPr>
                <w:p w14:paraId="59BE2952">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Z</w:t>
                  </w:r>
                </w:p>
              </w:tc>
              <w:tc>
                <w:tcPr>
                  <w:tcW w:w="431" w:type="pct"/>
                  <w:vMerge w:val="continue"/>
                  <w:noWrap w:val="0"/>
                  <w:vAlign w:val="center"/>
                </w:tcPr>
                <w:p w14:paraId="0220FBC6">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p>
              </w:tc>
              <w:tc>
                <w:tcPr>
                  <w:tcW w:w="412" w:type="pct"/>
                  <w:vMerge w:val="continue"/>
                  <w:noWrap w:val="0"/>
                  <w:vAlign w:val="center"/>
                </w:tcPr>
                <w:p w14:paraId="2A97969E">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p>
              </w:tc>
              <w:tc>
                <w:tcPr>
                  <w:tcW w:w="296" w:type="pct"/>
                  <w:vMerge w:val="continue"/>
                  <w:noWrap w:val="0"/>
                  <w:vAlign w:val="center"/>
                </w:tcPr>
                <w:p w14:paraId="6645FAD0">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p>
              </w:tc>
              <w:tc>
                <w:tcPr>
                  <w:tcW w:w="440" w:type="pct"/>
                  <w:vMerge w:val="continue"/>
                  <w:noWrap w:val="0"/>
                  <w:vAlign w:val="center"/>
                </w:tcPr>
                <w:p w14:paraId="5A3534D3">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p>
              </w:tc>
              <w:tc>
                <w:tcPr>
                  <w:tcW w:w="363" w:type="pct"/>
                  <w:noWrap w:val="0"/>
                  <w:vAlign w:val="center"/>
                </w:tcPr>
                <w:p w14:paraId="5AA95EB0">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声压级/dB(A)</w:t>
                  </w:r>
                </w:p>
              </w:tc>
              <w:tc>
                <w:tcPr>
                  <w:tcW w:w="433" w:type="pct"/>
                  <w:noWrap w:val="0"/>
                  <w:vAlign w:val="center"/>
                </w:tcPr>
                <w:p w14:paraId="071301E5">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建筑物外距离/m</w:t>
                  </w:r>
                </w:p>
              </w:tc>
            </w:tr>
            <w:tr w14:paraId="2A9F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noWrap w:val="0"/>
                  <w:vAlign w:val="center"/>
                </w:tcPr>
                <w:p w14:paraId="1BB55DAE">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w:t>
                  </w:r>
                </w:p>
              </w:tc>
              <w:tc>
                <w:tcPr>
                  <w:tcW w:w="255" w:type="pct"/>
                  <w:vMerge w:val="restart"/>
                  <w:noWrap w:val="0"/>
                  <w:vAlign w:val="center"/>
                </w:tcPr>
                <w:p w14:paraId="6C28EF4A">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生产车间</w:t>
                  </w:r>
                </w:p>
              </w:tc>
              <w:tc>
                <w:tcPr>
                  <w:tcW w:w="410" w:type="pct"/>
                  <w:shd w:val="clear" w:color="auto" w:fill="auto"/>
                  <w:noWrap w:val="0"/>
                  <w:vAlign w:val="center"/>
                </w:tcPr>
                <w:p w14:paraId="16328B1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配煤机</w:t>
                  </w:r>
                </w:p>
              </w:tc>
              <w:tc>
                <w:tcPr>
                  <w:tcW w:w="452" w:type="pct"/>
                  <w:noWrap w:val="0"/>
                  <w:vAlign w:val="center"/>
                </w:tcPr>
                <w:p w14:paraId="062EFF9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b w:val="0"/>
                      <w:bCs/>
                      <w:i w:val="0"/>
                      <w:iCs/>
                      <w:color w:val="auto"/>
                      <w:kern w:val="2"/>
                      <w:sz w:val="21"/>
                      <w:szCs w:val="21"/>
                      <w:lang w:val="en-US" w:eastAsia="zh-CN"/>
                    </w:rPr>
                    <w:t>80</w:t>
                  </w:r>
                </w:p>
              </w:tc>
              <w:tc>
                <w:tcPr>
                  <w:tcW w:w="411" w:type="pct"/>
                  <w:vMerge w:val="restart"/>
                  <w:noWrap w:val="0"/>
                  <w:vAlign w:val="center"/>
                </w:tcPr>
                <w:p w14:paraId="58B139A0">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基础减振、厂房隔声</w:t>
                  </w:r>
                </w:p>
                <w:p w14:paraId="2AFE0881">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both"/>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声</w:t>
                  </w:r>
                </w:p>
              </w:tc>
              <w:tc>
                <w:tcPr>
                  <w:tcW w:w="334" w:type="pct"/>
                  <w:noWrap w:val="0"/>
                  <w:vAlign w:val="center"/>
                </w:tcPr>
                <w:p w14:paraId="2BE572D8">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ascii="Times New Roman" w:hAnsi="Times New Roman" w:cs="Times New Roman"/>
                      <w:i w:val="0"/>
                      <w:iCs/>
                      <w:color w:val="auto"/>
                      <w:sz w:val="21"/>
                      <w:szCs w:val="21"/>
                      <w:lang w:val="en-US" w:eastAsia="zh-CN"/>
                    </w:rPr>
                    <w:t>53.89</w:t>
                  </w:r>
                </w:p>
              </w:tc>
              <w:tc>
                <w:tcPr>
                  <w:tcW w:w="282" w:type="pct"/>
                  <w:noWrap w:val="0"/>
                  <w:vAlign w:val="center"/>
                </w:tcPr>
                <w:p w14:paraId="3A82DB10">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ascii="Times New Roman" w:hAnsi="Times New Roman" w:cs="Times New Roman"/>
                      <w:i w:val="0"/>
                      <w:iCs/>
                      <w:color w:val="auto"/>
                      <w:sz w:val="21"/>
                      <w:szCs w:val="21"/>
                      <w:lang w:val="en-US" w:eastAsia="zh-CN"/>
                    </w:rPr>
                    <w:t>-6.28</w:t>
                  </w:r>
                </w:p>
              </w:tc>
              <w:tc>
                <w:tcPr>
                  <w:tcW w:w="222" w:type="pct"/>
                  <w:noWrap w:val="0"/>
                  <w:vAlign w:val="center"/>
                </w:tcPr>
                <w:p w14:paraId="3B749F88">
                  <w:pPr>
                    <w:pStyle w:val="1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0"/>
                      <w:sz w:val="21"/>
                      <w:szCs w:val="21"/>
                      <w:lang w:val="en-US" w:eastAsia="zh-CN" w:bidi="ar-SA"/>
                    </w:rPr>
                  </w:pPr>
                  <w:r>
                    <w:rPr>
                      <w:rFonts w:hint="default" w:ascii="Times New Roman" w:hAnsi="Times New Roman" w:eastAsia="宋体" w:cs="Times New Roman"/>
                      <w:i w:val="0"/>
                      <w:iCs/>
                      <w:color w:val="auto"/>
                      <w:sz w:val="21"/>
                      <w:szCs w:val="21"/>
                      <w:lang w:val="en-US" w:eastAsia="zh-CN"/>
                    </w:rPr>
                    <w:t>1</w:t>
                  </w:r>
                </w:p>
              </w:tc>
              <w:tc>
                <w:tcPr>
                  <w:tcW w:w="431" w:type="pct"/>
                  <w:noWrap w:val="0"/>
                  <w:vAlign w:val="center"/>
                </w:tcPr>
                <w:p w14:paraId="64DAF578">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ascii="Times New Roman" w:hAnsi="Times New Roman" w:cs="Times New Roman"/>
                      <w:i w:val="0"/>
                      <w:iCs/>
                      <w:color w:val="auto"/>
                      <w:sz w:val="21"/>
                      <w:szCs w:val="21"/>
                      <w:lang w:val="en-US" w:eastAsia="zh-CN"/>
                    </w:rPr>
                    <w:t>28</w:t>
                  </w:r>
                </w:p>
              </w:tc>
              <w:tc>
                <w:tcPr>
                  <w:tcW w:w="412" w:type="pct"/>
                  <w:noWrap w:val="0"/>
                  <w:vAlign w:val="center"/>
                </w:tcPr>
                <w:p w14:paraId="6A4BA18D">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ascii="Times New Roman" w:hAnsi="Times New Roman" w:cs="Times New Roman"/>
                      <w:i w:val="0"/>
                      <w:iCs/>
                      <w:color w:val="auto"/>
                      <w:sz w:val="21"/>
                      <w:szCs w:val="21"/>
                      <w:lang w:val="en-US" w:eastAsia="zh-CN"/>
                    </w:rPr>
                    <w:t>51.06</w:t>
                  </w:r>
                </w:p>
              </w:tc>
              <w:tc>
                <w:tcPr>
                  <w:tcW w:w="296" w:type="pct"/>
                  <w:vMerge w:val="restart"/>
                  <w:noWrap w:val="0"/>
                  <w:vAlign w:val="center"/>
                </w:tcPr>
                <w:p w14:paraId="40C5588D">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ascii="Times New Roman" w:hAnsi="Times New Roman" w:cs="Times New Roman"/>
                      <w:i w:val="0"/>
                      <w:iCs/>
                      <w:color w:val="auto"/>
                      <w:sz w:val="21"/>
                      <w:szCs w:val="21"/>
                      <w:lang w:val="en-US" w:eastAsia="zh-CN"/>
                    </w:rPr>
                    <w:t>24</w:t>
                  </w:r>
                  <w:r>
                    <w:rPr>
                      <w:rFonts w:hint="default" w:ascii="Times New Roman" w:hAnsi="Times New Roman" w:eastAsia="宋体" w:cs="Times New Roman"/>
                      <w:i w:val="0"/>
                      <w:iCs/>
                      <w:color w:val="auto"/>
                      <w:sz w:val="21"/>
                      <w:szCs w:val="21"/>
                      <w:lang w:val="en-US" w:eastAsia="zh-CN"/>
                    </w:rPr>
                    <w:t>00h</w:t>
                  </w:r>
                </w:p>
              </w:tc>
              <w:tc>
                <w:tcPr>
                  <w:tcW w:w="440" w:type="pct"/>
                  <w:noWrap w:val="0"/>
                  <w:vAlign w:val="center"/>
                </w:tcPr>
                <w:p w14:paraId="41D30C15">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10</w:t>
                  </w:r>
                </w:p>
              </w:tc>
              <w:tc>
                <w:tcPr>
                  <w:tcW w:w="363" w:type="pct"/>
                  <w:noWrap w:val="0"/>
                  <w:vAlign w:val="center"/>
                </w:tcPr>
                <w:p w14:paraId="5709D38F">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ascii="Times New Roman" w:hAnsi="Times New Roman" w:cs="Times New Roman"/>
                      <w:i w:val="0"/>
                      <w:iCs/>
                      <w:color w:val="auto"/>
                      <w:sz w:val="21"/>
                      <w:szCs w:val="21"/>
                      <w:lang w:val="en-US" w:eastAsia="zh-CN"/>
                    </w:rPr>
                    <w:t>35.06</w:t>
                  </w:r>
                </w:p>
              </w:tc>
              <w:tc>
                <w:tcPr>
                  <w:tcW w:w="433" w:type="pct"/>
                  <w:noWrap w:val="0"/>
                  <w:vAlign w:val="center"/>
                </w:tcPr>
                <w:p w14:paraId="7F6A874D">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w:t>
                  </w:r>
                </w:p>
              </w:tc>
            </w:tr>
            <w:tr w14:paraId="584A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52" w:type="pct"/>
                  <w:noWrap w:val="0"/>
                  <w:vAlign w:val="center"/>
                </w:tcPr>
                <w:p w14:paraId="14489114">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2</w:t>
                  </w:r>
                </w:p>
              </w:tc>
              <w:tc>
                <w:tcPr>
                  <w:tcW w:w="255" w:type="pct"/>
                  <w:vMerge w:val="continue"/>
                  <w:noWrap w:val="0"/>
                  <w:vAlign w:val="center"/>
                </w:tcPr>
                <w:p w14:paraId="436922A8">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410" w:type="pct"/>
                  <w:shd w:val="clear" w:color="auto" w:fill="auto"/>
                  <w:noWrap w:val="0"/>
                  <w:vAlign w:val="center"/>
                </w:tcPr>
                <w:p w14:paraId="718E104C">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装载机</w:t>
                  </w:r>
                </w:p>
              </w:tc>
              <w:tc>
                <w:tcPr>
                  <w:tcW w:w="452" w:type="pct"/>
                  <w:noWrap w:val="0"/>
                  <w:vAlign w:val="center"/>
                </w:tcPr>
                <w:p w14:paraId="0F2FF10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i w:val="0"/>
                      <w:iCs/>
                      <w:color w:val="auto"/>
                      <w:sz w:val="21"/>
                      <w:szCs w:val="21"/>
                      <w:lang w:val="en-US" w:eastAsia="zh-CN"/>
                    </w:rPr>
                  </w:pPr>
                  <w:r>
                    <w:rPr>
                      <w:rFonts w:hint="eastAsia" w:cs="Times New Roman"/>
                      <w:b w:val="0"/>
                      <w:bCs/>
                      <w:i w:val="0"/>
                      <w:iCs/>
                      <w:color w:val="auto"/>
                      <w:kern w:val="2"/>
                      <w:sz w:val="21"/>
                      <w:szCs w:val="21"/>
                      <w:lang w:val="en-US" w:eastAsia="zh-CN"/>
                    </w:rPr>
                    <w:t>90</w:t>
                  </w:r>
                </w:p>
              </w:tc>
              <w:tc>
                <w:tcPr>
                  <w:tcW w:w="411" w:type="pct"/>
                  <w:vMerge w:val="continue"/>
                  <w:noWrap w:val="0"/>
                  <w:vAlign w:val="center"/>
                </w:tcPr>
                <w:p w14:paraId="7EAD16B9">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334" w:type="pct"/>
                  <w:noWrap w:val="0"/>
                  <w:vAlign w:val="center"/>
                </w:tcPr>
                <w:p w14:paraId="7FE05139">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ascii="Times New Roman" w:hAnsi="Times New Roman" w:cs="Times New Roman"/>
                      <w:i w:val="0"/>
                      <w:iCs/>
                      <w:color w:val="auto"/>
                      <w:sz w:val="21"/>
                      <w:szCs w:val="21"/>
                      <w:lang w:val="en-US" w:eastAsia="zh-CN"/>
                    </w:rPr>
                    <w:t>40.62</w:t>
                  </w:r>
                </w:p>
              </w:tc>
              <w:tc>
                <w:tcPr>
                  <w:tcW w:w="282" w:type="pct"/>
                  <w:noWrap w:val="0"/>
                  <w:vAlign w:val="center"/>
                </w:tcPr>
                <w:p w14:paraId="48FC2957">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ascii="Times New Roman" w:hAnsi="Times New Roman" w:cs="Times New Roman"/>
                      <w:i w:val="0"/>
                      <w:iCs/>
                      <w:color w:val="auto"/>
                      <w:sz w:val="21"/>
                      <w:szCs w:val="21"/>
                      <w:lang w:val="en-US" w:eastAsia="zh-CN"/>
                    </w:rPr>
                    <w:t>0.54</w:t>
                  </w:r>
                </w:p>
              </w:tc>
              <w:tc>
                <w:tcPr>
                  <w:tcW w:w="222" w:type="pct"/>
                  <w:noWrap w:val="0"/>
                  <w:vAlign w:val="center"/>
                </w:tcPr>
                <w:p w14:paraId="5D179010">
                  <w:pPr>
                    <w:pStyle w:val="1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0"/>
                      <w:sz w:val="21"/>
                      <w:szCs w:val="21"/>
                      <w:lang w:val="en-US" w:eastAsia="zh-CN" w:bidi="ar-SA"/>
                    </w:rPr>
                  </w:pPr>
                  <w:r>
                    <w:rPr>
                      <w:rFonts w:hint="default" w:ascii="Times New Roman" w:hAnsi="Times New Roman" w:eastAsia="宋体" w:cs="Times New Roman"/>
                      <w:i w:val="0"/>
                      <w:iCs/>
                      <w:color w:val="auto"/>
                      <w:sz w:val="21"/>
                      <w:szCs w:val="21"/>
                      <w:lang w:val="en-US" w:eastAsia="zh-CN"/>
                    </w:rPr>
                    <w:t>1</w:t>
                  </w:r>
                </w:p>
              </w:tc>
              <w:tc>
                <w:tcPr>
                  <w:tcW w:w="431" w:type="pct"/>
                  <w:noWrap w:val="0"/>
                  <w:vAlign w:val="center"/>
                </w:tcPr>
                <w:p w14:paraId="1F121EB0">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eastAsia" w:cs="Times New Roman"/>
                      <w:i w:val="0"/>
                      <w:iCs/>
                      <w:color w:val="auto"/>
                      <w:kern w:val="2"/>
                      <w:sz w:val="21"/>
                      <w:szCs w:val="21"/>
                      <w:lang w:val="en-US" w:eastAsia="zh-CN" w:bidi="ar-SA"/>
                    </w:rPr>
                    <w:t>34</w:t>
                  </w:r>
                </w:p>
              </w:tc>
              <w:tc>
                <w:tcPr>
                  <w:tcW w:w="412" w:type="pct"/>
                  <w:noWrap w:val="0"/>
                  <w:vAlign w:val="center"/>
                </w:tcPr>
                <w:p w14:paraId="09FD094E">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cs="Times New Roman"/>
                      <w:i w:val="0"/>
                      <w:iCs/>
                      <w:color w:val="auto"/>
                      <w:sz w:val="21"/>
                      <w:szCs w:val="21"/>
                      <w:lang w:val="en-US" w:eastAsia="zh-CN"/>
                    </w:rPr>
                    <w:t>59.37</w:t>
                  </w:r>
                </w:p>
              </w:tc>
              <w:tc>
                <w:tcPr>
                  <w:tcW w:w="296" w:type="pct"/>
                  <w:vMerge w:val="continue"/>
                  <w:noWrap w:val="0"/>
                  <w:vAlign w:val="center"/>
                </w:tcPr>
                <w:p w14:paraId="741914ED">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440" w:type="pct"/>
                  <w:noWrap w:val="0"/>
                  <w:vAlign w:val="center"/>
                </w:tcPr>
                <w:p w14:paraId="6150FF6C">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10</w:t>
                  </w:r>
                </w:p>
              </w:tc>
              <w:tc>
                <w:tcPr>
                  <w:tcW w:w="363" w:type="pct"/>
                  <w:noWrap w:val="0"/>
                  <w:vAlign w:val="center"/>
                </w:tcPr>
                <w:p w14:paraId="56721F30">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eastAsia" w:cs="Times New Roman"/>
                      <w:i w:val="0"/>
                      <w:iCs/>
                      <w:color w:val="auto"/>
                      <w:sz w:val="21"/>
                      <w:szCs w:val="21"/>
                      <w:lang w:val="en-US" w:eastAsia="zh-CN"/>
                    </w:rPr>
                    <w:t>43.37</w:t>
                  </w:r>
                </w:p>
              </w:tc>
              <w:tc>
                <w:tcPr>
                  <w:tcW w:w="433" w:type="pct"/>
                  <w:noWrap w:val="0"/>
                  <w:vAlign w:val="center"/>
                </w:tcPr>
                <w:p w14:paraId="1008D8E4">
                  <w:pPr>
                    <w:pStyle w:val="1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1</w:t>
                  </w:r>
                </w:p>
              </w:tc>
            </w:tr>
          </w:tbl>
          <w:p w14:paraId="74E4DAC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kern w:val="24"/>
                <w:sz w:val="24"/>
                <w:szCs w:val="24"/>
              </w:rPr>
            </w:pPr>
            <w:r>
              <w:rPr>
                <w:rFonts w:hint="default" w:ascii="Times New Roman" w:hAnsi="Times New Roman" w:eastAsia="宋体" w:cs="Times New Roman"/>
                <w:color w:val="auto"/>
                <w:kern w:val="24"/>
                <w:sz w:val="24"/>
                <w:szCs w:val="24"/>
              </w:rPr>
              <w:t>（2）预测结果</w:t>
            </w:r>
          </w:p>
          <w:p w14:paraId="352206CF">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本项目噪声预测采用“环安科技在线模型计算平台”中的“噪声环境影响评级系统”，该系统是根据《环境影响评价技术导则 声环境》（HJ2.4-2021）构建，基于GIS的三维噪声影响评价系统。软件综合考虑预测区域内所有声源、遮蔽物、气象要素等在声传播过程的综合效应，最终给出符合导则的计算结果。</w:t>
            </w:r>
            <w:r>
              <w:rPr>
                <w:rFonts w:hint="default" w:ascii="Times New Roman" w:hAnsi="Times New Roman" w:eastAsia="宋体" w:cs="Times New Roman"/>
                <w:b w:val="0"/>
                <w:bCs/>
                <w:color w:val="auto"/>
                <w:sz w:val="24"/>
                <w:szCs w:val="24"/>
              </w:rPr>
              <w:t>本项目预测结果</w:t>
            </w:r>
            <w:r>
              <w:rPr>
                <w:rFonts w:hint="eastAsia" w:ascii="Times New Roman" w:hAnsi="Times New Roman" w:eastAsia="宋体" w:cs="Times New Roman"/>
                <w:b w:val="0"/>
                <w:bCs/>
                <w:color w:val="auto"/>
                <w:sz w:val="24"/>
                <w:szCs w:val="24"/>
                <w:lang w:val="en-US" w:eastAsia="zh-CN"/>
              </w:rPr>
              <w:t>和预测结果图</w:t>
            </w:r>
            <w:r>
              <w:rPr>
                <w:rFonts w:hint="default" w:ascii="Times New Roman" w:hAnsi="Times New Roman" w:eastAsia="宋体" w:cs="Times New Roman"/>
                <w:b w:val="0"/>
                <w:bCs/>
                <w:color w:val="auto"/>
                <w:sz w:val="24"/>
                <w:szCs w:val="24"/>
              </w:rPr>
              <w:t>如下</w:t>
            </w:r>
            <w:r>
              <w:rPr>
                <w:rFonts w:hint="default" w:ascii="Times New Roman" w:hAnsi="Times New Roman" w:eastAsia="宋体" w:cs="Times New Roman"/>
                <w:color w:val="auto"/>
                <w:sz w:val="24"/>
                <w:szCs w:val="24"/>
              </w:rPr>
              <w:t>：</w:t>
            </w:r>
          </w:p>
          <w:p w14:paraId="31339E53">
            <w:pPr>
              <w:pStyle w:val="6"/>
              <w:ind w:left="0" w:leftChars="0" w:firstLine="0" w:firstLineChars="0"/>
              <w:rPr>
                <w:rFonts w:hint="default" w:ascii="Times New Roman" w:hAnsi="Times New Roman" w:eastAsia="宋体" w:cs="Times New Roman"/>
                <w:color w:val="auto"/>
                <w:sz w:val="24"/>
                <w:szCs w:val="24"/>
              </w:rPr>
            </w:pPr>
            <w:r>
              <w:rPr>
                <w:color w:val="auto"/>
              </w:rPr>
              <w:drawing>
                <wp:inline distT="0" distB="0" distL="114300" distR="114300">
                  <wp:extent cx="5040630" cy="4026535"/>
                  <wp:effectExtent l="0" t="0" r="7620" b="12065"/>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49"/>
                          <a:stretch>
                            <a:fillRect/>
                          </a:stretch>
                        </pic:blipFill>
                        <pic:spPr>
                          <a:xfrm>
                            <a:off x="0" y="0"/>
                            <a:ext cx="5040630" cy="4026535"/>
                          </a:xfrm>
                          <a:prstGeom prst="rect">
                            <a:avLst/>
                          </a:prstGeom>
                          <a:noFill/>
                          <a:ln>
                            <a:noFill/>
                          </a:ln>
                        </pic:spPr>
                      </pic:pic>
                    </a:graphicData>
                  </a:graphic>
                </wp:inline>
              </w:drawing>
            </w:r>
          </w:p>
          <w:p w14:paraId="5B94AADC">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图4-</w:t>
            </w:r>
            <w:r>
              <w:rPr>
                <w:rFonts w:hint="eastAsia" w:ascii="Times New Roman" w:hAnsi="Times New Roman" w:cs="Times New Roman" w:eastAsiaTheme="minorEastAsia"/>
                <w:b/>
                <w:color w:val="auto"/>
                <w:sz w:val="24"/>
                <w:szCs w:val="24"/>
                <w:lang w:val="en-US" w:eastAsia="zh-CN"/>
              </w:rPr>
              <w:t>2</w:t>
            </w:r>
            <w:r>
              <w:rPr>
                <w:rFonts w:hint="default" w:ascii="Times New Roman" w:hAnsi="Times New Roman" w:cs="Times New Roman" w:eastAsiaTheme="minorEastAsia"/>
                <w:b/>
                <w:color w:val="auto"/>
                <w:sz w:val="24"/>
                <w:szCs w:val="24"/>
              </w:rPr>
              <w:t xml:space="preserve">  项目厂界噪声贡献值预测结果图</w:t>
            </w:r>
          </w:p>
          <w:p w14:paraId="12F82833">
            <w:pPr>
              <w:pStyle w:val="6"/>
              <w:ind w:left="0" w:leftChars="0" w:firstLine="0" w:firstLineChars="0"/>
              <w:rPr>
                <w:rFonts w:hint="default" w:ascii="Times New Roman" w:hAnsi="Times New Roman" w:eastAsia="宋体" w:cs="Times New Roman"/>
                <w:b/>
                <w:color w:val="auto"/>
                <w:sz w:val="24"/>
                <w:szCs w:val="24"/>
              </w:rPr>
            </w:pPr>
            <w:r>
              <w:rPr>
                <w:color w:val="auto"/>
              </w:rPr>
              <w:drawing>
                <wp:inline distT="0" distB="0" distL="114300" distR="114300">
                  <wp:extent cx="4981575" cy="1607185"/>
                  <wp:effectExtent l="0" t="0" r="9525" b="12065"/>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50"/>
                          <a:stretch>
                            <a:fillRect/>
                          </a:stretch>
                        </pic:blipFill>
                        <pic:spPr>
                          <a:xfrm>
                            <a:off x="0" y="0"/>
                            <a:ext cx="4981575" cy="1607185"/>
                          </a:xfrm>
                          <a:prstGeom prst="rect">
                            <a:avLst/>
                          </a:prstGeom>
                          <a:noFill/>
                          <a:ln>
                            <a:noFill/>
                          </a:ln>
                        </pic:spPr>
                      </pic:pic>
                    </a:graphicData>
                  </a:graphic>
                </wp:inline>
              </w:drawing>
            </w:r>
          </w:p>
          <w:p w14:paraId="356F8B74">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firstLine="0" w:firstLineChars="0"/>
              <w:jc w:val="center"/>
              <w:textAlignment w:val="auto"/>
              <w:rPr>
                <w:rFonts w:hint="eastAsia" w:cs="Times New Roman"/>
                <w:b/>
                <w:color w:val="auto"/>
                <w:sz w:val="24"/>
                <w:szCs w:val="24"/>
                <w:lang w:val="en-US" w:eastAsia="zh-CN"/>
              </w:rPr>
            </w:pPr>
            <w:r>
              <w:rPr>
                <w:rFonts w:hint="eastAsia" w:ascii="Times New Roman" w:hAnsi="Times New Roman" w:eastAsia="宋体" w:cs="Times New Roman"/>
                <w:b/>
                <w:bCs/>
                <w:color w:val="auto"/>
                <w:sz w:val="24"/>
                <w:szCs w:val="24"/>
                <w:highlight w:val="none"/>
              </w:rPr>
              <w:t>图4-</w:t>
            </w: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rPr>
              <w:t xml:space="preserve"> 项目区厂界</w:t>
            </w:r>
            <w:r>
              <w:rPr>
                <w:rFonts w:hint="eastAsia" w:ascii="Times New Roman" w:hAnsi="Times New Roman" w:eastAsia="宋体" w:cs="Times New Roman"/>
                <w:b/>
                <w:bCs/>
                <w:color w:val="auto"/>
                <w:sz w:val="24"/>
                <w:szCs w:val="24"/>
                <w:highlight w:val="none"/>
                <w:lang w:val="en-US" w:eastAsia="zh-CN"/>
              </w:rPr>
              <w:t>东</w:t>
            </w:r>
            <w:r>
              <w:rPr>
                <w:rFonts w:hint="eastAsia" w:ascii="Times New Roman" w:hAnsi="Times New Roman" w:eastAsia="宋体" w:cs="Times New Roman"/>
                <w:b/>
                <w:bCs/>
                <w:color w:val="auto"/>
                <w:sz w:val="24"/>
                <w:szCs w:val="24"/>
                <w:highlight w:val="none"/>
              </w:rPr>
              <w:t>噪声趋势图</w:t>
            </w:r>
          </w:p>
          <w:p w14:paraId="1385944A">
            <w:pPr>
              <w:pStyle w:val="6"/>
              <w:ind w:left="0" w:leftChars="0" w:firstLine="0" w:firstLineChars="0"/>
              <w:rPr>
                <w:color w:val="auto"/>
              </w:rPr>
            </w:pPr>
            <w:r>
              <w:rPr>
                <w:color w:val="auto"/>
              </w:rPr>
              <w:drawing>
                <wp:inline distT="0" distB="0" distL="114300" distR="114300">
                  <wp:extent cx="4981575" cy="1694815"/>
                  <wp:effectExtent l="0" t="0" r="9525" b="635"/>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51"/>
                          <a:stretch>
                            <a:fillRect/>
                          </a:stretch>
                        </pic:blipFill>
                        <pic:spPr>
                          <a:xfrm>
                            <a:off x="0" y="0"/>
                            <a:ext cx="4981575" cy="1694815"/>
                          </a:xfrm>
                          <a:prstGeom prst="rect">
                            <a:avLst/>
                          </a:prstGeom>
                          <a:noFill/>
                          <a:ln>
                            <a:noFill/>
                          </a:ln>
                        </pic:spPr>
                      </pic:pic>
                    </a:graphicData>
                  </a:graphic>
                </wp:inline>
              </w:drawing>
            </w:r>
          </w:p>
          <w:p w14:paraId="6550FEBF">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图4-</w:t>
            </w: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rPr>
              <w:t xml:space="preserve"> 项目区厂界</w:t>
            </w:r>
            <w:r>
              <w:rPr>
                <w:rFonts w:hint="eastAsia" w:ascii="Times New Roman" w:hAnsi="Times New Roman" w:eastAsia="宋体" w:cs="Times New Roman"/>
                <w:b/>
                <w:bCs/>
                <w:color w:val="auto"/>
                <w:sz w:val="24"/>
                <w:szCs w:val="24"/>
                <w:highlight w:val="none"/>
                <w:lang w:val="en-US" w:eastAsia="zh-CN"/>
              </w:rPr>
              <w:t>西</w:t>
            </w:r>
            <w:r>
              <w:rPr>
                <w:rFonts w:hint="eastAsia" w:ascii="Times New Roman" w:hAnsi="Times New Roman" w:eastAsia="宋体" w:cs="Times New Roman"/>
                <w:b/>
                <w:bCs/>
                <w:color w:val="auto"/>
                <w:sz w:val="24"/>
                <w:szCs w:val="24"/>
                <w:highlight w:val="none"/>
              </w:rPr>
              <w:t>噪声趋势图</w:t>
            </w:r>
          </w:p>
          <w:p w14:paraId="7D2DD7D0">
            <w:pPr>
              <w:pStyle w:val="6"/>
              <w:ind w:left="0" w:leftChars="0" w:firstLine="0" w:firstLineChars="0"/>
              <w:rPr>
                <w:color w:val="auto"/>
              </w:rPr>
            </w:pPr>
            <w:r>
              <w:rPr>
                <w:color w:val="auto"/>
              </w:rPr>
              <w:drawing>
                <wp:inline distT="0" distB="0" distL="114300" distR="114300">
                  <wp:extent cx="4980305" cy="1789430"/>
                  <wp:effectExtent l="0" t="0" r="10795" b="127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52"/>
                          <a:stretch>
                            <a:fillRect/>
                          </a:stretch>
                        </pic:blipFill>
                        <pic:spPr>
                          <a:xfrm>
                            <a:off x="0" y="0"/>
                            <a:ext cx="4980305" cy="1789430"/>
                          </a:xfrm>
                          <a:prstGeom prst="rect">
                            <a:avLst/>
                          </a:prstGeom>
                          <a:noFill/>
                          <a:ln>
                            <a:noFill/>
                          </a:ln>
                        </pic:spPr>
                      </pic:pic>
                    </a:graphicData>
                  </a:graphic>
                </wp:inline>
              </w:drawing>
            </w:r>
          </w:p>
          <w:p w14:paraId="535B8C2A">
            <w:pPr>
              <w:pStyle w:val="6"/>
              <w:keepNext w:val="0"/>
              <w:keepLines w:val="0"/>
              <w:pageBreakBefore w:val="0"/>
              <w:widowControl w:val="0"/>
              <w:kinsoku/>
              <w:wordWrap/>
              <w:overflowPunct/>
              <w:topLinePunct w:val="0"/>
              <w:autoSpaceDE/>
              <w:autoSpaceDN/>
              <w:bidi w:val="0"/>
              <w:adjustRightInd/>
              <w:snapToGrid/>
              <w:spacing w:after="157" w:afterLines="50"/>
              <w:ind w:left="0" w:leftChars="0" w:firstLine="0" w:firstLineChars="0"/>
              <w:jc w:val="center"/>
              <w:textAlignment w:val="auto"/>
              <w:rPr>
                <w:rFonts w:hint="eastAsia"/>
                <w:color w:val="auto"/>
                <w:lang w:val="en-US" w:eastAsia="zh-CN"/>
              </w:rPr>
            </w:pPr>
            <w:r>
              <w:rPr>
                <w:rFonts w:hint="eastAsia" w:ascii="Times New Roman" w:hAnsi="Times New Roman" w:eastAsia="宋体" w:cs="Times New Roman"/>
                <w:b/>
                <w:bCs/>
                <w:color w:val="auto"/>
                <w:sz w:val="24"/>
                <w:szCs w:val="24"/>
                <w:highlight w:val="none"/>
              </w:rPr>
              <w:t>图4-</w:t>
            </w:r>
            <w:r>
              <w:rPr>
                <w:rFonts w:hint="eastAsia" w:cs="Times New Roman"/>
                <w:b/>
                <w:bCs/>
                <w:color w:val="auto"/>
                <w:sz w:val="24"/>
                <w:szCs w:val="24"/>
                <w:highlight w:val="none"/>
                <w:lang w:val="en-US" w:eastAsia="zh-CN"/>
              </w:rPr>
              <w:t xml:space="preserve">5 </w:t>
            </w:r>
            <w:r>
              <w:rPr>
                <w:rFonts w:hint="eastAsia" w:ascii="Times New Roman" w:hAnsi="Times New Roman" w:eastAsia="宋体" w:cs="Times New Roman"/>
                <w:b/>
                <w:bCs/>
                <w:color w:val="auto"/>
                <w:sz w:val="24"/>
                <w:szCs w:val="24"/>
                <w:highlight w:val="none"/>
              </w:rPr>
              <w:t>项目区厂界</w:t>
            </w:r>
            <w:r>
              <w:rPr>
                <w:rFonts w:hint="eastAsia" w:ascii="Times New Roman" w:hAnsi="Times New Roman" w:eastAsia="宋体" w:cs="Times New Roman"/>
                <w:b/>
                <w:bCs/>
                <w:color w:val="auto"/>
                <w:sz w:val="24"/>
                <w:szCs w:val="24"/>
                <w:highlight w:val="none"/>
                <w:lang w:val="en-US" w:eastAsia="zh-CN"/>
              </w:rPr>
              <w:t>南</w:t>
            </w:r>
            <w:r>
              <w:rPr>
                <w:rFonts w:hint="eastAsia" w:ascii="Times New Roman" w:hAnsi="Times New Roman" w:eastAsia="宋体" w:cs="Times New Roman"/>
                <w:b/>
                <w:bCs/>
                <w:color w:val="auto"/>
                <w:sz w:val="24"/>
                <w:szCs w:val="24"/>
                <w:highlight w:val="none"/>
              </w:rPr>
              <w:t>噪声趋势图</w:t>
            </w:r>
          </w:p>
          <w:p w14:paraId="562D64F5">
            <w:pPr>
              <w:pStyle w:val="6"/>
              <w:ind w:left="0" w:leftChars="0" w:firstLine="0" w:firstLineChars="0"/>
              <w:rPr>
                <w:color w:val="auto"/>
              </w:rPr>
            </w:pPr>
            <w:r>
              <w:rPr>
                <w:color w:val="auto"/>
              </w:rPr>
              <w:drawing>
                <wp:inline distT="0" distB="0" distL="114300" distR="114300">
                  <wp:extent cx="4978400" cy="1656080"/>
                  <wp:effectExtent l="0" t="0" r="12700" b="127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53"/>
                          <a:stretch>
                            <a:fillRect/>
                          </a:stretch>
                        </pic:blipFill>
                        <pic:spPr>
                          <a:xfrm>
                            <a:off x="0" y="0"/>
                            <a:ext cx="4978400" cy="1656080"/>
                          </a:xfrm>
                          <a:prstGeom prst="rect">
                            <a:avLst/>
                          </a:prstGeom>
                          <a:noFill/>
                          <a:ln>
                            <a:noFill/>
                          </a:ln>
                        </pic:spPr>
                      </pic:pic>
                    </a:graphicData>
                  </a:graphic>
                </wp:inline>
              </w:drawing>
            </w:r>
          </w:p>
          <w:p w14:paraId="2C8A4F43">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right="0" w:firstLine="0" w:firstLineChars="0"/>
              <w:jc w:val="center"/>
              <w:textAlignment w:val="auto"/>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图4-</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rPr>
              <w:t xml:space="preserve"> 项目区厂界</w:t>
            </w:r>
            <w:r>
              <w:rPr>
                <w:rFonts w:hint="eastAsia" w:ascii="Times New Roman" w:hAnsi="Times New Roman" w:eastAsia="宋体" w:cs="Times New Roman"/>
                <w:b/>
                <w:bCs/>
                <w:color w:val="auto"/>
                <w:sz w:val="24"/>
                <w:szCs w:val="24"/>
                <w:highlight w:val="none"/>
                <w:lang w:val="en-US" w:eastAsia="zh-CN"/>
              </w:rPr>
              <w:t>北</w:t>
            </w:r>
            <w:r>
              <w:rPr>
                <w:rFonts w:hint="eastAsia" w:ascii="Times New Roman" w:hAnsi="Times New Roman" w:eastAsia="宋体" w:cs="Times New Roman"/>
                <w:b/>
                <w:bCs/>
                <w:color w:val="auto"/>
                <w:sz w:val="24"/>
                <w:szCs w:val="24"/>
                <w:highlight w:val="none"/>
              </w:rPr>
              <w:t>噪声趋势图</w:t>
            </w:r>
          </w:p>
          <w:p w14:paraId="4A357009">
            <w:pPr>
              <w:pStyle w:val="6"/>
              <w:ind w:left="0" w:leftChars="0" w:firstLine="0" w:firstLineChars="0"/>
              <w:rPr>
                <w:rFonts w:hint="eastAsia"/>
                <w:color w:val="auto"/>
                <w:lang w:val="en-US" w:eastAsia="zh-CN"/>
              </w:rPr>
            </w:pPr>
            <w:r>
              <w:rPr>
                <w:color w:val="auto"/>
              </w:rPr>
              <w:drawing>
                <wp:inline distT="0" distB="0" distL="114300" distR="114300">
                  <wp:extent cx="4981575" cy="4250055"/>
                  <wp:effectExtent l="0" t="0" r="9525" b="17145"/>
                  <wp:docPr id="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pic:cNvPicPr>
                            <a:picLocks noChangeAspect="1"/>
                          </pic:cNvPicPr>
                        </pic:nvPicPr>
                        <pic:blipFill>
                          <a:blip r:embed="rId54"/>
                          <a:stretch>
                            <a:fillRect/>
                          </a:stretch>
                        </pic:blipFill>
                        <pic:spPr>
                          <a:xfrm>
                            <a:off x="0" y="0"/>
                            <a:ext cx="4981575" cy="4250055"/>
                          </a:xfrm>
                          <a:prstGeom prst="rect">
                            <a:avLst/>
                          </a:prstGeom>
                          <a:noFill/>
                          <a:ln>
                            <a:noFill/>
                          </a:ln>
                        </pic:spPr>
                      </pic:pic>
                    </a:graphicData>
                  </a:graphic>
                </wp:inline>
              </w:drawing>
            </w:r>
          </w:p>
          <w:p w14:paraId="6287AC21">
            <w:pPr>
              <w:pStyle w:val="6"/>
              <w:keepNext w:val="0"/>
              <w:keepLines w:val="0"/>
              <w:pageBreakBefore w:val="0"/>
              <w:widowControl w:val="0"/>
              <w:kinsoku/>
              <w:wordWrap/>
              <w:overflowPunct/>
              <w:topLinePunct w:val="0"/>
              <w:autoSpaceDE/>
              <w:autoSpaceDN/>
              <w:bidi w:val="0"/>
              <w:adjustRightInd/>
              <w:snapToGrid/>
              <w:spacing w:after="157" w:afterLines="50"/>
              <w:ind w:left="0" w:lef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图4-</w:t>
            </w:r>
            <w:r>
              <w:rPr>
                <w:rFonts w:hint="eastAsia" w:cs="Times New Roman"/>
                <w:b/>
                <w:bCs/>
                <w:color w:val="auto"/>
                <w:sz w:val="24"/>
                <w:szCs w:val="24"/>
                <w:highlight w:val="none"/>
                <w:lang w:val="en-US" w:eastAsia="zh-CN"/>
              </w:rPr>
              <w:t xml:space="preserve">7 </w:t>
            </w:r>
            <w:r>
              <w:rPr>
                <w:rFonts w:hint="default" w:ascii="Times New Roman" w:hAnsi="Times New Roman" w:eastAsia="宋体" w:cs="Times New Roman"/>
                <w:b/>
                <w:bCs/>
                <w:color w:val="auto"/>
                <w:sz w:val="24"/>
                <w:szCs w:val="24"/>
                <w:highlight w:val="none"/>
              </w:rPr>
              <w:t>项目区噪声设备分布图</w:t>
            </w:r>
          </w:p>
          <w:p w14:paraId="68D006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通过预测模型计算，项目厂界噪声的最大值预测结果与达标分析见表4-1</w:t>
            </w:r>
            <w:r>
              <w:rPr>
                <w:rFonts w:hint="eastAsia" w:cs="Times New Roman"/>
                <w:color w:val="auto"/>
                <w:sz w:val="24"/>
                <w:szCs w:val="22"/>
                <w:lang w:val="en-US" w:eastAsia="zh-CN"/>
              </w:rPr>
              <w:t>0</w:t>
            </w:r>
            <w:r>
              <w:rPr>
                <w:rFonts w:hint="default" w:ascii="Times New Roman" w:hAnsi="Times New Roman" w:eastAsia="宋体" w:cs="Times New Roman"/>
                <w:color w:val="auto"/>
                <w:sz w:val="24"/>
                <w:szCs w:val="22"/>
              </w:rPr>
              <w:t>。</w:t>
            </w:r>
          </w:p>
          <w:p w14:paraId="2C0D4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表4-1</w:t>
            </w:r>
            <w:r>
              <w:rPr>
                <w:rFonts w:hint="eastAsia" w:cs="Times New Roman" w:eastAsiaTheme="minorEastAsia"/>
                <w:b/>
                <w:color w:val="auto"/>
                <w:sz w:val="24"/>
                <w:szCs w:val="24"/>
                <w:lang w:val="en-US" w:eastAsia="zh-CN"/>
              </w:rPr>
              <w:t>0</w:t>
            </w:r>
            <w:r>
              <w:rPr>
                <w:rFonts w:hint="default" w:ascii="Times New Roman" w:hAnsi="Times New Roman" w:cs="Times New Roman" w:eastAsiaTheme="minorEastAsia"/>
                <w:b/>
                <w:color w:val="auto"/>
                <w:sz w:val="24"/>
                <w:szCs w:val="24"/>
                <w:lang w:val="en-US" w:eastAsia="zh-CN"/>
              </w:rPr>
              <w:t xml:space="preserve"> </w:t>
            </w:r>
            <w:r>
              <w:rPr>
                <w:rFonts w:hint="default" w:ascii="Times New Roman" w:hAnsi="Times New Roman" w:cs="Times New Roman" w:eastAsiaTheme="minorEastAsia"/>
                <w:b/>
                <w:color w:val="auto"/>
                <w:sz w:val="24"/>
                <w:szCs w:val="24"/>
              </w:rPr>
              <w:t xml:space="preserve"> 厂界噪声预测结果与达标分析表</w:t>
            </w:r>
          </w:p>
          <w:tbl>
            <w:tblPr>
              <w:tblStyle w:val="28"/>
              <w:tblW w:w="7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72"/>
              <w:gridCol w:w="807"/>
              <w:gridCol w:w="615"/>
              <w:gridCol w:w="735"/>
              <w:gridCol w:w="975"/>
              <w:gridCol w:w="930"/>
              <w:gridCol w:w="870"/>
              <w:gridCol w:w="885"/>
              <w:gridCol w:w="692"/>
            </w:tblGrid>
            <w:tr w14:paraId="1CB7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23" w:type="pct"/>
                  <w:vMerge w:val="restart"/>
                  <w:noWrap w:val="0"/>
                  <w:vAlign w:val="center"/>
                </w:tcPr>
                <w:p w14:paraId="736D38E6">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预测点</w:t>
                  </w:r>
                </w:p>
              </w:tc>
              <w:tc>
                <w:tcPr>
                  <w:tcW w:w="1379" w:type="pct"/>
                  <w:gridSpan w:val="3"/>
                  <w:noWrap w:val="0"/>
                  <w:vAlign w:val="center"/>
                </w:tcPr>
                <w:p w14:paraId="645C560D">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空间相对位置/m</w:t>
                  </w:r>
                </w:p>
              </w:tc>
              <w:tc>
                <w:tcPr>
                  <w:tcW w:w="462" w:type="pct"/>
                  <w:vMerge w:val="restart"/>
                  <w:noWrap w:val="0"/>
                  <w:vAlign w:val="center"/>
                </w:tcPr>
                <w:p w14:paraId="19B881DB">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时段</w:t>
                  </w:r>
                </w:p>
              </w:tc>
              <w:tc>
                <w:tcPr>
                  <w:tcW w:w="612" w:type="pct"/>
                  <w:vMerge w:val="restart"/>
                  <w:noWrap w:val="0"/>
                  <w:vAlign w:val="center"/>
                </w:tcPr>
                <w:p w14:paraId="629E8B31">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本项目噪声预测贡献值/dB(A)</w:t>
                  </w:r>
                </w:p>
              </w:tc>
              <w:tc>
                <w:tcPr>
                  <w:tcW w:w="584" w:type="pct"/>
                  <w:vMerge w:val="restart"/>
                  <w:noWrap w:val="0"/>
                  <w:vAlign w:val="center"/>
                </w:tcPr>
                <w:p w14:paraId="622EEA1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在建项目噪声预测贡献值/dB(A）</w:t>
                  </w:r>
                </w:p>
              </w:tc>
              <w:tc>
                <w:tcPr>
                  <w:tcW w:w="546" w:type="pct"/>
                  <w:vMerge w:val="restart"/>
                  <w:noWrap w:val="0"/>
                  <w:vAlign w:val="center"/>
                </w:tcPr>
                <w:p w14:paraId="0906A54D">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全厂噪声预测贡献值/dB(A）</w:t>
                  </w:r>
                </w:p>
              </w:tc>
              <w:tc>
                <w:tcPr>
                  <w:tcW w:w="556" w:type="pct"/>
                  <w:vMerge w:val="restart"/>
                  <w:noWrap w:val="0"/>
                  <w:vAlign w:val="center"/>
                </w:tcPr>
                <w:p w14:paraId="723A63AE">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噪声标准值/dB(A)</w:t>
                  </w:r>
                </w:p>
              </w:tc>
              <w:tc>
                <w:tcPr>
                  <w:tcW w:w="435" w:type="pct"/>
                  <w:vMerge w:val="restart"/>
                  <w:noWrap w:val="0"/>
                  <w:vAlign w:val="center"/>
                </w:tcPr>
                <w:p w14:paraId="1A8B86AF">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达标情况</w:t>
                  </w:r>
                </w:p>
              </w:tc>
            </w:tr>
            <w:tr w14:paraId="785A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423" w:type="pct"/>
                  <w:vMerge w:val="continue"/>
                  <w:noWrap w:val="0"/>
                  <w:vAlign w:val="center"/>
                </w:tcPr>
                <w:p w14:paraId="55FCF328">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485" w:type="pct"/>
                  <w:noWrap w:val="0"/>
                  <w:vAlign w:val="center"/>
                </w:tcPr>
                <w:p w14:paraId="52DA42AD">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X</w:t>
                  </w:r>
                </w:p>
              </w:tc>
              <w:tc>
                <w:tcPr>
                  <w:tcW w:w="507" w:type="pct"/>
                  <w:noWrap w:val="0"/>
                  <w:vAlign w:val="center"/>
                </w:tcPr>
                <w:p w14:paraId="6DF61851">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Y</w:t>
                  </w:r>
                </w:p>
              </w:tc>
              <w:tc>
                <w:tcPr>
                  <w:tcW w:w="386" w:type="pct"/>
                  <w:noWrap w:val="0"/>
                  <w:vAlign w:val="center"/>
                </w:tcPr>
                <w:p w14:paraId="70294C7D">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b/>
                      <w:bCs/>
                      <w:i w:val="0"/>
                      <w:iCs/>
                      <w:color w:val="auto"/>
                      <w:sz w:val="21"/>
                      <w:szCs w:val="21"/>
                      <w:lang w:val="en-US" w:eastAsia="zh-CN"/>
                    </w:rPr>
                  </w:pPr>
                  <w:r>
                    <w:rPr>
                      <w:rFonts w:hint="default" w:ascii="Times New Roman" w:hAnsi="Times New Roman" w:eastAsia="宋体" w:cs="Times New Roman"/>
                      <w:b/>
                      <w:bCs/>
                      <w:i w:val="0"/>
                      <w:iCs/>
                      <w:color w:val="auto"/>
                      <w:sz w:val="21"/>
                      <w:szCs w:val="21"/>
                      <w:lang w:val="en-US" w:eastAsia="zh-CN"/>
                    </w:rPr>
                    <w:t>Z</w:t>
                  </w:r>
                </w:p>
              </w:tc>
              <w:tc>
                <w:tcPr>
                  <w:tcW w:w="462" w:type="pct"/>
                  <w:vMerge w:val="continue"/>
                  <w:noWrap w:val="0"/>
                  <w:vAlign w:val="center"/>
                </w:tcPr>
                <w:p w14:paraId="66951DC2">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612" w:type="pct"/>
                  <w:vMerge w:val="continue"/>
                  <w:noWrap w:val="0"/>
                  <w:vAlign w:val="center"/>
                </w:tcPr>
                <w:p w14:paraId="69F1EA09">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584" w:type="pct"/>
                  <w:vMerge w:val="continue"/>
                  <w:noWrap w:val="0"/>
                  <w:vAlign w:val="center"/>
                </w:tcPr>
                <w:p w14:paraId="7937772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546" w:type="pct"/>
                  <w:vMerge w:val="continue"/>
                  <w:noWrap w:val="0"/>
                  <w:vAlign w:val="center"/>
                </w:tcPr>
                <w:p w14:paraId="785133B1">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556" w:type="pct"/>
                  <w:vMerge w:val="continue"/>
                  <w:noWrap w:val="0"/>
                  <w:vAlign w:val="center"/>
                </w:tcPr>
                <w:p w14:paraId="516E989C">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c>
                <w:tcPr>
                  <w:tcW w:w="435" w:type="pct"/>
                  <w:vMerge w:val="continue"/>
                  <w:noWrap w:val="0"/>
                  <w:vAlign w:val="center"/>
                </w:tcPr>
                <w:p w14:paraId="7AE8F58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p>
              </w:tc>
            </w:tr>
            <w:tr w14:paraId="051F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23" w:type="pct"/>
                  <w:noWrap w:val="0"/>
                  <w:vAlign w:val="center"/>
                </w:tcPr>
                <w:p w14:paraId="1A954232">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东厂界</w:t>
                  </w:r>
                </w:p>
              </w:tc>
              <w:tc>
                <w:tcPr>
                  <w:tcW w:w="485" w:type="pct"/>
                  <w:shd w:val="clear" w:color="auto" w:fill="auto"/>
                  <w:noWrap w:val="0"/>
                  <w:vAlign w:val="center"/>
                </w:tcPr>
                <w:p w14:paraId="5CB6D0FE">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100.12</w:t>
                  </w:r>
                </w:p>
              </w:tc>
              <w:tc>
                <w:tcPr>
                  <w:tcW w:w="507" w:type="pct"/>
                  <w:shd w:val="clear" w:color="auto" w:fill="auto"/>
                  <w:noWrap w:val="0"/>
                  <w:vAlign w:val="center"/>
                </w:tcPr>
                <w:p w14:paraId="4C7270A6">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-34.27</w:t>
                  </w:r>
                </w:p>
              </w:tc>
              <w:tc>
                <w:tcPr>
                  <w:tcW w:w="386" w:type="pct"/>
                  <w:shd w:val="clear" w:color="auto" w:fill="auto"/>
                  <w:noWrap w:val="0"/>
                  <w:vAlign w:val="center"/>
                </w:tcPr>
                <w:p w14:paraId="7F625C42">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rPr>
                    <w:t>1.2</w:t>
                  </w:r>
                </w:p>
              </w:tc>
              <w:tc>
                <w:tcPr>
                  <w:tcW w:w="462" w:type="pct"/>
                  <w:noWrap w:val="0"/>
                  <w:vAlign w:val="center"/>
                </w:tcPr>
                <w:p w14:paraId="64545885">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rPr>
                  </w:pPr>
                  <w:r>
                    <w:rPr>
                      <w:rFonts w:hint="default" w:ascii="Times New Roman" w:hAnsi="Times New Roman" w:eastAsia="宋体" w:cs="Times New Roman"/>
                      <w:i w:val="0"/>
                      <w:iCs/>
                      <w:color w:val="auto"/>
                      <w:sz w:val="21"/>
                      <w:szCs w:val="21"/>
                    </w:rPr>
                    <w:t>昼间</w:t>
                  </w:r>
                </w:p>
              </w:tc>
              <w:tc>
                <w:tcPr>
                  <w:tcW w:w="612" w:type="pct"/>
                  <w:shd w:val="clear" w:color="auto" w:fill="auto"/>
                  <w:noWrap w:val="0"/>
                  <w:vAlign w:val="center"/>
                </w:tcPr>
                <w:p w14:paraId="1A0B8D63">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50.71</w:t>
                  </w:r>
                </w:p>
              </w:tc>
              <w:tc>
                <w:tcPr>
                  <w:tcW w:w="584" w:type="pct"/>
                  <w:shd w:val="clear" w:color="auto" w:fill="auto"/>
                  <w:noWrap w:val="0"/>
                  <w:vAlign w:val="center"/>
                </w:tcPr>
                <w:p w14:paraId="07D1084E">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57.84</w:t>
                  </w:r>
                </w:p>
              </w:tc>
              <w:tc>
                <w:tcPr>
                  <w:tcW w:w="546" w:type="pct"/>
                  <w:noWrap w:val="0"/>
                  <w:vAlign w:val="center"/>
                </w:tcPr>
                <w:p w14:paraId="3FA03E1B">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58.61</w:t>
                  </w:r>
                </w:p>
              </w:tc>
              <w:tc>
                <w:tcPr>
                  <w:tcW w:w="556" w:type="pct"/>
                  <w:noWrap w:val="0"/>
                  <w:vAlign w:val="center"/>
                </w:tcPr>
                <w:p w14:paraId="7049FA9E">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60</w:t>
                  </w:r>
                </w:p>
              </w:tc>
              <w:tc>
                <w:tcPr>
                  <w:tcW w:w="435" w:type="pct"/>
                  <w:noWrap w:val="0"/>
                  <w:vAlign w:val="center"/>
                </w:tcPr>
                <w:p w14:paraId="50DE7C79">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达标</w:t>
                  </w:r>
                </w:p>
              </w:tc>
            </w:tr>
            <w:tr w14:paraId="1C0B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3" w:type="pct"/>
                  <w:noWrap w:val="0"/>
                  <w:vAlign w:val="center"/>
                </w:tcPr>
                <w:p w14:paraId="6F876B51">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南厂界</w:t>
                  </w:r>
                </w:p>
              </w:tc>
              <w:tc>
                <w:tcPr>
                  <w:tcW w:w="485" w:type="pct"/>
                  <w:shd w:val="clear" w:color="auto" w:fill="auto"/>
                  <w:noWrap w:val="0"/>
                  <w:vAlign w:val="center"/>
                </w:tcPr>
                <w:p w14:paraId="016D0A6C">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89.24</w:t>
                  </w:r>
                </w:p>
              </w:tc>
              <w:tc>
                <w:tcPr>
                  <w:tcW w:w="507" w:type="pct"/>
                  <w:shd w:val="clear" w:color="auto" w:fill="auto"/>
                  <w:noWrap w:val="0"/>
                  <w:vAlign w:val="center"/>
                </w:tcPr>
                <w:p w14:paraId="65BB9E12">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-54.71</w:t>
                  </w:r>
                </w:p>
              </w:tc>
              <w:tc>
                <w:tcPr>
                  <w:tcW w:w="386" w:type="pct"/>
                  <w:shd w:val="clear" w:color="auto" w:fill="auto"/>
                  <w:noWrap w:val="0"/>
                  <w:vAlign w:val="center"/>
                </w:tcPr>
                <w:p w14:paraId="316F7FC2">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rPr>
                    <w:t>1.2</w:t>
                  </w:r>
                </w:p>
              </w:tc>
              <w:tc>
                <w:tcPr>
                  <w:tcW w:w="462" w:type="pct"/>
                  <w:noWrap w:val="0"/>
                  <w:vAlign w:val="center"/>
                </w:tcPr>
                <w:p w14:paraId="4B293E33">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kern w:val="2"/>
                      <w:sz w:val="21"/>
                      <w:szCs w:val="21"/>
                      <w:lang w:val="en-US" w:eastAsia="zh-CN"/>
                    </w:rPr>
                  </w:pPr>
                  <w:r>
                    <w:rPr>
                      <w:rFonts w:hint="default" w:ascii="Times New Roman" w:hAnsi="Times New Roman" w:eastAsia="宋体" w:cs="Times New Roman"/>
                      <w:i w:val="0"/>
                      <w:iCs/>
                      <w:color w:val="auto"/>
                      <w:kern w:val="2"/>
                      <w:sz w:val="21"/>
                      <w:szCs w:val="21"/>
                      <w:lang w:val="en-US" w:eastAsia="zh-CN"/>
                    </w:rPr>
                    <w:t>昼间</w:t>
                  </w:r>
                </w:p>
              </w:tc>
              <w:tc>
                <w:tcPr>
                  <w:tcW w:w="612" w:type="pct"/>
                  <w:shd w:val="clear" w:color="auto" w:fill="auto"/>
                  <w:noWrap w:val="0"/>
                  <w:vAlign w:val="center"/>
                </w:tcPr>
                <w:p w14:paraId="299BAC54">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48.84</w:t>
                  </w:r>
                </w:p>
              </w:tc>
              <w:tc>
                <w:tcPr>
                  <w:tcW w:w="584" w:type="pct"/>
                  <w:shd w:val="clear" w:color="auto" w:fill="auto"/>
                  <w:noWrap w:val="0"/>
                  <w:vAlign w:val="center"/>
                </w:tcPr>
                <w:p w14:paraId="74BB3018">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59.3</w:t>
                  </w:r>
                </w:p>
              </w:tc>
              <w:tc>
                <w:tcPr>
                  <w:tcW w:w="546" w:type="pct"/>
                  <w:noWrap w:val="0"/>
                  <w:vAlign w:val="center"/>
                </w:tcPr>
                <w:p w14:paraId="00940E19">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59.67</w:t>
                  </w:r>
                </w:p>
              </w:tc>
              <w:tc>
                <w:tcPr>
                  <w:tcW w:w="556" w:type="pct"/>
                  <w:noWrap w:val="0"/>
                  <w:vAlign w:val="center"/>
                </w:tcPr>
                <w:p w14:paraId="25E8F41C">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60</w:t>
                  </w:r>
                </w:p>
              </w:tc>
              <w:tc>
                <w:tcPr>
                  <w:tcW w:w="435" w:type="pct"/>
                  <w:noWrap w:val="0"/>
                  <w:vAlign w:val="center"/>
                </w:tcPr>
                <w:p w14:paraId="3557D488">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达标</w:t>
                  </w:r>
                </w:p>
              </w:tc>
            </w:tr>
            <w:tr w14:paraId="7657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3" w:type="pct"/>
                  <w:noWrap w:val="0"/>
                  <w:vAlign w:val="center"/>
                </w:tcPr>
                <w:p w14:paraId="049A15EF">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西厂界</w:t>
                  </w:r>
                </w:p>
              </w:tc>
              <w:tc>
                <w:tcPr>
                  <w:tcW w:w="485" w:type="pct"/>
                  <w:shd w:val="clear" w:color="auto" w:fill="auto"/>
                  <w:noWrap w:val="0"/>
                  <w:vAlign w:val="center"/>
                </w:tcPr>
                <w:p w14:paraId="7027B9AF">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18.69</w:t>
                  </w:r>
                </w:p>
              </w:tc>
              <w:tc>
                <w:tcPr>
                  <w:tcW w:w="507" w:type="pct"/>
                  <w:shd w:val="clear" w:color="auto" w:fill="auto"/>
                  <w:noWrap w:val="0"/>
                  <w:vAlign w:val="center"/>
                </w:tcPr>
                <w:p w14:paraId="0ACD2798">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25.18</w:t>
                  </w:r>
                </w:p>
              </w:tc>
              <w:tc>
                <w:tcPr>
                  <w:tcW w:w="386" w:type="pct"/>
                  <w:shd w:val="clear" w:color="auto" w:fill="auto"/>
                  <w:noWrap w:val="0"/>
                  <w:vAlign w:val="center"/>
                </w:tcPr>
                <w:p w14:paraId="464339A7">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1.2</w:t>
                  </w:r>
                </w:p>
              </w:tc>
              <w:tc>
                <w:tcPr>
                  <w:tcW w:w="462" w:type="pct"/>
                  <w:noWrap w:val="0"/>
                  <w:vAlign w:val="center"/>
                </w:tcPr>
                <w:p w14:paraId="1C63C1A4">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kern w:val="2"/>
                      <w:sz w:val="21"/>
                      <w:szCs w:val="21"/>
                      <w:lang w:val="en-US" w:eastAsia="zh-CN"/>
                    </w:rPr>
                  </w:pPr>
                  <w:r>
                    <w:rPr>
                      <w:rFonts w:hint="default" w:ascii="Times New Roman" w:hAnsi="Times New Roman" w:eastAsia="宋体" w:cs="Times New Roman"/>
                      <w:i w:val="0"/>
                      <w:iCs/>
                      <w:color w:val="auto"/>
                      <w:kern w:val="2"/>
                      <w:sz w:val="21"/>
                      <w:szCs w:val="21"/>
                      <w:lang w:val="en-US" w:eastAsia="zh-CN"/>
                    </w:rPr>
                    <w:t>昼间</w:t>
                  </w:r>
                </w:p>
              </w:tc>
              <w:tc>
                <w:tcPr>
                  <w:tcW w:w="612" w:type="pct"/>
                  <w:shd w:val="clear" w:color="auto" w:fill="auto"/>
                  <w:noWrap w:val="0"/>
                  <w:vAlign w:val="center"/>
                </w:tcPr>
                <w:p w14:paraId="73049D22">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49.18</w:t>
                  </w:r>
                </w:p>
              </w:tc>
              <w:tc>
                <w:tcPr>
                  <w:tcW w:w="584" w:type="pct"/>
                  <w:shd w:val="clear" w:color="auto" w:fill="auto"/>
                  <w:noWrap w:val="0"/>
                  <w:vAlign w:val="center"/>
                </w:tcPr>
                <w:p w14:paraId="23986754">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58.72</w:t>
                  </w:r>
                </w:p>
              </w:tc>
              <w:tc>
                <w:tcPr>
                  <w:tcW w:w="546" w:type="pct"/>
                  <w:noWrap w:val="0"/>
                  <w:vAlign w:val="center"/>
                </w:tcPr>
                <w:p w14:paraId="1D0FD425">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59.18</w:t>
                  </w:r>
                </w:p>
              </w:tc>
              <w:tc>
                <w:tcPr>
                  <w:tcW w:w="556" w:type="pct"/>
                  <w:noWrap w:val="0"/>
                  <w:vAlign w:val="center"/>
                </w:tcPr>
                <w:p w14:paraId="353ABCB0">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60</w:t>
                  </w:r>
                </w:p>
              </w:tc>
              <w:tc>
                <w:tcPr>
                  <w:tcW w:w="435" w:type="pct"/>
                  <w:noWrap w:val="0"/>
                  <w:vAlign w:val="center"/>
                </w:tcPr>
                <w:p w14:paraId="443CB6E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达标</w:t>
                  </w:r>
                </w:p>
              </w:tc>
            </w:tr>
            <w:tr w14:paraId="4410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23" w:type="pct"/>
                  <w:noWrap w:val="0"/>
                  <w:vAlign w:val="center"/>
                </w:tcPr>
                <w:p w14:paraId="505759AC">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北厂界</w:t>
                  </w:r>
                </w:p>
              </w:tc>
              <w:tc>
                <w:tcPr>
                  <w:tcW w:w="485" w:type="pct"/>
                  <w:shd w:val="clear" w:color="auto" w:fill="auto"/>
                  <w:noWrap w:val="0"/>
                  <w:vAlign w:val="center"/>
                </w:tcPr>
                <w:p w14:paraId="0C81F01D">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94.42</w:t>
                  </w:r>
                </w:p>
              </w:tc>
              <w:tc>
                <w:tcPr>
                  <w:tcW w:w="507" w:type="pct"/>
                  <w:shd w:val="clear" w:color="auto" w:fill="auto"/>
                  <w:noWrap w:val="0"/>
                  <w:vAlign w:val="center"/>
                </w:tcPr>
                <w:p w14:paraId="630DCEA8">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-4.11</w:t>
                  </w:r>
                </w:p>
              </w:tc>
              <w:tc>
                <w:tcPr>
                  <w:tcW w:w="386" w:type="pct"/>
                  <w:shd w:val="clear" w:color="auto" w:fill="auto"/>
                  <w:noWrap w:val="0"/>
                  <w:vAlign w:val="center"/>
                </w:tcPr>
                <w:p w14:paraId="72A66522">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rPr>
                    <w:t>1.2</w:t>
                  </w:r>
                </w:p>
              </w:tc>
              <w:tc>
                <w:tcPr>
                  <w:tcW w:w="462" w:type="pct"/>
                  <w:noWrap w:val="0"/>
                  <w:vAlign w:val="center"/>
                </w:tcPr>
                <w:p w14:paraId="1E79789F">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kern w:val="2"/>
                      <w:sz w:val="21"/>
                      <w:szCs w:val="21"/>
                      <w:lang w:val="en-US" w:eastAsia="zh-CN"/>
                    </w:rPr>
                  </w:pPr>
                  <w:r>
                    <w:rPr>
                      <w:rFonts w:hint="default" w:ascii="Times New Roman" w:hAnsi="Times New Roman" w:eastAsia="宋体" w:cs="Times New Roman"/>
                      <w:i w:val="0"/>
                      <w:iCs/>
                      <w:color w:val="auto"/>
                      <w:kern w:val="2"/>
                      <w:sz w:val="21"/>
                      <w:szCs w:val="21"/>
                      <w:lang w:val="en-US" w:eastAsia="zh-CN"/>
                    </w:rPr>
                    <w:t>昼间</w:t>
                  </w:r>
                </w:p>
              </w:tc>
              <w:tc>
                <w:tcPr>
                  <w:tcW w:w="612" w:type="pct"/>
                  <w:shd w:val="clear" w:color="auto" w:fill="auto"/>
                  <w:noWrap w:val="0"/>
                  <w:vAlign w:val="center"/>
                </w:tcPr>
                <w:p w14:paraId="66BA542C">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50.29</w:t>
                  </w:r>
                </w:p>
              </w:tc>
              <w:tc>
                <w:tcPr>
                  <w:tcW w:w="584" w:type="pct"/>
                  <w:shd w:val="clear" w:color="auto" w:fill="auto"/>
                  <w:noWrap w:val="0"/>
                  <w:vAlign w:val="center"/>
                </w:tcPr>
                <w:p w14:paraId="532B0D42">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59.35</w:t>
                  </w:r>
                </w:p>
              </w:tc>
              <w:tc>
                <w:tcPr>
                  <w:tcW w:w="546" w:type="pct"/>
                  <w:noWrap w:val="0"/>
                  <w:vAlign w:val="center"/>
                </w:tcPr>
                <w:p w14:paraId="364B317D">
                  <w:pPr>
                    <w:pStyle w:val="13"/>
                    <w:keepNext w:val="0"/>
                    <w:keepLines w:val="0"/>
                    <w:pageBreakBefore w:val="0"/>
                    <w:kinsoku/>
                    <w:wordWrap/>
                    <w:overflowPunct/>
                    <w:topLinePunct w:val="0"/>
                    <w:autoSpaceDE/>
                    <w:autoSpaceDN/>
                    <w:bidi w:val="0"/>
                    <w:adjustRightInd w:val="0"/>
                    <w:spacing w:before="0" w:after="0" w:line="240" w:lineRule="auto"/>
                    <w:ind w:right="0" w:rightChars="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59.86</w:t>
                  </w:r>
                </w:p>
              </w:tc>
              <w:tc>
                <w:tcPr>
                  <w:tcW w:w="556" w:type="pct"/>
                  <w:noWrap w:val="0"/>
                  <w:vAlign w:val="center"/>
                </w:tcPr>
                <w:p w14:paraId="2C339273">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60</w:t>
                  </w:r>
                </w:p>
              </w:tc>
              <w:tc>
                <w:tcPr>
                  <w:tcW w:w="435" w:type="pct"/>
                  <w:noWrap w:val="0"/>
                  <w:vAlign w:val="center"/>
                </w:tcPr>
                <w:p w14:paraId="5B9A2360">
                  <w:pPr>
                    <w:pStyle w:val="13"/>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达标</w:t>
                  </w:r>
                </w:p>
              </w:tc>
            </w:tr>
          </w:tbl>
          <w:p w14:paraId="3BE78C1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根据上表4-1</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rPr>
              <w:t>可知，项目厂界噪声均能达到《工业企业厂界环境噪声排放标准》（GB12348-2008）</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且本项目夜间不进行生产，项目产生的噪声对周边环境影响不大。</w:t>
            </w:r>
          </w:p>
          <w:p w14:paraId="0056912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为避免本项目设备运行噪声对周围声环境产生不良影响，建设单位应采取从声源上控制、从传播途径上控制等综合措施对设备运行噪声加以控制，具体如下： </w:t>
            </w:r>
          </w:p>
          <w:p w14:paraId="37C6C65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（1）合理布设生产车间，使强噪声设备远离车间边界，</w:t>
            </w:r>
            <w:r>
              <w:rPr>
                <w:rFonts w:hint="default" w:ascii="Times New Roman" w:hAnsi="Times New Roman" w:eastAsia="宋体" w:cs="Times New Roman"/>
                <w:color w:val="auto"/>
                <w:spacing w:val="16"/>
                <w:sz w:val="24"/>
                <w:szCs w:val="24"/>
              </w:rPr>
              <w:t>尽</w:t>
            </w:r>
            <w:r>
              <w:rPr>
                <w:rFonts w:hint="default" w:ascii="Times New Roman" w:hAnsi="Times New Roman" w:eastAsia="宋体" w:cs="Times New Roman"/>
                <w:color w:val="auto"/>
                <w:spacing w:val="11"/>
                <w:sz w:val="24"/>
                <w:szCs w:val="24"/>
              </w:rPr>
              <w:t>量</w:t>
            </w:r>
            <w:r>
              <w:rPr>
                <w:rFonts w:hint="default" w:ascii="Times New Roman" w:hAnsi="Times New Roman" w:eastAsia="宋体" w:cs="Times New Roman"/>
                <w:color w:val="auto"/>
                <w:spacing w:val="8"/>
                <w:sz w:val="24"/>
                <w:szCs w:val="24"/>
              </w:rPr>
              <w:t>选用噪声值较低、环保型加工设备；对设备安装基础减震设施，合理</w:t>
            </w:r>
            <w:r>
              <w:rPr>
                <w:rFonts w:hint="default" w:ascii="Times New Roman" w:hAnsi="Times New Roman" w:eastAsia="宋体" w:cs="Times New Roman"/>
                <w:color w:val="auto"/>
                <w:spacing w:val="13"/>
                <w:sz w:val="24"/>
                <w:szCs w:val="24"/>
              </w:rPr>
              <w:t>布</w:t>
            </w:r>
            <w:r>
              <w:rPr>
                <w:rFonts w:hint="default" w:ascii="Times New Roman" w:hAnsi="Times New Roman" w:eastAsia="宋体" w:cs="Times New Roman"/>
                <w:color w:val="auto"/>
                <w:spacing w:val="9"/>
                <w:sz w:val="24"/>
                <w:szCs w:val="24"/>
              </w:rPr>
              <w:t>局设备，因震动而产生的噪声源，增加避震橡胶垫</w:t>
            </w:r>
            <w:r>
              <w:rPr>
                <w:rFonts w:hint="default" w:ascii="Times New Roman" w:hAnsi="Times New Roman" w:eastAsia="宋体" w:cs="Times New Roman"/>
                <w:color w:val="auto"/>
                <w:sz w:val="24"/>
                <w:szCs w:val="24"/>
              </w:rPr>
              <w:t xml:space="preserve">。 </w:t>
            </w:r>
          </w:p>
          <w:p w14:paraId="160D14C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pacing w:val="6"/>
                <w:sz w:val="24"/>
                <w:szCs w:val="24"/>
              </w:rPr>
              <w:t>加强设</w:t>
            </w:r>
            <w:r>
              <w:rPr>
                <w:rFonts w:hint="default" w:ascii="Times New Roman" w:hAnsi="Times New Roman" w:eastAsia="宋体" w:cs="Times New Roman"/>
                <w:color w:val="auto"/>
                <w:spacing w:val="4"/>
                <w:sz w:val="24"/>
                <w:szCs w:val="24"/>
              </w:rPr>
              <w:t>备</w:t>
            </w:r>
            <w:r>
              <w:rPr>
                <w:rFonts w:hint="default" w:ascii="Times New Roman" w:hAnsi="Times New Roman" w:eastAsia="宋体" w:cs="Times New Roman"/>
                <w:color w:val="auto"/>
                <w:spacing w:val="3"/>
                <w:sz w:val="24"/>
                <w:szCs w:val="24"/>
              </w:rPr>
              <w:t>的巡检和维护，定时加注润滑油，保证设备处于良好的运转状态</w:t>
            </w:r>
            <w:r>
              <w:rPr>
                <w:rFonts w:hint="default"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9"/>
                <w:sz w:val="24"/>
                <w:szCs w:val="24"/>
              </w:rPr>
              <w:t>杜绝因设备不正常运转时产生的高噪声现象</w:t>
            </w:r>
            <w:r>
              <w:rPr>
                <w:rFonts w:hint="default" w:ascii="Times New Roman" w:hAnsi="Times New Roman" w:eastAsia="宋体" w:cs="Times New Roman"/>
                <w:color w:val="auto"/>
                <w:sz w:val="24"/>
                <w:szCs w:val="24"/>
              </w:rPr>
              <w:t>。</w:t>
            </w:r>
          </w:p>
          <w:p w14:paraId="58AAF20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pacing w:val="9"/>
                <w:sz w:val="24"/>
                <w:szCs w:val="24"/>
              </w:rPr>
              <w:t>加强作业管理，减少非正常噪声，加强职工环保意识教育</w:t>
            </w:r>
            <w:r>
              <w:rPr>
                <w:rFonts w:hint="default" w:ascii="Times New Roman" w:hAnsi="Times New Roman" w:eastAsia="宋体" w:cs="Times New Roman"/>
                <w:color w:val="auto"/>
                <w:sz w:val="24"/>
                <w:szCs w:val="24"/>
              </w:rPr>
              <w:t>。</w:t>
            </w:r>
          </w:p>
          <w:p w14:paraId="1A2E935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pacing w:val="16"/>
                <w:sz w:val="24"/>
                <w:szCs w:val="24"/>
              </w:rPr>
              <w:t>加</w:t>
            </w:r>
            <w:r>
              <w:rPr>
                <w:rFonts w:hint="default" w:ascii="Times New Roman" w:hAnsi="Times New Roman" w:eastAsia="宋体" w:cs="Times New Roman"/>
                <w:color w:val="auto"/>
                <w:spacing w:val="12"/>
                <w:sz w:val="24"/>
                <w:szCs w:val="24"/>
              </w:rPr>
              <w:t>强</w:t>
            </w:r>
            <w:r>
              <w:rPr>
                <w:rFonts w:hint="default" w:ascii="Times New Roman" w:hAnsi="Times New Roman" w:eastAsia="宋体" w:cs="Times New Roman"/>
                <w:color w:val="auto"/>
                <w:spacing w:val="8"/>
                <w:sz w:val="24"/>
                <w:szCs w:val="24"/>
              </w:rPr>
              <w:t>对运输车辆的管理，加强车辆驾驶员的环保意识，尽可能减少鸣笛次</w:t>
            </w:r>
            <w:r>
              <w:rPr>
                <w:rFonts w:hint="default" w:ascii="Times New Roman" w:hAnsi="Times New Roman" w:eastAsia="宋体" w:cs="Times New Roman"/>
                <w:color w:val="auto"/>
                <w:spacing w:val="2"/>
                <w:sz w:val="24"/>
                <w:szCs w:val="24"/>
              </w:rPr>
              <w:t>数</w:t>
            </w:r>
            <w:r>
              <w:rPr>
                <w:rFonts w:hint="default" w:ascii="Times New Roman" w:hAnsi="Times New Roman" w:eastAsia="宋体" w:cs="Times New Roman"/>
                <w:color w:val="auto"/>
                <w:sz w:val="24"/>
                <w:szCs w:val="24"/>
              </w:rPr>
              <w:t>。</w:t>
            </w:r>
          </w:p>
          <w:p w14:paraId="63DABBF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）夜间禁止生产。</w:t>
            </w:r>
          </w:p>
          <w:p w14:paraId="6F2BFA7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在采取上述措施后，项目的厂界噪声可满足《工业企业厂界环境噪声排放标准》（GB12348-2008</w:t>
            </w:r>
            <w:r>
              <w:rPr>
                <w:rFonts w:hint="eastAsia" w:cs="Times New Roman"/>
                <w:color w:val="auto"/>
                <w:sz w:val="24"/>
                <w:szCs w:val="24"/>
                <w:lang w:eastAsia="zh-CN"/>
              </w:rPr>
              <w:t>）</w:t>
            </w:r>
            <w:r>
              <w:rPr>
                <w:rFonts w:hint="eastAsia" w:cs="Times New Roman"/>
                <w:color w:val="auto"/>
                <w:kern w:val="2"/>
                <w:sz w:val="24"/>
                <w:szCs w:val="24"/>
                <w:lang w:val="en-US" w:eastAsia="zh-CN" w:bidi="ar-SA"/>
              </w:rPr>
              <w:t>2</w:t>
            </w:r>
            <w:r>
              <w:rPr>
                <w:rFonts w:hint="eastAsia" w:cs="Times New Roman"/>
                <w:color w:val="auto"/>
                <w:sz w:val="24"/>
                <w:szCs w:val="24"/>
                <w:lang w:val="en-US" w:eastAsia="zh-CN"/>
              </w:rPr>
              <w:t>类</w:t>
            </w:r>
            <w:r>
              <w:rPr>
                <w:rFonts w:hint="default" w:ascii="Times New Roman" w:hAnsi="Times New Roman" w:eastAsia="宋体" w:cs="Times New Roman"/>
                <w:color w:val="auto"/>
                <w:sz w:val="24"/>
                <w:szCs w:val="24"/>
              </w:rPr>
              <w:t>标准要求，再经距离衰减、建筑物阻隔后对周边声环境影响很小。</w:t>
            </w:r>
          </w:p>
          <w:bookmarkEnd w:id="33"/>
          <w:bookmarkEnd w:id="34"/>
          <w:bookmarkEnd w:id="35"/>
          <w:p w14:paraId="3C316B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3、噪声</w:t>
            </w:r>
            <w:r>
              <w:rPr>
                <w:rFonts w:hint="eastAsia" w:eastAsia="宋体" w:cs="Times New Roman"/>
                <w:b/>
                <w:bCs/>
                <w:color w:val="auto"/>
                <w:sz w:val="24"/>
                <w:szCs w:val="32"/>
                <w:lang w:val="en-US" w:eastAsia="zh-CN"/>
              </w:rPr>
              <w:t>自行</w:t>
            </w:r>
            <w:r>
              <w:rPr>
                <w:rFonts w:hint="default" w:ascii="Times New Roman" w:hAnsi="Times New Roman" w:eastAsia="宋体" w:cs="Times New Roman"/>
                <w:b/>
                <w:bCs/>
                <w:color w:val="auto"/>
                <w:sz w:val="24"/>
                <w:szCs w:val="32"/>
              </w:rPr>
              <w:t>监测要求</w:t>
            </w:r>
          </w:p>
          <w:p w14:paraId="0FFD4F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参照《排污单位自行监测技术指南 总则》（HJ819-2017）中要求进行确定，本次环评对建设项目提出实施环境监测建议</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具体建议见表4-1</w:t>
            </w:r>
            <w:r>
              <w:rPr>
                <w:rFonts w:hint="eastAsia" w:cs="Times New Roman"/>
                <w:color w:val="auto"/>
                <w:sz w:val="24"/>
                <w:szCs w:val="32"/>
                <w:lang w:val="en-US" w:eastAsia="zh-CN"/>
              </w:rPr>
              <w:t>1</w:t>
            </w:r>
            <w:r>
              <w:rPr>
                <w:rFonts w:hint="default" w:ascii="Times New Roman" w:hAnsi="Times New Roman" w:eastAsia="宋体" w:cs="Times New Roman"/>
                <w:color w:val="auto"/>
                <w:sz w:val="24"/>
                <w:szCs w:val="32"/>
              </w:rPr>
              <w:t>。</w:t>
            </w:r>
          </w:p>
          <w:p w14:paraId="002594B0">
            <w:pPr>
              <w:spacing w:line="240" w:lineRule="auto"/>
              <w:ind w:firstLine="0" w:firstLineChars="0"/>
              <w:jc w:val="center"/>
              <w:rPr>
                <w:b/>
                <w:bCs/>
                <w:color w:val="auto"/>
                <w:sz w:val="24"/>
                <w:szCs w:val="24"/>
              </w:rPr>
            </w:pPr>
            <w:r>
              <w:rPr>
                <w:b/>
                <w:bCs/>
                <w:color w:val="auto"/>
                <w:sz w:val="24"/>
                <w:szCs w:val="24"/>
              </w:rPr>
              <w:t>表4-</w:t>
            </w:r>
            <w:r>
              <w:rPr>
                <w:rFonts w:hint="eastAsia"/>
                <w:b/>
                <w:bCs/>
                <w:color w:val="auto"/>
                <w:sz w:val="24"/>
                <w:szCs w:val="24"/>
              </w:rPr>
              <w:t>1</w:t>
            </w:r>
            <w:r>
              <w:rPr>
                <w:rFonts w:hint="eastAsia"/>
                <w:b/>
                <w:bCs/>
                <w:color w:val="auto"/>
                <w:sz w:val="24"/>
                <w:szCs w:val="24"/>
                <w:lang w:val="en-US" w:eastAsia="zh-CN"/>
              </w:rPr>
              <w:t>1</w:t>
            </w:r>
            <w:r>
              <w:rPr>
                <w:b/>
                <w:bCs/>
                <w:color w:val="auto"/>
                <w:sz w:val="24"/>
                <w:szCs w:val="24"/>
              </w:rPr>
              <w:t xml:space="preserve">  运营期噪声排放监测计划表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29"/>
              <w:gridCol w:w="1846"/>
              <w:gridCol w:w="1150"/>
              <w:gridCol w:w="2831"/>
            </w:tblGrid>
            <w:tr w14:paraId="36F2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687" w:type="dxa"/>
                  <w:noWrap w:val="0"/>
                  <w:vAlign w:val="center"/>
                </w:tcPr>
                <w:p w14:paraId="70F48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345" w:type="dxa"/>
                  <w:noWrap w:val="0"/>
                  <w:vAlign w:val="center"/>
                </w:tcPr>
                <w:p w14:paraId="208717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870" w:type="dxa"/>
                  <w:noWrap w:val="0"/>
                  <w:vAlign w:val="center"/>
                </w:tcPr>
                <w:p w14:paraId="2E85A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164" w:type="dxa"/>
                  <w:noWrap w:val="0"/>
                  <w:vAlign w:val="center"/>
                </w:tcPr>
                <w:p w14:paraId="07A00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2870" w:type="dxa"/>
                  <w:noWrap w:val="0"/>
                  <w:vAlign w:val="center"/>
                </w:tcPr>
                <w:p w14:paraId="40EDF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66A5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14:paraId="15404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45" w:type="dxa"/>
                  <w:noWrap w:val="0"/>
                  <w:vAlign w:val="center"/>
                </w:tcPr>
                <w:p w14:paraId="76A848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东、南、西、北厂界</w:t>
                  </w:r>
                </w:p>
              </w:tc>
              <w:tc>
                <w:tcPr>
                  <w:tcW w:w="1870" w:type="dxa"/>
                  <w:noWrap w:val="0"/>
                  <w:vAlign w:val="center"/>
                </w:tcPr>
                <w:p w14:paraId="1F1318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昼间等效声级 Leq(A)</w:t>
                  </w:r>
                </w:p>
              </w:tc>
              <w:tc>
                <w:tcPr>
                  <w:tcW w:w="1164" w:type="dxa"/>
                  <w:noWrap w:val="0"/>
                  <w:vAlign w:val="center"/>
                </w:tcPr>
                <w:p w14:paraId="36173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1次/</w:t>
                  </w:r>
                  <w:r>
                    <w:rPr>
                      <w:rFonts w:hint="default" w:ascii="Times New Roman" w:hAnsi="Times New Roman" w:eastAsia="宋体" w:cs="Times New Roman"/>
                      <w:color w:val="auto"/>
                      <w:sz w:val="21"/>
                      <w:szCs w:val="21"/>
                      <w:lang w:val="en-US" w:eastAsia="zh-CN"/>
                    </w:rPr>
                    <w:t>季度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每年共监测4次</w:t>
                  </w:r>
                </w:p>
              </w:tc>
              <w:tc>
                <w:tcPr>
                  <w:tcW w:w="2870" w:type="dxa"/>
                  <w:noWrap w:val="0"/>
                  <w:vAlign w:val="center"/>
                </w:tcPr>
                <w:p w14:paraId="49B7A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《工业企业厂界环境噪声排放标准》（GB12348-2008）中</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bl>
          <w:p w14:paraId="521E01EC">
            <w:pPr>
              <w:keepNext w:val="0"/>
              <w:keepLines/>
              <w:pageBreakBefore w:val="0"/>
              <w:widowControl/>
              <w:kinsoku/>
              <w:overflowPunct/>
              <w:bidi w:val="0"/>
              <w:adjustRightInd/>
              <w:spacing w:line="360" w:lineRule="auto"/>
              <w:ind w:left="0" w:leftChars="0" w:firstLine="0" w:firstLineChars="0"/>
              <w:jc w:val="left"/>
              <w:rPr>
                <w:rFonts w:hint="default" w:ascii="Times New Roman" w:hAnsi="Times New Roman" w:cs="Times New Roman"/>
                <w:b/>
                <w:bCs/>
                <w:color w:val="auto"/>
                <w:kern w:val="0"/>
                <w:sz w:val="24"/>
              </w:rPr>
            </w:pPr>
            <w:r>
              <w:rPr>
                <w:rFonts w:hint="eastAsia" w:cs="Times New Roman"/>
                <w:b/>
                <w:bCs/>
                <w:color w:val="auto"/>
                <w:kern w:val="0"/>
                <w:sz w:val="24"/>
                <w:lang w:val="en-US" w:eastAsia="zh-CN"/>
              </w:rPr>
              <w:t>四、</w:t>
            </w:r>
            <w:r>
              <w:rPr>
                <w:rFonts w:hint="default" w:ascii="Times New Roman" w:hAnsi="Times New Roman" w:cs="Times New Roman"/>
                <w:b/>
                <w:bCs/>
                <w:color w:val="auto"/>
                <w:kern w:val="0"/>
                <w:sz w:val="24"/>
              </w:rPr>
              <w:t>固体废物环境影响和保护措施</w:t>
            </w:r>
          </w:p>
          <w:p w14:paraId="69ABF1F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固体废弃物产生情况</w:t>
            </w:r>
          </w:p>
          <w:p w14:paraId="1F55E5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项目营运期产生的固体废物主要包括</w:t>
            </w:r>
            <w:r>
              <w:rPr>
                <w:rFonts w:hint="default" w:ascii="Times New Roman" w:hAnsi="Times New Roman" w:eastAsia="宋体" w:cs="Times New Roman"/>
                <w:color w:val="auto"/>
                <w:sz w:val="24"/>
                <w:szCs w:val="24"/>
                <w:lang w:val="en-US" w:eastAsia="zh-CN"/>
              </w:rPr>
              <w:t>沉淀池煤泥、</w:t>
            </w:r>
            <w:r>
              <w:rPr>
                <w:rFonts w:hint="default" w:ascii="Times New Roman" w:hAnsi="Times New Roman" w:eastAsia="宋体" w:cs="Times New Roman"/>
                <w:color w:val="auto"/>
                <w:sz w:val="24"/>
                <w:szCs w:val="24"/>
              </w:rPr>
              <w:t>生活垃圾</w:t>
            </w:r>
            <w:r>
              <w:rPr>
                <w:rFonts w:hint="default" w:ascii="Times New Roman" w:hAnsi="Times New Roman" w:eastAsia="宋体" w:cs="Times New Roman"/>
                <w:color w:val="auto"/>
                <w:sz w:val="24"/>
                <w:szCs w:val="24"/>
                <w:lang w:val="en-US" w:eastAsia="zh-CN"/>
              </w:rPr>
              <w:t>和废机油</w:t>
            </w:r>
            <w:r>
              <w:rPr>
                <w:rFonts w:hint="default" w:ascii="Times New Roman" w:hAnsi="Times New Roman" w:eastAsia="宋体" w:cs="Times New Roman"/>
                <w:color w:val="auto"/>
                <w:sz w:val="24"/>
                <w:szCs w:val="24"/>
              </w:rPr>
              <w:t>。</w:t>
            </w:r>
          </w:p>
          <w:p w14:paraId="69A3C875">
            <w:pPr>
              <w:pStyle w:val="39"/>
              <w:keepNext w:val="0"/>
              <w:keepLines w:val="0"/>
              <w:pageBreakBefore w:val="0"/>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（1）沉淀池煤泥</w:t>
            </w:r>
          </w:p>
          <w:p w14:paraId="410D753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进出车辆需进行清洗，清洗废水沉淀后循环使用，沉淀池会产生少量煤泥，产生量为</w:t>
            </w:r>
            <w:r>
              <w:rPr>
                <w:rFonts w:hint="default" w:ascii="Times New Roman" w:hAnsi="Times New Roman" w:eastAsia="宋体" w:cs="Times New Roman"/>
                <w:color w:val="auto"/>
                <w:sz w:val="24"/>
                <w:szCs w:val="24"/>
                <w:lang w:eastAsia="zh-CN"/>
              </w:rPr>
              <w:t xml:space="preserve"> 0.</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t/a ，</w:t>
            </w:r>
            <w:r>
              <w:rPr>
                <w:rFonts w:hint="eastAsia" w:ascii="Times New Roman" w:hAnsi="Times New Roman" w:eastAsia="宋体" w:cs="Times New Roman"/>
                <w:color w:val="auto"/>
                <w:sz w:val="24"/>
                <w:szCs w:val="24"/>
                <w:lang w:val="zh-CN" w:eastAsia="zh-CN"/>
              </w:rPr>
              <w:t>统一收集后作为在建配矿项目的原料进行配矿，</w:t>
            </w:r>
            <w:r>
              <w:rPr>
                <w:rFonts w:hint="eastAsia" w:cs="Times New Roman"/>
                <w:color w:val="auto"/>
                <w:sz w:val="24"/>
                <w:szCs w:val="24"/>
                <w:lang w:val="en-US" w:eastAsia="zh-CN"/>
              </w:rPr>
              <w:t>不外排</w:t>
            </w:r>
            <w:r>
              <w:rPr>
                <w:rFonts w:hint="default" w:ascii="Times New Roman" w:hAnsi="Times New Roman" w:eastAsia="宋体" w:cs="Times New Roman"/>
                <w:color w:val="auto"/>
                <w:sz w:val="24"/>
                <w:szCs w:val="24"/>
                <w:lang w:val="en-US" w:eastAsia="zh-CN"/>
              </w:rPr>
              <w:t>。</w:t>
            </w:r>
          </w:p>
          <w:p w14:paraId="766061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0"/>
                <w:sz w:val="24"/>
                <w:lang w:val="en-US"/>
              </w:rPr>
            </w:pPr>
            <w:r>
              <w:rPr>
                <w:rFonts w:hint="default" w:ascii="Times New Roman" w:hAnsi="Times New Roman" w:eastAsia="宋体" w:cs="Times New Roman"/>
                <w:color w:val="auto"/>
                <w:sz w:val="24"/>
                <w:szCs w:val="24"/>
                <w:lang w:val="en-US" w:eastAsia="zh-CN"/>
              </w:rPr>
              <w:t>（2）生活垃圾</w:t>
            </w:r>
          </w:p>
          <w:p w14:paraId="787FDE9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lang w:eastAsia="zh-CN"/>
              </w:rPr>
              <w:t>生活垃圾产生量按每人每天平均产生量0.5kg 计，本项目劳动定员</w:t>
            </w:r>
            <w:r>
              <w:rPr>
                <w:rFonts w:hint="default" w:ascii="Times New Roman" w:hAnsi="Times New Roman" w:eastAsia="宋体" w:cs="Times New Roman"/>
                <w:color w:val="auto"/>
                <w:sz w:val="24"/>
                <w:szCs w:val="24"/>
                <w:lang w:val="en-US" w:eastAsia="zh-CN"/>
              </w:rPr>
              <w:t>为10</w:t>
            </w:r>
            <w:r>
              <w:rPr>
                <w:rFonts w:hint="default" w:ascii="Times New Roman" w:hAnsi="Times New Roman" w:eastAsia="宋体" w:cs="Times New Roman"/>
                <w:color w:val="auto"/>
                <w:sz w:val="24"/>
                <w:szCs w:val="24"/>
                <w:lang w:eastAsia="zh-CN"/>
              </w:rPr>
              <w:t>人</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年生产天数为</w:t>
            </w:r>
            <w:r>
              <w:rPr>
                <w:rFonts w:hint="default" w:ascii="Times New Roman" w:hAnsi="Times New Roman" w:eastAsia="宋体" w:cs="Times New Roman"/>
                <w:color w:val="auto"/>
                <w:sz w:val="24"/>
                <w:szCs w:val="24"/>
                <w:lang w:val="en-US" w:eastAsia="zh-CN"/>
              </w:rPr>
              <w:t>300</w:t>
            </w:r>
            <w:r>
              <w:rPr>
                <w:rFonts w:hint="default" w:ascii="Times New Roman" w:hAnsi="Times New Roman" w:eastAsia="宋体" w:cs="Times New Roman"/>
                <w:color w:val="auto"/>
                <w:sz w:val="24"/>
                <w:szCs w:val="24"/>
                <w:lang w:eastAsia="zh-CN"/>
              </w:rPr>
              <w:t>天，生活垃圾产生量约</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生活垃圾</w:t>
            </w:r>
            <w:r>
              <w:rPr>
                <w:rFonts w:hint="eastAsia" w:cs="Times New Roman"/>
                <w:color w:val="auto"/>
                <w:sz w:val="24"/>
                <w:szCs w:val="24"/>
                <w:lang w:val="en-US" w:eastAsia="zh-CN"/>
              </w:rPr>
              <w:t>统一袋装收集后，送至附近的垃圾暂存点</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由</w:t>
            </w:r>
            <w:r>
              <w:rPr>
                <w:rFonts w:hint="default" w:ascii="Times New Roman" w:hAnsi="Times New Roman" w:eastAsia="宋体" w:cs="Times New Roman"/>
                <w:color w:val="auto"/>
                <w:sz w:val="24"/>
                <w:szCs w:val="24"/>
                <w:lang w:val="en-US" w:eastAsia="zh-CN"/>
              </w:rPr>
              <w:t>当地</w:t>
            </w:r>
            <w:r>
              <w:rPr>
                <w:rFonts w:hint="default" w:ascii="Times New Roman" w:hAnsi="Times New Roman" w:eastAsia="宋体" w:cs="Times New Roman"/>
                <w:color w:val="auto"/>
                <w:sz w:val="24"/>
                <w:szCs w:val="24"/>
                <w:lang w:eastAsia="zh-CN"/>
              </w:rPr>
              <w:t>环卫部门统一清运。</w:t>
            </w:r>
          </w:p>
          <w:p w14:paraId="65384B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（3）废机油</w:t>
            </w:r>
          </w:p>
          <w:p w14:paraId="7C47C675">
            <w:pPr>
              <w:keepNext w:val="0"/>
              <w:keepLines/>
              <w:pageBreakBefore w:val="0"/>
              <w:widowControl/>
              <w:kinsoku/>
              <w:wordWrap/>
              <w:overflowPunct/>
              <w:topLinePunct w:val="0"/>
              <w:autoSpaceDE/>
              <w:autoSpaceDN/>
              <w:bidi w:val="0"/>
              <w:adjustRightInd/>
              <w:snapToGrid/>
              <w:spacing w:line="360" w:lineRule="auto"/>
              <w:ind w:leftChars="0" w:firstLine="464"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pacing w:val="-4"/>
              </w:rPr>
              <w:t>本项目运营期将不定期对生产设备进行维护</w:t>
            </w:r>
            <w:r>
              <w:rPr>
                <w:rFonts w:hint="default" w:ascii="Times New Roman" w:hAnsi="Times New Roman" w:eastAsia="宋体" w:cs="Times New Roman"/>
                <w:color w:val="auto"/>
                <w:sz w:val="24"/>
                <w:lang w:val="en-US" w:eastAsia="zh-CN"/>
              </w:rPr>
              <w:t>，会产生少量的废机油，产生量约为0.1t/a，根据《国家危险废物名录（2025年版）》，废机油属于危险废物，</w:t>
            </w:r>
            <w:r>
              <w:rPr>
                <w:rFonts w:hint="default" w:ascii="Times New Roman" w:hAnsi="Times New Roman" w:eastAsia="宋体" w:cs="Times New Roman"/>
                <w:color w:val="auto"/>
                <w:sz w:val="24"/>
              </w:rPr>
              <w:t>废物类别为HW08</w:t>
            </w:r>
            <w:r>
              <w:rPr>
                <w:rFonts w:hint="default" w:ascii="Times New Roman" w:hAnsi="Times New Roman" w:eastAsia="宋体" w:cs="Times New Roman"/>
                <w:color w:val="auto"/>
                <w:sz w:val="24"/>
                <w:lang w:eastAsia="zh-CN"/>
              </w:rPr>
              <w:t>废机油</w:t>
            </w:r>
            <w:r>
              <w:rPr>
                <w:rFonts w:hint="default" w:ascii="Times New Roman" w:hAnsi="Times New Roman" w:eastAsia="宋体" w:cs="Times New Roman"/>
                <w:color w:val="auto"/>
                <w:sz w:val="24"/>
              </w:rPr>
              <w:t>与含矿物油废物，危废代码为900-</w:t>
            </w:r>
            <w:r>
              <w:rPr>
                <w:rFonts w:hint="default" w:ascii="Times New Roman" w:hAnsi="Times New Roman" w:eastAsia="宋体" w:cs="Times New Roman"/>
                <w:color w:val="auto"/>
                <w:sz w:val="24"/>
                <w:lang w:eastAsia="zh-CN"/>
              </w:rPr>
              <w:t>2</w:t>
            </w:r>
            <w:r>
              <w:rPr>
                <w:rFonts w:hint="default" w:ascii="Times New Roman" w:hAnsi="Times New Roman" w:eastAsia="宋体" w:cs="Times New Roman"/>
                <w:color w:val="auto"/>
                <w:sz w:val="24"/>
                <w:lang w:val="en-US" w:eastAsia="zh-CN"/>
              </w:rPr>
              <w:t>49</w:t>
            </w:r>
            <w:r>
              <w:rPr>
                <w:rFonts w:hint="default" w:ascii="Times New Roman" w:hAnsi="Times New Roman" w:eastAsia="宋体" w:cs="Times New Roman"/>
                <w:color w:val="auto"/>
                <w:sz w:val="24"/>
              </w:rPr>
              <w:t>-08，通过收集后暂存于危废暂存间，委托</w:t>
            </w:r>
            <w:r>
              <w:rPr>
                <w:rFonts w:hint="default" w:ascii="Times New Roman" w:hAnsi="Times New Roman" w:eastAsia="宋体" w:cs="Times New Roman"/>
                <w:color w:val="auto"/>
                <w:sz w:val="24"/>
                <w:szCs w:val="24"/>
                <w:lang w:val="en-US" w:eastAsia="zh-CN"/>
              </w:rPr>
              <w:t>有资质的单位进行</w:t>
            </w:r>
            <w:r>
              <w:rPr>
                <w:rFonts w:hint="default" w:ascii="Times New Roman" w:hAnsi="Times New Roman" w:eastAsia="宋体" w:cs="Times New Roman"/>
                <w:color w:val="auto"/>
                <w:sz w:val="24"/>
              </w:rPr>
              <w:t>处置</w:t>
            </w:r>
            <w:r>
              <w:rPr>
                <w:rFonts w:hint="default" w:ascii="Times New Roman" w:hAnsi="Times New Roman" w:eastAsia="宋体" w:cs="Times New Roman"/>
                <w:color w:val="auto"/>
                <w:sz w:val="24"/>
                <w:lang w:val="en-US" w:eastAsia="zh-CN"/>
              </w:rPr>
              <w:t>。</w:t>
            </w:r>
          </w:p>
          <w:p w14:paraId="0A9019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运营过程</w:t>
            </w:r>
            <w:r>
              <w:rPr>
                <w:rFonts w:hint="default" w:ascii="Times New Roman" w:hAnsi="Times New Roman" w:eastAsia="宋体" w:cs="Times New Roman"/>
                <w:color w:val="auto"/>
                <w:sz w:val="24"/>
                <w:szCs w:val="24"/>
              </w:rPr>
              <w:t xml:space="preserve">中主要固体废物排放及处理方法见表 4- </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w:t>
            </w:r>
          </w:p>
          <w:p w14:paraId="6CC61A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default" w:ascii="Times New Roman" w:hAnsi="Times New Roman" w:eastAsia="宋体" w:cs="Times New Roman"/>
                <w:b/>
                <w:color w:val="auto"/>
                <w:kern w:val="2"/>
                <w:sz w:val="24"/>
                <w:szCs w:val="24"/>
                <w:lang w:val="en-US" w:eastAsia="zh-CN" w:bidi="ar-SA"/>
              </w:rPr>
              <w:t>表 4-1</w:t>
            </w:r>
            <w:r>
              <w:rPr>
                <w:rFonts w:hint="eastAsia" w:cs="Times New Roman"/>
                <w:b/>
                <w:color w:val="auto"/>
                <w:kern w:val="2"/>
                <w:sz w:val="24"/>
                <w:szCs w:val="24"/>
                <w:lang w:val="en-US" w:eastAsia="zh-CN" w:bidi="ar-SA"/>
              </w:rPr>
              <w:t>2</w:t>
            </w:r>
            <w:r>
              <w:rPr>
                <w:rFonts w:hint="default" w:ascii="Times New Roman" w:hAnsi="Times New Roman" w:eastAsia="宋体" w:cs="Times New Roman"/>
                <w:b/>
                <w:color w:val="auto"/>
                <w:kern w:val="2"/>
                <w:sz w:val="24"/>
                <w:szCs w:val="24"/>
                <w:lang w:val="en-US" w:eastAsia="zh-CN" w:bidi="ar-SA"/>
              </w:rPr>
              <w:t xml:space="preserve">  项目固体废弃物排放量及处置方法</w:t>
            </w:r>
          </w:p>
          <w:tbl>
            <w:tblPr>
              <w:tblStyle w:val="103"/>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2"/>
              <w:gridCol w:w="950"/>
              <w:gridCol w:w="1605"/>
              <w:gridCol w:w="1140"/>
              <w:gridCol w:w="2478"/>
              <w:gridCol w:w="1028"/>
            </w:tblGrid>
            <w:tr w14:paraId="4F8417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jc w:val="center"/>
              </w:trPr>
              <w:tc>
                <w:tcPr>
                  <w:tcW w:w="397" w:type="pct"/>
                  <w:tcBorders>
                    <w:tl2br w:val="nil"/>
                    <w:tr2bl w:val="nil"/>
                  </w:tcBorders>
                  <w:noWrap w:val="0"/>
                  <w:vAlign w:val="center"/>
                </w:tcPr>
                <w:p w14:paraId="24FAA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产生环节</w:t>
                  </w:r>
                </w:p>
              </w:tc>
              <w:tc>
                <w:tcPr>
                  <w:tcW w:w="607" w:type="pct"/>
                  <w:tcBorders>
                    <w:tl2br w:val="nil"/>
                    <w:tr2bl w:val="nil"/>
                  </w:tcBorders>
                  <w:noWrap w:val="0"/>
                  <w:vAlign w:val="center"/>
                </w:tcPr>
                <w:p w14:paraId="681566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污染名称</w:t>
                  </w:r>
                </w:p>
              </w:tc>
              <w:tc>
                <w:tcPr>
                  <w:tcW w:w="1025" w:type="pct"/>
                  <w:tcBorders>
                    <w:tl2br w:val="nil"/>
                    <w:tr2bl w:val="nil"/>
                  </w:tcBorders>
                  <w:noWrap w:val="0"/>
                  <w:vAlign w:val="center"/>
                </w:tcPr>
                <w:p w14:paraId="4CD5C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728" w:type="pct"/>
                  <w:tcBorders>
                    <w:tl2br w:val="nil"/>
                    <w:tr2bl w:val="nil"/>
                  </w:tcBorders>
                  <w:noWrap w:val="0"/>
                  <w:vAlign w:val="center"/>
                </w:tcPr>
                <w:p w14:paraId="23168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年产生量</w:t>
                  </w:r>
                </w:p>
                <w:p w14:paraId="1F8C3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（t/a）</w:t>
                  </w:r>
                </w:p>
              </w:tc>
              <w:tc>
                <w:tcPr>
                  <w:tcW w:w="1583" w:type="pct"/>
                  <w:tcBorders>
                    <w:tl2br w:val="nil"/>
                    <w:tr2bl w:val="nil"/>
                  </w:tcBorders>
                  <w:noWrap w:val="0"/>
                  <w:vAlign w:val="center"/>
                </w:tcPr>
                <w:p w14:paraId="4DBF8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利用或处置方式</w:t>
                  </w:r>
                </w:p>
              </w:tc>
              <w:tc>
                <w:tcPr>
                  <w:tcW w:w="657" w:type="pct"/>
                  <w:tcBorders>
                    <w:tl2br w:val="nil"/>
                    <w:tr2bl w:val="nil"/>
                  </w:tcBorders>
                  <w:noWrap w:val="0"/>
                  <w:vAlign w:val="center"/>
                </w:tcPr>
                <w:p w14:paraId="31154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利用或处置量（t/a）</w:t>
                  </w:r>
                </w:p>
              </w:tc>
            </w:tr>
            <w:tr w14:paraId="09BED9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8" w:hRule="atLeast"/>
                <w:jc w:val="center"/>
              </w:trPr>
              <w:tc>
                <w:tcPr>
                  <w:tcW w:w="397" w:type="pct"/>
                  <w:tcBorders>
                    <w:tl2br w:val="nil"/>
                    <w:tr2bl w:val="nil"/>
                  </w:tcBorders>
                  <w:noWrap w:val="0"/>
                  <w:vAlign w:val="center"/>
                </w:tcPr>
                <w:p w14:paraId="583BC0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车辆冲洗</w:t>
                  </w:r>
                </w:p>
              </w:tc>
              <w:tc>
                <w:tcPr>
                  <w:tcW w:w="607" w:type="pct"/>
                  <w:tcBorders>
                    <w:tl2br w:val="nil"/>
                    <w:tr2bl w:val="nil"/>
                  </w:tcBorders>
                  <w:noWrap w:val="0"/>
                  <w:vAlign w:val="center"/>
                </w:tcPr>
                <w:p w14:paraId="5242D53C">
                  <w:pPr>
                    <w:pStyle w:val="17"/>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沉淀池煤泥</w:t>
                  </w:r>
                </w:p>
              </w:tc>
              <w:tc>
                <w:tcPr>
                  <w:tcW w:w="1025" w:type="pct"/>
                  <w:tcBorders>
                    <w:tl2br w:val="nil"/>
                    <w:tr2bl w:val="nil"/>
                  </w:tcBorders>
                  <w:noWrap w:val="0"/>
                  <w:vAlign w:val="center"/>
                </w:tcPr>
                <w:p w14:paraId="2844D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一般工业固体废物</w:t>
                  </w:r>
                </w:p>
              </w:tc>
              <w:tc>
                <w:tcPr>
                  <w:tcW w:w="728" w:type="pct"/>
                  <w:tcBorders>
                    <w:tl2br w:val="nil"/>
                    <w:tr2bl w:val="nil"/>
                  </w:tcBorders>
                  <w:noWrap w:val="0"/>
                  <w:vAlign w:val="center"/>
                </w:tcPr>
                <w:p w14:paraId="20115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1583" w:type="pct"/>
                  <w:tcBorders>
                    <w:tl2br w:val="nil"/>
                    <w:tr2bl w:val="nil"/>
                  </w:tcBorders>
                  <w:noWrap w:val="0"/>
                  <w:vAlign w:val="center"/>
                </w:tcPr>
                <w:p w14:paraId="3F0545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zh-CN" w:eastAsia="zh-CN"/>
                    </w:rPr>
                    <w:t>统一收集后作为在建配矿项目的原料进行配矿，</w:t>
                  </w:r>
                  <w:r>
                    <w:rPr>
                      <w:rFonts w:hint="eastAsia" w:cs="Times New Roman"/>
                      <w:color w:val="auto"/>
                      <w:sz w:val="21"/>
                      <w:szCs w:val="21"/>
                      <w:lang w:val="en-US" w:eastAsia="zh-CN"/>
                    </w:rPr>
                    <w:t>不外排</w:t>
                  </w:r>
                </w:p>
              </w:tc>
              <w:tc>
                <w:tcPr>
                  <w:tcW w:w="657" w:type="pct"/>
                  <w:tcBorders>
                    <w:tl2br w:val="nil"/>
                    <w:tr2bl w:val="nil"/>
                  </w:tcBorders>
                  <w:noWrap w:val="0"/>
                  <w:vAlign w:val="center"/>
                </w:tcPr>
                <w:p w14:paraId="23C0F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0.5</w:t>
                  </w:r>
                </w:p>
              </w:tc>
            </w:tr>
            <w:tr w14:paraId="1983A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2" w:hRule="atLeast"/>
                <w:jc w:val="center"/>
              </w:trPr>
              <w:tc>
                <w:tcPr>
                  <w:tcW w:w="397" w:type="pct"/>
                  <w:tcBorders>
                    <w:tl2br w:val="nil"/>
                    <w:tr2bl w:val="nil"/>
                  </w:tcBorders>
                  <w:noWrap w:val="0"/>
                  <w:vAlign w:val="center"/>
                </w:tcPr>
                <w:p w14:paraId="011D5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职工生活</w:t>
                  </w:r>
                </w:p>
              </w:tc>
              <w:tc>
                <w:tcPr>
                  <w:tcW w:w="607" w:type="pct"/>
                  <w:tcBorders>
                    <w:top w:val="single" w:color="auto" w:sz="4" w:space="0"/>
                    <w:tl2br w:val="nil"/>
                    <w:tr2bl w:val="nil"/>
                  </w:tcBorders>
                  <w:noWrap w:val="0"/>
                  <w:vAlign w:val="center"/>
                </w:tcPr>
                <w:p w14:paraId="601742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生活垃圾</w:t>
                  </w:r>
                </w:p>
              </w:tc>
              <w:tc>
                <w:tcPr>
                  <w:tcW w:w="1025" w:type="pct"/>
                  <w:tcBorders>
                    <w:top w:val="single" w:color="auto" w:sz="4" w:space="0"/>
                    <w:tl2br w:val="nil"/>
                    <w:tr2bl w:val="nil"/>
                  </w:tcBorders>
                  <w:noWrap w:val="0"/>
                  <w:vAlign w:val="center"/>
                </w:tcPr>
                <w:p w14:paraId="15DD14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28" w:type="pct"/>
                  <w:tcBorders>
                    <w:top w:val="single" w:color="auto" w:sz="4" w:space="0"/>
                    <w:tl2br w:val="nil"/>
                    <w:tr2bl w:val="nil"/>
                  </w:tcBorders>
                  <w:noWrap w:val="0"/>
                  <w:vAlign w:val="center"/>
                </w:tcPr>
                <w:p w14:paraId="1B57BB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1583" w:type="pct"/>
                  <w:tcBorders>
                    <w:top w:val="single" w:color="auto" w:sz="4" w:space="0"/>
                    <w:bottom w:val="single" w:color="auto" w:sz="4" w:space="0"/>
                    <w:tl2br w:val="nil"/>
                    <w:tr2bl w:val="nil"/>
                  </w:tcBorders>
                  <w:noWrap w:val="0"/>
                  <w:vAlign w:val="center"/>
                </w:tcPr>
                <w:p w14:paraId="0F24C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统一袋装收集后，</w:t>
                  </w:r>
                  <w:r>
                    <w:rPr>
                      <w:rFonts w:hint="default" w:ascii="Times New Roman" w:hAnsi="Times New Roman" w:eastAsia="宋体" w:cs="Times New Roman"/>
                      <w:color w:val="auto"/>
                      <w:sz w:val="21"/>
                      <w:szCs w:val="21"/>
                      <w:lang w:eastAsia="zh-CN"/>
                    </w:rPr>
                    <w:t>运至附近垃圾收集点</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由</w:t>
                  </w:r>
                  <w:r>
                    <w:rPr>
                      <w:rFonts w:hint="default" w:ascii="Times New Roman" w:hAnsi="Times New Roman" w:eastAsia="宋体" w:cs="Times New Roman"/>
                      <w:color w:val="auto"/>
                      <w:sz w:val="21"/>
                      <w:szCs w:val="21"/>
                      <w:lang w:val="en-US" w:eastAsia="zh-CN"/>
                    </w:rPr>
                    <w:t>当地</w:t>
                  </w:r>
                  <w:r>
                    <w:rPr>
                      <w:rFonts w:hint="default" w:ascii="Times New Roman" w:hAnsi="Times New Roman" w:eastAsia="宋体" w:cs="Times New Roman"/>
                      <w:color w:val="auto"/>
                      <w:sz w:val="21"/>
                      <w:szCs w:val="21"/>
                      <w:lang w:eastAsia="zh-CN"/>
                    </w:rPr>
                    <w:t>环卫部门统一清运</w:t>
                  </w:r>
                </w:p>
              </w:tc>
              <w:tc>
                <w:tcPr>
                  <w:tcW w:w="657" w:type="pct"/>
                  <w:tcBorders>
                    <w:tl2br w:val="nil"/>
                    <w:tr2bl w:val="nil"/>
                  </w:tcBorders>
                  <w:noWrap w:val="0"/>
                  <w:vAlign w:val="center"/>
                </w:tcPr>
                <w:p w14:paraId="42CE4A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r>
            <w:tr w14:paraId="3DA703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6" w:hRule="atLeast"/>
                <w:jc w:val="center"/>
              </w:trPr>
              <w:tc>
                <w:tcPr>
                  <w:tcW w:w="397" w:type="pct"/>
                  <w:tcBorders>
                    <w:tl2br w:val="nil"/>
                    <w:tr2bl w:val="nil"/>
                  </w:tcBorders>
                  <w:noWrap w:val="0"/>
                  <w:vAlign w:val="center"/>
                </w:tcPr>
                <w:p w14:paraId="233EC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设备维修</w:t>
                  </w:r>
                </w:p>
              </w:tc>
              <w:tc>
                <w:tcPr>
                  <w:tcW w:w="607" w:type="pct"/>
                  <w:tcBorders>
                    <w:tl2br w:val="nil"/>
                    <w:tr2bl w:val="nil"/>
                  </w:tcBorders>
                  <w:noWrap w:val="0"/>
                  <w:vAlign w:val="center"/>
                </w:tcPr>
                <w:p w14:paraId="6695A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废机油</w:t>
                  </w:r>
                </w:p>
              </w:tc>
              <w:tc>
                <w:tcPr>
                  <w:tcW w:w="1025" w:type="pct"/>
                  <w:tcBorders>
                    <w:top w:val="single" w:color="auto" w:sz="4" w:space="0"/>
                    <w:tl2br w:val="nil"/>
                    <w:tr2bl w:val="nil"/>
                  </w:tcBorders>
                  <w:noWrap w:val="0"/>
                  <w:vAlign w:val="center"/>
                </w:tcPr>
                <w:p w14:paraId="0AA55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w:t>
                  </w:r>
                  <w:r>
                    <w:rPr>
                      <w:rFonts w:hint="default" w:ascii="Times New Roman" w:hAnsi="Times New Roman" w:eastAsia="宋体" w:cs="Times New Roman"/>
                      <w:b w:val="0"/>
                      <w:bCs w:val="0"/>
                      <w:color w:val="auto"/>
                      <w:sz w:val="21"/>
                      <w:szCs w:val="21"/>
                    </w:rPr>
                    <w:t>HW08</w:t>
                  </w:r>
                  <w:r>
                    <w:rPr>
                      <w:rFonts w:hint="default" w:ascii="Times New Roman" w:hAnsi="Times New Roman" w:eastAsia="宋体" w:cs="Times New Roman"/>
                      <w:b w:val="0"/>
                      <w:bCs w:val="0"/>
                      <w:color w:val="auto"/>
                      <w:sz w:val="21"/>
                      <w:szCs w:val="21"/>
                      <w:lang w:val="en-US"/>
                    </w:rPr>
                    <w:t xml:space="preserve"> 900-</w:t>
                  </w:r>
                  <w:r>
                    <w:rPr>
                      <w:rFonts w:hint="eastAsia" w:cs="Times New Roman"/>
                      <w:b w:val="0"/>
                      <w:bCs w:val="0"/>
                      <w:color w:val="auto"/>
                      <w:sz w:val="21"/>
                      <w:szCs w:val="21"/>
                      <w:lang w:val="en-US" w:eastAsia="zh-CN"/>
                    </w:rPr>
                    <w:t>249</w:t>
                  </w:r>
                  <w:r>
                    <w:rPr>
                      <w:rFonts w:hint="default" w:ascii="Times New Roman" w:hAnsi="Times New Roman" w:eastAsia="宋体" w:cs="Times New Roman"/>
                      <w:b w:val="0"/>
                      <w:bCs w:val="0"/>
                      <w:color w:val="auto"/>
                      <w:sz w:val="21"/>
                      <w:szCs w:val="21"/>
                      <w:lang w:val="en-US"/>
                    </w:rPr>
                    <w:t>-08</w:t>
                  </w:r>
                  <w:r>
                    <w:rPr>
                      <w:rFonts w:hint="default" w:ascii="Times New Roman" w:hAnsi="Times New Roman" w:eastAsia="宋体" w:cs="Times New Roman"/>
                      <w:b w:val="0"/>
                      <w:bCs w:val="0"/>
                      <w:color w:val="auto"/>
                      <w:sz w:val="21"/>
                      <w:szCs w:val="21"/>
                      <w:lang w:val="en-US" w:eastAsia="zh-CN"/>
                    </w:rPr>
                    <w:t>）</w:t>
                  </w:r>
                </w:p>
              </w:tc>
              <w:tc>
                <w:tcPr>
                  <w:tcW w:w="728" w:type="pct"/>
                  <w:tcBorders>
                    <w:bottom w:val="single" w:color="auto" w:sz="4" w:space="0"/>
                    <w:tl2br w:val="nil"/>
                    <w:tr2bl w:val="nil"/>
                  </w:tcBorders>
                  <w:noWrap w:val="0"/>
                  <w:vAlign w:val="center"/>
                </w:tcPr>
                <w:p w14:paraId="4795AA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w:t>
                  </w:r>
                </w:p>
              </w:tc>
              <w:tc>
                <w:tcPr>
                  <w:tcW w:w="1583" w:type="pct"/>
                  <w:tcBorders>
                    <w:top w:val="single" w:color="auto" w:sz="4" w:space="0"/>
                    <w:bottom w:val="single" w:color="auto" w:sz="4" w:space="0"/>
                    <w:tl2br w:val="nil"/>
                    <w:tr2bl w:val="nil"/>
                  </w:tcBorders>
                  <w:noWrap w:val="0"/>
                  <w:vAlign w:val="center"/>
                </w:tcPr>
                <w:p w14:paraId="317ED1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暂存于危废暂存间，委托有资质的单位进行处置</w:t>
                  </w:r>
                </w:p>
              </w:tc>
              <w:tc>
                <w:tcPr>
                  <w:tcW w:w="657" w:type="pct"/>
                  <w:tcBorders>
                    <w:tl2br w:val="nil"/>
                    <w:tr2bl w:val="nil"/>
                  </w:tcBorders>
                  <w:noWrap w:val="0"/>
                  <w:vAlign w:val="center"/>
                </w:tcPr>
                <w:p w14:paraId="4B451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w:t>
                  </w:r>
                </w:p>
              </w:tc>
            </w:tr>
            <w:tr w14:paraId="7CFEA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jc w:val="center"/>
              </w:trPr>
              <w:tc>
                <w:tcPr>
                  <w:tcW w:w="5000" w:type="pct"/>
                  <w:gridSpan w:val="6"/>
                  <w:tcBorders>
                    <w:tl2br w:val="nil"/>
                    <w:tr2bl w:val="nil"/>
                  </w:tcBorders>
                  <w:noWrap w:val="0"/>
                  <w:vAlign w:val="center"/>
                </w:tcPr>
                <w:p w14:paraId="29607D3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备注：</w:t>
                  </w:r>
                  <w:r>
                    <w:rPr>
                      <w:rFonts w:hint="default" w:ascii="Times New Roman" w:hAnsi="Times New Roman" w:eastAsia="宋体" w:cs="Times New Roman"/>
                      <w:b w:val="0"/>
                      <w:bCs w:val="0"/>
                      <w:color w:val="auto"/>
                      <w:kern w:val="2"/>
                      <w:sz w:val="21"/>
                      <w:szCs w:val="21"/>
                      <w:lang w:val="zh-CN" w:eastAsia="zh-CN" w:bidi="ar-SA"/>
                    </w:rPr>
                    <w:t>严格按照</w:t>
                  </w:r>
                  <w:r>
                    <w:rPr>
                      <w:rFonts w:hint="default" w:ascii="Times New Roman" w:hAnsi="Times New Roman" w:eastAsia="宋体" w:cs="Times New Roman"/>
                      <w:b w:val="0"/>
                      <w:bCs w:val="0"/>
                      <w:color w:val="auto"/>
                      <w:kern w:val="2"/>
                      <w:sz w:val="21"/>
                      <w:szCs w:val="21"/>
                      <w:lang w:val="en-US" w:eastAsia="zh-CN" w:bidi="ar-SA"/>
                    </w:rPr>
                    <w:t>《危险废物贮存污染控制标准》（GB 18597-2023）</w:t>
                  </w:r>
                  <w:r>
                    <w:rPr>
                      <w:rFonts w:hint="default" w:ascii="Times New Roman" w:hAnsi="Times New Roman" w:eastAsia="宋体" w:cs="Times New Roman"/>
                      <w:b w:val="0"/>
                      <w:bCs w:val="0"/>
                      <w:color w:val="auto"/>
                      <w:kern w:val="2"/>
                      <w:sz w:val="21"/>
                      <w:szCs w:val="21"/>
                      <w:lang w:val="zh-CN" w:eastAsia="zh-CN" w:bidi="ar-SA"/>
                    </w:rPr>
                    <w:t>中的要求建设危废暂存</w:t>
                  </w:r>
                  <w:r>
                    <w:rPr>
                      <w:rFonts w:hint="default" w:ascii="Times New Roman" w:hAnsi="Times New Roman" w:eastAsia="宋体" w:cs="Times New Roman"/>
                      <w:b w:val="0"/>
                      <w:bCs w:val="0"/>
                      <w:color w:val="auto"/>
                      <w:kern w:val="2"/>
                      <w:sz w:val="21"/>
                      <w:szCs w:val="21"/>
                      <w:lang w:val="en-US" w:eastAsia="zh-CN" w:bidi="ar-SA"/>
                    </w:rPr>
                    <w:t>间</w:t>
                  </w:r>
                </w:p>
              </w:tc>
            </w:tr>
          </w:tbl>
          <w:p w14:paraId="3D79F62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、危险废物</w:t>
            </w:r>
            <w:r>
              <w:rPr>
                <w:rFonts w:hint="eastAsia" w:cs="Times New Roman"/>
                <w:b/>
                <w:bCs/>
                <w:color w:val="auto"/>
                <w:sz w:val="24"/>
                <w:szCs w:val="24"/>
                <w:lang w:val="en-US" w:eastAsia="zh-CN"/>
              </w:rPr>
              <w:t>管理</w:t>
            </w:r>
            <w:r>
              <w:rPr>
                <w:rFonts w:hint="eastAsia" w:ascii="Times New Roman" w:hAnsi="Times New Roman" w:eastAsia="宋体" w:cs="Times New Roman"/>
                <w:b/>
                <w:bCs/>
                <w:color w:val="auto"/>
                <w:sz w:val="24"/>
                <w:szCs w:val="24"/>
                <w:lang w:val="en-US" w:eastAsia="zh-CN"/>
              </w:rPr>
              <w:t>要求</w:t>
            </w:r>
          </w:p>
          <w:p w14:paraId="08D1D015">
            <w:pPr>
              <w:pStyle w:val="8"/>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rPr>
              <w:t>本项目</w:t>
            </w:r>
            <w:r>
              <w:rPr>
                <w:rFonts w:hint="default" w:ascii="Times New Roman" w:hAnsi="Times New Roman" w:eastAsia="宋体" w:cs="Times New Roman"/>
                <w:color w:val="auto"/>
                <w:sz w:val="24"/>
                <w:szCs w:val="24"/>
                <w:lang w:val="en-US" w:eastAsia="zh-CN"/>
              </w:rPr>
              <w:t>拟</w:t>
            </w:r>
            <w:r>
              <w:rPr>
                <w:rFonts w:hint="default" w:ascii="Times New Roman" w:hAnsi="Times New Roman" w:eastAsia="宋体" w:cs="Times New Roman"/>
                <w:color w:val="auto"/>
                <w:sz w:val="24"/>
                <w:szCs w:val="24"/>
                <w:lang w:val="en-US"/>
              </w:rPr>
              <w:t>建设1间</w:t>
            </w:r>
            <w:r>
              <w:rPr>
                <w:rFonts w:hint="eastAsia" w:cs="Times New Roman"/>
                <w:color w:val="auto"/>
                <w:sz w:val="24"/>
                <w:szCs w:val="24"/>
                <w:lang w:val="en-US" w:eastAsia="zh-CN"/>
              </w:rPr>
              <w:t>占地面积为5m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的</w:t>
            </w:r>
            <w:r>
              <w:rPr>
                <w:rFonts w:hint="default" w:ascii="Times New Roman" w:hAnsi="Times New Roman" w:eastAsia="宋体" w:cs="Times New Roman"/>
                <w:color w:val="auto"/>
                <w:sz w:val="24"/>
                <w:szCs w:val="24"/>
                <w:lang w:val="en-US"/>
              </w:rPr>
              <w:t>危废暂存间，并</w:t>
            </w:r>
            <w:r>
              <w:rPr>
                <w:rFonts w:hint="default" w:ascii="Times New Roman" w:hAnsi="Times New Roman" w:eastAsia="宋体" w:cs="Times New Roman"/>
                <w:color w:val="auto"/>
                <w:sz w:val="24"/>
                <w:szCs w:val="24"/>
              </w:rPr>
              <w:t>严格按照《危险废物贮存污染控制标准》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w:t>
            </w:r>
            <w:r>
              <w:rPr>
                <w:rFonts w:hint="default" w:ascii="Times New Roman" w:hAnsi="Times New Roman" w:eastAsia="宋体" w:cs="Times New Roman"/>
                <w:color w:val="auto"/>
                <w:sz w:val="24"/>
                <w:szCs w:val="24"/>
                <w:lang w:val="en-US"/>
              </w:rPr>
              <w:t xml:space="preserve"> </w:t>
            </w:r>
            <w:r>
              <w:rPr>
                <w:rFonts w:hint="default" w:ascii="Times New Roman" w:hAnsi="Times New Roman" w:eastAsia="宋体" w:cs="Times New Roman"/>
                <w:color w:val="auto"/>
                <w:sz w:val="24"/>
                <w:szCs w:val="24"/>
              </w:rPr>
              <w:t>18597-20</w:t>
            </w:r>
            <w:r>
              <w:rPr>
                <w:rFonts w:hint="default" w:ascii="Times New Roman" w:hAnsi="Times New Roman" w:eastAsia="宋体" w:cs="Times New Roman"/>
                <w:color w:val="auto"/>
                <w:sz w:val="24"/>
                <w:szCs w:val="24"/>
                <w:lang w:val="en-US"/>
              </w:rPr>
              <w:t>23</w:t>
            </w:r>
            <w:r>
              <w:rPr>
                <w:rFonts w:hint="default" w:ascii="Times New Roman" w:hAnsi="Times New Roman" w:eastAsia="宋体" w:cs="Times New Roman"/>
                <w:color w:val="auto"/>
                <w:sz w:val="24"/>
                <w:szCs w:val="24"/>
              </w:rPr>
              <w:t>）的要求做好“</w:t>
            </w:r>
            <w:r>
              <w:rPr>
                <w:rFonts w:hint="eastAsia" w:cs="Times New Roman"/>
                <w:color w:val="auto"/>
                <w:sz w:val="24"/>
                <w:szCs w:val="24"/>
                <w:lang w:val="en-US" w:eastAsia="zh-CN"/>
              </w:rPr>
              <w:t>六</w:t>
            </w:r>
            <w:r>
              <w:rPr>
                <w:rFonts w:hint="default" w:ascii="Times New Roman" w:hAnsi="Times New Roman" w:eastAsia="宋体" w:cs="Times New Roman"/>
                <w:color w:val="auto"/>
                <w:sz w:val="24"/>
                <w:szCs w:val="24"/>
              </w:rPr>
              <w:t>防”措施（防风、防晒、防雨、防漏、防渗、防腐），具备完善的防渗措施和渗漏收集措施，同时按照《环境保护图形标志》(GB</w:t>
            </w:r>
            <w:r>
              <w:rPr>
                <w:rFonts w:hint="default" w:ascii="Times New Roman" w:hAnsi="Times New Roman" w:eastAsia="宋体" w:cs="Times New Roman"/>
                <w:color w:val="auto"/>
                <w:sz w:val="24"/>
                <w:szCs w:val="24"/>
                <w:lang w:val="en-US"/>
              </w:rPr>
              <w:t xml:space="preserve"> </w:t>
            </w:r>
            <w:r>
              <w:rPr>
                <w:rFonts w:hint="default" w:ascii="Times New Roman" w:hAnsi="Times New Roman" w:eastAsia="宋体" w:cs="Times New Roman"/>
                <w:color w:val="auto"/>
                <w:sz w:val="24"/>
                <w:szCs w:val="24"/>
              </w:rPr>
              <w:t>15562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-1995）</w:t>
            </w:r>
            <w:r>
              <w:rPr>
                <w:rFonts w:hint="default" w:ascii="Times New Roman" w:hAnsi="Times New Roman" w:eastAsia="宋体" w:cs="Times New Roman"/>
                <w:color w:val="auto"/>
                <w:sz w:val="24"/>
                <w:szCs w:val="24"/>
                <w:lang w:val="en-US" w:eastAsia="zh-CN"/>
              </w:rPr>
              <w:t>及修改单</w:t>
            </w:r>
            <w:r>
              <w:rPr>
                <w:rFonts w:hint="default" w:ascii="Times New Roman" w:hAnsi="Times New Roman" w:eastAsia="宋体" w:cs="Times New Roman"/>
                <w:color w:val="auto"/>
                <w:sz w:val="24"/>
                <w:szCs w:val="24"/>
              </w:rPr>
              <w:t>的规定设置警示标志，周围设置围墙和其他防护栅栏；配备通讯设备、照明设施、安全防护服装及工具，并设有应急防护设施等。另外，本环评对危废暂存、转移和处置提出如下措施：</w:t>
            </w:r>
          </w:p>
          <w:p w14:paraId="63A60527">
            <w:pPr>
              <w:pStyle w:val="8"/>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遵守危险废物申报登记制度，建立并严格落实危险废物管理台账制度，转移过程应遵从《</w:t>
            </w:r>
            <w:r>
              <w:rPr>
                <w:rFonts w:hint="default" w:ascii="Times New Roman" w:hAnsi="Times New Roman" w:eastAsia="宋体" w:cs="Times New Roman"/>
                <w:color w:val="auto"/>
                <w:sz w:val="24"/>
                <w:szCs w:val="24"/>
                <w:lang w:eastAsia="zh-CN"/>
              </w:rPr>
              <w:t>危险废物转移管理办法</w:t>
            </w:r>
            <w:r>
              <w:rPr>
                <w:rFonts w:hint="default" w:ascii="Times New Roman" w:hAnsi="Times New Roman" w:eastAsia="宋体" w:cs="Times New Roman"/>
                <w:color w:val="auto"/>
                <w:sz w:val="24"/>
                <w:szCs w:val="24"/>
              </w:rPr>
              <w:t>》及其他有关规定的要求，办理转移联单，危废接收单位应持有危废处置的资质，确保该类废物的有效处置，避免二次污染产生。</w:t>
            </w:r>
          </w:p>
          <w:p w14:paraId="1647A55A">
            <w:pPr>
              <w:pStyle w:val="8"/>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w:t>
            </w:r>
            <w:r>
              <w:rPr>
                <w:rFonts w:hint="default" w:ascii="Times New Roman" w:hAnsi="Times New Roman" w:eastAsia="宋体" w:cs="Times New Roman"/>
                <w:color w:val="auto"/>
                <w:sz w:val="24"/>
                <w:szCs w:val="24"/>
                <w:lang w:val="en-US" w:eastAsia="zh-CN"/>
              </w:rPr>
              <w:t>五</w:t>
            </w:r>
            <w:r>
              <w:rPr>
                <w:rFonts w:hint="default" w:ascii="Times New Roman" w:hAnsi="Times New Roman" w:eastAsia="宋体" w:cs="Times New Roman"/>
                <w:color w:val="auto"/>
                <w:sz w:val="24"/>
                <w:szCs w:val="24"/>
              </w:rPr>
              <w:t>年。设置专职管理人员进行规范化管理。</w:t>
            </w:r>
          </w:p>
          <w:p w14:paraId="248BF2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zh-CN"/>
              </w:rPr>
              <w:t>严格按照</w:t>
            </w:r>
            <w:r>
              <w:rPr>
                <w:rFonts w:hint="default" w:ascii="Times New Roman" w:hAnsi="Times New Roman" w:eastAsia="宋体" w:cs="Times New Roman"/>
                <w:color w:val="auto"/>
                <w:sz w:val="24"/>
                <w:szCs w:val="24"/>
              </w:rPr>
              <w:t>《危险废物贮存污染控制标准》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 18597-2023）</w:t>
            </w:r>
            <w:r>
              <w:rPr>
                <w:rFonts w:hint="default" w:ascii="Times New Roman" w:hAnsi="Times New Roman" w:eastAsia="宋体" w:cs="Times New Roman"/>
                <w:color w:val="auto"/>
                <w:sz w:val="24"/>
                <w:szCs w:val="24"/>
                <w:lang w:val="zh-CN"/>
              </w:rPr>
              <w:t>中的要求建设危废暂存</w:t>
            </w:r>
            <w:r>
              <w:rPr>
                <w:rFonts w:hint="default" w:ascii="Times New Roman" w:hAnsi="Times New Roman" w:eastAsia="宋体" w:cs="Times New Roman"/>
                <w:color w:val="auto"/>
                <w:sz w:val="24"/>
                <w:szCs w:val="24"/>
              </w:rPr>
              <w:t>间</w:t>
            </w:r>
            <w:r>
              <w:rPr>
                <w:rFonts w:hint="default" w:ascii="Times New Roman" w:hAnsi="Times New Roman" w:eastAsia="宋体" w:cs="Times New Roman"/>
                <w:color w:val="auto"/>
                <w:sz w:val="24"/>
                <w:szCs w:val="24"/>
                <w:lang w:val="zh-CN"/>
              </w:rPr>
              <w:t>，严格落实《报告</w:t>
            </w:r>
            <w:r>
              <w:rPr>
                <w:rFonts w:hint="default"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zh-CN"/>
              </w:rPr>
              <w:t>》要求的防渗措施、健全管理制度的条件下，对外环境产生影响可控。</w:t>
            </w:r>
          </w:p>
          <w:p w14:paraId="1964F40C">
            <w:pPr>
              <w:keepNext w:val="0"/>
              <w:keepLines/>
              <w:pageBreakBefore w:val="0"/>
              <w:widowControl/>
              <w:suppressLineNumbers w:val="0"/>
              <w:kinsoku/>
              <w:wordWrap/>
              <w:overflowPunct/>
              <w:topLinePunct w:val="0"/>
              <w:autoSpaceDE/>
              <w:autoSpaceDN/>
              <w:bidi w:val="0"/>
              <w:adjustRightInd/>
              <w:snapToGrid/>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）危险废物</w:t>
            </w:r>
            <w:r>
              <w:rPr>
                <w:rFonts w:hint="default" w:ascii="Times New Roman" w:hAnsi="Times New Roman" w:eastAsia="宋体" w:cs="Times New Roman"/>
                <w:color w:val="auto"/>
                <w:sz w:val="24"/>
              </w:rPr>
              <w:t>贮存设施地面与裙脚应采取表面防渗措施</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表面防渗材料应与所接触的物料或污染物相容，可采用抗渗混凝土、高密度聚乙烯膜、钠基膨润土防水毯或其他防渗性能等效的材料。贮存的危险废物直接接触地面的，还应进行基础防渗，防渗层为至少1 m厚黏土层</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渗透系数不大于10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，或至少2 mm厚高密度聚乙烯膜等人工防渗材料</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渗透系数不大于10</w:t>
            </w:r>
            <w:r>
              <w:rPr>
                <w:rFonts w:hint="default" w:ascii="Times New Roman" w:hAnsi="Times New Roman" w:eastAsia="宋体" w:cs="Times New Roman"/>
                <w:color w:val="auto"/>
                <w:sz w:val="24"/>
                <w:vertAlign w:val="superscript"/>
                <w:lang w:val="en-US" w:eastAsia="zh-CN"/>
              </w:rPr>
              <w:t>-10</w:t>
            </w:r>
            <w:r>
              <w:rPr>
                <w:rFonts w:hint="default" w:ascii="Times New Roman" w:hAnsi="Times New Roman" w:eastAsia="宋体" w:cs="Times New Roman"/>
                <w:color w:val="auto"/>
                <w:sz w:val="24"/>
              </w:rPr>
              <w:t>cm/s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，或其他防渗性能等效的材料。</w:t>
            </w:r>
          </w:p>
          <w:p w14:paraId="0C3F7042">
            <w:pPr>
              <w:keepNext w:val="0"/>
              <w:keepLines/>
              <w:pageBreakBefore w:val="0"/>
              <w:widowControl/>
              <w:suppressLineNumbers w:val="0"/>
              <w:kinsoku/>
              <w:wordWrap/>
              <w:overflowPunct/>
              <w:topLinePunct w:val="0"/>
              <w:autoSpaceDE/>
              <w:autoSpaceDN/>
              <w:bidi w:val="0"/>
              <w:adjustRightInd/>
              <w:snapToGrid/>
              <w:ind w:firstLine="480" w:firstLineChars="200"/>
              <w:jc w:val="left"/>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5</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kern w:val="0"/>
                <w:sz w:val="24"/>
                <w:szCs w:val="24"/>
                <w:lang w:val="en-US" w:eastAsia="zh-CN" w:bidi="ar"/>
              </w:rPr>
              <w:t>对危险废物的容器或包装物以及收集、贮存、运输、处置危险废物的设施、场所，必须设置危险废物识别标志。</w:t>
            </w:r>
            <w:r>
              <w:rPr>
                <w:rFonts w:hint="default" w:ascii="Times New Roman" w:hAnsi="Times New Roman" w:eastAsia="宋体" w:cs="Times New Roman"/>
                <w:color w:val="auto"/>
                <w:sz w:val="24"/>
                <w:szCs w:val="24"/>
              </w:rPr>
              <w:t>盛装危险废物的容器上必须粘贴符合</w:t>
            </w:r>
            <w:r>
              <w:rPr>
                <w:rFonts w:hint="default" w:ascii="Times New Roman" w:hAnsi="Times New Roman" w:eastAsia="宋体" w:cs="Times New Roman"/>
                <w:color w:val="auto"/>
                <w:sz w:val="24"/>
              </w:rPr>
              <w:t>《危险废物贮存污染控制标准》（GB 18597-</w:t>
            </w:r>
            <w:r>
              <w:rPr>
                <w:rFonts w:hint="default" w:ascii="Times New Roman" w:hAnsi="Times New Roman" w:eastAsia="宋体" w:cs="Times New Roman"/>
                <w:color w:val="auto"/>
                <w:sz w:val="24"/>
                <w:lang w:val="en-US" w:eastAsia="zh-CN"/>
              </w:rPr>
              <w:t>2023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相关</w:t>
            </w:r>
            <w:r>
              <w:rPr>
                <w:rFonts w:hint="default" w:ascii="Times New Roman" w:hAnsi="Times New Roman" w:eastAsia="宋体" w:cs="Times New Roman"/>
                <w:color w:val="auto"/>
                <w:sz w:val="24"/>
                <w:szCs w:val="24"/>
                <w:lang w:bidi="ar"/>
              </w:rPr>
              <w:t>要求</w:t>
            </w:r>
            <w:r>
              <w:rPr>
                <w:rFonts w:hint="default" w:ascii="Times New Roman" w:hAnsi="Times New Roman" w:eastAsia="宋体" w:cs="Times New Roman"/>
                <w:color w:val="auto"/>
                <w:sz w:val="24"/>
                <w:szCs w:val="24"/>
                <w:lang w:eastAsia="zh-CN"/>
              </w:rPr>
              <w:t>。</w:t>
            </w:r>
          </w:p>
          <w:p w14:paraId="4722C5F4">
            <w:pPr>
              <w:pStyle w:val="27"/>
              <w:keepNext w:val="0"/>
              <w:keepLines/>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outlineLvl w:val="9"/>
              <w:rPr>
                <w:rFonts w:hint="eastAsia"/>
                <w:color w:val="auto"/>
                <w:lang w:val="en-US" w:eastAsia="zh-CN"/>
              </w:rPr>
            </w:pP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建设单位应结合自身实际生产情况，如实记载危险废物的种类、产生量、流向、贮存、利用处置等信息，定期汇总，并分类装订成册，由专人管理，防止遗失。可通过“固体废物管理信息平台”对危险废物管理台账进行信息化管理。具体要求详见《危险废物产生单位建立台账的要求》，一般工业固体废物参照执行。</w:t>
            </w:r>
          </w:p>
          <w:p w14:paraId="7AE28175">
            <w:pPr>
              <w:pStyle w:val="96"/>
              <w:keepNext w:val="0"/>
              <w:keepLines/>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bCs/>
                <w:color w:val="auto"/>
                <w:szCs w:val="24"/>
              </w:rPr>
            </w:pPr>
            <w:r>
              <w:rPr>
                <w:rFonts w:hint="eastAsia" w:cs="Times New Roman"/>
                <w:b/>
                <w:bCs/>
                <w:color w:val="auto"/>
                <w:szCs w:val="24"/>
                <w:lang w:val="en-US" w:eastAsia="zh-CN"/>
              </w:rPr>
              <w:t>五、</w:t>
            </w:r>
            <w:r>
              <w:rPr>
                <w:rFonts w:hint="default" w:ascii="Times New Roman" w:hAnsi="Times New Roman" w:cs="Times New Roman"/>
                <w:b/>
                <w:bCs/>
                <w:color w:val="auto"/>
                <w:szCs w:val="24"/>
              </w:rPr>
              <w:t>土壤、地下水环境影响</w:t>
            </w:r>
          </w:p>
          <w:p w14:paraId="1ABA2CC7">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1、项目对土壤、地下水影响情况分析</w:t>
            </w:r>
          </w:p>
          <w:p w14:paraId="2F86784E">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color w:val="auto"/>
                <w:sz w:val="24"/>
              </w:rPr>
              <w:t>本项目为</w:t>
            </w:r>
            <w:r>
              <w:rPr>
                <w:rFonts w:hint="eastAsia" w:cs="Times New Roman"/>
                <w:color w:val="auto"/>
                <w:sz w:val="24"/>
                <w:lang w:val="en-US" w:eastAsia="zh-CN"/>
              </w:rPr>
              <w:t>配煤</w:t>
            </w:r>
            <w:r>
              <w:rPr>
                <w:rFonts w:hint="default" w:ascii="Times New Roman" w:hAnsi="Times New Roman" w:cs="Times New Roman"/>
                <w:color w:val="auto"/>
                <w:sz w:val="24"/>
              </w:rPr>
              <w:t>项目，</w:t>
            </w:r>
            <w:r>
              <w:rPr>
                <w:rFonts w:hint="eastAsia" w:cs="Times New Roman"/>
                <w:color w:val="auto"/>
                <w:sz w:val="24"/>
                <w:lang w:val="en-US" w:eastAsia="zh-CN"/>
              </w:rPr>
              <w:t>利用不同品质的无烟煤进行混配，</w:t>
            </w:r>
            <w:r>
              <w:rPr>
                <w:rFonts w:hint="eastAsia"/>
                <w:color w:val="auto"/>
                <w:spacing w:val="-5"/>
                <w:lang w:val="en-US" w:eastAsia="zh-CN"/>
              </w:rPr>
              <w:t>不涉及采煤、选煤、洗煤和破碎工序，项目利用</w:t>
            </w:r>
            <w:r>
              <w:rPr>
                <w:rFonts w:hint="eastAsia" w:cs="Times New Roman"/>
                <w:color w:val="auto"/>
                <w:lang w:eastAsia="zh-CN"/>
              </w:rPr>
              <w:t>玉溪利东商贸有限公司</w:t>
            </w:r>
            <w:r>
              <w:rPr>
                <w:rFonts w:hint="eastAsia" w:cs="Times New Roman"/>
                <w:color w:val="auto"/>
                <w:kern w:val="2"/>
                <w:sz w:val="24"/>
                <w:szCs w:val="24"/>
                <w:lang w:val="en-US" w:eastAsia="zh-CN" w:bidi="ar-SA"/>
              </w:rPr>
              <w:t>已建设完成的封闭式</w:t>
            </w:r>
            <w:r>
              <w:rPr>
                <w:rFonts w:hint="eastAsia"/>
                <w:color w:val="auto"/>
                <w:spacing w:val="-5"/>
                <w:lang w:val="en-US" w:eastAsia="zh-CN"/>
              </w:rPr>
              <w:t>生产车间（占地面积为1000m</w:t>
            </w:r>
            <w:r>
              <w:rPr>
                <w:rFonts w:hint="eastAsia"/>
                <w:color w:val="auto"/>
                <w:spacing w:val="-5"/>
                <w:vertAlign w:val="superscript"/>
                <w:lang w:val="en-US" w:eastAsia="zh-CN"/>
              </w:rPr>
              <w:t>2</w:t>
            </w:r>
            <w:r>
              <w:rPr>
                <w:rFonts w:hint="eastAsia"/>
                <w:color w:val="auto"/>
                <w:spacing w:val="-5"/>
                <w:lang w:val="en-US" w:eastAsia="zh-CN"/>
              </w:rPr>
              <w:t>）进行布设，</w:t>
            </w:r>
            <w:r>
              <w:rPr>
                <w:rFonts w:hint="default" w:ascii="Times New Roman" w:hAnsi="Times New Roman" w:eastAsia="宋体" w:cs="Times New Roman"/>
                <w:color w:val="auto"/>
              </w:rPr>
              <w:t>不新增占地</w:t>
            </w:r>
            <w:r>
              <w:rPr>
                <w:rFonts w:hint="eastAsia" w:ascii="Times New Roman" w:hAnsi="Times New Roman" w:eastAsia="宋体" w:cs="Times New Roman"/>
                <w:color w:val="auto"/>
                <w:lang w:eastAsia="zh-CN"/>
              </w:rPr>
              <w:t>，</w:t>
            </w:r>
            <w:r>
              <w:rPr>
                <w:rFonts w:hint="eastAsia" w:cs="Times New Roman"/>
                <w:color w:val="auto"/>
                <w:sz w:val="24"/>
                <w:lang w:eastAsia="zh-CN"/>
              </w:rPr>
              <w:t>生产线均布设于</w:t>
            </w:r>
            <w:r>
              <w:rPr>
                <w:rFonts w:hint="eastAsia" w:cs="Times New Roman"/>
                <w:color w:val="auto"/>
                <w:sz w:val="24"/>
                <w:lang w:val="en-US" w:eastAsia="zh-CN"/>
              </w:rPr>
              <w:t>封闭的生产车间内，</w:t>
            </w:r>
            <w:r>
              <w:rPr>
                <w:rFonts w:hint="default" w:ascii="Times New Roman" w:hAnsi="Times New Roman" w:cs="Times New Roman"/>
                <w:color w:val="auto"/>
                <w:sz w:val="24"/>
              </w:rPr>
              <w:t>厂区地面进行</w:t>
            </w:r>
            <w:r>
              <w:rPr>
                <w:rFonts w:hint="eastAsia" w:cs="Times New Roman"/>
                <w:color w:val="auto"/>
                <w:sz w:val="24"/>
                <w:lang w:val="en-US" w:eastAsia="zh-CN"/>
              </w:rPr>
              <w:t>了</w:t>
            </w:r>
            <w:r>
              <w:rPr>
                <w:rFonts w:hint="default" w:ascii="Times New Roman" w:hAnsi="Times New Roman" w:cs="Times New Roman"/>
                <w:color w:val="auto"/>
                <w:sz w:val="24"/>
              </w:rPr>
              <w:t>硬化</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布设了洒水降尘设施</w:t>
            </w:r>
            <w:r>
              <w:rPr>
                <w:rFonts w:hint="eastAsia" w:cs="Times New Roman"/>
                <w:color w:val="auto"/>
                <w:sz w:val="24"/>
                <w:lang w:val="en-US" w:eastAsia="zh-CN"/>
              </w:rPr>
              <w:t>（</w:t>
            </w:r>
            <w:r>
              <w:rPr>
                <w:rFonts w:hint="eastAsia" w:ascii="Times New Roman" w:hAnsi="Times New Roman" w:cs="Times New Roman"/>
                <w:caps w:val="0"/>
                <w:color w:val="auto"/>
                <w:sz w:val="24"/>
                <w:szCs w:val="24"/>
                <w:highlight w:val="none"/>
                <w:lang w:val="en-US" w:eastAsia="zh-CN"/>
              </w:rPr>
              <w:t>通过在</w:t>
            </w:r>
            <w:r>
              <w:rPr>
                <w:rFonts w:hint="eastAsia" w:ascii="Times New Roman" w:hAnsi="Times New Roman" w:eastAsia="宋体" w:cs="Times New Roman"/>
                <w:caps w:val="0"/>
                <w:color w:val="auto"/>
                <w:sz w:val="24"/>
                <w:szCs w:val="24"/>
                <w:highlight w:val="none"/>
                <w:lang w:val="en-US" w:eastAsia="zh-CN"/>
              </w:rPr>
              <w:t>车间上方布设管道进行洒水降尘，每间隔10</w:t>
            </w:r>
            <w:r>
              <w:rPr>
                <w:rFonts w:hint="default" w:ascii="Times New Roman" w:hAnsi="Times New Roman" w:eastAsia="宋体" w:cs="Times New Roman"/>
                <w:caps w:val="0"/>
                <w:color w:val="auto"/>
                <w:sz w:val="24"/>
                <w:szCs w:val="24"/>
                <w:highlight w:val="none"/>
                <w:lang w:val="en-US" w:eastAsia="zh-CN"/>
              </w:rPr>
              <w:t>米设置一个喷头</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，车辆清洗废水经</w:t>
            </w:r>
            <w:r>
              <w:rPr>
                <w:rFonts w:hint="eastAsia" w:cs="Times New Roman"/>
                <w:color w:val="auto"/>
                <w:sz w:val="24"/>
                <w:lang w:val="en-US" w:eastAsia="zh-CN"/>
              </w:rPr>
              <w:t>三</w:t>
            </w:r>
            <w:r>
              <w:rPr>
                <w:rFonts w:hint="eastAsia" w:ascii="Times New Roman" w:hAnsi="Times New Roman" w:cs="Times New Roman"/>
                <w:color w:val="auto"/>
                <w:sz w:val="24"/>
                <w:lang w:val="en-US" w:eastAsia="zh-CN"/>
              </w:rPr>
              <w:t>级沉淀池处理后，</w:t>
            </w:r>
            <w:r>
              <w:rPr>
                <w:rFonts w:hint="eastAsia" w:cs="Times New Roman"/>
                <w:color w:val="auto"/>
                <w:sz w:val="24"/>
                <w:lang w:val="en-US" w:eastAsia="zh-CN"/>
              </w:rPr>
              <w:t>循环使用</w:t>
            </w:r>
            <w:r>
              <w:rPr>
                <w:rFonts w:hint="eastAsia" w:ascii="Times New Roman" w:hAnsi="Times New Roman" w:cs="Times New Roman"/>
                <w:color w:val="auto"/>
                <w:sz w:val="24"/>
                <w:lang w:val="en-US" w:eastAsia="zh-CN"/>
              </w:rPr>
              <w:t>，不外排，项目</w:t>
            </w:r>
            <w:r>
              <w:rPr>
                <w:rFonts w:hint="default" w:ascii="Times New Roman" w:hAnsi="Times New Roman" w:eastAsia="宋体" w:cs="Times New Roman"/>
                <w:color w:val="auto"/>
                <w:sz w:val="24"/>
                <w:lang w:eastAsia="zh-CN"/>
              </w:rPr>
              <w:t>生活污水</w:t>
            </w:r>
            <w:r>
              <w:rPr>
                <w:rFonts w:hint="eastAsia" w:cs="Times New Roman"/>
                <w:color w:val="auto"/>
                <w:sz w:val="24"/>
                <w:lang w:val="en-US" w:eastAsia="zh-CN"/>
              </w:rPr>
              <w:t>经</w:t>
            </w:r>
            <w:r>
              <w:rPr>
                <w:rFonts w:hint="default" w:ascii="Times New Roman" w:hAnsi="Times New Roman" w:eastAsia="宋体" w:cs="Times New Roman"/>
                <w:color w:val="auto"/>
                <w:sz w:val="24"/>
                <w:lang w:val="en-US" w:eastAsia="zh-CN"/>
              </w:rPr>
              <w:t>2m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/d的一体化污水处理设施处理达标后，晴天回用于厂区绿化，不外排，雨天暂存于中水池（5m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），待晴天后回用于厂区绿化，不外排</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项目初期雨水经厂区雨水管网排至初期雨水收集池（容积为60m</w:t>
            </w:r>
            <w:r>
              <w:rPr>
                <w:rFonts w:hint="eastAsia" w:cs="Times New Roman"/>
                <w:color w:val="auto"/>
                <w:sz w:val="24"/>
                <w:vertAlign w:val="superscript"/>
                <w:lang w:val="en-US" w:eastAsia="zh-CN"/>
              </w:rPr>
              <w:t>3</w:t>
            </w:r>
            <w:r>
              <w:rPr>
                <w:rFonts w:hint="eastAsia" w:cs="Times New Roman"/>
                <w:color w:val="auto"/>
                <w:sz w:val="24"/>
                <w:lang w:val="en-US" w:eastAsia="zh-CN"/>
              </w:rPr>
              <w:t>），经沉淀后回用于厂区洒水降尘，不外排，对</w:t>
            </w:r>
            <w:r>
              <w:rPr>
                <w:rFonts w:hint="default" w:ascii="Times New Roman" w:hAnsi="Times New Roman" w:cs="Times New Roman"/>
                <w:color w:val="auto"/>
                <w:sz w:val="24"/>
              </w:rPr>
              <w:t>土壤、地下水环境</w:t>
            </w:r>
            <w:r>
              <w:rPr>
                <w:rFonts w:hint="eastAsia" w:cs="Times New Roman"/>
                <w:color w:val="auto"/>
                <w:sz w:val="24"/>
                <w:lang w:val="en-US" w:eastAsia="zh-CN"/>
              </w:rPr>
              <w:t>影响较小。</w:t>
            </w:r>
          </w:p>
          <w:p w14:paraId="2F3B4650">
            <w:pPr>
              <w:keepNext w:val="0"/>
              <w:keepLines/>
              <w:pageBreakBefore w:val="0"/>
              <w:kinsoku/>
              <w:overflowPunct/>
              <w:bidi w:val="0"/>
              <w:adjustRightInd/>
              <w:spacing w:line="360" w:lineRule="auto"/>
              <w:ind w:firstLine="480" w:firstLineChars="200"/>
              <w:rPr>
                <w:rFonts w:hint="default" w:ascii="Times New Roman" w:hAnsi="Times New Roman" w:cs="Times New Roman"/>
                <w:b w:val="0"/>
                <w:bCs w:val="0"/>
                <w:color w:val="auto"/>
                <w:sz w:val="24"/>
              </w:rPr>
            </w:pPr>
            <w:r>
              <w:rPr>
                <w:rFonts w:hint="eastAsia" w:cs="Times New Roman"/>
                <w:b w:val="0"/>
                <w:bCs w:val="0"/>
                <w:color w:val="auto"/>
                <w:sz w:val="24"/>
                <w:lang w:val="en-US" w:eastAsia="zh-CN"/>
              </w:rPr>
              <w:t>2、</w:t>
            </w:r>
            <w:r>
              <w:rPr>
                <w:rFonts w:hint="default" w:ascii="Times New Roman" w:hAnsi="Times New Roman" w:cs="Times New Roman"/>
                <w:b w:val="0"/>
                <w:bCs w:val="0"/>
                <w:color w:val="auto"/>
                <w:sz w:val="24"/>
              </w:rPr>
              <w:t>土壤、地下水保护措施</w:t>
            </w:r>
          </w:p>
          <w:p w14:paraId="2629EDD3">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（1）项目建设过程中采取防渗措施可有效防止风险物质下渗进入地下水，通过加强定期检查消除污染隐患；危废暂存间严格按照</w:t>
            </w:r>
            <w:r>
              <w:rPr>
                <w:rFonts w:hint="default" w:ascii="Times New Roman" w:hAnsi="Times New Roman" w:eastAsia="宋体" w:cs="Times New Roman"/>
                <w:bCs/>
                <w:color w:val="auto"/>
                <w:sz w:val="24"/>
                <w:szCs w:val="24"/>
              </w:rPr>
              <w:t>GB18597-2023《危险废物贮存污染控制标准》的相关要求建设，做好防扬散、防流失、防渗漏等措施</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 w:val="0"/>
                <w:bCs w:val="0"/>
                <w:color w:val="auto"/>
                <w:kern w:val="2"/>
                <w:sz w:val="24"/>
                <w:szCs w:val="24"/>
                <w:lang w:val="en-US" w:eastAsia="zh-CN" w:bidi="ar-SA"/>
              </w:rPr>
              <w:t>发现有污染物泄漏或渗漏，及时修补。</w:t>
            </w:r>
          </w:p>
          <w:p w14:paraId="391FDD9F">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2）本项目产生的危险废物经收集后暂存于危废暂存间，危废暂存间地面防渗，设置围堰并铺设防水漆；本项目危险废物收集于收集桶中，且产生量不大，若发生泄漏事故，经危废暂存间围堰收集后，可将风险控制在危废暂存间内，对周边环境影响较小。</w:t>
            </w:r>
          </w:p>
          <w:p w14:paraId="61318BF0">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（3）本次环评提出项目厂区进行硬化处理，整个生产工序均布设在封闭的生产车间内，车间内布设洒水降尘装置，严格按照分区防渗要求进行厂区防渗，严禁项目原料煤和成品煤露天堆存</w:t>
            </w:r>
            <w:r>
              <w:rPr>
                <w:rFonts w:hint="eastAsia" w:cs="Times New Roman"/>
                <w:b w:val="0"/>
                <w:bCs w:val="0"/>
                <w:color w:val="auto"/>
                <w:kern w:val="2"/>
                <w:sz w:val="24"/>
                <w:szCs w:val="24"/>
                <w:lang w:val="en-US" w:eastAsia="zh-CN" w:bidi="ar-SA"/>
              </w:rPr>
              <w:t>。</w:t>
            </w:r>
          </w:p>
          <w:p w14:paraId="28E6F494">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综上所述，本项目的建设运行对土壤、地下水影响可控。</w:t>
            </w:r>
            <w:r>
              <w:rPr>
                <w:rFonts w:hint="eastAsia" w:cs="Times New Roman"/>
                <w:b w:val="0"/>
                <w:bCs w:val="0"/>
                <w:color w:val="auto"/>
                <w:kern w:val="2"/>
                <w:sz w:val="24"/>
                <w:szCs w:val="24"/>
                <w:lang w:val="en-US" w:eastAsia="zh-CN" w:bidi="ar-SA"/>
              </w:rPr>
              <w:t>本项目分区防渗区一览表详见下表。</w:t>
            </w:r>
          </w:p>
          <w:p w14:paraId="76EB39EE">
            <w:pPr>
              <w:pStyle w:val="17"/>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表4-13 </w:t>
            </w:r>
            <w:r>
              <w:rPr>
                <w:rFonts w:hint="default" w:ascii="Times New Roman" w:hAnsi="Times New Roman" w:eastAsia="宋体" w:cs="Times New Roman"/>
                <w:b/>
                <w:bCs/>
                <w:color w:val="auto"/>
                <w:sz w:val="24"/>
                <w:szCs w:val="24"/>
              </w:rPr>
              <w:t>项目分区防渗措施</w:t>
            </w:r>
            <w:r>
              <w:rPr>
                <w:rFonts w:hint="eastAsia" w:ascii="Times New Roman" w:hAnsi="Times New Roman" w:eastAsia="宋体" w:cs="Times New Roman"/>
                <w:b/>
                <w:bCs/>
                <w:color w:val="auto"/>
                <w:sz w:val="24"/>
                <w:szCs w:val="24"/>
                <w:lang w:val="en-US" w:eastAsia="zh-CN"/>
              </w:rPr>
              <w:t>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47"/>
              <w:gridCol w:w="2955"/>
              <w:gridCol w:w="3634"/>
            </w:tblGrid>
            <w:tr w14:paraId="08F0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5" w:type="pct"/>
                  <w:tcBorders>
                    <w:tl2br w:val="nil"/>
                    <w:tr2bl w:val="nil"/>
                  </w:tcBorders>
                  <w:noWrap w:val="0"/>
                  <w:vAlign w:val="center"/>
                </w:tcPr>
                <w:p w14:paraId="1829EB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防渗分区</w:t>
                  </w:r>
                </w:p>
              </w:tc>
              <w:tc>
                <w:tcPr>
                  <w:tcW w:w="1885" w:type="pct"/>
                  <w:tcBorders>
                    <w:tl2br w:val="nil"/>
                    <w:tr2bl w:val="nil"/>
                  </w:tcBorders>
                  <w:noWrap w:val="0"/>
                  <w:vAlign w:val="center"/>
                </w:tcPr>
                <w:p w14:paraId="2E4E4A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涉及区域</w:t>
                  </w:r>
                </w:p>
              </w:tc>
              <w:tc>
                <w:tcPr>
                  <w:tcW w:w="2318" w:type="pct"/>
                  <w:tcBorders>
                    <w:tl2br w:val="nil"/>
                    <w:tr2bl w:val="nil"/>
                  </w:tcBorders>
                  <w:noWrap w:val="0"/>
                  <w:vAlign w:val="center"/>
                </w:tcPr>
                <w:p w14:paraId="68CDEA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防渗措施</w:t>
                  </w:r>
                </w:p>
              </w:tc>
            </w:tr>
            <w:tr w14:paraId="4251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5" w:type="pct"/>
                  <w:tcBorders>
                    <w:tl2br w:val="nil"/>
                    <w:tr2bl w:val="nil"/>
                  </w:tcBorders>
                  <w:noWrap w:val="0"/>
                  <w:vAlign w:val="center"/>
                </w:tcPr>
                <w:p w14:paraId="00FD5E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1885" w:type="pct"/>
                  <w:tcBorders>
                    <w:tl2br w:val="nil"/>
                    <w:tr2bl w:val="nil"/>
                  </w:tcBorders>
                  <w:noWrap w:val="0"/>
                  <w:vAlign w:val="center"/>
                </w:tcPr>
                <w:p w14:paraId="1F12465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w:t>
                  </w:r>
                </w:p>
              </w:tc>
              <w:tc>
                <w:tcPr>
                  <w:tcW w:w="2318" w:type="pct"/>
                  <w:tcBorders>
                    <w:tl2br w:val="nil"/>
                    <w:tr2bl w:val="nil"/>
                  </w:tcBorders>
                  <w:shd w:val="clear" w:color="auto" w:fill="auto"/>
                  <w:noWrap w:val="0"/>
                  <w:vAlign w:val="center"/>
                </w:tcPr>
                <w:p w14:paraId="7CB0DD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等效黏土防渗层Mb≥6.0m，K&lt;1×10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 GB18598 执行</w:t>
                  </w:r>
                </w:p>
              </w:tc>
            </w:tr>
            <w:tr w14:paraId="393C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5" w:type="pct"/>
                  <w:tcBorders>
                    <w:tl2br w:val="nil"/>
                    <w:tr2bl w:val="nil"/>
                  </w:tcBorders>
                  <w:noWrap w:val="0"/>
                  <w:vAlign w:val="center"/>
                </w:tcPr>
                <w:p w14:paraId="7B341A2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1885" w:type="pct"/>
                  <w:tcBorders>
                    <w:tl2br w:val="nil"/>
                    <w:tr2bl w:val="nil"/>
                  </w:tcBorders>
                  <w:noWrap w:val="0"/>
                  <w:vAlign w:val="center"/>
                </w:tcPr>
                <w:p w14:paraId="525471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初期雨水收集池（60m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）、三级沉淀池（60m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w:t>
                  </w:r>
                  <w:r>
                    <w:rPr>
                      <w:rFonts w:hint="default" w:ascii="Times New Roman" w:hAnsi="Times New Roman" w:eastAsia="宋体" w:cs="Times New Roman"/>
                      <w:color w:val="auto"/>
                      <w:sz w:val="21"/>
                      <w:szCs w:val="21"/>
                    </w:rPr>
                    <w:t>一体化污水处理设施</w:t>
                  </w:r>
                </w:p>
              </w:tc>
              <w:tc>
                <w:tcPr>
                  <w:tcW w:w="2318" w:type="pct"/>
                  <w:tcBorders>
                    <w:tl2br w:val="nil"/>
                    <w:tr2bl w:val="nil"/>
                  </w:tcBorders>
                  <w:shd w:val="clear" w:color="auto" w:fill="auto"/>
                  <w:noWrap w:val="0"/>
                  <w:vAlign w:val="center"/>
                </w:tcPr>
                <w:p w14:paraId="5E2953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等效黏土防渗层Mb&gt;1.5m，K&lt;1×10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 GB16889 执行</w:t>
                  </w:r>
                </w:p>
              </w:tc>
            </w:tr>
            <w:tr w14:paraId="7C36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95" w:type="pct"/>
                  <w:tcBorders>
                    <w:tl2br w:val="nil"/>
                    <w:tr2bl w:val="nil"/>
                  </w:tcBorders>
                  <w:noWrap w:val="0"/>
                  <w:vAlign w:val="center"/>
                </w:tcPr>
                <w:p w14:paraId="0EFB5A9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简单防渗区</w:t>
                  </w:r>
                </w:p>
              </w:tc>
              <w:tc>
                <w:tcPr>
                  <w:tcW w:w="1885" w:type="pct"/>
                  <w:tcBorders>
                    <w:tl2br w:val="nil"/>
                    <w:tr2bl w:val="nil"/>
                  </w:tcBorders>
                  <w:noWrap w:val="0"/>
                  <w:vAlign w:val="center"/>
                </w:tcPr>
                <w:p w14:paraId="0A167D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配煤车间（从左往右依次为原煤堆场、配煤生产区、成品堆场）</w:t>
                  </w:r>
                  <w:r>
                    <w:rPr>
                      <w:rFonts w:hint="default" w:ascii="Times New Roman" w:hAnsi="Times New Roman" w:eastAsia="宋体" w:cs="Times New Roman"/>
                      <w:color w:val="auto"/>
                      <w:kern w:val="0"/>
                      <w:sz w:val="21"/>
                      <w:szCs w:val="21"/>
                    </w:rPr>
                    <w:t>办公</w:t>
                  </w:r>
                  <w:r>
                    <w:rPr>
                      <w:rFonts w:hint="default" w:ascii="Times New Roman" w:hAnsi="Times New Roman" w:eastAsia="宋体" w:cs="Times New Roman"/>
                      <w:color w:val="auto"/>
                      <w:kern w:val="0"/>
                      <w:sz w:val="21"/>
                      <w:szCs w:val="21"/>
                      <w:lang w:val="en-US" w:eastAsia="zh-CN"/>
                    </w:rPr>
                    <w:t>区</w:t>
                  </w:r>
                  <w:r>
                    <w:rPr>
                      <w:rFonts w:hint="default" w:ascii="Times New Roman" w:hAnsi="Times New Roman" w:eastAsia="宋体" w:cs="Times New Roman"/>
                      <w:color w:val="auto"/>
                      <w:kern w:val="0"/>
                      <w:sz w:val="21"/>
                      <w:szCs w:val="21"/>
                    </w:rPr>
                    <w:t>以及厂区内除绿化外的其他区域等</w:t>
                  </w:r>
                </w:p>
              </w:tc>
              <w:tc>
                <w:tcPr>
                  <w:tcW w:w="2318" w:type="pct"/>
                  <w:tcBorders>
                    <w:tl2br w:val="nil"/>
                    <w:tr2bl w:val="nil"/>
                  </w:tcBorders>
                  <w:shd w:val="clear" w:color="auto" w:fill="auto"/>
                  <w:noWrap w:val="0"/>
                  <w:vAlign w:val="center"/>
                </w:tcPr>
                <w:p w14:paraId="6EC86A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一般地面硬化</w:t>
                  </w:r>
                </w:p>
              </w:tc>
            </w:tr>
          </w:tbl>
          <w:p w14:paraId="475B711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val="0"/>
                <w:color w:val="auto"/>
                <w:spacing w:val="-10"/>
                <w:kern w:val="0"/>
                <w:sz w:val="24"/>
                <w:szCs w:val="24"/>
                <w:lang w:val="en-US" w:eastAsia="zh-CN" w:bidi="ar-SA"/>
              </w:rPr>
            </w:pPr>
            <w:r>
              <w:rPr>
                <w:rFonts w:hint="eastAsia" w:ascii="宋体" w:hAnsi="宋体" w:eastAsia="宋体" w:cs="宋体"/>
                <w:b/>
                <w:bCs w:val="0"/>
                <w:color w:val="auto"/>
                <w:spacing w:val="-10"/>
                <w:kern w:val="0"/>
                <w:sz w:val="24"/>
                <w:szCs w:val="24"/>
                <w:lang w:val="en-US" w:eastAsia="zh-CN" w:bidi="ar-SA"/>
              </w:rPr>
              <w:t>六、生态</w:t>
            </w:r>
          </w:p>
          <w:p w14:paraId="1FE47262">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default" w:ascii="Times New Roman" w:hAnsi="Times New Roman" w:eastAsia="宋体" w:cs="Times New Roman"/>
                <w:color w:val="auto"/>
                <w:sz w:val="24"/>
                <w:lang w:val="en-US" w:eastAsia="zh-CN"/>
              </w:rPr>
              <w:t>本项目位于</w:t>
            </w:r>
            <w:r>
              <w:rPr>
                <w:rFonts w:hint="eastAsia" w:cs="Times New Roman"/>
                <w:color w:val="auto"/>
                <w:sz w:val="24"/>
                <w:lang w:eastAsia="zh-CN"/>
              </w:rPr>
              <w:t>云南省玉溪市峨山彝族自治县化念镇</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用地性质</w:t>
            </w:r>
            <w:r>
              <w:rPr>
                <w:rFonts w:hint="default" w:ascii="Times New Roman" w:hAnsi="Times New Roman" w:eastAsia="宋体" w:cs="Times New Roman"/>
                <w:color w:val="auto"/>
                <w:sz w:val="24"/>
                <w:lang w:val="en-US" w:eastAsia="zh-CN"/>
              </w:rPr>
              <w:t>为</w:t>
            </w:r>
            <w:r>
              <w:rPr>
                <w:rFonts w:hint="eastAsia" w:cs="Times New Roman"/>
                <w:color w:val="auto"/>
                <w:sz w:val="24"/>
                <w:lang w:val="en-US" w:eastAsia="zh-CN"/>
              </w:rPr>
              <w:t>建设</w:t>
            </w:r>
            <w:r>
              <w:rPr>
                <w:rFonts w:hint="default" w:ascii="Times New Roman" w:hAnsi="Times New Roman" w:eastAsia="宋体" w:cs="Times New Roman"/>
                <w:color w:val="auto"/>
                <w:sz w:val="24"/>
                <w:lang w:val="en-US" w:eastAsia="zh-CN"/>
              </w:rPr>
              <w:t>用地，不涉及新增用地</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且</w:t>
            </w:r>
            <w:r>
              <w:rPr>
                <w:rFonts w:hint="default" w:ascii="Times New Roman" w:hAnsi="Times New Roman" w:eastAsia="宋体"/>
                <w:color w:val="auto"/>
                <w:sz w:val="24"/>
                <w:highlight w:val="none"/>
              </w:rPr>
              <w:t>项目场地及周边200m范围内</w:t>
            </w:r>
            <w:r>
              <w:rPr>
                <w:rFonts w:ascii="Times New Roman" w:hAnsi="Times New Roman" w:eastAsia="宋体"/>
                <w:color w:val="auto"/>
                <w:sz w:val="24"/>
                <w:highlight w:val="none"/>
              </w:rPr>
              <w:t>不存在自然保护区、世界文化和自然遗产地、风景名胜区、森林公园、地质公园、重要湿地、原始天然林、珍惜濒危野生动植物天然集中分布区等生态环境保护目标</w:t>
            </w:r>
            <w:r>
              <w:rPr>
                <w:rFonts w:hint="default" w:ascii="Times New Roman" w:hAnsi="Times New Roman" w:eastAsia="宋体" w:cs="Times New Roman"/>
                <w:color w:val="auto"/>
                <w:sz w:val="24"/>
                <w:lang w:val="en-US" w:eastAsia="zh-CN"/>
              </w:rPr>
              <w:t>，不会对周边生态环境造成不利影响。</w:t>
            </w:r>
          </w:p>
          <w:p w14:paraId="640F1207">
            <w:pPr>
              <w:pStyle w:val="96"/>
              <w:keepNext w:val="0"/>
              <w:keepLines/>
              <w:pageBreakBefore w:val="0"/>
              <w:kinsoku/>
              <w:overflowPunct/>
              <w:bidi w:val="0"/>
              <w:adjustRightInd/>
              <w:ind w:left="0" w:leftChars="0" w:firstLine="0" w:firstLineChars="0"/>
              <w:rPr>
                <w:rFonts w:hint="default" w:ascii="Times New Roman" w:hAnsi="Times New Roman" w:cs="Times New Roman"/>
                <w:b/>
                <w:bCs/>
                <w:color w:val="auto"/>
                <w:szCs w:val="24"/>
              </w:rPr>
            </w:pPr>
            <w:r>
              <w:rPr>
                <w:rFonts w:hint="eastAsia" w:cs="Times New Roman"/>
                <w:b/>
                <w:bCs/>
                <w:color w:val="auto"/>
                <w:szCs w:val="24"/>
                <w:lang w:val="en-US" w:eastAsia="zh-CN"/>
              </w:rPr>
              <w:t>七</w:t>
            </w:r>
            <w:r>
              <w:rPr>
                <w:rFonts w:hint="default" w:ascii="Times New Roman" w:hAnsi="Times New Roman" w:cs="Times New Roman"/>
                <w:b/>
                <w:bCs/>
                <w:color w:val="auto"/>
                <w:szCs w:val="24"/>
              </w:rPr>
              <w:t>、环境风险分析</w:t>
            </w:r>
          </w:p>
          <w:p w14:paraId="6FEB0C10">
            <w:pPr>
              <w:keepNext w:val="0"/>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环境风险识别</w:t>
            </w:r>
          </w:p>
          <w:p w14:paraId="1BE94F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lang w:val="en-US" w:eastAsia="zh-CN"/>
              </w:rPr>
              <w:t>风险物质的识别范围包括主要原材料及辅助材料、燃料、中间产品、最终产品以及生产过程排放的“三废”污染物等。经与《建设项目环境风险评价技术导则》（HJ169-2018）附录 B 对照，本项目涉及的风险物质如下</w:t>
            </w:r>
            <w:r>
              <w:rPr>
                <w:rFonts w:hint="eastAsia" w:ascii="Times New Roman" w:hAnsi="Times New Roman" w:eastAsia="宋体" w:cs="Times New Roman"/>
                <w:color w:val="auto"/>
                <w:sz w:val="24"/>
                <w:szCs w:val="24"/>
                <w:lang w:val="en-US" w:eastAsia="zh-CN"/>
              </w:rPr>
              <w:t>表4-</w:t>
            </w:r>
            <w:r>
              <w:rPr>
                <w:rFonts w:hint="eastAsia"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w:t>
            </w:r>
          </w:p>
          <w:p w14:paraId="7F3178F3">
            <w:pPr>
              <w:pStyle w:val="17"/>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cs="Times New Roman"/>
                <w:b/>
                <w:bCs/>
                <w:color w:val="auto"/>
                <w:sz w:val="24"/>
                <w:szCs w:val="24"/>
                <w:lang w:val="en-US" w:eastAsia="zh-CN"/>
              </w:rPr>
              <w:t xml:space="preserve">14  </w:t>
            </w:r>
            <w:r>
              <w:rPr>
                <w:rFonts w:hint="default" w:ascii="Times New Roman" w:hAnsi="Times New Roman" w:eastAsia="宋体" w:cs="Times New Roman"/>
                <w:b/>
                <w:bCs/>
                <w:color w:val="auto"/>
                <w:sz w:val="24"/>
                <w:szCs w:val="24"/>
              </w:rPr>
              <w:t>环境风险物质识别表</w:t>
            </w:r>
          </w:p>
          <w:tbl>
            <w:tblPr>
              <w:tblStyle w:val="29"/>
              <w:tblW w:w="7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85"/>
              <w:gridCol w:w="1290"/>
              <w:gridCol w:w="5154"/>
            </w:tblGrid>
            <w:tr w14:paraId="32B6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568" w:type="dxa"/>
                  <w:noWrap w:val="0"/>
                  <w:vAlign w:val="center"/>
                </w:tcPr>
                <w:p w14:paraId="1A485866">
                  <w:pPr>
                    <w:pStyle w:val="1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序号</w:t>
                  </w:r>
                </w:p>
              </w:tc>
              <w:tc>
                <w:tcPr>
                  <w:tcW w:w="885" w:type="dxa"/>
                  <w:noWrap w:val="0"/>
                  <w:vAlign w:val="center"/>
                </w:tcPr>
                <w:p w14:paraId="24824B8E">
                  <w:pPr>
                    <w:pStyle w:val="1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风险物质名称</w:t>
                  </w:r>
                </w:p>
              </w:tc>
              <w:tc>
                <w:tcPr>
                  <w:tcW w:w="1290" w:type="dxa"/>
                  <w:noWrap w:val="0"/>
                  <w:vAlign w:val="center"/>
                </w:tcPr>
                <w:p w14:paraId="39657002">
                  <w:pPr>
                    <w:pStyle w:val="1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风险源分布位置</w:t>
                  </w:r>
                </w:p>
              </w:tc>
              <w:tc>
                <w:tcPr>
                  <w:tcW w:w="5154" w:type="dxa"/>
                  <w:noWrap w:val="0"/>
                  <w:vAlign w:val="center"/>
                </w:tcPr>
                <w:p w14:paraId="366528A3">
                  <w:pPr>
                    <w:pStyle w:val="1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可能影响途径</w:t>
                  </w:r>
                </w:p>
              </w:tc>
            </w:tr>
            <w:tr w14:paraId="71EC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568" w:type="dxa"/>
                  <w:noWrap w:val="0"/>
                  <w:vAlign w:val="center"/>
                </w:tcPr>
                <w:p w14:paraId="31CEB907">
                  <w:pPr>
                    <w:pStyle w:val="1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1</w:t>
                  </w:r>
                </w:p>
              </w:tc>
              <w:tc>
                <w:tcPr>
                  <w:tcW w:w="885" w:type="dxa"/>
                  <w:noWrap w:val="0"/>
                  <w:vAlign w:val="center"/>
                </w:tcPr>
                <w:p w14:paraId="2B254178">
                  <w:pPr>
                    <w:pStyle w:val="1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宋体" w:hAnsi="宋体" w:eastAsia="宋体" w:cs="宋体"/>
                      <w:b w:val="0"/>
                      <w:bCs/>
                      <w:color w:val="auto"/>
                      <w:kern w:val="2"/>
                      <w:sz w:val="21"/>
                      <w:szCs w:val="21"/>
                      <w:lang w:val="en-US" w:eastAsia="zh-CN" w:bidi="ar-SA"/>
                    </w:rPr>
                  </w:pPr>
                  <w:r>
                    <w:rPr>
                      <w:rFonts w:hint="eastAsia" w:hAnsi="宋体" w:cs="宋体"/>
                      <w:b w:val="0"/>
                      <w:bCs/>
                      <w:color w:val="auto"/>
                      <w:sz w:val="21"/>
                      <w:szCs w:val="21"/>
                      <w:lang w:val="en-US" w:eastAsia="zh-CN"/>
                    </w:rPr>
                    <w:t>废机油</w:t>
                  </w:r>
                </w:p>
              </w:tc>
              <w:tc>
                <w:tcPr>
                  <w:tcW w:w="1290" w:type="dxa"/>
                  <w:noWrap w:val="0"/>
                  <w:vAlign w:val="center"/>
                </w:tcPr>
                <w:p w14:paraId="179A3373">
                  <w:pPr>
                    <w:pStyle w:val="1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危废暂存间</w:t>
                  </w:r>
                </w:p>
              </w:tc>
              <w:tc>
                <w:tcPr>
                  <w:tcW w:w="5154" w:type="dxa"/>
                  <w:noWrap w:val="0"/>
                  <w:vAlign w:val="top"/>
                </w:tcPr>
                <w:p w14:paraId="0586B174">
                  <w:pPr>
                    <w:pStyle w:val="17"/>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泄漏事故引发火灾，火灾事故时产生的浓烟污染周边大气，灭火过程中可能产生受污染的消防废水，如流入雨水管网且未及时封堵，可能对受纳水体造成影响</w:t>
                  </w:r>
                </w:p>
              </w:tc>
            </w:tr>
          </w:tbl>
          <w:p w14:paraId="74AC2CD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u w:val="none"/>
                <w:lang w:val="en-US" w:eastAsia="zh-CN"/>
              </w:rPr>
              <w:t>风险潜势初判</w:t>
            </w:r>
          </w:p>
          <w:p w14:paraId="4342F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根据项目生产、使用、储存过程中涉及的有毒有害、易燃易爆物质，参见导则附录B确定危险物质的临界量。计算所涉及的每种危险物质在厂界内最大存在总量与其在附录B中对应的临界量的比值Q，当存在多种危险物质时，则按公式计算物质总量与其临界量的比值Q：</w:t>
            </w:r>
          </w:p>
          <w:p w14:paraId="6FAC8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drawing>
                <wp:inline distT="0" distB="0" distL="114300" distR="114300">
                  <wp:extent cx="1294130" cy="381000"/>
                  <wp:effectExtent l="0" t="0" r="1270" b="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55"/>
                          <a:stretch>
                            <a:fillRect/>
                          </a:stretch>
                        </pic:blipFill>
                        <pic:spPr>
                          <a:xfrm>
                            <a:off x="0" y="0"/>
                            <a:ext cx="1294130" cy="381000"/>
                          </a:xfrm>
                          <a:prstGeom prst="rect">
                            <a:avLst/>
                          </a:prstGeom>
                          <a:noFill/>
                          <a:ln>
                            <a:noFill/>
                          </a:ln>
                        </pic:spPr>
                      </pic:pic>
                    </a:graphicData>
                  </a:graphic>
                </wp:inline>
              </w:drawing>
            </w:r>
          </w:p>
          <w:p w14:paraId="6A38F2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式中：q</w:t>
            </w:r>
            <w:r>
              <w:rPr>
                <w:rFonts w:hint="default" w:ascii="Times New Roman" w:hAnsi="Times New Roman" w:eastAsia="宋体" w:cs="Times New Roman"/>
                <w:color w:val="auto"/>
                <w:sz w:val="24"/>
                <w:szCs w:val="24"/>
                <w:u w:val="none"/>
                <w:vertAlign w:val="subscript"/>
                <w:lang w:val="en-US" w:eastAsia="zh-CN"/>
              </w:rPr>
              <w:t>1</w:t>
            </w: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n</w:t>
            </w:r>
            <w:r>
              <w:rPr>
                <w:rFonts w:hint="default" w:ascii="Times New Roman" w:hAnsi="Times New Roman" w:eastAsia="宋体" w:cs="Times New Roman"/>
                <w:color w:val="auto"/>
                <w:sz w:val="24"/>
                <w:szCs w:val="24"/>
                <w:u w:val="none"/>
                <w:lang w:val="en-US" w:eastAsia="zh-CN"/>
              </w:rPr>
              <w:t>——每种危险物质的最大存在总量，t；</w:t>
            </w:r>
          </w:p>
          <w:p w14:paraId="2F909D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1</w:t>
            </w: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n</w:t>
            </w:r>
            <w:r>
              <w:rPr>
                <w:rFonts w:hint="default" w:ascii="Times New Roman" w:hAnsi="Times New Roman" w:eastAsia="宋体" w:cs="Times New Roman"/>
                <w:color w:val="auto"/>
                <w:sz w:val="24"/>
                <w:szCs w:val="24"/>
                <w:u w:val="none"/>
                <w:lang w:val="en-US" w:eastAsia="zh-CN"/>
              </w:rPr>
              <w:t>——每种危险物质的临界量，t。</w:t>
            </w:r>
          </w:p>
          <w:p w14:paraId="31282B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当Q＜1时，该项目环境风险潜势为I。</w:t>
            </w:r>
          </w:p>
          <w:p w14:paraId="0C80DE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u w:val="none"/>
                <w:lang w:val="en-US" w:eastAsia="zh-CN"/>
              </w:rPr>
              <w:t>当Q≥1时，将Q值划分为：（1）1≤Q＜10；（2）10≤Q＜100；（3）Q≥100。</w:t>
            </w:r>
          </w:p>
          <w:p w14:paraId="0953B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w:t>
            </w:r>
            <w:r>
              <w:rPr>
                <w:rFonts w:hint="default" w:ascii="Times New Roman" w:hAnsi="Times New Roman" w:eastAsia="宋体" w:cs="Times New Roman"/>
                <w:b/>
                <w:bCs/>
                <w:color w:val="auto"/>
                <w:kern w:val="0"/>
                <w:sz w:val="24"/>
                <w:szCs w:val="24"/>
                <w:lang w:val="en-US" w:eastAsia="zh-CN" w:bidi="ar"/>
              </w:rPr>
              <w:t xml:space="preserve"> 4-</w:t>
            </w:r>
            <w:r>
              <w:rPr>
                <w:rFonts w:hint="eastAsia" w:cs="Times New Roman"/>
                <w:b/>
                <w:bCs/>
                <w:color w:val="auto"/>
                <w:kern w:val="0"/>
                <w:sz w:val="24"/>
                <w:szCs w:val="24"/>
                <w:lang w:val="en-US" w:eastAsia="zh-CN" w:bidi="ar"/>
              </w:rPr>
              <w:t>15</w:t>
            </w:r>
            <w:r>
              <w:rPr>
                <w:rFonts w:hint="default" w:ascii="Times New Roman" w:hAnsi="Times New Roman" w:eastAsia="宋体" w:cs="Times New Roman"/>
                <w:b/>
                <w:bCs/>
                <w:color w:val="auto"/>
                <w:kern w:val="0"/>
                <w:sz w:val="24"/>
                <w:szCs w:val="24"/>
                <w:lang w:val="en-US" w:eastAsia="zh-CN" w:bidi="ar"/>
              </w:rPr>
              <w:t xml:space="preserve">  Q 值确定表</w:t>
            </w:r>
            <w:r>
              <w:rPr>
                <w:rFonts w:hint="default" w:ascii="Times New Roman" w:hAnsi="Times New Roman" w:eastAsia="宋体" w:cs="Times New Roman"/>
                <w:b/>
                <w:bCs/>
                <w:color w:val="auto"/>
                <w:sz w:val="24"/>
                <w:szCs w:val="24"/>
                <w:highlight w:val="none"/>
                <w:u w:val="none"/>
                <w:lang w:val="en-US" w:eastAsia="zh-CN"/>
              </w:rPr>
              <w:t>值</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855"/>
              <w:gridCol w:w="1935"/>
              <w:gridCol w:w="2165"/>
              <w:gridCol w:w="1186"/>
              <w:gridCol w:w="996"/>
            </w:tblGrid>
            <w:tr w14:paraId="3459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2DA9E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序号</w:t>
                  </w:r>
                </w:p>
              </w:tc>
              <w:tc>
                <w:tcPr>
                  <w:tcW w:w="545" w:type="pct"/>
                  <w:noWrap w:val="0"/>
                  <w:vAlign w:val="center"/>
                </w:tcPr>
                <w:p w14:paraId="0F7130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名称</w:t>
                  </w:r>
                </w:p>
              </w:tc>
              <w:tc>
                <w:tcPr>
                  <w:tcW w:w="1235" w:type="pct"/>
                  <w:noWrap w:val="0"/>
                  <w:vAlign w:val="center"/>
                </w:tcPr>
                <w:p w14:paraId="4D611A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环境风险物质名称</w:t>
                  </w:r>
                </w:p>
              </w:tc>
              <w:tc>
                <w:tcPr>
                  <w:tcW w:w="1382" w:type="pct"/>
                  <w:noWrap w:val="0"/>
                  <w:vAlign w:val="center"/>
                </w:tcPr>
                <w:p w14:paraId="1DF56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最大存在量（t）</w:t>
                  </w:r>
                </w:p>
              </w:tc>
              <w:tc>
                <w:tcPr>
                  <w:tcW w:w="757" w:type="pct"/>
                  <w:noWrap w:val="0"/>
                  <w:vAlign w:val="center"/>
                </w:tcPr>
                <w:p w14:paraId="73152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临界量</w:t>
                  </w:r>
                  <w:r>
                    <w:rPr>
                      <w:rFonts w:hint="default" w:ascii="Times New Roman" w:hAnsi="Times New Roman" w:eastAsia="宋体" w:cs="Times New Roman"/>
                      <w:b/>
                      <w:bCs/>
                      <w:color w:val="auto"/>
                      <w:sz w:val="21"/>
                      <w:szCs w:val="21"/>
                      <w:u w:val="none"/>
                      <w:lang w:val="en-US" w:eastAsia="zh-CN"/>
                    </w:rPr>
                    <w:t>（t）</w:t>
                  </w:r>
                </w:p>
              </w:tc>
              <w:tc>
                <w:tcPr>
                  <w:tcW w:w="636" w:type="pct"/>
                  <w:noWrap w:val="0"/>
                  <w:vAlign w:val="center"/>
                </w:tcPr>
                <w:p w14:paraId="177C9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比值Q</w:t>
                  </w:r>
                </w:p>
              </w:tc>
            </w:tr>
            <w:tr w14:paraId="087F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14:paraId="4CAFE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1</w:t>
                  </w:r>
                </w:p>
              </w:tc>
              <w:tc>
                <w:tcPr>
                  <w:tcW w:w="545" w:type="pct"/>
                  <w:noWrap w:val="0"/>
                  <w:vAlign w:val="center"/>
                </w:tcPr>
                <w:p w14:paraId="5255B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废机油</w:t>
                  </w:r>
                </w:p>
              </w:tc>
              <w:tc>
                <w:tcPr>
                  <w:tcW w:w="1235" w:type="pct"/>
                  <w:noWrap w:val="0"/>
                  <w:vAlign w:val="center"/>
                </w:tcPr>
                <w:p w14:paraId="1D26B5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油类物质（</w:t>
                  </w:r>
                  <w:r>
                    <w:rPr>
                      <w:rFonts w:hint="eastAsia" w:cs="Times New Roman"/>
                      <w:b w:val="0"/>
                      <w:bCs w:val="0"/>
                      <w:color w:val="auto"/>
                      <w:sz w:val="21"/>
                      <w:szCs w:val="21"/>
                      <w:u w:val="none"/>
                      <w:lang w:val="en-US" w:eastAsia="zh-CN"/>
                    </w:rPr>
                    <w:t>废机油</w:t>
                  </w:r>
                  <w:r>
                    <w:rPr>
                      <w:rFonts w:hint="default" w:ascii="Times New Roman" w:hAnsi="Times New Roman" w:eastAsia="宋体" w:cs="Times New Roman"/>
                      <w:b w:val="0"/>
                      <w:bCs w:val="0"/>
                      <w:color w:val="auto"/>
                      <w:sz w:val="21"/>
                      <w:szCs w:val="21"/>
                      <w:u w:val="none"/>
                      <w:lang w:val="en-US" w:eastAsia="zh-CN"/>
                    </w:rPr>
                    <w:t>）</w:t>
                  </w:r>
                </w:p>
              </w:tc>
              <w:tc>
                <w:tcPr>
                  <w:tcW w:w="1382" w:type="pct"/>
                  <w:noWrap w:val="0"/>
                  <w:vAlign w:val="center"/>
                </w:tcPr>
                <w:p w14:paraId="4E3CC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0.</w:t>
                  </w:r>
                  <w:r>
                    <w:rPr>
                      <w:rFonts w:hint="eastAsia" w:cs="Times New Roman"/>
                      <w:b w:val="0"/>
                      <w:bCs w:val="0"/>
                      <w:color w:val="auto"/>
                      <w:sz w:val="21"/>
                      <w:szCs w:val="21"/>
                      <w:u w:val="none"/>
                      <w:lang w:val="en-US" w:eastAsia="zh-CN"/>
                    </w:rPr>
                    <w:t>2（按整个厂区核算）</w:t>
                  </w:r>
                </w:p>
              </w:tc>
              <w:tc>
                <w:tcPr>
                  <w:tcW w:w="757" w:type="pct"/>
                  <w:noWrap w:val="0"/>
                  <w:vAlign w:val="center"/>
                </w:tcPr>
                <w:p w14:paraId="31FB67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2500</w:t>
                  </w:r>
                </w:p>
              </w:tc>
              <w:tc>
                <w:tcPr>
                  <w:tcW w:w="636" w:type="pct"/>
                  <w:noWrap w:val="0"/>
                  <w:vAlign w:val="center"/>
                </w:tcPr>
                <w:p w14:paraId="7E3E6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0.0000</w:t>
                  </w:r>
                  <w:r>
                    <w:rPr>
                      <w:rFonts w:hint="eastAsia" w:cs="Times New Roman"/>
                      <w:b w:val="0"/>
                      <w:bCs w:val="0"/>
                      <w:color w:val="auto"/>
                      <w:sz w:val="21"/>
                      <w:szCs w:val="21"/>
                      <w:u w:val="none"/>
                      <w:lang w:val="en-US" w:eastAsia="zh-CN"/>
                    </w:rPr>
                    <w:t>8</w:t>
                  </w:r>
                </w:p>
              </w:tc>
            </w:tr>
            <w:tr w14:paraId="115B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3" w:type="pct"/>
                  <w:gridSpan w:val="5"/>
                  <w:noWrap w:val="0"/>
                  <w:vAlign w:val="center"/>
                </w:tcPr>
                <w:p w14:paraId="531D4B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合计</w:t>
                  </w:r>
                </w:p>
              </w:tc>
              <w:tc>
                <w:tcPr>
                  <w:tcW w:w="636" w:type="pct"/>
                  <w:noWrap w:val="0"/>
                  <w:vAlign w:val="center"/>
                </w:tcPr>
                <w:p w14:paraId="0C64B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0.0000</w:t>
                  </w:r>
                  <w:r>
                    <w:rPr>
                      <w:rFonts w:hint="eastAsia" w:cs="Times New Roman"/>
                      <w:b w:val="0"/>
                      <w:bCs w:val="0"/>
                      <w:color w:val="auto"/>
                      <w:sz w:val="21"/>
                      <w:szCs w:val="21"/>
                      <w:u w:val="none"/>
                      <w:lang w:val="en-US" w:eastAsia="zh-CN"/>
                    </w:rPr>
                    <w:t>8</w:t>
                  </w:r>
                </w:p>
              </w:tc>
            </w:tr>
          </w:tbl>
          <w:p w14:paraId="47DFBED8">
            <w:pPr>
              <w:keepNext w:val="0"/>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根据上表可知，本项目</w:t>
            </w:r>
            <w:r>
              <w:rPr>
                <w:rFonts w:hint="default" w:ascii="Times New Roman" w:hAnsi="Times New Roman" w:eastAsia="宋体" w:cs="Times New Roman"/>
                <w:color w:val="auto"/>
                <w:sz w:val="24"/>
                <w:szCs w:val="24"/>
                <w:u w:val="none"/>
                <w:lang w:val="en-US" w:eastAsia="zh-CN"/>
              </w:rPr>
              <w:t>Q＜1，环境风险潜势为I，仅进行简单分析。</w:t>
            </w:r>
          </w:p>
          <w:p w14:paraId="1A07A76F">
            <w:pPr>
              <w:keepNext w:val="0"/>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风险防范措施</w:t>
            </w:r>
          </w:p>
          <w:p w14:paraId="5FE546B5">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加强设备日常的维护和管理，</w:t>
            </w:r>
            <w:r>
              <w:rPr>
                <w:rFonts w:hint="eastAsia" w:cs="Times New Roman"/>
                <w:color w:val="auto"/>
                <w:sz w:val="24"/>
                <w:szCs w:val="24"/>
                <w:lang w:val="en-US" w:eastAsia="zh-CN"/>
              </w:rPr>
              <w:t>及时进行洒水降尘和人工清扫</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减少无组织粉尘的逸散</w:t>
            </w:r>
            <w:r>
              <w:rPr>
                <w:rFonts w:hint="default" w:ascii="Times New Roman" w:hAnsi="Times New Roman" w:eastAsia="宋体" w:cs="Times New Roman"/>
                <w:color w:val="auto"/>
                <w:sz w:val="24"/>
                <w:szCs w:val="24"/>
              </w:rPr>
              <w:t>。</w:t>
            </w:r>
          </w:p>
          <w:p w14:paraId="6B630BFB">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加强对生产车间、危废暂存间的监督管理，通过专人定时巡查、安装视频监控系统、每天上下班检查设备等方式，遏制可能发生的突发环境事故隐患。</w:t>
            </w:r>
          </w:p>
          <w:p w14:paraId="404371AB">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危险废物暂存间严格按照《危险废物贮存污染控制标准》（GB18597-2023）的相关要求进行建设；危险废物严格管理，集中分类收集，及时交由有危险废物处理资质的单位回收处理，设置危险固废管理台账，如实记载危废的来源、数量、特性、包装容器类别、入库日期</w:t>
            </w:r>
            <w:r>
              <w:rPr>
                <w:rFonts w:hint="default" w:ascii="Times New Roman" w:hAnsi="Times New Roman" w:eastAsia="宋体" w:cs="Times New Roman"/>
                <w:color w:val="auto"/>
                <w:sz w:val="24"/>
                <w:szCs w:val="24"/>
                <w:lang w:val="en-US" w:eastAsia="zh-CN"/>
              </w:rPr>
              <w:t>等。</w:t>
            </w:r>
          </w:p>
          <w:p w14:paraId="395B461F">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本次评价要求建设单位在生产过程中，应以低粉尘、无粉尘物料代替高产尘物料，以不产尘设备、低产尘设备代替高产尘设备，生产设备</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电气设备</w:t>
            </w:r>
            <w:r>
              <w:rPr>
                <w:rFonts w:hint="default" w:ascii="Times New Roman" w:hAnsi="Times New Roman" w:eastAsia="宋体" w:cs="Times New Roman"/>
                <w:color w:val="auto"/>
                <w:sz w:val="24"/>
                <w:szCs w:val="24"/>
                <w:lang w:eastAsia="zh-CN"/>
              </w:rPr>
              <w:t>及照明设备应</w:t>
            </w:r>
            <w:r>
              <w:rPr>
                <w:rFonts w:hint="eastAsia" w:ascii="Times New Roman" w:hAnsi="Times New Roman" w:eastAsia="宋体" w:cs="Times New Roman"/>
                <w:color w:val="auto"/>
                <w:sz w:val="24"/>
                <w:szCs w:val="24"/>
                <w:lang w:eastAsia="zh-CN"/>
              </w:rPr>
              <w:t>采</w:t>
            </w:r>
            <w:r>
              <w:rPr>
                <w:rFonts w:hint="default" w:ascii="Times New Roman" w:hAnsi="Times New Roman" w:eastAsia="宋体" w:cs="Times New Roman"/>
                <w:color w:val="auto"/>
                <w:sz w:val="24"/>
                <w:szCs w:val="24"/>
                <w:lang w:eastAsia="zh-CN"/>
              </w:rPr>
              <w:t>用防爆</w:t>
            </w:r>
            <w:r>
              <w:rPr>
                <w:rFonts w:hint="eastAsia" w:ascii="Times New Roman" w:hAnsi="Times New Roman" w:eastAsia="宋体" w:cs="Times New Roman"/>
                <w:color w:val="auto"/>
                <w:sz w:val="24"/>
                <w:szCs w:val="24"/>
                <w:lang w:eastAsia="zh-CN"/>
              </w:rPr>
              <w:t>型</w:t>
            </w:r>
            <w:r>
              <w:rPr>
                <w:rFonts w:hint="default" w:ascii="Times New Roman" w:hAnsi="Times New Roman" w:eastAsia="宋体" w:cs="Times New Roman"/>
                <w:color w:val="auto"/>
                <w:sz w:val="24"/>
                <w:szCs w:val="24"/>
                <w:lang w:eastAsia="zh-CN"/>
              </w:rPr>
              <w:t>电气设备，符合《爆炸性环境第1部分：设备通用要求》（GB/T 3836.1-2021）中的要求</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避免发生煤粉爆炸事故。</w:t>
            </w:r>
          </w:p>
          <w:p w14:paraId="7EC4A680">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（5）严格控制车间内的粉尘浓度，</w:t>
            </w:r>
            <w:r>
              <w:rPr>
                <w:rFonts w:hint="default" w:ascii="Times New Roman" w:hAnsi="Times New Roman" w:eastAsia="宋体" w:cs="Times New Roman"/>
                <w:color w:val="auto"/>
                <w:sz w:val="24"/>
                <w:szCs w:val="24"/>
                <w:lang w:eastAsia="zh-CN"/>
              </w:rPr>
              <w:t>采取</w:t>
            </w:r>
            <w:r>
              <w:rPr>
                <w:rFonts w:hint="eastAsia" w:ascii="Times New Roman" w:hAnsi="Times New Roman" w:eastAsia="宋体" w:cs="Times New Roman"/>
                <w:color w:val="auto"/>
                <w:sz w:val="24"/>
                <w:szCs w:val="24"/>
                <w:lang w:val="en-US" w:eastAsia="zh-CN"/>
              </w:rPr>
              <w:t>洒水降尘</w:t>
            </w:r>
            <w:r>
              <w:rPr>
                <w:rFonts w:hint="default" w:ascii="Times New Roman" w:hAnsi="Times New Roman" w:eastAsia="宋体" w:cs="Times New Roman"/>
                <w:color w:val="auto"/>
                <w:sz w:val="24"/>
                <w:szCs w:val="24"/>
                <w:lang w:eastAsia="zh-CN"/>
              </w:rPr>
              <w:t>措施，尽可能降低车间内粉尘浓度。</w:t>
            </w:r>
          </w:p>
          <w:p w14:paraId="53E43A3E">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应定期检测工作场所的粉尘浓度，确保其在安全范围内。当粉尘浓度超过安全限值时，应立即采取措施降低浓度，如增加通风量、停止产生粉尘的作业等。</w:t>
            </w:r>
          </w:p>
          <w:p w14:paraId="778AB335">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加强管理。建设单位需重视防尘工作，制定防爆电气设备管理制度，加强对防爆电气设备的管理和保养，防止因电气设备故障引发事故，并定期对生产设备和生产车间进行清理，防止粉尘积累。</w:t>
            </w:r>
          </w:p>
          <w:p w14:paraId="513D8A12">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重视教育。加强员工的安全教育和培训，员工应了解粉尘爆炸的危害和预防措施，掌握正确的操作方法，遵守安全规定。同时，应定期进行应急演练，提高员工应对突发事故的能力。</w:t>
            </w:r>
          </w:p>
          <w:p w14:paraId="4785FA31">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）设置应急管理组织，建立风险管理制度，厂区内应配置所需的各类应急救援物资，发生事故时，第一时间加以发现并控制，防止事故进一步扩大。</w:t>
            </w:r>
          </w:p>
          <w:p w14:paraId="224F88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4、分析结论</w:t>
            </w:r>
          </w:p>
          <w:p w14:paraId="5F4EE8A6">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综上所述，本项目运行期在严格落实风险防范措施后，可将风险事故发生概率将至最低，风险事故后果降低最小，对周围环境影响控制在可承受范围内</w:t>
            </w:r>
            <w:r>
              <w:rPr>
                <w:rFonts w:hint="eastAsia" w:ascii="Times New Roman" w:hAnsi="Times New Roman" w:eastAsia="宋体" w:cs="Times New Roman"/>
                <w:b w:val="0"/>
                <w:bCs w:val="0"/>
                <w:color w:val="auto"/>
                <w:kern w:val="2"/>
                <w:sz w:val="24"/>
                <w:szCs w:val="24"/>
                <w:lang w:val="en-US" w:eastAsia="zh-CN" w:bidi="ar-SA"/>
              </w:rPr>
              <w:t>，本次评价建议建设单位在</w:t>
            </w:r>
            <w:r>
              <w:rPr>
                <w:rFonts w:hint="default" w:ascii="Times New Roman" w:hAnsi="Times New Roman" w:eastAsia="宋体" w:cs="Times New Roman"/>
                <w:b w:val="0"/>
                <w:bCs w:val="0"/>
                <w:color w:val="auto"/>
                <w:kern w:val="2"/>
                <w:sz w:val="24"/>
                <w:szCs w:val="24"/>
                <w:lang w:val="en-US" w:eastAsia="zh-CN" w:bidi="ar-SA"/>
              </w:rPr>
              <w:t>项目建成运行后，应自主组织相关人员进行环保验收，并编制《突发事故环境风险应急预案》，报送</w:t>
            </w:r>
            <w:r>
              <w:rPr>
                <w:rFonts w:hint="eastAsia" w:cs="Times New Roman"/>
                <w:b w:val="0"/>
                <w:bCs w:val="0"/>
                <w:color w:val="auto"/>
                <w:kern w:val="2"/>
                <w:sz w:val="24"/>
                <w:szCs w:val="24"/>
                <w:lang w:val="en-US" w:eastAsia="zh-CN" w:bidi="ar-SA"/>
              </w:rPr>
              <w:t>玉溪</w:t>
            </w:r>
            <w:r>
              <w:rPr>
                <w:rFonts w:hint="default" w:ascii="Times New Roman" w:hAnsi="Times New Roman" w:eastAsia="宋体" w:cs="Times New Roman"/>
                <w:b w:val="0"/>
                <w:bCs w:val="0"/>
                <w:color w:val="auto"/>
                <w:kern w:val="2"/>
                <w:sz w:val="24"/>
                <w:szCs w:val="24"/>
                <w:lang w:val="en-US" w:eastAsia="zh-CN" w:bidi="ar-SA"/>
              </w:rPr>
              <w:t>市生态环境局</w:t>
            </w:r>
            <w:r>
              <w:rPr>
                <w:rFonts w:hint="eastAsia" w:cs="Times New Roman"/>
                <w:b w:val="0"/>
                <w:bCs w:val="0"/>
                <w:color w:val="auto"/>
                <w:kern w:val="2"/>
                <w:sz w:val="24"/>
                <w:szCs w:val="24"/>
                <w:lang w:val="en-US" w:eastAsia="zh-CN" w:bidi="ar-SA"/>
              </w:rPr>
              <w:t>峨山</w:t>
            </w:r>
            <w:r>
              <w:rPr>
                <w:rFonts w:hint="default" w:ascii="Times New Roman" w:hAnsi="Times New Roman" w:eastAsia="宋体" w:cs="Times New Roman"/>
                <w:b w:val="0"/>
                <w:bCs w:val="0"/>
                <w:color w:val="auto"/>
                <w:kern w:val="2"/>
                <w:sz w:val="24"/>
                <w:szCs w:val="24"/>
                <w:lang w:val="en-US" w:eastAsia="zh-CN" w:bidi="ar-SA"/>
              </w:rPr>
              <w:t>分局进行备案。</w:t>
            </w:r>
          </w:p>
          <w:p w14:paraId="0CA67C80">
            <w:pPr>
              <w:keepNext w:val="0"/>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color w:val="auto"/>
                <w:kern w:val="2"/>
                <w:sz w:val="24"/>
                <w:szCs w:val="24"/>
                <w:lang w:val="en-US" w:eastAsia="zh-CN" w:bidi="ar-SA"/>
              </w:rPr>
            </w:pPr>
          </w:p>
          <w:p w14:paraId="03D67192">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p>
          <w:p w14:paraId="703E1324">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4CD135F9">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3462187E">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4DD826A0">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0BB279AA">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07FACEBC">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22521A6E">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6B66EA48">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0E873F77">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7818E51D">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2484FFD4">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09BB8529">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1521A870">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2CA0C1F8">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55498344">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2ED5943C">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1BFE69ED">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19330BFF">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6766CC7D">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6E869574">
            <w:pPr>
              <w:keepNext w:val="0"/>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val="0"/>
                <w:bCs w:val="0"/>
                <w:color w:val="auto"/>
                <w:kern w:val="2"/>
                <w:sz w:val="24"/>
                <w:szCs w:val="24"/>
                <w:lang w:val="en-US" w:eastAsia="zh-CN" w:bidi="ar-SA"/>
              </w:rPr>
            </w:pPr>
          </w:p>
          <w:p w14:paraId="16CA729A">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6FC16C45">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p w14:paraId="6F8696AD">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p>
        </w:tc>
      </w:tr>
    </w:tbl>
    <w:p w14:paraId="1ABB73C3">
      <w:pPr>
        <w:pStyle w:val="24"/>
        <w:jc w:val="center"/>
        <w:outlineLvl w:val="0"/>
        <w:rPr>
          <w:rFonts w:hint="default" w:ascii="Times New Roman" w:hAnsi="Times New Roman" w:eastAsia="黑体" w:cs="Times New Roman"/>
          <w:snapToGrid w:val="0"/>
          <w:color w:val="auto"/>
          <w:sz w:val="30"/>
          <w:szCs w:val="30"/>
        </w:rPr>
        <w:sectPr>
          <w:pgSz w:w="11906" w:h="16838"/>
          <w:pgMar w:top="1440" w:right="1800" w:bottom="1440" w:left="1800" w:header="851" w:footer="992" w:gutter="0"/>
          <w:pgNumType w:fmt="decimal"/>
          <w:cols w:space="720" w:num="1"/>
          <w:docGrid w:type="lines" w:linePitch="312" w:charSpace="0"/>
        </w:sectPr>
      </w:pPr>
      <w:bookmarkStart w:id="36" w:name="_Toc25748"/>
    </w:p>
    <w:p w14:paraId="791F57CB">
      <w:pPr>
        <w:pStyle w:val="2"/>
        <w:numPr>
          <w:ilvl w:val="0"/>
          <w:numId w:val="0"/>
        </w:numPr>
        <w:ind w:firstLine="0" w:firstLineChars="0"/>
        <w:jc w:val="center"/>
        <w:rPr>
          <w:rFonts w:hint="default" w:ascii="Times New Roman" w:hAnsi="Times New Roman" w:eastAsia="黑体" w:cs="Times New Roman"/>
          <w:b/>
          <w:color w:val="auto"/>
          <w:kern w:val="44"/>
          <w:sz w:val="32"/>
          <w:szCs w:val="32"/>
          <w:lang w:val="en-US" w:eastAsia="zh-CN" w:bidi="ar-SA"/>
        </w:rPr>
      </w:pPr>
      <w:bookmarkStart w:id="37" w:name="_Toc13367"/>
      <w:r>
        <w:rPr>
          <w:rFonts w:hint="default" w:ascii="Times New Roman" w:hAnsi="Times New Roman" w:eastAsia="黑体" w:cs="Times New Roman"/>
          <w:b/>
          <w:color w:val="auto"/>
          <w:kern w:val="44"/>
          <w:sz w:val="32"/>
          <w:szCs w:val="32"/>
          <w:lang w:val="en-US" w:eastAsia="zh-CN" w:bidi="ar-SA"/>
        </w:rPr>
        <w:t>五、</w:t>
      </w:r>
      <w:bookmarkStart w:id="38" w:name="_Hlk54167917"/>
      <w:r>
        <w:rPr>
          <w:rFonts w:hint="default" w:ascii="Times New Roman" w:hAnsi="Times New Roman" w:eastAsia="黑体" w:cs="Times New Roman"/>
          <w:b/>
          <w:color w:val="auto"/>
          <w:kern w:val="44"/>
          <w:sz w:val="32"/>
          <w:szCs w:val="32"/>
          <w:lang w:val="en-US" w:eastAsia="zh-CN" w:bidi="ar-SA"/>
        </w:rPr>
        <w:t>环境保护措施监督检查清单</w:t>
      </w:r>
      <w:bookmarkEnd w:id="36"/>
      <w:bookmarkEnd w:id="37"/>
      <w:bookmarkEnd w:id="38"/>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744"/>
        <w:gridCol w:w="1455"/>
        <w:gridCol w:w="1935"/>
        <w:gridCol w:w="2274"/>
      </w:tblGrid>
      <w:tr w14:paraId="799CD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52" w:type="pct"/>
            <w:tcBorders>
              <w:tl2br w:val="single" w:color="auto" w:sz="4" w:space="0"/>
            </w:tcBorders>
            <w:vAlign w:val="center"/>
          </w:tcPr>
          <w:p w14:paraId="521668CA">
            <w:pPr>
              <w:keepNext w:val="0"/>
              <w:keepLines w:val="0"/>
              <w:kinsoku/>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内容</w:t>
            </w:r>
            <w:r>
              <w:rPr>
                <w:rFonts w:hint="default" w:ascii="Times New Roman" w:hAnsi="Times New Roman" w:eastAsia="宋体" w:cs="Times New Roman"/>
                <w:b/>
                <w:bCs/>
                <w:color w:val="auto"/>
                <w:sz w:val="24"/>
                <w:szCs w:val="24"/>
                <w:lang w:val="en-US" w:eastAsia="zh-CN"/>
              </w:rPr>
              <w:t xml:space="preserve">   </w:t>
            </w:r>
          </w:p>
          <w:p w14:paraId="3A72CEF8">
            <w:pPr>
              <w:keepNext w:val="0"/>
              <w:keepLines w:val="0"/>
              <w:kinsoku/>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023" w:type="pct"/>
            <w:vAlign w:val="center"/>
          </w:tcPr>
          <w:p w14:paraId="2B8B4EAE">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排放口（编号、</w:t>
            </w:r>
          </w:p>
          <w:p w14:paraId="5829BB54">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名称）/污染源</w:t>
            </w:r>
          </w:p>
        </w:tc>
        <w:tc>
          <w:tcPr>
            <w:tcW w:w="853" w:type="pct"/>
            <w:vAlign w:val="center"/>
          </w:tcPr>
          <w:p w14:paraId="5CD04F37">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1135" w:type="pct"/>
            <w:vAlign w:val="center"/>
          </w:tcPr>
          <w:p w14:paraId="2AEDEF60">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1334" w:type="pct"/>
            <w:vAlign w:val="center"/>
          </w:tcPr>
          <w:p w14:paraId="39100A66">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33553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652" w:type="pct"/>
            <w:vAlign w:val="center"/>
          </w:tcPr>
          <w:p w14:paraId="7A4A1E7E">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1023" w:type="pct"/>
            <w:vAlign w:val="center"/>
          </w:tcPr>
          <w:p w14:paraId="674A5B20">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厂界</w:t>
            </w:r>
          </w:p>
          <w:p w14:paraId="552277BF">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（无组织）</w:t>
            </w:r>
          </w:p>
        </w:tc>
        <w:tc>
          <w:tcPr>
            <w:tcW w:w="853" w:type="pct"/>
            <w:vAlign w:val="center"/>
          </w:tcPr>
          <w:p w14:paraId="1F3303C7">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颗粒物</w:t>
            </w:r>
          </w:p>
        </w:tc>
        <w:tc>
          <w:tcPr>
            <w:tcW w:w="1135" w:type="pct"/>
            <w:vAlign w:val="center"/>
          </w:tcPr>
          <w:p w14:paraId="21860E74">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封闭</w:t>
            </w:r>
            <w:r>
              <w:rPr>
                <w:rFonts w:hint="eastAsia" w:ascii="Times New Roman" w:hAnsi="Times New Roman" w:eastAsia="宋体" w:cs="Times New Roman"/>
                <w:color w:val="auto"/>
                <w:sz w:val="24"/>
                <w:szCs w:val="24"/>
                <w:lang w:val="en-US" w:eastAsia="zh-CN"/>
              </w:rPr>
              <w:t>厂房、洒水降尘设施（通过在车间上方布设管道进行洒水降尘，每间隔10</w:t>
            </w:r>
            <w:r>
              <w:rPr>
                <w:rFonts w:hint="default" w:ascii="Times New Roman" w:hAnsi="Times New Roman" w:eastAsia="宋体" w:cs="Times New Roman"/>
                <w:color w:val="auto"/>
                <w:sz w:val="24"/>
                <w:szCs w:val="24"/>
                <w:lang w:val="en-US" w:eastAsia="zh-CN"/>
              </w:rPr>
              <w:t>米设置一个喷头</w:t>
            </w:r>
            <w:r>
              <w:rPr>
                <w:rFonts w:hint="eastAsia" w:ascii="Times New Roman" w:hAnsi="Times New Roman" w:eastAsia="宋体" w:cs="Times New Roman"/>
                <w:color w:val="auto"/>
                <w:sz w:val="24"/>
                <w:szCs w:val="24"/>
                <w:lang w:val="en-US" w:eastAsia="zh-CN"/>
              </w:rPr>
              <w:t>）、加强人工清扫</w:t>
            </w:r>
          </w:p>
        </w:tc>
        <w:tc>
          <w:tcPr>
            <w:tcW w:w="1334" w:type="pct"/>
            <w:vAlign w:val="center"/>
          </w:tcPr>
          <w:p w14:paraId="44AF11C0">
            <w:pPr>
              <w:pStyle w:val="48"/>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宋体" w:cs="Times New Roman"/>
                <w:b w:val="0"/>
                <w:color w:val="auto"/>
                <w:kern w:val="2"/>
                <w:sz w:val="24"/>
                <w:szCs w:val="24"/>
                <w:lang w:val="en-US" w:eastAsia="zh-CN" w:bidi="ar-SA"/>
              </w:rPr>
            </w:pPr>
            <w:r>
              <w:rPr>
                <w:rFonts w:hint="default" w:ascii="Times New Roman" w:hAnsi="Times New Roman" w:eastAsia="宋体" w:cs="Times New Roman"/>
                <w:b w:val="0"/>
                <w:color w:val="auto"/>
                <w:kern w:val="2"/>
                <w:sz w:val="24"/>
                <w:szCs w:val="24"/>
                <w:lang w:val="en-US" w:eastAsia="zh-CN" w:bidi="ar-SA"/>
              </w:rPr>
              <w:t>执行《</w:t>
            </w:r>
            <w:r>
              <w:rPr>
                <w:rFonts w:hint="eastAsia" w:cs="Times New Roman"/>
                <w:b w:val="0"/>
                <w:color w:val="auto"/>
                <w:kern w:val="2"/>
                <w:sz w:val="24"/>
                <w:szCs w:val="24"/>
                <w:lang w:val="en-US" w:eastAsia="zh-CN" w:bidi="ar-SA"/>
              </w:rPr>
              <w:t>煤炭工业污染物排放标准</w:t>
            </w:r>
            <w:r>
              <w:rPr>
                <w:rFonts w:hint="default" w:ascii="Times New Roman" w:hAnsi="Times New Roman" w:eastAsia="宋体" w:cs="Times New Roman"/>
                <w:b w:val="0"/>
                <w:color w:val="auto"/>
                <w:kern w:val="2"/>
                <w:sz w:val="24"/>
                <w:szCs w:val="24"/>
                <w:lang w:val="en-US" w:eastAsia="zh-CN" w:bidi="ar-SA"/>
              </w:rPr>
              <w:t>》（</w:t>
            </w:r>
            <w:r>
              <w:rPr>
                <w:rFonts w:hint="eastAsia" w:ascii="Times New Roman" w:hAnsi="Times New Roman" w:eastAsia="宋体" w:cs="Times New Roman"/>
                <w:b w:val="0"/>
                <w:color w:val="auto"/>
                <w:kern w:val="2"/>
                <w:sz w:val="24"/>
                <w:szCs w:val="24"/>
                <w:lang w:val="en-US" w:eastAsia="zh-CN" w:bidi="ar-SA"/>
              </w:rPr>
              <w:t>GB20426-2006</w:t>
            </w:r>
            <w:r>
              <w:rPr>
                <w:rFonts w:hint="default" w:ascii="Times New Roman" w:hAnsi="Times New Roman" w:eastAsia="宋体" w:cs="Times New Roman"/>
                <w:b w:val="0"/>
                <w:color w:val="auto"/>
                <w:kern w:val="2"/>
                <w:sz w:val="24"/>
                <w:szCs w:val="24"/>
                <w:lang w:val="en-US" w:eastAsia="zh-CN" w:bidi="ar-SA"/>
              </w:rPr>
              <w:t>）</w:t>
            </w:r>
            <w:r>
              <w:rPr>
                <w:rFonts w:hint="eastAsia" w:ascii="Times New Roman" w:hAnsi="Times New Roman" w:eastAsia="宋体" w:cs="Times New Roman"/>
                <w:b w:val="0"/>
                <w:color w:val="auto"/>
                <w:kern w:val="2"/>
                <w:sz w:val="24"/>
                <w:szCs w:val="24"/>
                <w:lang w:val="en-US" w:eastAsia="zh-CN" w:bidi="ar-SA"/>
              </w:rPr>
              <w:t>表5无组织</w:t>
            </w:r>
            <w:r>
              <w:rPr>
                <w:rFonts w:hint="default" w:ascii="Times New Roman" w:hAnsi="Times New Roman" w:eastAsia="宋体" w:cs="Times New Roman"/>
                <w:b w:val="0"/>
                <w:color w:val="auto"/>
                <w:kern w:val="2"/>
                <w:sz w:val="24"/>
                <w:szCs w:val="24"/>
                <w:lang w:val="en-US" w:eastAsia="zh-CN" w:bidi="ar-SA"/>
              </w:rPr>
              <w:t>标准</w:t>
            </w:r>
            <w:r>
              <w:rPr>
                <w:rFonts w:hint="eastAsia" w:ascii="Times New Roman" w:hAnsi="Times New Roman" w:eastAsia="宋体" w:cs="Times New Roman"/>
                <w:b w:val="0"/>
                <w:color w:val="auto"/>
                <w:kern w:val="2"/>
                <w:sz w:val="24"/>
                <w:szCs w:val="24"/>
                <w:lang w:val="en-US" w:eastAsia="zh-CN" w:bidi="ar-SA"/>
              </w:rPr>
              <w:t>限值</w:t>
            </w:r>
          </w:p>
        </w:tc>
      </w:tr>
      <w:tr w14:paraId="7BFE8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652" w:type="pct"/>
            <w:vMerge w:val="restart"/>
            <w:vAlign w:val="center"/>
          </w:tcPr>
          <w:p w14:paraId="5D0A4DEF">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023" w:type="pct"/>
            <w:vAlign w:val="center"/>
          </w:tcPr>
          <w:p w14:paraId="2641221E">
            <w:pPr>
              <w:pStyle w:val="48"/>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生产废水</w:t>
            </w:r>
          </w:p>
        </w:tc>
        <w:tc>
          <w:tcPr>
            <w:tcW w:w="853" w:type="pct"/>
            <w:vAlign w:val="center"/>
          </w:tcPr>
          <w:p w14:paraId="5954802F">
            <w:pPr>
              <w:pStyle w:val="48"/>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SS</w:t>
            </w:r>
          </w:p>
        </w:tc>
        <w:tc>
          <w:tcPr>
            <w:tcW w:w="1135" w:type="pct"/>
            <w:vAlign w:val="center"/>
          </w:tcPr>
          <w:p w14:paraId="3326CBDF">
            <w:pPr>
              <w:keepNext w:val="0"/>
              <w:keepLines w:val="0"/>
              <w:pageBreakBefore/>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cs="Times New Roman" w:eastAsiaTheme="minorEastAsia"/>
                <w:color w:val="auto"/>
                <w:sz w:val="24"/>
                <w:szCs w:val="24"/>
                <w:lang w:val="en-US" w:eastAsia="zh-CN"/>
              </w:rPr>
              <w:t>项目车辆清洗用水经配套建设的</w:t>
            </w:r>
            <w:r>
              <w:rPr>
                <w:rFonts w:hint="eastAsia" w:cs="Times New Roman" w:eastAsiaTheme="minorEastAsia"/>
                <w:color w:val="auto"/>
                <w:sz w:val="24"/>
                <w:szCs w:val="24"/>
                <w:lang w:val="en-US" w:eastAsia="zh-CN"/>
              </w:rPr>
              <w:t>三</w:t>
            </w:r>
            <w:r>
              <w:rPr>
                <w:rFonts w:hint="default" w:ascii="Times New Roman" w:hAnsi="Times New Roman" w:cs="Times New Roman" w:eastAsiaTheme="minorEastAsia"/>
                <w:color w:val="auto"/>
                <w:sz w:val="24"/>
                <w:szCs w:val="24"/>
                <w:lang w:val="en-US" w:eastAsia="zh-CN"/>
              </w:rPr>
              <w:t>级沉淀池</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）沉淀处理后循环使用，不外排</w:t>
            </w:r>
          </w:p>
        </w:tc>
        <w:tc>
          <w:tcPr>
            <w:tcW w:w="1334" w:type="pct"/>
            <w:vAlign w:val="center"/>
          </w:tcPr>
          <w:p w14:paraId="3A8DF16A">
            <w:pPr>
              <w:pStyle w:val="48"/>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14:paraId="72992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52" w:type="pct"/>
            <w:vMerge w:val="continue"/>
            <w:vAlign w:val="center"/>
          </w:tcPr>
          <w:p w14:paraId="3918D8D5">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p>
        </w:tc>
        <w:tc>
          <w:tcPr>
            <w:tcW w:w="1023" w:type="pct"/>
            <w:vAlign w:val="center"/>
          </w:tcPr>
          <w:p w14:paraId="177E2394">
            <w:pPr>
              <w:pStyle w:val="48"/>
              <w:keepNext w:val="0"/>
              <w:keepLines w:val="0"/>
              <w:widowControl w:val="0"/>
              <w:kinsoku/>
              <w:wordWrap/>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生活污水</w:t>
            </w:r>
          </w:p>
        </w:tc>
        <w:tc>
          <w:tcPr>
            <w:tcW w:w="853" w:type="pct"/>
            <w:vAlign w:val="center"/>
          </w:tcPr>
          <w:p w14:paraId="04682342">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cs="Times New Roman" w:eastAsiaTheme="minorEastAsia"/>
                <w:color w:val="auto"/>
                <w:sz w:val="24"/>
                <w:szCs w:val="24"/>
                <w:lang w:eastAsia="zh-CN"/>
              </w:rPr>
            </w:pPr>
            <w:r>
              <w:rPr>
                <w:rFonts w:hint="default" w:ascii="Times New Roman" w:hAnsi="Times New Roman" w:eastAsia="宋体" w:cs="Times New Roman"/>
                <w:color w:val="auto"/>
                <w:sz w:val="24"/>
                <w:szCs w:val="24"/>
              </w:rPr>
              <w:t>pH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色（度）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嗅</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浊度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溶解性总固体</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阴离子表面活性剂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溶解氧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总氯</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氯化物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硫酸盐</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锰、BOD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大肠埃希氏菌</w:t>
            </w:r>
          </w:p>
        </w:tc>
        <w:tc>
          <w:tcPr>
            <w:tcW w:w="1135" w:type="pct"/>
            <w:vAlign w:val="center"/>
          </w:tcPr>
          <w:p w14:paraId="42B369BE">
            <w:pPr>
              <w:keepNext w:val="0"/>
              <w:keepLines w:val="0"/>
              <w:pageBreakBefore/>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项目生活污水</w:t>
            </w:r>
          </w:p>
          <w:p w14:paraId="5B3B436F">
            <w:pPr>
              <w:keepNext w:val="0"/>
              <w:keepLines w:val="0"/>
              <w:pageBreakBefore/>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rPr>
            </w:pPr>
            <w:r>
              <w:rPr>
                <w:rFonts w:hint="eastAsia" w:cs="Times New Roman" w:eastAsiaTheme="minorEastAsia"/>
                <w:color w:val="auto"/>
                <w:kern w:val="2"/>
                <w:sz w:val="24"/>
                <w:szCs w:val="24"/>
                <w:lang w:val="en-US" w:eastAsia="zh-CN" w:bidi="ar-SA"/>
              </w:rPr>
              <w:t>经</w:t>
            </w:r>
            <w:r>
              <w:rPr>
                <w:rFonts w:hint="default" w:ascii="Times New Roman" w:hAnsi="Times New Roman" w:cs="Times New Roman" w:eastAsiaTheme="minorEastAsia"/>
                <w:color w:val="auto"/>
                <w:sz w:val="24"/>
                <w:szCs w:val="24"/>
                <w:lang w:val="en-US" w:eastAsia="zh-CN"/>
              </w:rPr>
              <w:t>2m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/d一体化污水处理设施处理达标后</w:t>
            </w:r>
            <w:r>
              <w:rPr>
                <w:rFonts w:hint="default" w:ascii="Times New Roman" w:hAnsi="Times New Roman" w:cs="Times New Roman" w:eastAsiaTheme="minorEastAsia"/>
                <w:color w:val="auto"/>
                <w:kern w:val="2"/>
                <w:sz w:val="24"/>
                <w:szCs w:val="24"/>
                <w:lang w:val="en-US" w:eastAsia="zh-CN" w:bidi="ar-SA"/>
              </w:rPr>
              <w:t>，晴天回用于厂区绿化，不外排，雨天暂存于中水池，待晴天后回用于厂区绿化，不外排</w:t>
            </w:r>
          </w:p>
        </w:tc>
        <w:tc>
          <w:tcPr>
            <w:tcW w:w="1334" w:type="pct"/>
            <w:vAlign w:val="center"/>
          </w:tcPr>
          <w:p w14:paraId="0836304D">
            <w:pPr>
              <w:pStyle w:val="48"/>
              <w:keepNext w:val="0"/>
              <w:keepLines w:val="0"/>
              <w:widowControl w:val="0"/>
              <w:kinsoku/>
              <w:wordWrap/>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执行</w:t>
            </w:r>
            <w:r>
              <w:rPr>
                <w:rFonts w:hint="default" w:ascii="Times New Roman" w:hAnsi="Times New Roman" w:cs="Times New Roman" w:eastAsiaTheme="minorEastAsia"/>
                <w:color w:val="auto"/>
                <w:sz w:val="24"/>
                <w:szCs w:val="24"/>
              </w:rPr>
              <w:t>《城市污水再生利用  城市杂用水水质》（GB/T 18920-2020）标准中</w:t>
            </w:r>
            <w:r>
              <w:rPr>
                <w:rFonts w:hint="default" w:ascii="Times New Roman" w:hAnsi="Times New Roman" w:cs="Times New Roman" w:eastAsiaTheme="minorEastAsia"/>
                <w:color w:val="auto"/>
                <w:sz w:val="24"/>
                <w:szCs w:val="24"/>
                <w:lang w:val="en-US" w:eastAsia="zh-CN"/>
              </w:rPr>
              <w:t>绿化</w:t>
            </w:r>
            <w:r>
              <w:rPr>
                <w:rFonts w:hint="default" w:ascii="Times New Roman" w:hAnsi="Times New Roman" w:cs="Times New Roman" w:eastAsiaTheme="minorEastAsia"/>
                <w:color w:val="auto"/>
                <w:sz w:val="24"/>
                <w:szCs w:val="24"/>
              </w:rPr>
              <w:t>标准</w:t>
            </w:r>
            <w:r>
              <w:rPr>
                <w:rFonts w:hint="default" w:ascii="Times New Roman" w:hAnsi="Times New Roman" w:cs="Times New Roman" w:eastAsiaTheme="minorEastAsia"/>
                <w:color w:val="auto"/>
                <w:sz w:val="24"/>
                <w:szCs w:val="24"/>
                <w:lang w:val="en-US" w:eastAsia="zh-CN"/>
              </w:rPr>
              <w:t>限值</w:t>
            </w:r>
          </w:p>
        </w:tc>
      </w:tr>
      <w:tr w14:paraId="7BDDD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652" w:type="pct"/>
            <w:vAlign w:val="center"/>
          </w:tcPr>
          <w:p w14:paraId="0F8A7937">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023" w:type="pct"/>
            <w:vAlign w:val="center"/>
          </w:tcPr>
          <w:p w14:paraId="091423FE">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生产设备噪声</w:t>
            </w:r>
          </w:p>
        </w:tc>
        <w:tc>
          <w:tcPr>
            <w:tcW w:w="853" w:type="pct"/>
            <w:vAlign w:val="center"/>
          </w:tcPr>
          <w:p w14:paraId="2874155C">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w:t>
            </w:r>
          </w:p>
        </w:tc>
        <w:tc>
          <w:tcPr>
            <w:tcW w:w="1135" w:type="pct"/>
            <w:vAlign w:val="center"/>
          </w:tcPr>
          <w:p w14:paraId="1B2CBC0F">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安装减震垫、厂房隔音、风机加装消声器</w:t>
            </w:r>
          </w:p>
        </w:tc>
        <w:tc>
          <w:tcPr>
            <w:tcW w:w="1334" w:type="pct"/>
            <w:vAlign w:val="center"/>
          </w:tcPr>
          <w:p w14:paraId="43B8E695">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w:t>
            </w:r>
          </w:p>
        </w:tc>
      </w:tr>
      <w:tr w14:paraId="15D75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383D62A2">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4347" w:type="pct"/>
            <w:gridSpan w:val="4"/>
            <w:vAlign w:val="center"/>
          </w:tcPr>
          <w:p w14:paraId="2EB37207">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36EC5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52" w:type="pct"/>
            <w:vMerge w:val="restart"/>
            <w:vAlign w:val="center"/>
          </w:tcPr>
          <w:p w14:paraId="4C592DF8">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023" w:type="pct"/>
            <w:vAlign w:val="center"/>
          </w:tcPr>
          <w:p w14:paraId="03A5DBDE">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日常生活</w:t>
            </w:r>
          </w:p>
        </w:tc>
        <w:tc>
          <w:tcPr>
            <w:tcW w:w="853" w:type="pct"/>
            <w:vAlign w:val="center"/>
          </w:tcPr>
          <w:p w14:paraId="620C95B3">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生活垃圾</w:t>
            </w:r>
          </w:p>
        </w:tc>
        <w:tc>
          <w:tcPr>
            <w:tcW w:w="1135" w:type="pct"/>
            <w:vAlign w:val="center"/>
          </w:tcPr>
          <w:p w14:paraId="4545E42E">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统一袋装收集后，</w:t>
            </w:r>
            <w:r>
              <w:rPr>
                <w:rFonts w:hint="eastAsia" w:cs="Times New Roman"/>
                <w:color w:val="auto"/>
                <w:sz w:val="24"/>
                <w:szCs w:val="24"/>
                <w:lang w:val="en-US" w:eastAsia="zh-CN"/>
              </w:rPr>
              <w:t>送至附近的垃圾暂存点</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由</w:t>
            </w:r>
            <w:r>
              <w:rPr>
                <w:rFonts w:hint="default" w:ascii="Times New Roman" w:hAnsi="Times New Roman" w:eastAsia="宋体" w:cs="Times New Roman"/>
                <w:color w:val="auto"/>
                <w:sz w:val="24"/>
                <w:szCs w:val="24"/>
                <w:lang w:val="en-US" w:eastAsia="zh-CN"/>
              </w:rPr>
              <w:t>当地</w:t>
            </w:r>
            <w:r>
              <w:rPr>
                <w:rFonts w:hint="default" w:ascii="Times New Roman" w:hAnsi="Times New Roman" w:eastAsia="宋体" w:cs="Times New Roman"/>
                <w:color w:val="auto"/>
                <w:sz w:val="24"/>
                <w:szCs w:val="24"/>
                <w:lang w:eastAsia="zh-CN"/>
              </w:rPr>
              <w:t>环卫部门统一清运</w:t>
            </w:r>
          </w:p>
        </w:tc>
        <w:tc>
          <w:tcPr>
            <w:tcW w:w="1334" w:type="pct"/>
            <w:vAlign w:val="center"/>
          </w:tcPr>
          <w:p w14:paraId="0356EFCD">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14:paraId="03648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52" w:type="pct"/>
            <w:vMerge w:val="continue"/>
            <w:vAlign w:val="center"/>
          </w:tcPr>
          <w:p w14:paraId="4C837B46">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p>
        </w:tc>
        <w:tc>
          <w:tcPr>
            <w:tcW w:w="1023" w:type="pct"/>
            <w:vAlign w:val="center"/>
          </w:tcPr>
          <w:p w14:paraId="1334F82E">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车辆冲洗</w:t>
            </w:r>
          </w:p>
        </w:tc>
        <w:tc>
          <w:tcPr>
            <w:tcW w:w="853" w:type="pct"/>
            <w:vAlign w:val="center"/>
          </w:tcPr>
          <w:p w14:paraId="4489D7BA">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沉淀池煤泥</w:t>
            </w:r>
          </w:p>
        </w:tc>
        <w:tc>
          <w:tcPr>
            <w:tcW w:w="1135" w:type="pct"/>
            <w:shd w:val="clear" w:color="auto" w:fill="auto"/>
            <w:vAlign w:val="center"/>
          </w:tcPr>
          <w:p w14:paraId="4720DBA4">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统一收集后作为在建配矿项目的原料进行配矿，</w:t>
            </w:r>
            <w:r>
              <w:rPr>
                <w:rFonts w:hint="eastAsia" w:cs="Times New Roman"/>
                <w:color w:val="auto"/>
                <w:sz w:val="24"/>
                <w:szCs w:val="24"/>
                <w:lang w:val="en-US" w:eastAsia="zh-CN"/>
              </w:rPr>
              <w:t>不外排</w:t>
            </w:r>
          </w:p>
        </w:tc>
        <w:tc>
          <w:tcPr>
            <w:tcW w:w="1334" w:type="pct"/>
            <w:shd w:val="clear" w:color="auto" w:fill="auto"/>
            <w:vAlign w:val="center"/>
          </w:tcPr>
          <w:p w14:paraId="467E8731">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r>
      <w:tr w14:paraId="52745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52" w:type="pct"/>
            <w:vMerge w:val="continue"/>
            <w:vAlign w:val="center"/>
          </w:tcPr>
          <w:p w14:paraId="0806DEBF">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p>
        </w:tc>
        <w:tc>
          <w:tcPr>
            <w:tcW w:w="1023" w:type="pct"/>
            <w:vAlign w:val="center"/>
          </w:tcPr>
          <w:p w14:paraId="0B456B13">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设备维护保养</w:t>
            </w:r>
          </w:p>
        </w:tc>
        <w:tc>
          <w:tcPr>
            <w:tcW w:w="853" w:type="pct"/>
            <w:vAlign w:val="center"/>
          </w:tcPr>
          <w:p w14:paraId="1516C865">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eastAsia" w:cs="Times New Roman"/>
                <w:color w:val="auto"/>
                <w:sz w:val="24"/>
                <w:szCs w:val="24"/>
                <w:lang w:eastAsia="zh-CN"/>
              </w:rPr>
              <w:t>废机油</w:t>
            </w:r>
          </w:p>
        </w:tc>
        <w:tc>
          <w:tcPr>
            <w:tcW w:w="1135" w:type="pct"/>
            <w:vAlign w:val="center"/>
          </w:tcPr>
          <w:p w14:paraId="68D51A6D">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统一</w:t>
            </w:r>
            <w:r>
              <w:rPr>
                <w:rFonts w:hint="default" w:ascii="Times New Roman" w:hAnsi="Times New Roman" w:eastAsia="宋体" w:cs="Times New Roman"/>
                <w:color w:val="auto"/>
                <w:sz w:val="24"/>
                <w:szCs w:val="24"/>
              </w:rPr>
              <w:t>收集</w:t>
            </w:r>
            <w:r>
              <w:rPr>
                <w:rFonts w:hint="eastAsia" w:ascii="Times New Roman" w:hAnsi="Times New Roman" w:eastAsia="宋体" w:cs="Times New Roman"/>
                <w:color w:val="auto"/>
                <w:sz w:val="24"/>
                <w:szCs w:val="24"/>
                <w:lang w:val="en-US" w:eastAsia="zh-CN"/>
              </w:rPr>
              <w:t>后</w:t>
            </w:r>
            <w:r>
              <w:rPr>
                <w:rFonts w:hint="default" w:ascii="Times New Roman" w:hAnsi="Times New Roman" w:eastAsia="宋体" w:cs="Times New Roman"/>
                <w:color w:val="auto"/>
                <w:sz w:val="24"/>
                <w:szCs w:val="24"/>
              </w:rPr>
              <w:t>暂存于危废暂存间内，</w:t>
            </w:r>
            <w:r>
              <w:rPr>
                <w:rFonts w:hint="default"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val="en-US" w:eastAsia="zh-CN"/>
              </w:rPr>
              <w:t>有资质的单位进行处理处置</w:t>
            </w:r>
          </w:p>
        </w:tc>
        <w:tc>
          <w:tcPr>
            <w:tcW w:w="1334" w:type="pct"/>
            <w:vAlign w:val="center"/>
          </w:tcPr>
          <w:p w14:paraId="02C7DBC6">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危险废物贮存设施符合《危险废物贮存污染控制标准》（GB18597-2023）的有关要求</w:t>
            </w:r>
          </w:p>
        </w:tc>
      </w:tr>
      <w:tr w14:paraId="315D9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pct"/>
            <w:vAlign w:val="center"/>
          </w:tcPr>
          <w:p w14:paraId="7F02C7C9">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4347" w:type="pct"/>
            <w:gridSpan w:val="4"/>
            <w:vAlign w:val="center"/>
          </w:tcPr>
          <w:p w14:paraId="594C33D1">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（1）项目建设过程中采取防渗措施可有效防止风险物质下渗进入地下水，通过加强定期检查消除污染隐患；危废暂存间严格按照</w:t>
            </w:r>
            <w:r>
              <w:rPr>
                <w:rFonts w:hint="default" w:ascii="Times New Roman" w:hAnsi="Times New Roman" w:eastAsia="宋体" w:cs="Times New Roman"/>
                <w:bCs/>
                <w:color w:val="auto"/>
                <w:sz w:val="24"/>
                <w:szCs w:val="24"/>
              </w:rPr>
              <w:t>GB18597-2023《危险废物贮存污染控制标准》的相关要求建设，做好防扬散、防流失、防渗漏等措施</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 w:val="0"/>
                <w:bCs w:val="0"/>
                <w:color w:val="auto"/>
                <w:kern w:val="2"/>
                <w:sz w:val="24"/>
                <w:szCs w:val="24"/>
                <w:lang w:val="en-US" w:eastAsia="zh-CN" w:bidi="ar-SA"/>
              </w:rPr>
              <w:t>发现有污染物泄漏或渗漏，及时修补。</w:t>
            </w:r>
          </w:p>
          <w:p w14:paraId="047AF422">
            <w:pPr>
              <w:keepNext w:val="0"/>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（2）本次环评提出项目厂区进行硬化处理，整个生产工序均布设在封闭的生产车间内，车间内布设洒水降尘装置，严格按照分区防渗要求进行厂区防渗，严禁项目原料煤和成品煤露天堆存</w:t>
            </w:r>
            <w:r>
              <w:rPr>
                <w:rFonts w:hint="eastAsia" w:cs="Times New Roman"/>
                <w:b w:val="0"/>
                <w:bCs w:val="0"/>
                <w:color w:val="auto"/>
                <w:kern w:val="2"/>
                <w:sz w:val="24"/>
                <w:szCs w:val="24"/>
                <w:lang w:val="en-US" w:eastAsia="zh-CN" w:bidi="ar-SA"/>
              </w:rPr>
              <w:t>。</w:t>
            </w:r>
          </w:p>
          <w:p w14:paraId="7E11C1E9">
            <w:pPr>
              <w:keepNext w:val="0"/>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产生的危险废物经收集后暂存于危废暂存间，危废暂存间地面防渗，设置围堰并铺设防水漆；本项目危险废物收集于收集桶中，且产生量不大，若发生泄漏事故，经危废暂存间围堰收集后，可将风险控制在危废暂存间内，对周边环境影响较小。</w:t>
            </w:r>
          </w:p>
        </w:tc>
      </w:tr>
      <w:tr w14:paraId="1DDA8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4A64030F">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4347" w:type="pct"/>
            <w:gridSpan w:val="4"/>
            <w:vAlign w:val="center"/>
          </w:tcPr>
          <w:p w14:paraId="2FF8F1E9">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lang w:val="en-US" w:eastAsia="zh-CN"/>
              </w:rPr>
              <w:t>本项目</w:t>
            </w:r>
            <w:r>
              <w:rPr>
                <w:rFonts w:hint="eastAsia" w:cs="Times New Roman"/>
                <w:color w:val="auto"/>
                <w:kern w:val="2"/>
                <w:sz w:val="24"/>
                <w:szCs w:val="24"/>
                <w:lang w:val="en-US" w:eastAsia="zh-CN" w:bidi="ar-SA"/>
              </w:rPr>
              <w:t>利用</w:t>
            </w:r>
            <w:r>
              <w:rPr>
                <w:rFonts w:hint="eastAsia" w:cs="Times New Roman"/>
                <w:color w:val="auto"/>
                <w:lang w:eastAsia="zh-CN"/>
              </w:rPr>
              <w:t>玉溪利东商贸有限公司</w:t>
            </w:r>
            <w:r>
              <w:rPr>
                <w:rFonts w:hint="default" w:ascii="Times New Roman" w:hAnsi="Times New Roman" w:eastAsia="宋体" w:cs="Times New Roman"/>
                <w:color w:val="auto"/>
                <w:sz w:val="24"/>
                <w:lang w:val="en-US" w:eastAsia="zh-CN"/>
              </w:rPr>
              <w:t>建设完成的封闭式厂房进行建设，不新增占地</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位于</w:t>
            </w:r>
            <w:r>
              <w:rPr>
                <w:rFonts w:hint="eastAsia" w:cs="Times New Roman"/>
                <w:color w:val="auto"/>
                <w:sz w:val="24"/>
                <w:lang w:eastAsia="zh-CN"/>
              </w:rPr>
              <w:t>云南省玉溪市峨山彝族自治县化念镇</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用地性质</w:t>
            </w:r>
            <w:r>
              <w:rPr>
                <w:rFonts w:hint="default" w:ascii="Times New Roman" w:hAnsi="Times New Roman" w:eastAsia="宋体" w:cs="Times New Roman"/>
                <w:color w:val="auto"/>
                <w:sz w:val="24"/>
                <w:lang w:val="en-US" w:eastAsia="zh-CN"/>
              </w:rPr>
              <w:t>为</w:t>
            </w:r>
            <w:r>
              <w:rPr>
                <w:rFonts w:hint="eastAsia" w:cs="Times New Roman"/>
                <w:color w:val="auto"/>
                <w:sz w:val="24"/>
                <w:lang w:val="en-US" w:eastAsia="zh-CN"/>
              </w:rPr>
              <w:t>建设</w:t>
            </w:r>
            <w:r>
              <w:rPr>
                <w:rFonts w:hint="default" w:ascii="Times New Roman" w:hAnsi="Times New Roman" w:eastAsia="宋体" w:cs="Times New Roman"/>
                <w:color w:val="auto"/>
                <w:sz w:val="24"/>
                <w:lang w:val="en-US" w:eastAsia="zh-CN"/>
              </w:rPr>
              <w:t>用地，不涉及新增用地</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且</w:t>
            </w:r>
            <w:r>
              <w:rPr>
                <w:rFonts w:hint="default" w:ascii="Times New Roman" w:hAnsi="Times New Roman" w:eastAsia="宋体"/>
                <w:color w:val="auto"/>
                <w:sz w:val="24"/>
                <w:highlight w:val="none"/>
              </w:rPr>
              <w:t>项目场地及周边200m范围内</w:t>
            </w:r>
            <w:r>
              <w:rPr>
                <w:rFonts w:ascii="Times New Roman" w:hAnsi="Times New Roman" w:eastAsia="宋体"/>
                <w:color w:val="auto"/>
                <w:sz w:val="24"/>
                <w:highlight w:val="none"/>
              </w:rPr>
              <w:t>不存在自然保护区、世界文化和自然遗产地、风景名胜区、森林公园、地质公园、重要湿地、原始天然林、珍惜濒危野生动植物天然集中分布区等生态环境保护目标</w:t>
            </w:r>
            <w:r>
              <w:rPr>
                <w:rFonts w:hint="default" w:ascii="Times New Roman" w:hAnsi="Times New Roman" w:eastAsia="宋体" w:cs="Times New Roman"/>
                <w:color w:val="auto"/>
                <w:sz w:val="24"/>
                <w:lang w:val="en-US" w:eastAsia="zh-CN"/>
              </w:rPr>
              <w:t>，不会对周边生态环境造成不利影响。</w:t>
            </w:r>
          </w:p>
        </w:tc>
      </w:tr>
      <w:tr w14:paraId="6D2BFE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03793498">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环境风险防范措施</w:t>
            </w:r>
          </w:p>
        </w:tc>
        <w:tc>
          <w:tcPr>
            <w:tcW w:w="4347" w:type="pct"/>
            <w:gridSpan w:val="4"/>
            <w:vAlign w:val="center"/>
          </w:tcPr>
          <w:p w14:paraId="2CF29887">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加强设备日常的维护和管理，</w:t>
            </w:r>
            <w:r>
              <w:rPr>
                <w:rFonts w:hint="default" w:ascii="Times New Roman" w:hAnsi="Times New Roman" w:eastAsia="宋体" w:cs="Times New Roman"/>
                <w:color w:val="auto"/>
                <w:sz w:val="24"/>
                <w:szCs w:val="24"/>
                <w:lang w:val="en-US" w:eastAsia="zh-CN"/>
              </w:rPr>
              <w:t>及时进行洒水降尘和人工清扫</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减少无组织粉尘的逸散</w:t>
            </w:r>
            <w:r>
              <w:rPr>
                <w:rFonts w:hint="default" w:ascii="Times New Roman" w:hAnsi="Times New Roman" w:eastAsia="宋体" w:cs="Times New Roman"/>
                <w:color w:val="auto"/>
                <w:sz w:val="24"/>
                <w:szCs w:val="24"/>
              </w:rPr>
              <w:t>。</w:t>
            </w:r>
          </w:p>
          <w:p w14:paraId="75249362">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加强对生产车间、危废暂存间的监督管理，通过专人定时巡查、安装视频监控系统、每天上下班检查设备等方式，遏制可能发生的突发环境事故隐患。</w:t>
            </w:r>
          </w:p>
          <w:p w14:paraId="08205072">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危险废物暂存间严格按照《危险废物贮存污染控制标准》（GB18597-2023）的相关要求进行建设；危险废物严格管理，集中分类收集，及时交由有危险废物处理资质的单位回收处理，设置危险固废管理台账，如实记载危废的来源、数量、特性、包装容器类别、入库日期</w:t>
            </w:r>
            <w:r>
              <w:rPr>
                <w:rFonts w:hint="default" w:ascii="Times New Roman" w:hAnsi="Times New Roman" w:eastAsia="宋体" w:cs="Times New Roman"/>
                <w:color w:val="auto"/>
                <w:sz w:val="24"/>
                <w:szCs w:val="24"/>
                <w:lang w:val="en-US" w:eastAsia="zh-CN"/>
              </w:rPr>
              <w:t>等。</w:t>
            </w:r>
          </w:p>
          <w:p w14:paraId="1899DD12">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）本次评价要求建设单位在生产过程中，应以低粉尘、无粉尘物料代替高产尘物料，以不产尘设备、低产尘设备代替高产尘设备，生产设备、</w:t>
            </w:r>
            <w:r>
              <w:rPr>
                <w:rFonts w:hint="default" w:ascii="Times New Roman" w:hAnsi="Times New Roman" w:eastAsia="宋体" w:cs="Times New Roman"/>
                <w:color w:val="auto"/>
                <w:sz w:val="24"/>
                <w:szCs w:val="24"/>
                <w:lang w:val="en-US" w:eastAsia="zh-CN"/>
              </w:rPr>
              <w:t>电气设备</w:t>
            </w:r>
            <w:r>
              <w:rPr>
                <w:rFonts w:hint="default" w:ascii="Times New Roman" w:hAnsi="Times New Roman" w:eastAsia="宋体" w:cs="Times New Roman"/>
                <w:color w:val="auto"/>
                <w:sz w:val="24"/>
                <w:szCs w:val="24"/>
                <w:lang w:eastAsia="zh-CN"/>
              </w:rPr>
              <w:t>及照明设备应采用防爆型电气设备，符合《爆炸性环境第1部分：设备通用要求》（GB/T 3836.1-2021）中的要求，</w:t>
            </w:r>
            <w:r>
              <w:rPr>
                <w:rFonts w:hint="default" w:ascii="Times New Roman" w:hAnsi="Times New Roman" w:eastAsia="宋体" w:cs="Times New Roman"/>
                <w:color w:val="auto"/>
                <w:sz w:val="24"/>
                <w:szCs w:val="24"/>
                <w:lang w:val="en-US" w:eastAsia="zh-CN"/>
              </w:rPr>
              <w:t>避免发生煤粉爆炸事故。</w:t>
            </w:r>
          </w:p>
          <w:p w14:paraId="35EC9B80">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（5）严格控制车间内的粉尘浓度，</w:t>
            </w:r>
            <w:r>
              <w:rPr>
                <w:rFonts w:hint="default" w:ascii="Times New Roman" w:hAnsi="Times New Roman" w:eastAsia="宋体" w:cs="Times New Roman"/>
                <w:color w:val="auto"/>
                <w:sz w:val="24"/>
                <w:szCs w:val="24"/>
                <w:lang w:eastAsia="zh-CN"/>
              </w:rPr>
              <w:t>采取</w:t>
            </w:r>
            <w:r>
              <w:rPr>
                <w:rFonts w:hint="default" w:ascii="Times New Roman" w:hAnsi="Times New Roman" w:eastAsia="宋体" w:cs="Times New Roman"/>
                <w:color w:val="auto"/>
                <w:sz w:val="24"/>
                <w:szCs w:val="24"/>
                <w:lang w:val="en-US" w:eastAsia="zh-CN"/>
              </w:rPr>
              <w:t>洒水降尘</w:t>
            </w:r>
            <w:r>
              <w:rPr>
                <w:rFonts w:hint="default" w:ascii="Times New Roman" w:hAnsi="Times New Roman" w:eastAsia="宋体" w:cs="Times New Roman"/>
                <w:color w:val="auto"/>
                <w:sz w:val="24"/>
                <w:szCs w:val="24"/>
                <w:lang w:eastAsia="zh-CN"/>
              </w:rPr>
              <w:t>措施，尽可能降低车间内粉尘浓度。</w:t>
            </w:r>
          </w:p>
          <w:p w14:paraId="307CA159">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）应定期检测工作场所的粉尘浓度，确保其在安全范围内。当粉尘浓度超过安全限值时，应立即采取措施降低浓度，如增加通风量、停止产生粉尘的作业等。</w:t>
            </w:r>
          </w:p>
          <w:p w14:paraId="0CAAD1A2">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eastAsia="zh-CN"/>
              </w:rPr>
              <w:t>）加强管理。建设单位需重视防尘工作，制定防爆电气设备管理制度，加强对防爆电气设备的管理和保养，防止因电气设备故障引发事故，并定期对生产设备和生产车间进行清理，防止粉尘积累。</w:t>
            </w:r>
          </w:p>
          <w:p w14:paraId="2222DDB2">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eastAsia="zh-CN"/>
              </w:rPr>
              <w:t>）重视教育。加强员工的安全教育和培训，员工应了解粉尘爆炸的危害和预防措施，掌握正确的操作方法，遵守安全规定。同时，应定期进行应急演练，提高员工应对突发事故的能力。</w:t>
            </w:r>
          </w:p>
          <w:p w14:paraId="49E5B4E5">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）设置应急管理组织，建立风险管理制度，厂区内应配置所需的各类应急救援物资，发生事故时，第一时间加以发现并控制，防止事故进一步扩大</w:t>
            </w:r>
            <w:r>
              <w:rPr>
                <w:rFonts w:hint="default" w:ascii="Times New Roman" w:hAnsi="Times New Roman" w:eastAsia="宋体" w:cs="Times New Roman"/>
                <w:color w:val="auto"/>
                <w:sz w:val="24"/>
                <w:szCs w:val="24"/>
              </w:rPr>
              <w:t>。</w:t>
            </w:r>
          </w:p>
        </w:tc>
      </w:tr>
      <w:tr w14:paraId="25DC1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5183223C">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其他环境管理要求</w:t>
            </w:r>
          </w:p>
        </w:tc>
        <w:tc>
          <w:tcPr>
            <w:tcW w:w="4347" w:type="pct"/>
            <w:gridSpan w:val="4"/>
            <w:vAlign w:val="center"/>
          </w:tcPr>
          <w:p w14:paraId="27D9983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baseline"/>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1、环境管理</w:t>
            </w:r>
          </w:p>
          <w:p w14:paraId="67FCE1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建立环境保护管理机构，根据工程环境影响评价中提出的施工期和营运期环境保护措施，落实环境保护经费，实施环境保护对策措施；协调政府环境管理与工程环境管理间的关系，具体管理内容如下：</w:t>
            </w:r>
          </w:p>
          <w:p w14:paraId="330B7E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（1）项目在建设和运行中应认真执行国家、地方环境保护的有关规定和要求。按照当地生态环境主管部门的要求及时反映发生的环保问题，接受生态环境主管部门的检查监督。</w:t>
            </w:r>
          </w:p>
          <w:p w14:paraId="74D9B5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（2）项目建成运行后，建设单位应自主组织相关人员进行环保验收，并编制《突发事故环境风险应急预案》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报送</w:t>
            </w:r>
            <w:r>
              <w:rPr>
                <w:rFonts w:hint="eastAsia" w:cs="Times New Roman"/>
                <w:color w:val="auto"/>
                <w:sz w:val="24"/>
                <w:szCs w:val="24"/>
                <w:lang w:val="en-US" w:eastAsia="zh-CN"/>
              </w:rPr>
              <w:t>玉溪</w:t>
            </w:r>
            <w:r>
              <w:rPr>
                <w:rFonts w:hint="default" w:ascii="Times New Roman" w:hAnsi="Times New Roman" w:eastAsia="宋体" w:cs="Times New Roman"/>
                <w:color w:val="auto"/>
                <w:sz w:val="24"/>
                <w:szCs w:val="24"/>
                <w:lang w:val="en-US" w:eastAsia="zh-CN"/>
              </w:rPr>
              <w:t>市生态环境局</w:t>
            </w:r>
            <w:r>
              <w:rPr>
                <w:rFonts w:hint="eastAsia" w:cs="Times New Roman"/>
                <w:color w:val="auto"/>
                <w:sz w:val="24"/>
                <w:szCs w:val="24"/>
                <w:lang w:val="en-US" w:eastAsia="zh-CN"/>
              </w:rPr>
              <w:t>峨山</w:t>
            </w:r>
            <w:r>
              <w:rPr>
                <w:rFonts w:hint="default" w:ascii="Times New Roman" w:hAnsi="Times New Roman" w:eastAsia="宋体" w:cs="Times New Roman"/>
                <w:color w:val="auto"/>
                <w:sz w:val="24"/>
                <w:szCs w:val="24"/>
                <w:lang w:val="en-US" w:eastAsia="zh-CN"/>
              </w:rPr>
              <w:t>分局</w:t>
            </w:r>
            <w:r>
              <w:rPr>
                <w:rFonts w:hint="default" w:ascii="Times New Roman" w:hAnsi="Times New Roman" w:eastAsia="宋体" w:cs="Times New Roman"/>
                <w:color w:val="auto"/>
                <w:sz w:val="24"/>
                <w:szCs w:val="24"/>
              </w:rPr>
              <w:t>进行备案。</w:t>
            </w:r>
          </w:p>
          <w:p w14:paraId="01A467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（3）加强管理，使污染物尽量消除在源头。</w:t>
            </w:r>
          </w:p>
          <w:p w14:paraId="26355F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（4）加强风险事故防范机制，避免污染性的突发事件发生。</w:t>
            </w:r>
          </w:p>
          <w:p w14:paraId="406274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（5）加强宣传教育，增强施工及管理人员的环保意识。</w:t>
            </w:r>
          </w:p>
          <w:p w14:paraId="4B444A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（6）按危废暂存间建设规范建设危废暂存间，建立危险废物暂存间台账，委托有资质单位处理。</w:t>
            </w:r>
          </w:p>
          <w:p w14:paraId="56D86CD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baseline"/>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2、排污许可证办理</w:t>
            </w:r>
          </w:p>
          <w:p w14:paraId="3DE31C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根据《排污许可管理条例》（中华人民共和国国务院令 第736号），本项目应当在启动生产设施或者发生实际排污之前，向当地生态环境局申请取得排污许可证。</w:t>
            </w:r>
          </w:p>
          <w:p w14:paraId="6B6945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根据《固定污染源排污许可分类管理名录（2019年版）》，本项目</w:t>
            </w:r>
            <w:r>
              <w:rPr>
                <w:rFonts w:hint="eastAsia" w:ascii="Times New Roman" w:hAnsi="Times New Roman" w:eastAsia="宋体" w:cs="Times New Roman"/>
                <w:color w:val="auto"/>
                <w:sz w:val="24"/>
                <w:szCs w:val="24"/>
                <w:lang w:val="en-US" w:eastAsia="zh-CN"/>
              </w:rPr>
              <w:t>属于煤炭开采和洗选业06</w:t>
            </w:r>
            <w:r>
              <w:rPr>
                <w:rFonts w:hint="default" w:ascii="Times New Roman" w:hAnsi="Times New Roman" w:eastAsia="宋体" w:cs="Times New Roman"/>
                <w:color w:val="auto"/>
                <w:sz w:val="24"/>
                <w:szCs w:val="24"/>
              </w:rPr>
              <w:t>中的</w:t>
            </w:r>
            <w:r>
              <w:rPr>
                <w:rFonts w:hint="eastAsia" w:ascii="Times New Roman" w:hAnsi="Times New Roman" w:eastAsia="宋体" w:cs="Times New Roman"/>
                <w:color w:val="auto"/>
                <w:sz w:val="24"/>
                <w:szCs w:val="24"/>
                <w:lang w:val="en-US" w:eastAsia="zh-CN"/>
              </w:rPr>
              <w:t>“烟煤和无烟煤开采洗选061”，本项目仅进行煤炭的混配，不涉及通用工序，故本项目</w:t>
            </w:r>
            <w:r>
              <w:rPr>
                <w:rFonts w:hint="default" w:ascii="Times New Roman" w:hAnsi="Times New Roman" w:eastAsia="宋体" w:cs="Times New Roman"/>
                <w:color w:val="auto"/>
                <w:sz w:val="24"/>
                <w:szCs w:val="24"/>
              </w:rPr>
              <w:t>属于排污许可</w:t>
            </w:r>
            <w:r>
              <w:rPr>
                <w:rFonts w:hint="eastAsia" w:ascii="Times New Roman" w:hAnsi="Times New Roman" w:eastAsia="宋体" w:cs="Times New Roman"/>
                <w:color w:val="auto"/>
                <w:sz w:val="24"/>
                <w:szCs w:val="24"/>
                <w:lang w:val="en-US" w:eastAsia="zh-CN"/>
              </w:rPr>
              <w:t>为登记管理</w:t>
            </w:r>
            <w:r>
              <w:rPr>
                <w:rFonts w:hint="default" w:ascii="Times New Roman" w:hAnsi="Times New Roman" w:eastAsia="宋体" w:cs="Times New Roman"/>
                <w:color w:val="auto"/>
                <w:sz w:val="24"/>
                <w:szCs w:val="24"/>
              </w:rPr>
              <w:t>的排污单位。</w:t>
            </w:r>
          </w:p>
          <w:p w14:paraId="270CAFC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baseline"/>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、建设项目竣工环境保护验收</w:t>
            </w:r>
          </w:p>
          <w:p w14:paraId="5286F9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baseline"/>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环保设施竣工验收由建设单位自行组织实施验收。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51047D0E">
            <w:pPr>
              <w:pStyle w:val="17"/>
              <w:keepNext w:val="0"/>
              <w:keepLines w:val="0"/>
              <w:kinsoku/>
              <w:overflowPunct/>
              <w:topLinePunct w:val="0"/>
              <w:autoSpaceDE/>
              <w:autoSpaceDN/>
              <w:bidi w:val="0"/>
              <w:adjustRightInd/>
              <w:snapToGrid/>
              <w:spacing w:beforeLines="0" w:afterLines="0" w:line="240" w:lineRule="auto"/>
              <w:ind w:firstLine="0" w:firstLineChars="0"/>
              <w:textAlignment w:val="auto"/>
              <w:outlineLvl w:val="9"/>
              <w:rPr>
                <w:rFonts w:hint="default" w:ascii="Times New Roman" w:hAnsi="Times New Roman" w:eastAsia="宋体" w:cs="Times New Roman"/>
                <w:color w:val="auto"/>
                <w:sz w:val="24"/>
                <w:szCs w:val="24"/>
                <w:lang w:eastAsia="zh-CN"/>
              </w:rPr>
            </w:pPr>
          </w:p>
          <w:p w14:paraId="5FB94765">
            <w:pPr>
              <w:pStyle w:val="17"/>
              <w:keepNext w:val="0"/>
              <w:keepLines w:val="0"/>
              <w:kinsoku/>
              <w:overflowPunct/>
              <w:topLinePunct w:val="0"/>
              <w:autoSpaceDE/>
              <w:autoSpaceDN/>
              <w:bidi w:val="0"/>
              <w:adjustRightInd/>
              <w:snapToGrid/>
              <w:spacing w:beforeLines="0" w:afterLines="0" w:line="240" w:lineRule="auto"/>
              <w:ind w:firstLine="0" w:firstLineChars="0"/>
              <w:textAlignment w:val="auto"/>
              <w:outlineLvl w:val="9"/>
              <w:rPr>
                <w:rFonts w:hint="default" w:ascii="Times New Roman" w:hAnsi="Times New Roman" w:eastAsia="宋体" w:cs="Times New Roman"/>
                <w:color w:val="auto"/>
                <w:sz w:val="24"/>
                <w:szCs w:val="24"/>
                <w:lang w:eastAsia="zh-CN"/>
              </w:rPr>
            </w:pPr>
          </w:p>
        </w:tc>
      </w:tr>
    </w:tbl>
    <w:p w14:paraId="18ABBA71">
      <w:pPr>
        <w:rPr>
          <w:rFonts w:hint="default" w:ascii="Times New Roman" w:hAnsi="Times New Roman" w:cs="Times New Roman"/>
          <w:color w:val="auto"/>
        </w:rPr>
      </w:pPr>
      <w:r>
        <w:rPr>
          <w:rFonts w:hint="default" w:ascii="Times New Roman" w:hAnsi="Times New Roman" w:cs="Times New Roman"/>
          <w:snapToGrid w:val="0"/>
          <w:color w:val="auto"/>
        </w:rPr>
        <w:br w:type="page"/>
      </w:r>
    </w:p>
    <w:p w14:paraId="3CCA8A49">
      <w:pPr>
        <w:pStyle w:val="2"/>
        <w:numPr>
          <w:ilvl w:val="0"/>
          <w:numId w:val="0"/>
        </w:numPr>
        <w:ind w:firstLine="0" w:firstLineChars="0"/>
        <w:jc w:val="center"/>
        <w:rPr>
          <w:rFonts w:hint="default" w:ascii="Times New Roman" w:hAnsi="Times New Roman" w:eastAsia="黑体" w:cs="Times New Roman"/>
          <w:b/>
          <w:color w:val="auto"/>
          <w:kern w:val="44"/>
          <w:sz w:val="32"/>
          <w:szCs w:val="32"/>
          <w:lang w:val="en-US" w:eastAsia="zh-CN" w:bidi="ar-SA"/>
        </w:rPr>
      </w:pPr>
      <w:bookmarkStart w:id="39" w:name="_Toc13537"/>
      <w:r>
        <w:rPr>
          <w:rFonts w:hint="eastAsia" w:ascii="Times New Roman" w:hAnsi="Times New Roman" w:eastAsia="黑体" w:cs="Times New Roman"/>
          <w:b/>
          <w:color w:val="auto"/>
          <w:kern w:val="44"/>
          <w:sz w:val="32"/>
          <w:szCs w:val="32"/>
          <w:lang w:val="en-US" w:eastAsia="zh-CN" w:bidi="ar-SA"/>
        </w:rPr>
        <w:t>六、</w:t>
      </w:r>
      <w:r>
        <w:rPr>
          <w:rFonts w:hint="default" w:ascii="Times New Roman" w:hAnsi="Times New Roman" w:eastAsia="黑体" w:cs="Times New Roman"/>
          <w:b/>
          <w:color w:val="auto"/>
          <w:kern w:val="44"/>
          <w:sz w:val="32"/>
          <w:szCs w:val="32"/>
          <w:lang w:val="en-US" w:eastAsia="zh-CN" w:bidi="ar-SA"/>
        </w:rPr>
        <w:t>结论</w:t>
      </w:r>
      <w:bookmarkEnd w:id="39"/>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14F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1AC65C3">
            <w:pPr>
              <w:keepNext w:val="0"/>
              <w:keepLines w:val="0"/>
              <w:pageBreakBefore w:val="0"/>
              <w:widowControl w:val="0"/>
              <w:tabs>
                <w:tab w:val="left" w:pos="2395"/>
              </w:tabs>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none"/>
              </w:rPr>
              <w:t>项目</w:t>
            </w:r>
            <w:r>
              <w:rPr>
                <w:rFonts w:hint="eastAsia" w:cs="Times New Roman"/>
                <w:color w:val="auto"/>
                <w:kern w:val="2"/>
                <w:sz w:val="24"/>
                <w:szCs w:val="24"/>
                <w:lang w:val="en-US" w:eastAsia="zh-CN" w:bidi="ar-SA"/>
              </w:rPr>
              <w:t>利用</w:t>
            </w:r>
            <w:r>
              <w:rPr>
                <w:rFonts w:hint="eastAsia" w:cs="Times New Roman"/>
                <w:color w:val="auto"/>
                <w:lang w:eastAsia="zh-CN"/>
              </w:rPr>
              <w:t>玉溪利东商贸有限公司</w:t>
            </w:r>
            <w:r>
              <w:rPr>
                <w:rFonts w:hint="default" w:ascii="Times New Roman" w:hAnsi="Times New Roman" w:cs="Times New Roman" w:eastAsiaTheme="minorEastAsia"/>
                <w:b w:val="0"/>
                <w:bCs w:val="0"/>
                <w:i w:val="0"/>
                <w:iCs w:val="0"/>
                <w:color w:val="auto"/>
                <w:kern w:val="2"/>
                <w:sz w:val="24"/>
                <w:szCs w:val="24"/>
                <w:lang w:val="en-US" w:eastAsia="zh-CN" w:bidi="ar-SA"/>
              </w:rPr>
              <w:t>已建设完成的封闭式厂房进行建设</w:t>
            </w:r>
            <w:r>
              <w:rPr>
                <w:rFonts w:hint="eastAsia" w:cs="Times New Roman" w:eastAsiaTheme="minorEastAsia"/>
                <w:b w:val="0"/>
                <w:bCs w:val="0"/>
                <w:i w:val="0"/>
                <w:iCs w:val="0"/>
                <w:color w:val="auto"/>
                <w:kern w:val="2"/>
                <w:sz w:val="24"/>
                <w:szCs w:val="24"/>
                <w:lang w:val="en-US" w:eastAsia="zh-CN" w:bidi="ar-SA"/>
              </w:rPr>
              <w:t>，</w:t>
            </w:r>
            <w:r>
              <w:rPr>
                <w:rFonts w:hint="eastAsia" w:ascii="宋体" w:hAnsi="宋体" w:eastAsia="宋体" w:cs="宋体"/>
                <w:bCs/>
                <w:color w:val="auto"/>
                <w:sz w:val="24"/>
                <w:szCs w:val="24"/>
                <w:u w:val="none"/>
              </w:rPr>
              <w:t>位于</w:t>
            </w:r>
            <w:r>
              <w:rPr>
                <w:rFonts w:hint="eastAsia" w:cs="Times New Roman"/>
                <w:color w:val="auto"/>
                <w:sz w:val="24"/>
                <w:szCs w:val="24"/>
                <w:lang w:eastAsia="zh-CN"/>
              </w:rPr>
              <w:t>云南省玉溪市峨山彝族自治县化念镇</w:t>
            </w:r>
            <w:r>
              <w:rPr>
                <w:rFonts w:hint="eastAsia" w:ascii="宋体" w:hAnsi="宋体" w:eastAsia="宋体" w:cs="宋体"/>
                <w:color w:val="auto"/>
                <w:sz w:val="24"/>
                <w:szCs w:val="24"/>
                <w:u w:val="none"/>
              </w:rPr>
              <w:t>，通过对该项目的工程分析和环境影响分析可得如下结论：</w:t>
            </w:r>
          </w:p>
          <w:p w14:paraId="7583572F">
            <w:pPr>
              <w:adjustRightInd w:val="0"/>
              <w:snapToGrid w:val="0"/>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本项目的建设符合国家产业政策，采取的污染防治措施有效、可靠。项目的污染物排放量较小，通过采取相应的环境保护对策措施可以实现达标排放，项目实施后不会对地表水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地下水</w:t>
            </w:r>
            <w:r>
              <w:rPr>
                <w:rFonts w:hint="eastAsia" w:ascii="宋体" w:hAnsi="宋体" w:eastAsia="宋体" w:cs="宋体"/>
                <w:color w:val="auto"/>
                <w:sz w:val="24"/>
                <w:szCs w:val="24"/>
              </w:rPr>
              <w:t>、环境空气、声环境和生态环境产生明显影响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环境风险可控。项目建设无明显环境制约因素。在建设单位严格执行本环境影响报告表中提出的污染防治对策和措施、加强环境管理、严格执行“三同时”制度、确保各项污染物达标排放的前提下，从环境保护角度分析，该项目的建设是可行的</w:t>
            </w:r>
            <w:r>
              <w:rPr>
                <w:rFonts w:hint="eastAsia" w:ascii="宋体" w:hAnsi="宋体" w:eastAsia="宋体" w:cs="宋体"/>
                <w:color w:val="auto"/>
                <w:sz w:val="24"/>
                <w:szCs w:val="24"/>
                <w:lang w:eastAsia="zh-CN"/>
              </w:rPr>
              <w:t>。</w:t>
            </w:r>
          </w:p>
          <w:p w14:paraId="65EB1702">
            <w:pPr>
              <w:ind w:firstLine="480"/>
              <w:rPr>
                <w:rFonts w:hint="default" w:ascii="Times New Roman" w:hAnsi="Times New Roman" w:cs="Times New Roman"/>
                <w:color w:val="auto"/>
              </w:rPr>
            </w:pPr>
          </w:p>
          <w:p w14:paraId="6989EBF7">
            <w:pPr>
              <w:ind w:firstLine="400"/>
              <w:rPr>
                <w:rFonts w:hint="default" w:ascii="Times New Roman" w:hAnsi="Times New Roman" w:cs="Times New Roman"/>
                <w:color w:val="auto"/>
                <w:sz w:val="20"/>
                <w:szCs w:val="20"/>
              </w:rPr>
            </w:pPr>
          </w:p>
          <w:p w14:paraId="7039FCBA">
            <w:pPr>
              <w:ind w:firstLine="400"/>
              <w:rPr>
                <w:rFonts w:hint="default" w:ascii="Times New Roman" w:hAnsi="Times New Roman" w:cs="Times New Roman"/>
                <w:color w:val="auto"/>
                <w:sz w:val="20"/>
                <w:szCs w:val="20"/>
              </w:rPr>
            </w:pPr>
          </w:p>
          <w:p w14:paraId="4966C19D">
            <w:pPr>
              <w:ind w:firstLine="400"/>
              <w:rPr>
                <w:rFonts w:hint="default" w:ascii="Times New Roman" w:hAnsi="Times New Roman" w:cs="Times New Roman"/>
                <w:color w:val="auto"/>
                <w:sz w:val="20"/>
                <w:szCs w:val="20"/>
              </w:rPr>
            </w:pPr>
          </w:p>
          <w:p w14:paraId="0CC76857">
            <w:pPr>
              <w:ind w:firstLine="400"/>
              <w:rPr>
                <w:rFonts w:hint="default" w:ascii="Times New Roman" w:hAnsi="Times New Roman" w:cs="Times New Roman"/>
                <w:color w:val="auto"/>
                <w:sz w:val="20"/>
                <w:szCs w:val="20"/>
              </w:rPr>
            </w:pPr>
          </w:p>
          <w:p w14:paraId="3785FAE8">
            <w:pPr>
              <w:ind w:firstLine="400"/>
              <w:rPr>
                <w:rFonts w:hint="default" w:ascii="Times New Roman" w:hAnsi="Times New Roman" w:cs="Times New Roman"/>
                <w:color w:val="auto"/>
                <w:sz w:val="20"/>
                <w:szCs w:val="20"/>
              </w:rPr>
            </w:pPr>
          </w:p>
          <w:p w14:paraId="446E1442">
            <w:pPr>
              <w:ind w:firstLine="400"/>
              <w:rPr>
                <w:rFonts w:hint="default" w:ascii="Times New Roman" w:hAnsi="Times New Roman" w:cs="Times New Roman"/>
                <w:color w:val="auto"/>
                <w:sz w:val="20"/>
                <w:szCs w:val="20"/>
              </w:rPr>
            </w:pPr>
          </w:p>
          <w:p w14:paraId="02365A16">
            <w:pPr>
              <w:ind w:firstLine="400"/>
              <w:rPr>
                <w:rFonts w:hint="default" w:ascii="Times New Roman" w:hAnsi="Times New Roman" w:cs="Times New Roman"/>
                <w:color w:val="auto"/>
                <w:sz w:val="20"/>
                <w:szCs w:val="20"/>
              </w:rPr>
            </w:pPr>
          </w:p>
          <w:p w14:paraId="5EDDA630">
            <w:pPr>
              <w:ind w:firstLine="400"/>
              <w:rPr>
                <w:rFonts w:hint="default" w:ascii="Times New Roman" w:hAnsi="Times New Roman" w:cs="Times New Roman"/>
                <w:color w:val="auto"/>
                <w:sz w:val="20"/>
                <w:szCs w:val="20"/>
              </w:rPr>
            </w:pPr>
          </w:p>
          <w:p w14:paraId="5E786576">
            <w:pPr>
              <w:ind w:firstLine="400"/>
              <w:rPr>
                <w:rFonts w:hint="default" w:ascii="Times New Roman" w:hAnsi="Times New Roman" w:cs="Times New Roman"/>
                <w:color w:val="auto"/>
                <w:sz w:val="20"/>
                <w:szCs w:val="20"/>
              </w:rPr>
            </w:pPr>
          </w:p>
          <w:p w14:paraId="040B7825">
            <w:pPr>
              <w:ind w:firstLine="400"/>
              <w:rPr>
                <w:rFonts w:hint="default" w:ascii="Times New Roman" w:hAnsi="Times New Roman" w:cs="Times New Roman"/>
                <w:color w:val="auto"/>
                <w:sz w:val="20"/>
                <w:szCs w:val="20"/>
              </w:rPr>
            </w:pPr>
          </w:p>
          <w:p w14:paraId="334D43B9">
            <w:pPr>
              <w:ind w:firstLine="400"/>
              <w:rPr>
                <w:rFonts w:hint="default" w:ascii="Times New Roman" w:hAnsi="Times New Roman" w:cs="Times New Roman"/>
                <w:color w:val="auto"/>
                <w:sz w:val="20"/>
                <w:szCs w:val="20"/>
              </w:rPr>
            </w:pPr>
          </w:p>
          <w:p w14:paraId="1E96F1AF">
            <w:pPr>
              <w:ind w:firstLine="400"/>
              <w:rPr>
                <w:rFonts w:hint="default" w:ascii="Times New Roman" w:hAnsi="Times New Roman" w:cs="Times New Roman"/>
                <w:color w:val="auto"/>
                <w:sz w:val="20"/>
                <w:szCs w:val="20"/>
              </w:rPr>
            </w:pPr>
          </w:p>
          <w:p w14:paraId="5915784B">
            <w:pPr>
              <w:ind w:firstLine="400"/>
              <w:rPr>
                <w:rFonts w:hint="default" w:ascii="Times New Roman" w:hAnsi="Times New Roman" w:cs="Times New Roman"/>
                <w:color w:val="auto"/>
                <w:sz w:val="20"/>
                <w:szCs w:val="20"/>
              </w:rPr>
            </w:pPr>
          </w:p>
          <w:p w14:paraId="14E1FE3E">
            <w:pPr>
              <w:ind w:firstLine="400"/>
              <w:rPr>
                <w:rFonts w:hint="default" w:ascii="Times New Roman" w:hAnsi="Times New Roman" w:cs="Times New Roman"/>
                <w:color w:val="auto"/>
                <w:sz w:val="20"/>
                <w:szCs w:val="20"/>
              </w:rPr>
            </w:pPr>
          </w:p>
          <w:p w14:paraId="3429EB4F">
            <w:pPr>
              <w:ind w:left="0" w:leftChars="0" w:firstLine="0" w:firstLineChars="0"/>
              <w:rPr>
                <w:rFonts w:hint="default" w:ascii="Times New Roman" w:hAnsi="Times New Roman" w:cs="Times New Roman"/>
                <w:color w:val="auto"/>
                <w:sz w:val="20"/>
                <w:szCs w:val="20"/>
              </w:rPr>
            </w:pPr>
          </w:p>
          <w:p w14:paraId="306027AF">
            <w:pPr>
              <w:ind w:left="0" w:leftChars="0" w:firstLine="0" w:firstLineChars="0"/>
              <w:rPr>
                <w:rFonts w:hint="default" w:ascii="Times New Roman" w:hAnsi="Times New Roman" w:cs="Times New Roman"/>
                <w:color w:val="auto"/>
                <w:sz w:val="20"/>
                <w:szCs w:val="20"/>
              </w:rPr>
            </w:pPr>
          </w:p>
          <w:p w14:paraId="68634823">
            <w:pPr>
              <w:ind w:firstLine="0" w:firstLineChars="0"/>
              <w:rPr>
                <w:rFonts w:hint="default" w:ascii="Times New Roman" w:hAnsi="Times New Roman" w:cs="Times New Roman"/>
                <w:color w:val="auto"/>
                <w:sz w:val="20"/>
                <w:szCs w:val="20"/>
              </w:rPr>
            </w:pPr>
          </w:p>
        </w:tc>
      </w:tr>
    </w:tbl>
    <w:p w14:paraId="5FE288B7">
      <w:pPr>
        <w:pStyle w:val="17"/>
        <w:rPr>
          <w:rFonts w:hint="default" w:ascii="Times New Roman" w:hAnsi="Times New Roman" w:cs="Times New Roman"/>
          <w:color w:val="auto"/>
        </w:rPr>
        <w:sectPr>
          <w:pgSz w:w="11906" w:h="16838"/>
          <w:pgMar w:top="1440" w:right="1800" w:bottom="1440" w:left="1800" w:header="851" w:footer="992" w:gutter="0"/>
          <w:pgNumType w:fmt="decimal"/>
          <w:cols w:space="720" w:num="1"/>
          <w:docGrid w:type="lines" w:linePitch="312" w:charSpace="0"/>
        </w:sectPr>
      </w:pPr>
    </w:p>
    <w:p w14:paraId="3FE45C34">
      <w:pPr>
        <w:pStyle w:val="2"/>
        <w:numPr>
          <w:ilvl w:val="0"/>
          <w:numId w:val="0"/>
        </w:numPr>
        <w:ind w:firstLine="0" w:firstLineChars="0"/>
        <w:jc w:val="center"/>
        <w:rPr>
          <w:rFonts w:hint="default" w:ascii="Times New Roman" w:hAnsi="Times New Roman" w:eastAsia="黑体" w:cs="Times New Roman"/>
          <w:b/>
          <w:color w:val="auto"/>
          <w:kern w:val="44"/>
          <w:sz w:val="32"/>
          <w:szCs w:val="32"/>
          <w:lang w:val="en-US" w:eastAsia="zh-CN" w:bidi="ar-SA"/>
        </w:rPr>
      </w:pPr>
      <w:bookmarkStart w:id="40" w:name="_Toc8175"/>
      <w:bookmarkStart w:id="41" w:name="_Toc31138"/>
      <w:bookmarkStart w:id="42" w:name="_Toc2566"/>
      <w:r>
        <w:rPr>
          <w:rFonts w:hint="default" w:ascii="Times New Roman" w:hAnsi="Times New Roman" w:eastAsia="黑体" w:cs="Times New Roman"/>
          <w:b/>
          <w:color w:val="auto"/>
          <w:kern w:val="44"/>
          <w:sz w:val="32"/>
          <w:szCs w:val="32"/>
          <w:lang w:val="en-US" w:eastAsia="zh-CN" w:bidi="ar-SA"/>
        </w:rPr>
        <w:t>建设项目污染物排放量汇总表</w:t>
      </w:r>
      <w:bookmarkEnd w:id="40"/>
      <w:bookmarkEnd w:id="41"/>
      <w:bookmarkEnd w:id="42"/>
    </w:p>
    <w:tbl>
      <w:tblPr>
        <w:tblStyle w:val="28"/>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516"/>
        <w:gridCol w:w="1561"/>
        <w:gridCol w:w="1309"/>
        <w:gridCol w:w="1707"/>
        <w:gridCol w:w="1690"/>
        <w:gridCol w:w="1727"/>
        <w:gridCol w:w="1637"/>
        <w:gridCol w:w="1486"/>
      </w:tblGrid>
      <w:tr w14:paraId="1A2A2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490" w:type="pct"/>
            <w:tcBorders>
              <w:tl2br w:val="single" w:color="auto" w:sz="4" w:space="0"/>
            </w:tcBorders>
            <w:tcMar>
              <w:left w:w="28" w:type="dxa"/>
              <w:right w:w="28" w:type="dxa"/>
            </w:tcMar>
            <w:vAlign w:val="center"/>
          </w:tcPr>
          <w:p w14:paraId="0B5EA2F5">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eastAsia" w:ascii="Times New Roman" w:hAnsi="宋体" w:eastAsia="黑体" w:cs="Times New Roman"/>
                <w:i w:val="0"/>
                <w:iCs/>
                <w:snapToGrid w:val="0"/>
                <w:color w:val="auto"/>
                <w:spacing w:val="-6"/>
                <w:kern w:val="21"/>
                <w:sz w:val="24"/>
                <w:szCs w:val="24"/>
                <w:lang w:val="en-US" w:eastAsia="zh-CN" w:bidi="he-IL"/>
              </w:rPr>
              <w:t xml:space="preserve">       </w:t>
            </w:r>
            <w:r>
              <w:rPr>
                <w:rFonts w:hint="default" w:ascii="Times New Roman" w:hAnsi="宋体" w:eastAsia="黑体" w:cs="Times New Roman"/>
                <w:i w:val="0"/>
                <w:iCs/>
                <w:snapToGrid w:val="0"/>
                <w:color w:val="auto"/>
                <w:spacing w:val="-6"/>
                <w:kern w:val="21"/>
                <w:sz w:val="24"/>
                <w:szCs w:val="24"/>
                <w:lang w:val="en-US" w:eastAsia="zh-CN" w:bidi="he-IL"/>
              </w:rPr>
              <w:t>项目</w:t>
            </w:r>
          </w:p>
          <w:p w14:paraId="0A2479D5">
            <w:pPr>
              <w:pStyle w:val="47"/>
              <w:widowControl/>
              <w:spacing w:beforeLines="0" w:afterLines="0" w:line="240" w:lineRule="auto"/>
              <w:ind w:firstLine="0" w:firstLineChars="0"/>
              <w:jc w:val="both"/>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分类</w:t>
            </w:r>
          </w:p>
        </w:tc>
        <w:tc>
          <w:tcPr>
            <w:tcW w:w="541" w:type="pct"/>
            <w:tcMar>
              <w:left w:w="28" w:type="dxa"/>
              <w:right w:w="28" w:type="dxa"/>
            </w:tcMar>
            <w:vAlign w:val="center"/>
          </w:tcPr>
          <w:p w14:paraId="4E8E025E">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污染物名称</w:t>
            </w:r>
          </w:p>
        </w:tc>
        <w:tc>
          <w:tcPr>
            <w:tcW w:w="557" w:type="pct"/>
            <w:tcMar>
              <w:left w:w="28" w:type="dxa"/>
              <w:right w:w="28" w:type="dxa"/>
            </w:tcMar>
            <w:vAlign w:val="center"/>
          </w:tcPr>
          <w:p w14:paraId="5AEDFDF7">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现有工程</w:t>
            </w:r>
          </w:p>
          <w:p w14:paraId="1C07DB7A">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排放量（固体废物产生量）</w:t>
            </w:r>
            <w:r>
              <w:rPr>
                <w:rFonts w:hint="default" w:ascii="Times New Roman" w:hAnsi="宋体" w:eastAsia="黑体" w:cs="Times New Roman"/>
                <w:i w:val="0"/>
                <w:iCs/>
                <w:snapToGrid w:val="0"/>
                <w:color w:val="auto"/>
                <w:spacing w:val="-6"/>
                <w:kern w:val="21"/>
                <w:sz w:val="24"/>
                <w:szCs w:val="24"/>
                <w:lang w:val="en-US" w:eastAsia="zh-CN" w:bidi="he-IL"/>
              </w:rPr>
              <w:fldChar w:fldCharType="begin"/>
            </w:r>
            <w:r>
              <w:rPr>
                <w:rFonts w:hint="default" w:ascii="Times New Roman" w:hAnsi="宋体" w:eastAsia="黑体" w:cs="Times New Roman"/>
                <w:i w:val="0"/>
                <w:iCs/>
                <w:snapToGrid w:val="0"/>
                <w:color w:val="auto"/>
                <w:spacing w:val="-6"/>
                <w:kern w:val="21"/>
                <w:sz w:val="24"/>
                <w:szCs w:val="24"/>
                <w:lang w:val="en-US" w:eastAsia="zh-CN" w:bidi="he-IL"/>
              </w:rPr>
              <w:instrText xml:space="preserve"> = 1 \* GB3 \* MERGEFORMAT </w:instrText>
            </w:r>
            <w:r>
              <w:rPr>
                <w:rFonts w:hint="default" w:ascii="Times New Roman" w:hAnsi="宋体" w:eastAsia="黑体" w:cs="Times New Roman"/>
                <w:i w:val="0"/>
                <w:iCs/>
                <w:snapToGrid w:val="0"/>
                <w:color w:val="auto"/>
                <w:spacing w:val="-6"/>
                <w:kern w:val="21"/>
                <w:sz w:val="24"/>
                <w:szCs w:val="24"/>
                <w:lang w:val="en-US" w:eastAsia="zh-CN" w:bidi="he-IL"/>
              </w:rPr>
              <w:fldChar w:fldCharType="separate"/>
            </w:r>
            <w:r>
              <w:rPr>
                <w:rFonts w:hint="default" w:ascii="Times New Roman" w:hAnsi="宋体" w:eastAsia="黑体" w:cs="Times New Roman"/>
                <w:i w:val="0"/>
                <w:iCs/>
                <w:snapToGrid w:val="0"/>
                <w:color w:val="auto"/>
                <w:spacing w:val="-6"/>
                <w:kern w:val="21"/>
                <w:sz w:val="24"/>
                <w:szCs w:val="24"/>
                <w:lang w:val="en-US" w:eastAsia="zh-CN" w:bidi="he-IL"/>
              </w:rPr>
              <w:t>①</w:t>
            </w:r>
            <w:r>
              <w:rPr>
                <w:rFonts w:hint="default" w:ascii="Times New Roman" w:hAnsi="宋体" w:eastAsia="黑体" w:cs="Times New Roman"/>
                <w:i w:val="0"/>
                <w:iCs/>
                <w:snapToGrid w:val="0"/>
                <w:color w:val="auto"/>
                <w:spacing w:val="-6"/>
                <w:kern w:val="21"/>
                <w:sz w:val="24"/>
                <w:szCs w:val="24"/>
                <w:lang w:val="en-US" w:eastAsia="zh-CN" w:bidi="he-IL"/>
              </w:rPr>
              <w:fldChar w:fldCharType="end"/>
            </w:r>
          </w:p>
        </w:tc>
        <w:tc>
          <w:tcPr>
            <w:tcW w:w="467" w:type="pct"/>
            <w:tcMar>
              <w:left w:w="28" w:type="dxa"/>
              <w:right w:w="28" w:type="dxa"/>
            </w:tcMar>
            <w:vAlign w:val="center"/>
          </w:tcPr>
          <w:p w14:paraId="41F051E1">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现有工程</w:t>
            </w:r>
          </w:p>
          <w:p w14:paraId="3230F9EE">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许可排放量</w:t>
            </w:r>
          </w:p>
          <w:p w14:paraId="036C137C">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fldChar w:fldCharType="begin"/>
            </w:r>
            <w:r>
              <w:rPr>
                <w:rFonts w:hint="default" w:ascii="Times New Roman" w:hAnsi="宋体" w:eastAsia="黑体" w:cs="Times New Roman"/>
                <w:i w:val="0"/>
                <w:iCs/>
                <w:snapToGrid w:val="0"/>
                <w:color w:val="auto"/>
                <w:spacing w:val="-6"/>
                <w:kern w:val="21"/>
                <w:sz w:val="24"/>
                <w:szCs w:val="24"/>
                <w:lang w:val="en-US" w:eastAsia="zh-CN" w:bidi="he-IL"/>
              </w:rPr>
              <w:instrText xml:space="preserve"> = 2 \* GB3 \* MERGEFORMAT </w:instrText>
            </w:r>
            <w:r>
              <w:rPr>
                <w:rFonts w:hint="default" w:ascii="Times New Roman" w:hAnsi="宋体" w:eastAsia="黑体" w:cs="Times New Roman"/>
                <w:i w:val="0"/>
                <w:iCs/>
                <w:snapToGrid w:val="0"/>
                <w:color w:val="auto"/>
                <w:spacing w:val="-6"/>
                <w:kern w:val="21"/>
                <w:sz w:val="24"/>
                <w:szCs w:val="24"/>
                <w:lang w:val="en-US" w:eastAsia="zh-CN" w:bidi="he-IL"/>
              </w:rPr>
              <w:fldChar w:fldCharType="separate"/>
            </w:r>
            <w:r>
              <w:rPr>
                <w:rFonts w:hint="default" w:ascii="Times New Roman" w:hAnsi="宋体" w:eastAsia="黑体" w:cs="Times New Roman"/>
                <w:i w:val="0"/>
                <w:iCs/>
                <w:snapToGrid w:val="0"/>
                <w:color w:val="auto"/>
                <w:spacing w:val="-6"/>
                <w:kern w:val="21"/>
                <w:sz w:val="24"/>
                <w:szCs w:val="24"/>
                <w:lang w:val="en-US" w:eastAsia="zh-CN" w:bidi="he-IL"/>
              </w:rPr>
              <w:t>②</w:t>
            </w:r>
            <w:r>
              <w:rPr>
                <w:rFonts w:hint="default" w:ascii="Times New Roman" w:hAnsi="宋体" w:eastAsia="黑体" w:cs="Times New Roman"/>
                <w:i w:val="0"/>
                <w:iCs/>
                <w:snapToGrid w:val="0"/>
                <w:color w:val="auto"/>
                <w:spacing w:val="-6"/>
                <w:kern w:val="21"/>
                <w:sz w:val="24"/>
                <w:szCs w:val="24"/>
                <w:lang w:val="en-US" w:eastAsia="zh-CN" w:bidi="he-IL"/>
              </w:rPr>
              <w:fldChar w:fldCharType="end"/>
            </w:r>
          </w:p>
        </w:tc>
        <w:tc>
          <w:tcPr>
            <w:tcW w:w="609" w:type="pct"/>
            <w:tcMar>
              <w:left w:w="28" w:type="dxa"/>
              <w:right w:w="28" w:type="dxa"/>
            </w:tcMar>
            <w:vAlign w:val="center"/>
          </w:tcPr>
          <w:p w14:paraId="3DA31C2F">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在建工程</w:t>
            </w:r>
          </w:p>
          <w:p w14:paraId="508F8B05">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排放量（固体废物产生量）</w:t>
            </w:r>
            <w:r>
              <w:rPr>
                <w:rFonts w:hint="default" w:ascii="Times New Roman" w:hAnsi="宋体" w:eastAsia="黑体" w:cs="Times New Roman"/>
                <w:i w:val="0"/>
                <w:iCs/>
                <w:snapToGrid w:val="0"/>
                <w:color w:val="auto"/>
                <w:spacing w:val="-6"/>
                <w:kern w:val="21"/>
                <w:sz w:val="24"/>
                <w:szCs w:val="24"/>
                <w:lang w:val="en-US" w:eastAsia="zh-CN" w:bidi="he-IL"/>
              </w:rPr>
              <w:fldChar w:fldCharType="begin"/>
            </w:r>
            <w:r>
              <w:rPr>
                <w:rFonts w:hint="default" w:ascii="Times New Roman" w:hAnsi="宋体" w:eastAsia="黑体" w:cs="Times New Roman"/>
                <w:i w:val="0"/>
                <w:iCs/>
                <w:snapToGrid w:val="0"/>
                <w:color w:val="auto"/>
                <w:spacing w:val="-6"/>
                <w:kern w:val="21"/>
                <w:sz w:val="24"/>
                <w:szCs w:val="24"/>
                <w:lang w:val="en-US" w:eastAsia="zh-CN" w:bidi="he-IL"/>
              </w:rPr>
              <w:instrText xml:space="preserve"> = 3 \* GB3 \* MERGEFORMAT </w:instrText>
            </w:r>
            <w:r>
              <w:rPr>
                <w:rFonts w:hint="default" w:ascii="Times New Roman" w:hAnsi="宋体" w:eastAsia="黑体" w:cs="Times New Roman"/>
                <w:i w:val="0"/>
                <w:iCs/>
                <w:snapToGrid w:val="0"/>
                <w:color w:val="auto"/>
                <w:spacing w:val="-6"/>
                <w:kern w:val="21"/>
                <w:sz w:val="24"/>
                <w:szCs w:val="24"/>
                <w:lang w:val="en-US" w:eastAsia="zh-CN" w:bidi="he-IL"/>
              </w:rPr>
              <w:fldChar w:fldCharType="separate"/>
            </w:r>
            <w:r>
              <w:rPr>
                <w:rFonts w:hint="default" w:ascii="Times New Roman" w:hAnsi="宋体" w:eastAsia="黑体" w:cs="Times New Roman"/>
                <w:i w:val="0"/>
                <w:iCs/>
                <w:snapToGrid w:val="0"/>
                <w:color w:val="auto"/>
                <w:spacing w:val="-6"/>
                <w:kern w:val="21"/>
                <w:sz w:val="24"/>
                <w:szCs w:val="24"/>
                <w:lang w:val="en-US" w:eastAsia="zh-CN" w:bidi="he-IL"/>
              </w:rPr>
              <w:t>③</w:t>
            </w:r>
            <w:r>
              <w:rPr>
                <w:rFonts w:hint="default" w:ascii="Times New Roman" w:hAnsi="宋体" w:eastAsia="黑体" w:cs="Times New Roman"/>
                <w:i w:val="0"/>
                <w:iCs/>
                <w:snapToGrid w:val="0"/>
                <w:color w:val="auto"/>
                <w:spacing w:val="-6"/>
                <w:kern w:val="21"/>
                <w:sz w:val="24"/>
                <w:szCs w:val="24"/>
                <w:lang w:val="en-US" w:eastAsia="zh-CN" w:bidi="he-IL"/>
              </w:rPr>
              <w:fldChar w:fldCharType="end"/>
            </w:r>
          </w:p>
        </w:tc>
        <w:tc>
          <w:tcPr>
            <w:tcW w:w="603" w:type="pct"/>
            <w:tcMar>
              <w:left w:w="28" w:type="dxa"/>
              <w:right w:w="28" w:type="dxa"/>
            </w:tcMar>
            <w:vAlign w:val="center"/>
          </w:tcPr>
          <w:p w14:paraId="04F5F95D">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本项目</w:t>
            </w:r>
          </w:p>
          <w:p w14:paraId="55A6BFA2">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排放量（固体废物产生量）</w:t>
            </w:r>
            <w:r>
              <w:rPr>
                <w:rFonts w:hint="default" w:ascii="Times New Roman" w:hAnsi="宋体" w:eastAsia="黑体" w:cs="Times New Roman"/>
                <w:i w:val="0"/>
                <w:iCs/>
                <w:snapToGrid w:val="0"/>
                <w:color w:val="auto"/>
                <w:spacing w:val="-6"/>
                <w:kern w:val="21"/>
                <w:sz w:val="24"/>
                <w:szCs w:val="24"/>
                <w:lang w:val="en-US" w:eastAsia="zh-CN" w:bidi="he-IL"/>
              </w:rPr>
              <w:fldChar w:fldCharType="begin"/>
            </w:r>
            <w:r>
              <w:rPr>
                <w:rFonts w:hint="default" w:ascii="Times New Roman" w:hAnsi="宋体" w:eastAsia="黑体" w:cs="Times New Roman"/>
                <w:i w:val="0"/>
                <w:iCs/>
                <w:snapToGrid w:val="0"/>
                <w:color w:val="auto"/>
                <w:spacing w:val="-6"/>
                <w:kern w:val="21"/>
                <w:sz w:val="24"/>
                <w:szCs w:val="24"/>
                <w:lang w:val="en-US" w:eastAsia="zh-CN" w:bidi="he-IL"/>
              </w:rPr>
              <w:instrText xml:space="preserve"> = 4 \* GB3 \* MERGEFORMAT </w:instrText>
            </w:r>
            <w:r>
              <w:rPr>
                <w:rFonts w:hint="default" w:ascii="Times New Roman" w:hAnsi="宋体" w:eastAsia="黑体" w:cs="Times New Roman"/>
                <w:i w:val="0"/>
                <w:iCs/>
                <w:snapToGrid w:val="0"/>
                <w:color w:val="auto"/>
                <w:spacing w:val="-6"/>
                <w:kern w:val="21"/>
                <w:sz w:val="24"/>
                <w:szCs w:val="24"/>
                <w:lang w:val="en-US" w:eastAsia="zh-CN" w:bidi="he-IL"/>
              </w:rPr>
              <w:fldChar w:fldCharType="separate"/>
            </w:r>
            <w:r>
              <w:rPr>
                <w:rFonts w:hint="default" w:ascii="Times New Roman" w:hAnsi="宋体" w:eastAsia="黑体" w:cs="Times New Roman"/>
                <w:i w:val="0"/>
                <w:iCs/>
                <w:snapToGrid w:val="0"/>
                <w:color w:val="auto"/>
                <w:spacing w:val="-6"/>
                <w:kern w:val="21"/>
                <w:sz w:val="24"/>
                <w:szCs w:val="24"/>
                <w:lang w:val="en-US" w:eastAsia="zh-CN" w:bidi="he-IL"/>
              </w:rPr>
              <w:t>④</w:t>
            </w:r>
            <w:r>
              <w:rPr>
                <w:rFonts w:hint="default" w:ascii="Times New Roman" w:hAnsi="宋体" w:eastAsia="黑体" w:cs="Times New Roman"/>
                <w:i w:val="0"/>
                <w:iCs/>
                <w:snapToGrid w:val="0"/>
                <w:color w:val="auto"/>
                <w:spacing w:val="-6"/>
                <w:kern w:val="21"/>
                <w:sz w:val="24"/>
                <w:szCs w:val="24"/>
                <w:lang w:val="en-US" w:eastAsia="zh-CN" w:bidi="he-IL"/>
              </w:rPr>
              <w:fldChar w:fldCharType="end"/>
            </w:r>
          </w:p>
        </w:tc>
        <w:tc>
          <w:tcPr>
            <w:tcW w:w="616" w:type="pct"/>
            <w:tcMar>
              <w:left w:w="28" w:type="dxa"/>
              <w:right w:w="28" w:type="dxa"/>
            </w:tcMar>
            <w:vAlign w:val="center"/>
          </w:tcPr>
          <w:p w14:paraId="3BCE9E71">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以新带老削减量</w:t>
            </w:r>
          </w:p>
          <w:p w14:paraId="0A5170E1">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（新建项目不填）</w:t>
            </w:r>
            <w:r>
              <w:rPr>
                <w:rFonts w:hint="default" w:ascii="Times New Roman" w:hAnsi="宋体" w:eastAsia="黑体" w:cs="Times New Roman"/>
                <w:i w:val="0"/>
                <w:iCs/>
                <w:snapToGrid w:val="0"/>
                <w:color w:val="auto"/>
                <w:spacing w:val="-6"/>
                <w:kern w:val="21"/>
                <w:sz w:val="24"/>
                <w:szCs w:val="24"/>
                <w:lang w:val="en-US" w:eastAsia="zh-CN" w:bidi="he-IL"/>
              </w:rPr>
              <w:fldChar w:fldCharType="begin"/>
            </w:r>
            <w:r>
              <w:rPr>
                <w:rFonts w:hint="default" w:ascii="Times New Roman" w:hAnsi="宋体" w:eastAsia="黑体" w:cs="Times New Roman"/>
                <w:i w:val="0"/>
                <w:iCs/>
                <w:snapToGrid w:val="0"/>
                <w:color w:val="auto"/>
                <w:spacing w:val="-6"/>
                <w:kern w:val="21"/>
                <w:sz w:val="24"/>
                <w:szCs w:val="24"/>
                <w:lang w:val="en-US" w:eastAsia="zh-CN" w:bidi="he-IL"/>
              </w:rPr>
              <w:instrText xml:space="preserve"> = 5 \* GB3 \* MERGEFORMAT </w:instrText>
            </w:r>
            <w:r>
              <w:rPr>
                <w:rFonts w:hint="default" w:ascii="Times New Roman" w:hAnsi="宋体" w:eastAsia="黑体" w:cs="Times New Roman"/>
                <w:i w:val="0"/>
                <w:iCs/>
                <w:snapToGrid w:val="0"/>
                <w:color w:val="auto"/>
                <w:spacing w:val="-6"/>
                <w:kern w:val="21"/>
                <w:sz w:val="24"/>
                <w:szCs w:val="24"/>
                <w:lang w:val="en-US" w:eastAsia="zh-CN" w:bidi="he-IL"/>
              </w:rPr>
              <w:fldChar w:fldCharType="separate"/>
            </w:r>
            <w:r>
              <w:rPr>
                <w:rFonts w:hint="default" w:ascii="Times New Roman" w:hAnsi="宋体" w:eastAsia="黑体" w:cs="Times New Roman"/>
                <w:i w:val="0"/>
                <w:iCs/>
                <w:snapToGrid w:val="0"/>
                <w:color w:val="auto"/>
                <w:spacing w:val="-6"/>
                <w:kern w:val="21"/>
                <w:sz w:val="24"/>
                <w:szCs w:val="24"/>
                <w:lang w:val="en-US" w:eastAsia="zh-CN" w:bidi="he-IL"/>
              </w:rPr>
              <w:t>⑤</w:t>
            </w:r>
            <w:r>
              <w:rPr>
                <w:rFonts w:hint="default" w:ascii="Times New Roman" w:hAnsi="宋体" w:eastAsia="黑体" w:cs="Times New Roman"/>
                <w:i w:val="0"/>
                <w:iCs/>
                <w:snapToGrid w:val="0"/>
                <w:color w:val="auto"/>
                <w:spacing w:val="-6"/>
                <w:kern w:val="21"/>
                <w:sz w:val="24"/>
                <w:szCs w:val="24"/>
                <w:lang w:val="en-US" w:eastAsia="zh-CN" w:bidi="he-IL"/>
              </w:rPr>
              <w:fldChar w:fldCharType="end"/>
            </w:r>
          </w:p>
        </w:tc>
        <w:tc>
          <w:tcPr>
            <w:tcW w:w="584" w:type="pct"/>
            <w:tcMar>
              <w:left w:w="28" w:type="dxa"/>
              <w:right w:w="28" w:type="dxa"/>
            </w:tcMar>
            <w:vAlign w:val="center"/>
          </w:tcPr>
          <w:p w14:paraId="3E610F1C">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本项目建成后</w:t>
            </w:r>
          </w:p>
          <w:p w14:paraId="104257A0">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全厂排放量（固体废物产生量）</w:t>
            </w:r>
            <w:r>
              <w:rPr>
                <w:rFonts w:hint="default" w:ascii="Times New Roman" w:hAnsi="宋体" w:eastAsia="黑体" w:cs="Times New Roman"/>
                <w:i w:val="0"/>
                <w:iCs/>
                <w:snapToGrid w:val="0"/>
                <w:color w:val="auto"/>
                <w:spacing w:val="-6"/>
                <w:kern w:val="21"/>
                <w:sz w:val="24"/>
                <w:szCs w:val="24"/>
                <w:lang w:val="en-US" w:eastAsia="zh-CN" w:bidi="he-IL"/>
              </w:rPr>
              <w:fldChar w:fldCharType="begin"/>
            </w:r>
            <w:r>
              <w:rPr>
                <w:rFonts w:hint="default" w:ascii="Times New Roman" w:hAnsi="宋体" w:eastAsia="黑体" w:cs="Times New Roman"/>
                <w:i w:val="0"/>
                <w:iCs/>
                <w:snapToGrid w:val="0"/>
                <w:color w:val="auto"/>
                <w:spacing w:val="-6"/>
                <w:kern w:val="21"/>
                <w:sz w:val="24"/>
                <w:szCs w:val="24"/>
                <w:lang w:val="en-US" w:eastAsia="zh-CN" w:bidi="he-IL"/>
              </w:rPr>
              <w:instrText xml:space="preserve"> = 6 \* GB3 \* MERGEFORMAT </w:instrText>
            </w:r>
            <w:r>
              <w:rPr>
                <w:rFonts w:hint="default" w:ascii="Times New Roman" w:hAnsi="宋体" w:eastAsia="黑体" w:cs="Times New Roman"/>
                <w:i w:val="0"/>
                <w:iCs/>
                <w:snapToGrid w:val="0"/>
                <w:color w:val="auto"/>
                <w:spacing w:val="-6"/>
                <w:kern w:val="21"/>
                <w:sz w:val="24"/>
                <w:szCs w:val="24"/>
                <w:lang w:val="en-US" w:eastAsia="zh-CN" w:bidi="he-IL"/>
              </w:rPr>
              <w:fldChar w:fldCharType="separate"/>
            </w:r>
            <w:r>
              <w:rPr>
                <w:rFonts w:hint="default" w:ascii="Times New Roman" w:hAnsi="宋体" w:eastAsia="黑体" w:cs="Times New Roman"/>
                <w:i w:val="0"/>
                <w:iCs/>
                <w:snapToGrid w:val="0"/>
                <w:color w:val="auto"/>
                <w:spacing w:val="-6"/>
                <w:kern w:val="21"/>
                <w:sz w:val="24"/>
                <w:szCs w:val="24"/>
                <w:lang w:val="en-US" w:eastAsia="zh-CN" w:bidi="he-IL"/>
              </w:rPr>
              <w:t>⑥</w:t>
            </w:r>
            <w:r>
              <w:rPr>
                <w:rFonts w:hint="default" w:ascii="Times New Roman" w:hAnsi="宋体" w:eastAsia="黑体" w:cs="Times New Roman"/>
                <w:i w:val="0"/>
                <w:iCs/>
                <w:snapToGrid w:val="0"/>
                <w:color w:val="auto"/>
                <w:spacing w:val="-6"/>
                <w:kern w:val="21"/>
                <w:sz w:val="24"/>
                <w:szCs w:val="24"/>
                <w:lang w:val="en-US" w:eastAsia="zh-CN" w:bidi="he-IL"/>
              </w:rPr>
              <w:fldChar w:fldCharType="end"/>
            </w:r>
          </w:p>
        </w:tc>
        <w:tc>
          <w:tcPr>
            <w:tcW w:w="530" w:type="pct"/>
            <w:tcMar>
              <w:left w:w="28" w:type="dxa"/>
              <w:right w:w="28" w:type="dxa"/>
            </w:tcMar>
            <w:vAlign w:val="center"/>
          </w:tcPr>
          <w:p w14:paraId="60079828">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t>变化量</w:t>
            </w:r>
          </w:p>
          <w:p w14:paraId="68BEF770">
            <w:pPr>
              <w:pStyle w:val="47"/>
              <w:widowControl/>
              <w:spacing w:beforeLines="0" w:afterLines="0" w:line="240" w:lineRule="auto"/>
              <w:ind w:firstLine="0" w:firstLineChars="0"/>
              <w:jc w:val="center"/>
              <w:rPr>
                <w:rFonts w:hint="default" w:ascii="Times New Roman" w:hAnsi="宋体" w:eastAsia="黑体" w:cs="Times New Roman"/>
                <w:i w:val="0"/>
                <w:iCs/>
                <w:snapToGrid w:val="0"/>
                <w:color w:val="auto"/>
                <w:spacing w:val="-6"/>
                <w:kern w:val="21"/>
                <w:sz w:val="24"/>
                <w:szCs w:val="24"/>
                <w:lang w:val="en-US" w:eastAsia="zh-CN" w:bidi="he-IL"/>
              </w:rPr>
            </w:pPr>
            <w:r>
              <w:rPr>
                <w:rFonts w:hint="default" w:ascii="Times New Roman" w:hAnsi="宋体" w:eastAsia="黑体" w:cs="Times New Roman"/>
                <w:i w:val="0"/>
                <w:iCs/>
                <w:snapToGrid w:val="0"/>
                <w:color w:val="auto"/>
                <w:spacing w:val="-6"/>
                <w:kern w:val="21"/>
                <w:sz w:val="24"/>
                <w:szCs w:val="24"/>
                <w:lang w:val="en-US" w:eastAsia="zh-CN" w:bidi="he-IL"/>
              </w:rPr>
              <w:fldChar w:fldCharType="begin"/>
            </w:r>
            <w:r>
              <w:rPr>
                <w:rFonts w:hint="default" w:ascii="Times New Roman" w:hAnsi="宋体" w:eastAsia="黑体" w:cs="Times New Roman"/>
                <w:i w:val="0"/>
                <w:iCs/>
                <w:snapToGrid w:val="0"/>
                <w:color w:val="auto"/>
                <w:spacing w:val="-6"/>
                <w:kern w:val="21"/>
                <w:sz w:val="24"/>
                <w:szCs w:val="24"/>
                <w:lang w:val="en-US" w:eastAsia="zh-CN" w:bidi="he-IL"/>
              </w:rPr>
              <w:instrText xml:space="preserve"> = 7 \* GB3 \* MERGEFORMAT </w:instrText>
            </w:r>
            <w:r>
              <w:rPr>
                <w:rFonts w:hint="default" w:ascii="Times New Roman" w:hAnsi="宋体" w:eastAsia="黑体" w:cs="Times New Roman"/>
                <w:i w:val="0"/>
                <w:iCs/>
                <w:snapToGrid w:val="0"/>
                <w:color w:val="auto"/>
                <w:spacing w:val="-6"/>
                <w:kern w:val="21"/>
                <w:sz w:val="24"/>
                <w:szCs w:val="24"/>
                <w:lang w:val="en-US" w:eastAsia="zh-CN" w:bidi="he-IL"/>
              </w:rPr>
              <w:fldChar w:fldCharType="separate"/>
            </w:r>
            <w:r>
              <w:rPr>
                <w:rFonts w:hint="default" w:ascii="Times New Roman" w:hAnsi="宋体" w:eastAsia="黑体" w:cs="Times New Roman"/>
                <w:i w:val="0"/>
                <w:iCs/>
                <w:snapToGrid w:val="0"/>
                <w:color w:val="auto"/>
                <w:spacing w:val="-6"/>
                <w:kern w:val="21"/>
                <w:sz w:val="24"/>
                <w:szCs w:val="24"/>
                <w:lang w:val="en-US" w:eastAsia="zh-CN" w:bidi="he-IL"/>
              </w:rPr>
              <w:t>⑦</w:t>
            </w:r>
            <w:r>
              <w:rPr>
                <w:rFonts w:hint="default" w:ascii="Times New Roman" w:hAnsi="宋体" w:eastAsia="黑体" w:cs="Times New Roman"/>
                <w:i w:val="0"/>
                <w:iCs/>
                <w:snapToGrid w:val="0"/>
                <w:color w:val="auto"/>
                <w:spacing w:val="-6"/>
                <w:kern w:val="21"/>
                <w:sz w:val="24"/>
                <w:szCs w:val="24"/>
                <w:lang w:val="en-US" w:eastAsia="zh-CN" w:bidi="he-IL"/>
              </w:rPr>
              <w:fldChar w:fldCharType="end"/>
            </w:r>
          </w:p>
        </w:tc>
      </w:tr>
      <w:tr w14:paraId="79155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90" w:type="pct"/>
            <w:vMerge w:val="restart"/>
            <w:vAlign w:val="center"/>
          </w:tcPr>
          <w:p w14:paraId="50D68B6E">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rPr>
            </w:pPr>
            <w:r>
              <w:rPr>
                <w:rFonts w:hint="default" w:ascii="Times New Roman" w:hAnsi="Times New Roman" w:eastAsia="宋体" w:cs="Times New Roman"/>
                <w:i w:val="0"/>
                <w:iCs/>
                <w:snapToGrid w:val="0"/>
                <w:color w:val="auto"/>
                <w:kern w:val="21"/>
                <w:sz w:val="24"/>
                <w:szCs w:val="24"/>
              </w:rPr>
              <w:t>废气</w:t>
            </w:r>
          </w:p>
        </w:tc>
        <w:tc>
          <w:tcPr>
            <w:tcW w:w="541" w:type="pct"/>
            <w:vAlign w:val="center"/>
          </w:tcPr>
          <w:p w14:paraId="5E67DD5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颗粒物</w:t>
            </w:r>
          </w:p>
        </w:tc>
        <w:tc>
          <w:tcPr>
            <w:tcW w:w="557" w:type="pct"/>
            <w:vAlign w:val="center"/>
          </w:tcPr>
          <w:p w14:paraId="3C3D5709">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vAlign w:val="center"/>
          </w:tcPr>
          <w:p w14:paraId="4E85DB11">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vAlign w:val="center"/>
          </w:tcPr>
          <w:p w14:paraId="6AA5406C">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7.654t/a</w:t>
            </w:r>
          </w:p>
        </w:tc>
        <w:tc>
          <w:tcPr>
            <w:tcW w:w="603" w:type="pct"/>
            <w:vAlign w:val="center"/>
          </w:tcPr>
          <w:p w14:paraId="36213DCE">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10.998t/a</w:t>
            </w:r>
          </w:p>
        </w:tc>
        <w:tc>
          <w:tcPr>
            <w:tcW w:w="616" w:type="pct"/>
            <w:vAlign w:val="center"/>
          </w:tcPr>
          <w:p w14:paraId="24EFF81F">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vAlign w:val="center"/>
          </w:tcPr>
          <w:p w14:paraId="48761FF7">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18.652t/a</w:t>
            </w:r>
          </w:p>
        </w:tc>
        <w:tc>
          <w:tcPr>
            <w:tcW w:w="530" w:type="pct"/>
            <w:vAlign w:val="center"/>
          </w:tcPr>
          <w:p w14:paraId="71D05954">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+10.998t/a</w:t>
            </w:r>
          </w:p>
        </w:tc>
      </w:tr>
      <w:tr w14:paraId="0EDBD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90" w:type="pct"/>
            <w:vMerge w:val="continue"/>
            <w:vAlign w:val="center"/>
          </w:tcPr>
          <w:p w14:paraId="09AD92A3">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rPr>
            </w:pPr>
          </w:p>
        </w:tc>
        <w:tc>
          <w:tcPr>
            <w:tcW w:w="541" w:type="pct"/>
            <w:vAlign w:val="center"/>
          </w:tcPr>
          <w:p w14:paraId="1D6FB77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57" w:type="pct"/>
            <w:vAlign w:val="center"/>
          </w:tcPr>
          <w:p w14:paraId="13F70D3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vAlign w:val="center"/>
          </w:tcPr>
          <w:p w14:paraId="213846E2">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vAlign w:val="center"/>
          </w:tcPr>
          <w:p w14:paraId="3AFF4A98">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3" w:type="pct"/>
            <w:vAlign w:val="center"/>
          </w:tcPr>
          <w:p w14:paraId="54EE6D9E">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16" w:type="pct"/>
            <w:vAlign w:val="center"/>
          </w:tcPr>
          <w:p w14:paraId="76C5DC41">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vAlign w:val="center"/>
          </w:tcPr>
          <w:p w14:paraId="683733B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30" w:type="pct"/>
            <w:vAlign w:val="center"/>
          </w:tcPr>
          <w:p w14:paraId="77AED005">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r>
      <w:tr w14:paraId="67D8C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90" w:type="pct"/>
            <w:vMerge w:val="continue"/>
            <w:vAlign w:val="center"/>
          </w:tcPr>
          <w:p w14:paraId="6C1C549E">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rPr>
            </w:pPr>
          </w:p>
        </w:tc>
        <w:tc>
          <w:tcPr>
            <w:tcW w:w="541" w:type="pct"/>
            <w:vAlign w:val="center"/>
          </w:tcPr>
          <w:p w14:paraId="7741F8E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57" w:type="pct"/>
            <w:vAlign w:val="center"/>
          </w:tcPr>
          <w:p w14:paraId="54BD4F82">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vAlign w:val="center"/>
          </w:tcPr>
          <w:p w14:paraId="320139C0">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vAlign w:val="center"/>
          </w:tcPr>
          <w:p w14:paraId="09C79AA1">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3" w:type="pct"/>
            <w:vAlign w:val="center"/>
          </w:tcPr>
          <w:p w14:paraId="7F5CD5D3">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16" w:type="pct"/>
            <w:vAlign w:val="center"/>
          </w:tcPr>
          <w:p w14:paraId="263A4C4B">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vAlign w:val="center"/>
          </w:tcPr>
          <w:p w14:paraId="5E730775">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30" w:type="pct"/>
            <w:vAlign w:val="center"/>
          </w:tcPr>
          <w:p w14:paraId="0985E419">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r>
      <w:tr w14:paraId="1AF96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490" w:type="pct"/>
            <w:vMerge w:val="restart"/>
            <w:vAlign w:val="center"/>
          </w:tcPr>
          <w:p w14:paraId="34796FC8">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rPr>
            </w:pPr>
            <w:r>
              <w:rPr>
                <w:rFonts w:hint="default" w:ascii="Times New Roman" w:hAnsi="Times New Roman" w:eastAsia="宋体" w:cs="Times New Roman"/>
                <w:i w:val="0"/>
                <w:iCs/>
                <w:snapToGrid w:val="0"/>
                <w:color w:val="auto"/>
                <w:kern w:val="21"/>
                <w:sz w:val="24"/>
                <w:szCs w:val="24"/>
              </w:rPr>
              <w:t>废水</w:t>
            </w:r>
          </w:p>
        </w:tc>
        <w:tc>
          <w:tcPr>
            <w:tcW w:w="541" w:type="pct"/>
            <w:vAlign w:val="center"/>
          </w:tcPr>
          <w:p w14:paraId="16F7C724">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生产废水</w:t>
            </w:r>
          </w:p>
        </w:tc>
        <w:tc>
          <w:tcPr>
            <w:tcW w:w="557" w:type="pct"/>
            <w:vAlign w:val="center"/>
          </w:tcPr>
          <w:p w14:paraId="7FE7619A">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vAlign w:val="center"/>
          </w:tcPr>
          <w:p w14:paraId="44E1BAF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vAlign w:val="center"/>
          </w:tcPr>
          <w:p w14:paraId="54B24590">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0（不外排）</w:t>
            </w:r>
          </w:p>
        </w:tc>
        <w:tc>
          <w:tcPr>
            <w:tcW w:w="603" w:type="pct"/>
            <w:vAlign w:val="center"/>
          </w:tcPr>
          <w:p w14:paraId="794C971F">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0（不外排）</w:t>
            </w:r>
          </w:p>
        </w:tc>
        <w:tc>
          <w:tcPr>
            <w:tcW w:w="616" w:type="pct"/>
            <w:vAlign w:val="center"/>
          </w:tcPr>
          <w:p w14:paraId="1B64515C">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vAlign w:val="center"/>
          </w:tcPr>
          <w:p w14:paraId="241AC905">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0（不外排）</w:t>
            </w:r>
          </w:p>
        </w:tc>
        <w:tc>
          <w:tcPr>
            <w:tcW w:w="530" w:type="pct"/>
            <w:vAlign w:val="center"/>
          </w:tcPr>
          <w:p w14:paraId="3CE65723">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0（不外排）</w:t>
            </w:r>
          </w:p>
        </w:tc>
      </w:tr>
      <w:tr w14:paraId="1A436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90" w:type="pct"/>
            <w:vMerge w:val="continue"/>
            <w:vAlign w:val="center"/>
          </w:tcPr>
          <w:p w14:paraId="40A9AF45">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rPr>
            </w:pPr>
          </w:p>
        </w:tc>
        <w:tc>
          <w:tcPr>
            <w:tcW w:w="541" w:type="pct"/>
            <w:vAlign w:val="center"/>
          </w:tcPr>
          <w:p w14:paraId="569537D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生活污水</w:t>
            </w:r>
          </w:p>
        </w:tc>
        <w:tc>
          <w:tcPr>
            <w:tcW w:w="557" w:type="pct"/>
            <w:shd w:val="clear" w:color="auto" w:fill="auto"/>
            <w:vAlign w:val="center"/>
          </w:tcPr>
          <w:p w14:paraId="0DD9DA6F">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shd w:val="clear" w:color="auto" w:fill="auto"/>
            <w:vAlign w:val="center"/>
          </w:tcPr>
          <w:p w14:paraId="0A3ACA79">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shd w:val="clear" w:color="auto" w:fill="auto"/>
            <w:vAlign w:val="center"/>
          </w:tcPr>
          <w:p w14:paraId="112A482B">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0（不外排）</w:t>
            </w:r>
          </w:p>
        </w:tc>
        <w:tc>
          <w:tcPr>
            <w:tcW w:w="603" w:type="pct"/>
            <w:shd w:val="clear" w:color="auto" w:fill="auto"/>
            <w:vAlign w:val="center"/>
          </w:tcPr>
          <w:p w14:paraId="2ED84C67">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0（不外排）</w:t>
            </w:r>
          </w:p>
        </w:tc>
        <w:tc>
          <w:tcPr>
            <w:tcW w:w="616" w:type="pct"/>
            <w:shd w:val="clear" w:color="auto" w:fill="auto"/>
            <w:vAlign w:val="center"/>
          </w:tcPr>
          <w:p w14:paraId="4F38C0FF">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shd w:val="clear" w:color="auto" w:fill="auto"/>
            <w:vAlign w:val="center"/>
          </w:tcPr>
          <w:p w14:paraId="073B9AA9">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0（不外排）</w:t>
            </w:r>
          </w:p>
        </w:tc>
        <w:tc>
          <w:tcPr>
            <w:tcW w:w="530" w:type="pct"/>
            <w:shd w:val="clear" w:color="auto" w:fill="auto"/>
            <w:vAlign w:val="center"/>
          </w:tcPr>
          <w:p w14:paraId="24379D7A">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0（不外排）</w:t>
            </w:r>
          </w:p>
        </w:tc>
      </w:tr>
      <w:tr w14:paraId="45525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90" w:type="pct"/>
            <w:vMerge w:val="restart"/>
            <w:vAlign w:val="center"/>
          </w:tcPr>
          <w:p w14:paraId="68B2AB4A">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highlight w:val="none"/>
              </w:rPr>
            </w:pPr>
            <w:r>
              <w:rPr>
                <w:rFonts w:hint="default" w:ascii="Times New Roman" w:hAnsi="Times New Roman" w:eastAsia="宋体" w:cs="Times New Roman"/>
                <w:i w:val="0"/>
                <w:iCs/>
                <w:snapToGrid w:val="0"/>
                <w:color w:val="auto"/>
                <w:kern w:val="21"/>
                <w:sz w:val="24"/>
                <w:szCs w:val="24"/>
                <w:highlight w:val="none"/>
              </w:rPr>
              <w:t>一般工业</w:t>
            </w:r>
          </w:p>
          <w:p w14:paraId="054006BA">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highlight w:val="none"/>
              </w:rPr>
            </w:pPr>
            <w:r>
              <w:rPr>
                <w:rFonts w:hint="default" w:ascii="Times New Roman" w:hAnsi="Times New Roman" w:eastAsia="宋体" w:cs="Times New Roman"/>
                <w:i w:val="0"/>
                <w:iCs/>
                <w:snapToGrid w:val="0"/>
                <w:color w:val="auto"/>
                <w:kern w:val="21"/>
                <w:sz w:val="24"/>
                <w:szCs w:val="24"/>
                <w:highlight w:val="none"/>
              </w:rPr>
              <w:t>固体废物</w:t>
            </w:r>
          </w:p>
        </w:tc>
        <w:tc>
          <w:tcPr>
            <w:tcW w:w="541" w:type="pct"/>
            <w:vAlign w:val="center"/>
          </w:tcPr>
          <w:p w14:paraId="332056FE">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生活垃圾</w:t>
            </w:r>
          </w:p>
        </w:tc>
        <w:tc>
          <w:tcPr>
            <w:tcW w:w="557" w:type="pct"/>
            <w:vAlign w:val="center"/>
          </w:tcPr>
          <w:p w14:paraId="73C805B1">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vAlign w:val="center"/>
          </w:tcPr>
          <w:p w14:paraId="5F7C91E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vAlign w:val="center"/>
          </w:tcPr>
          <w:p w14:paraId="2C819945">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1.5t/a</w:t>
            </w:r>
          </w:p>
        </w:tc>
        <w:tc>
          <w:tcPr>
            <w:tcW w:w="603" w:type="pct"/>
            <w:vAlign w:val="center"/>
          </w:tcPr>
          <w:p w14:paraId="786FE38E">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1.5t/a</w:t>
            </w:r>
          </w:p>
        </w:tc>
        <w:tc>
          <w:tcPr>
            <w:tcW w:w="616" w:type="pct"/>
            <w:vAlign w:val="center"/>
          </w:tcPr>
          <w:p w14:paraId="2CB68CC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vAlign w:val="center"/>
          </w:tcPr>
          <w:p w14:paraId="4DE9E5D8">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3t/a</w:t>
            </w:r>
          </w:p>
        </w:tc>
        <w:tc>
          <w:tcPr>
            <w:tcW w:w="530" w:type="pct"/>
            <w:vAlign w:val="center"/>
          </w:tcPr>
          <w:p w14:paraId="7ECDEC5C">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eastAsia" w:ascii="Times New Roman" w:hAnsi="Times New Roman" w:cs="Times New Roman"/>
                <w:b w:val="0"/>
                <w:bCs w:val="0"/>
                <w:i w:val="0"/>
                <w:iCs/>
                <w:color w:val="auto"/>
                <w:kern w:val="2"/>
                <w:sz w:val="24"/>
                <w:szCs w:val="24"/>
                <w:lang w:val="en-US" w:eastAsia="zh-CN" w:bidi="ar-SA"/>
              </w:rPr>
              <w:t>+</w:t>
            </w:r>
            <w:r>
              <w:rPr>
                <w:rFonts w:hint="default" w:ascii="Times New Roman" w:hAnsi="Times New Roman" w:eastAsia="宋体" w:cs="Times New Roman"/>
                <w:b w:val="0"/>
                <w:bCs w:val="0"/>
                <w:i w:val="0"/>
                <w:iCs/>
                <w:color w:val="auto"/>
                <w:kern w:val="2"/>
                <w:sz w:val="24"/>
                <w:szCs w:val="24"/>
                <w:lang w:val="en-US" w:eastAsia="zh-CN" w:bidi="ar-SA"/>
              </w:rPr>
              <w:t>1.5t/a</w:t>
            </w:r>
          </w:p>
        </w:tc>
      </w:tr>
      <w:tr w14:paraId="73C2B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90" w:type="pct"/>
            <w:vMerge w:val="continue"/>
            <w:vAlign w:val="center"/>
          </w:tcPr>
          <w:p w14:paraId="4B8AC6E0">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highlight w:val="none"/>
              </w:rPr>
            </w:pPr>
          </w:p>
        </w:tc>
        <w:tc>
          <w:tcPr>
            <w:tcW w:w="541" w:type="pct"/>
            <w:shd w:val="clear" w:color="auto" w:fill="auto"/>
            <w:vAlign w:val="center"/>
          </w:tcPr>
          <w:p w14:paraId="5B292A8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沉淀池煤泥</w:t>
            </w:r>
          </w:p>
        </w:tc>
        <w:tc>
          <w:tcPr>
            <w:tcW w:w="557" w:type="pct"/>
            <w:shd w:val="clear" w:color="auto" w:fill="auto"/>
            <w:vAlign w:val="center"/>
          </w:tcPr>
          <w:p w14:paraId="50116D08">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shd w:val="clear" w:color="auto" w:fill="auto"/>
            <w:vAlign w:val="center"/>
          </w:tcPr>
          <w:p w14:paraId="4414C91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shd w:val="clear" w:color="auto" w:fill="auto"/>
            <w:vAlign w:val="center"/>
          </w:tcPr>
          <w:p w14:paraId="584EBE3F">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w:t>
            </w:r>
          </w:p>
        </w:tc>
        <w:tc>
          <w:tcPr>
            <w:tcW w:w="603" w:type="pct"/>
            <w:shd w:val="clear" w:color="auto" w:fill="auto"/>
            <w:vAlign w:val="center"/>
          </w:tcPr>
          <w:p w14:paraId="5653CD90">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0.5t/a</w:t>
            </w:r>
          </w:p>
        </w:tc>
        <w:tc>
          <w:tcPr>
            <w:tcW w:w="616" w:type="pct"/>
            <w:shd w:val="clear" w:color="auto" w:fill="auto"/>
            <w:vAlign w:val="center"/>
          </w:tcPr>
          <w:p w14:paraId="7313705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shd w:val="clear" w:color="auto" w:fill="auto"/>
            <w:vAlign w:val="center"/>
          </w:tcPr>
          <w:p w14:paraId="53E7C3F9">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0.5t/a</w:t>
            </w:r>
          </w:p>
        </w:tc>
        <w:tc>
          <w:tcPr>
            <w:tcW w:w="530" w:type="pct"/>
            <w:shd w:val="clear" w:color="auto" w:fill="auto"/>
            <w:vAlign w:val="center"/>
          </w:tcPr>
          <w:p w14:paraId="69442162">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+0.5t/a</w:t>
            </w:r>
          </w:p>
        </w:tc>
      </w:tr>
      <w:tr w14:paraId="5335F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90" w:type="pct"/>
            <w:vMerge w:val="continue"/>
            <w:vAlign w:val="center"/>
          </w:tcPr>
          <w:p w14:paraId="48836B2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highlight w:val="none"/>
              </w:rPr>
            </w:pPr>
          </w:p>
        </w:tc>
        <w:tc>
          <w:tcPr>
            <w:tcW w:w="541" w:type="pct"/>
            <w:shd w:val="clear" w:color="auto" w:fill="auto"/>
            <w:vAlign w:val="center"/>
          </w:tcPr>
          <w:p w14:paraId="69F8EF9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一般工业固废</w:t>
            </w:r>
          </w:p>
        </w:tc>
        <w:tc>
          <w:tcPr>
            <w:tcW w:w="557" w:type="pct"/>
            <w:shd w:val="clear" w:color="auto" w:fill="auto"/>
            <w:vAlign w:val="center"/>
          </w:tcPr>
          <w:p w14:paraId="2E208DE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shd w:val="clear" w:color="auto" w:fill="auto"/>
            <w:vAlign w:val="center"/>
          </w:tcPr>
          <w:p w14:paraId="53808DD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shd w:val="clear" w:color="auto" w:fill="auto"/>
            <w:vAlign w:val="center"/>
          </w:tcPr>
          <w:p w14:paraId="68A20D7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62.243t/a</w:t>
            </w:r>
          </w:p>
        </w:tc>
        <w:tc>
          <w:tcPr>
            <w:tcW w:w="603" w:type="pct"/>
            <w:shd w:val="clear" w:color="auto" w:fill="auto"/>
            <w:vAlign w:val="center"/>
          </w:tcPr>
          <w:p w14:paraId="2595BD07">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w:t>
            </w:r>
          </w:p>
        </w:tc>
        <w:tc>
          <w:tcPr>
            <w:tcW w:w="616" w:type="pct"/>
            <w:shd w:val="clear" w:color="auto" w:fill="auto"/>
            <w:vAlign w:val="center"/>
          </w:tcPr>
          <w:p w14:paraId="4DD42D48">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shd w:val="clear" w:color="auto" w:fill="auto"/>
            <w:vAlign w:val="center"/>
          </w:tcPr>
          <w:p w14:paraId="362208D7">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62.243t/a</w:t>
            </w:r>
          </w:p>
        </w:tc>
        <w:tc>
          <w:tcPr>
            <w:tcW w:w="530" w:type="pct"/>
            <w:shd w:val="clear" w:color="auto" w:fill="auto"/>
            <w:vAlign w:val="center"/>
          </w:tcPr>
          <w:p w14:paraId="3537069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w:t>
            </w:r>
          </w:p>
        </w:tc>
      </w:tr>
      <w:tr w14:paraId="5B0E3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90" w:type="pct"/>
            <w:vMerge w:val="continue"/>
            <w:vAlign w:val="center"/>
          </w:tcPr>
          <w:p w14:paraId="60113FEE">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highlight w:val="none"/>
              </w:rPr>
            </w:pPr>
          </w:p>
        </w:tc>
        <w:tc>
          <w:tcPr>
            <w:tcW w:w="541" w:type="pct"/>
            <w:vAlign w:val="center"/>
          </w:tcPr>
          <w:p w14:paraId="3E57496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57" w:type="pct"/>
            <w:vAlign w:val="center"/>
          </w:tcPr>
          <w:p w14:paraId="1574AEBF">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467" w:type="pct"/>
            <w:shd w:val="clear" w:color="auto" w:fill="auto"/>
            <w:vAlign w:val="center"/>
          </w:tcPr>
          <w:p w14:paraId="3F02E57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shd w:val="clear" w:color="auto" w:fill="auto"/>
            <w:vAlign w:val="center"/>
          </w:tcPr>
          <w:p w14:paraId="76077AC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3" w:type="pct"/>
            <w:vAlign w:val="center"/>
          </w:tcPr>
          <w:p w14:paraId="534E20B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16" w:type="pct"/>
            <w:vAlign w:val="center"/>
          </w:tcPr>
          <w:p w14:paraId="114A070A">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vAlign w:val="center"/>
          </w:tcPr>
          <w:p w14:paraId="41AA0FEC">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30" w:type="pct"/>
            <w:vAlign w:val="center"/>
          </w:tcPr>
          <w:p w14:paraId="0DEDBAC7">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r>
      <w:tr w14:paraId="1B803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90" w:type="pct"/>
            <w:vAlign w:val="center"/>
          </w:tcPr>
          <w:p w14:paraId="692B06C6">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i w:val="0"/>
                <w:iCs/>
                <w:snapToGrid w:val="0"/>
                <w:color w:val="auto"/>
                <w:kern w:val="21"/>
                <w:sz w:val="24"/>
                <w:szCs w:val="24"/>
                <w:highlight w:val="none"/>
              </w:rPr>
            </w:pPr>
            <w:r>
              <w:rPr>
                <w:rFonts w:hint="default" w:ascii="Times New Roman" w:hAnsi="Times New Roman" w:eastAsia="宋体" w:cs="Times New Roman"/>
                <w:i w:val="0"/>
                <w:iCs/>
                <w:snapToGrid w:val="0"/>
                <w:color w:val="auto"/>
                <w:kern w:val="21"/>
                <w:sz w:val="24"/>
                <w:szCs w:val="24"/>
                <w:highlight w:val="none"/>
              </w:rPr>
              <w:t>危险废物</w:t>
            </w:r>
          </w:p>
        </w:tc>
        <w:tc>
          <w:tcPr>
            <w:tcW w:w="541" w:type="pct"/>
            <w:shd w:val="clear" w:color="auto" w:fill="auto"/>
            <w:vAlign w:val="center"/>
          </w:tcPr>
          <w:p w14:paraId="13CD9E5A">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废机油</w:t>
            </w:r>
          </w:p>
        </w:tc>
        <w:tc>
          <w:tcPr>
            <w:tcW w:w="557" w:type="pct"/>
            <w:shd w:val="clear" w:color="auto" w:fill="auto"/>
            <w:vAlign w:val="center"/>
          </w:tcPr>
          <w:p w14:paraId="6B68ECFD">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p>
        </w:tc>
        <w:tc>
          <w:tcPr>
            <w:tcW w:w="467" w:type="pct"/>
            <w:shd w:val="clear" w:color="auto" w:fill="auto"/>
            <w:vAlign w:val="center"/>
          </w:tcPr>
          <w:p w14:paraId="4B1B9D99">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609" w:type="pct"/>
            <w:shd w:val="clear" w:color="auto" w:fill="auto"/>
            <w:vAlign w:val="center"/>
          </w:tcPr>
          <w:p w14:paraId="40D06C19">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0.1t/a</w:t>
            </w:r>
          </w:p>
        </w:tc>
        <w:tc>
          <w:tcPr>
            <w:tcW w:w="603" w:type="pct"/>
            <w:shd w:val="clear" w:color="auto" w:fill="auto"/>
            <w:vAlign w:val="center"/>
          </w:tcPr>
          <w:p w14:paraId="16D6F8B1">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0.1t/a</w:t>
            </w:r>
          </w:p>
        </w:tc>
        <w:tc>
          <w:tcPr>
            <w:tcW w:w="616" w:type="pct"/>
            <w:shd w:val="clear" w:color="auto" w:fill="auto"/>
            <w:vAlign w:val="center"/>
          </w:tcPr>
          <w:p w14:paraId="39425689">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w:t>
            </w:r>
          </w:p>
        </w:tc>
        <w:tc>
          <w:tcPr>
            <w:tcW w:w="584" w:type="pct"/>
            <w:shd w:val="clear" w:color="auto" w:fill="auto"/>
            <w:vAlign w:val="center"/>
          </w:tcPr>
          <w:p w14:paraId="61E2E603">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0.2t/a</w:t>
            </w:r>
          </w:p>
        </w:tc>
        <w:tc>
          <w:tcPr>
            <w:tcW w:w="530" w:type="pct"/>
            <w:shd w:val="clear" w:color="auto" w:fill="auto"/>
            <w:vAlign w:val="center"/>
          </w:tcPr>
          <w:p w14:paraId="47E95BB1">
            <w:pPr>
              <w:pStyle w:val="4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b w:val="0"/>
                <w:bCs w:val="0"/>
                <w:i w:val="0"/>
                <w:iCs/>
                <w:color w:val="auto"/>
                <w:kern w:val="2"/>
                <w:sz w:val="24"/>
                <w:szCs w:val="24"/>
                <w:lang w:val="en-US" w:eastAsia="zh-CN" w:bidi="ar-SA"/>
              </w:rPr>
            </w:pPr>
            <w:r>
              <w:rPr>
                <w:rFonts w:hint="default" w:ascii="Times New Roman" w:hAnsi="Times New Roman" w:eastAsia="宋体" w:cs="Times New Roman"/>
                <w:b w:val="0"/>
                <w:bCs w:val="0"/>
                <w:i w:val="0"/>
                <w:iCs/>
                <w:color w:val="auto"/>
                <w:kern w:val="2"/>
                <w:sz w:val="24"/>
                <w:szCs w:val="24"/>
                <w:lang w:val="en-US" w:eastAsia="zh-CN" w:bidi="ar-SA"/>
              </w:rPr>
              <w:t>+0.1t/a</w:t>
            </w:r>
          </w:p>
        </w:tc>
      </w:tr>
    </w:tbl>
    <w:p w14:paraId="3920B433">
      <w:pPr>
        <w:ind w:firstLine="0" w:firstLineChars="0"/>
        <w:jc w:val="left"/>
        <w:rPr>
          <w:rFonts w:hint="default" w:ascii="Times New Roman" w:hAnsi="Times New Roman" w:cs="Times New Roman"/>
          <w:color w:val="auto"/>
        </w:rPr>
      </w:pPr>
      <w:r>
        <w:rPr>
          <w:rFonts w:hint="default" w:ascii="Times New Roman" w:hAnsi="Times New Roman" w:cs="Times New Roman"/>
          <w:color w:val="auto"/>
        </w:rPr>
        <w:t>注：⑥=①+③+④-⑤；⑦=⑥-①</w:t>
      </w:r>
    </w:p>
    <w:p w14:paraId="7326F116">
      <w:pPr>
        <w:ind w:firstLine="480"/>
        <w:rPr>
          <w:rFonts w:hint="default" w:ascii="Times New Roman" w:hAnsi="Times New Roman" w:cs="Times New Roman"/>
          <w:color w:val="auto"/>
        </w:rPr>
      </w:pPr>
    </w:p>
    <w:sectPr>
      <w:pgSz w:w="16838" w:h="11906" w:orient="landscape"/>
      <w:pgMar w:top="1800" w:right="1440" w:bottom="1800" w:left="144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E78F6">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ADEC0">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C8761">
    <w:pPr>
      <w:pStyle w:val="1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5D32E">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45D32E">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1589D">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27461"/>
    <w:multiLevelType w:val="singleLevel"/>
    <w:tmpl w:val="9E627461"/>
    <w:lvl w:ilvl="0" w:tentative="0">
      <w:start w:val="3"/>
      <w:numFmt w:val="decimal"/>
      <w:suff w:val="nothing"/>
      <w:lvlText w:val="（%1）"/>
      <w:lvlJc w:val="left"/>
    </w:lvl>
  </w:abstractNum>
  <w:abstractNum w:abstractNumId="1">
    <w:nsid w:val="A3A89F77"/>
    <w:multiLevelType w:val="singleLevel"/>
    <w:tmpl w:val="A3A89F77"/>
    <w:lvl w:ilvl="0" w:tentative="0">
      <w:start w:val="1"/>
      <w:numFmt w:val="decimal"/>
      <w:suff w:val="nothing"/>
      <w:lvlText w:val="（%1）"/>
      <w:lvlJc w:val="left"/>
    </w:lvl>
  </w:abstractNum>
  <w:abstractNum w:abstractNumId="2">
    <w:nsid w:val="B6FF95E1"/>
    <w:multiLevelType w:val="singleLevel"/>
    <w:tmpl w:val="B6FF95E1"/>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3">
    <w:nsid w:val="FDF5236C"/>
    <w:multiLevelType w:val="singleLevel"/>
    <w:tmpl w:val="FDF5236C"/>
    <w:lvl w:ilvl="0" w:tentative="0">
      <w:start w:val="3"/>
      <w:numFmt w:val="decimal"/>
      <w:suff w:val="nothing"/>
      <w:lvlText w:val="%1）"/>
      <w:lvlJc w:val="left"/>
    </w:lvl>
  </w:abstractNum>
  <w:abstractNum w:abstractNumId="4">
    <w:nsid w:val="3DFD2211"/>
    <w:multiLevelType w:val="multilevel"/>
    <w:tmpl w:val="3DFD2211"/>
    <w:lvl w:ilvl="0" w:tentative="0">
      <w:start w:val="1"/>
      <w:numFmt w:val="decimal"/>
      <w:lvlText w:val="%1."/>
      <w:lvlJc w:val="left"/>
      <w:pPr>
        <w:ind w:left="425" w:hanging="425"/>
      </w:pPr>
      <w:rPr>
        <w:rFonts w:hint="default"/>
      </w:rPr>
    </w:lvl>
    <w:lvl w:ilvl="1" w:tentative="0">
      <w:start w:val="1"/>
      <w:numFmt w:val="decimal"/>
      <w:pStyle w:val="92"/>
      <w:lvlText w:val="表3-%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683B7576"/>
    <w:multiLevelType w:val="multilevel"/>
    <w:tmpl w:val="683B7576"/>
    <w:lvl w:ilvl="0" w:tentative="0">
      <w:start w:val="1"/>
      <w:numFmt w:val="decimal"/>
      <w:pStyle w:val="61"/>
      <w:lvlText w:val="%1"/>
      <w:lvlJc w:val="center"/>
      <w:pPr>
        <w:ind w:left="420" w:hanging="25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50C6A08"/>
    <w:multiLevelType w:val="singleLevel"/>
    <w:tmpl w:val="750C6A08"/>
    <w:lvl w:ilvl="0" w:tentative="0">
      <w:start w:val="3"/>
      <w:numFmt w:val="decimal"/>
      <w:suff w:val="nothing"/>
      <w:lvlText w:val="%1、"/>
      <w:lvlJc w:val="left"/>
    </w:lvl>
  </w:abstractNum>
  <w:num w:numId="1">
    <w:abstractNumId w:val="2"/>
  </w:num>
  <w:num w:numId="2">
    <w:abstractNumId w:val="5"/>
  </w:num>
  <w:num w:numId="3">
    <w:abstractNumId w:val="4"/>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mYTRhNzQxMWQ5MmRlYTkzMzcyNjZhMTVjNmRjYTQifQ=="/>
  </w:docVars>
  <w:rsids>
    <w:rsidRoot w:val="00172A27"/>
    <w:rsid w:val="00022F83"/>
    <w:rsid w:val="000C52AA"/>
    <w:rsid w:val="0013735D"/>
    <w:rsid w:val="00172A27"/>
    <w:rsid w:val="001B3201"/>
    <w:rsid w:val="00291665"/>
    <w:rsid w:val="002A63FD"/>
    <w:rsid w:val="002B1068"/>
    <w:rsid w:val="002B328B"/>
    <w:rsid w:val="00386FB5"/>
    <w:rsid w:val="003D5C2E"/>
    <w:rsid w:val="003E5B6D"/>
    <w:rsid w:val="004A2755"/>
    <w:rsid w:val="005638FA"/>
    <w:rsid w:val="0057386C"/>
    <w:rsid w:val="006B636B"/>
    <w:rsid w:val="006E5E2B"/>
    <w:rsid w:val="00776180"/>
    <w:rsid w:val="007C743F"/>
    <w:rsid w:val="0083050D"/>
    <w:rsid w:val="00833313"/>
    <w:rsid w:val="00866A89"/>
    <w:rsid w:val="00885A6C"/>
    <w:rsid w:val="008E0C60"/>
    <w:rsid w:val="00A24607"/>
    <w:rsid w:val="00A414D1"/>
    <w:rsid w:val="00A46FCB"/>
    <w:rsid w:val="00AC2173"/>
    <w:rsid w:val="00AC31F5"/>
    <w:rsid w:val="00AD7DC8"/>
    <w:rsid w:val="00B25C71"/>
    <w:rsid w:val="00B77653"/>
    <w:rsid w:val="00B90973"/>
    <w:rsid w:val="00BF50C8"/>
    <w:rsid w:val="00CA47B1"/>
    <w:rsid w:val="00CD4D6D"/>
    <w:rsid w:val="00CE4330"/>
    <w:rsid w:val="00D01876"/>
    <w:rsid w:val="00D170FC"/>
    <w:rsid w:val="00D3518F"/>
    <w:rsid w:val="00E04200"/>
    <w:rsid w:val="00E35C4A"/>
    <w:rsid w:val="00E645F8"/>
    <w:rsid w:val="00F260E2"/>
    <w:rsid w:val="00FC76D5"/>
    <w:rsid w:val="01253372"/>
    <w:rsid w:val="015623E5"/>
    <w:rsid w:val="0160084E"/>
    <w:rsid w:val="017165B7"/>
    <w:rsid w:val="01785B59"/>
    <w:rsid w:val="01E052EF"/>
    <w:rsid w:val="01EE5DB7"/>
    <w:rsid w:val="020D13ED"/>
    <w:rsid w:val="023620F5"/>
    <w:rsid w:val="023A619D"/>
    <w:rsid w:val="024261A6"/>
    <w:rsid w:val="02493090"/>
    <w:rsid w:val="024F5810"/>
    <w:rsid w:val="025A0035"/>
    <w:rsid w:val="02691984"/>
    <w:rsid w:val="027573F1"/>
    <w:rsid w:val="02AB5AF9"/>
    <w:rsid w:val="02C62933"/>
    <w:rsid w:val="02C866AB"/>
    <w:rsid w:val="02FA559D"/>
    <w:rsid w:val="036B5288"/>
    <w:rsid w:val="038E7F70"/>
    <w:rsid w:val="03BB1D6C"/>
    <w:rsid w:val="03BE0641"/>
    <w:rsid w:val="04B872BE"/>
    <w:rsid w:val="04DC01EC"/>
    <w:rsid w:val="04E15802"/>
    <w:rsid w:val="051B1E0F"/>
    <w:rsid w:val="051F632A"/>
    <w:rsid w:val="054802ED"/>
    <w:rsid w:val="05542478"/>
    <w:rsid w:val="05543A7C"/>
    <w:rsid w:val="05620E4F"/>
    <w:rsid w:val="057448C8"/>
    <w:rsid w:val="058C658D"/>
    <w:rsid w:val="05931E2C"/>
    <w:rsid w:val="05986CC9"/>
    <w:rsid w:val="05C67B3A"/>
    <w:rsid w:val="05D84E57"/>
    <w:rsid w:val="061D2BE7"/>
    <w:rsid w:val="063323F6"/>
    <w:rsid w:val="06426774"/>
    <w:rsid w:val="06450013"/>
    <w:rsid w:val="0651509F"/>
    <w:rsid w:val="068467F6"/>
    <w:rsid w:val="06846D8D"/>
    <w:rsid w:val="069F7723"/>
    <w:rsid w:val="06B15254"/>
    <w:rsid w:val="06BE76A3"/>
    <w:rsid w:val="06C158EB"/>
    <w:rsid w:val="06D575E9"/>
    <w:rsid w:val="06DA4BFF"/>
    <w:rsid w:val="06ED39C7"/>
    <w:rsid w:val="071A149F"/>
    <w:rsid w:val="073360BD"/>
    <w:rsid w:val="073A569E"/>
    <w:rsid w:val="07604774"/>
    <w:rsid w:val="076B5857"/>
    <w:rsid w:val="079B5E86"/>
    <w:rsid w:val="079F2D96"/>
    <w:rsid w:val="07AE6B6B"/>
    <w:rsid w:val="07B92A66"/>
    <w:rsid w:val="07D07D37"/>
    <w:rsid w:val="07F27D26"/>
    <w:rsid w:val="081A063F"/>
    <w:rsid w:val="08535187"/>
    <w:rsid w:val="08760957"/>
    <w:rsid w:val="088A36CA"/>
    <w:rsid w:val="08B36EF5"/>
    <w:rsid w:val="08E04924"/>
    <w:rsid w:val="0900473C"/>
    <w:rsid w:val="09067F2D"/>
    <w:rsid w:val="094A79A1"/>
    <w:rsid w:val="09523172"/>
    <w:rsid w:val="09570789"/>
    <w:rsid w:val="095F3199"/>
    <w:rsid w:val="098A285B"/>
    <w:rsid w:val="09945539"/>
    <w:rsid w:val="09BB76AA"/>
    <w:rsid w:val="09D04097"/>
    <w:rsid w:val="09E62168"/>
    <w:rsid w:val="09E85885"/>
    <w:rsid w:val="0A1A1501"/>
    <w:rsid w:val="0A382368"/>
    <w:rsid w:val="0A3D797F"/>
    <w:rsid w:val="0A530095"/>
    <w:rsid w:val="0A7B54AB"/>
    <w:rsid w:val="0AA74DF8"/>
    <w:rsid w:val="0AC534D0"/>
    <w:rsid w:val="0AE02867"/>
    <w:rsid w:val="0AE42D88"/>
    <w:rsid w:val="0B031E14"/>
    <w:rsid w:val="0BB579E9"/>
    <w:rsid w:val="0C002B72"/>
    <w:rsid w:val="0C430B50"/>
    <w:rsid w:val="0C4442B8"/>
    <w:rsid w:val="0C4A0131"/>
    <w:rsid w:val="0C6A07D3"/>
    <w:rsid w:val="0D2278AF"/>
    <w:rsid w:val="0D5A109A"/>
    <w:rsid w:val="0D6A6B79"/>
    <w:rsid w:val="0D7A0175"/>
    <w:rsid w:val="0D896A37"/>
    <w:rsid w:val="0D8B67B7"/>
    <w:rsid w:val="0DD732CE"/>
    <w:rsid w:val="0DF70EC9"/>
    <w:rsid w:val="0E2A021A"/>
    <w:rsid w:val="0E79079D"/>
    <w:rsid w:val="0E7F0B88"/>
    <w:rsid w:val="0E9844FB"/>
    <w:rsid w:val="0EAC0DA8"/>
    <w:rsid w:val="0ED16099"/>
    <w:rsid w:val="0ED71A24"/>
    <w:rsid w:val="0EDB7766"/>
    <w:rsid w:val="0F093D44"/>
    <w:rsid w:val="0F4B3EBB"/>
    <w:rsid w:val="0F725054"/>
    <w:rsid w:val="0FBB6BD2"/>
    <w:rsid w:val="0FC4644C"/>
    <w:rsid w:val="1028084A"/>
    <w:rsid w:val="10294501"/>
    <w:rsid w:val="103E7FAD"/>
    <w:rsid w:val="103F3D25"/>
    <w:rsid w:val="106C59BF"/>
    <w:rsid w:val="107134FF"/>
    <w:rsid w:val="107514F4"/>
    <w:rsid w:val="108D7572"/>
    <w:rsid w:val="109A7DE2"/>
    <w:rsid w:val="10B819A4"/>
    <w:rsid w:val="10CA5CE4"/>
    <w:rsid w:val="10FD3096"/>
    <w:rsid w:val="110A60E1"/>
    <w:rsid w:val="111A1AA4"/>
    <w:rsid w:val="112F5DC6"/>
    <w:rsid w:val="1134315E"/>
    <w:rsid w:val="118934A9"/>
    <w:rsid w:val="118F65E6"/>
    <w:rsid w:val="119A6329"/>
    <w:rsid w:val="11A950F6"/>
    <w:rsid w:val="1202505A"/>
    <w:rsid w:val="125606F6"/>
    <w:rsid w:val="127C2C2F"/>
    <w:rsid w:val="128425CD"/>
    <w:rsid w:val="12B17F1B"/>
    <w:rsid w:val="12B55B84"/>
    <w:rsid w:val="12FD6AFC"/>
    <w:rsid w:val="131C23FC"/>
    <w:rsid w:val="136F1E65"/>
    <w:rsid w:val="13D510E3"/>
    <w:rsid w:val="13D92A72"/>
    <w:rsid w:val="14025795"/>
    <w:rsid w:val="14076907"/>
    <w:rsid w:val="14180B15"/>
    <w:rsid w:val="14377928"/>
    <w:rsid w:val="14623F26"/>
    <w:rsid w:val="14B7032D"/>
    <w:rsid w:val="14C91E0F"/>
    <w:rsid w:val="14DB4E4E"/>
    <w:rsid w:val="14DE5FC6"/>
    <w:rsid w:val="15054F9B"/>
    <w:rsid w:val="152B1B0C"/>
    <w:rsid w:val="154D2A40"/>
    <w:rsid w:val="1583065D"/>
    <w:rsid w:val="15877D00"/>
    <w:rsid w:val="159929D6"/>
    <w:rsid w:val="15A86440"/>
    <w:rsid w:val="15FB67E9"/>
    <w:rsid w:val="164707AB"/>
    <w:rsid w:val="1680360B"/>
    <w:rsid w:val="169A0EAB"/>
    <w:rsid w:val="16AB2114"/>
    <w:rsid w:val="16B66F59"/>
    <w:rsid w:val="172A258E"/>
    <w:rsid w:val="172B220C"/>
    <w:rsid w:val="173739A8"/>
    <w:rsid w:val="17407CA5"/>
    <w:rsid w:val="17473311"/>
    <w:rsid w:val="176D1177"/>
    <w:rsid w:val="17850760"/>
    <w:rsid w:val="17AF6075"/>
    <w:rsid w:val="17CF5BF3"/>
    <w:rsid w:val="17DF4C38"/>
    <w:rsid w:val="18172AEF"/>
    <w:rsid w:val="1872336F"/>
    <w:rsid w:val="187525AA"/>
    <w:rsid w:val="18BC23B6"/>
    <w:rsid w:val="18D1649C"/>
    <w:rsid w:val="194F3416"/>
    <w:rsid w:val="19650358"/>
    <w:rsid w:val="196C1A2A"/>
    <w:rsid w:val="19793E03"/>
    <w:rsid w:val="19D379B8"/>
    <w:rsid w:val="19D63004"/>
    <w:rsid w:val="19DB2D10"/>
    <w:rsid w:val="19DD7858"/>
    <w:rsid w:val="19DF2163"/>
    <w:rsid w:val="19E94800"/>
    <w:rsid w:val="1A402B73"/>
    <w:rsid w:val="1A495ECC"/>
    <w:rsid w:val="1A692D82"/>
    <w:rsid w:val="1A8769F4"/>
    <w:rsid w:val="1AB72AB9"/>
    <w:rsid w:val="1ABA520C"/>
    <w:rsid w:val="1AC11B55"/>
    <w:rsid w:val="1AC5711B"/>
    <w:rsid w:val="1AD2194F"/>
    <w:rsid w:val="1AD409A8"/>
    <w:rsid w:val="1AD61242"/>
    <w:rsid w:val="1B1A33C4"/>
    <w:rsid w:val="1B250AED"/>
    <w:rsid w:val="1B345292"/>
    <w:rsid w:val="1B94654F"/>
    <w:rsid w:val="1BAF4334"/>
    <w:rsid w:val="1BBB57F5"/>
    <w:rsid w:val="1BCD4E08"/>
    <w:rsid w:val="1BF956CF"/>
    <w:rsid w:val="1C267CAA"/>
    <w:rsid w:val="1C381D54"/>
    <w:rsid w:val="1C4E2245"/>
    <w:rsid w:val="1C6A1CAD"/>
    <w:rsid w:val="1C6B3968"/>
    <w:rsid w:val="1C6E7E6B"/>
    <w:rsid w:val="1CAE64BA"/>
    <w:rsid w:val="1CB304A3"/>
    <w:rsid w:val="1CD001DE"/>
    <w:rsid w:val="1CD2070C"/>
    <w:rsid w:val="1D0D10B7"/>
    <w:rsid w:val="1D415231"/>
    <w:rsid w:val="1DFA5EB3"/>
    <w:rsid w:val="1DFD488C"/>
    <w:rsid w:val="1E0108F3"/>
    <w:rsid w:val="1E4C7D38"/>
    <w:rsid w:val="1E5906A7"/>
    <w:rsid w:val="1E922C3E"/>
    <w:rsid w:val="1EBF7350"/>
    <w:rsid w:val="1F0B127D"/>
    <w:rsid w:val="1F461EA1"/>
    <w:rsid w:val="1F525822"/>
    <w:rsid w:val="1F666A4E"/>
    <w:rsid w:val="1F6F087E"/>
    <w:rsid w:val="1F772A3E"/>
    <w:rsid w:val="1F821EDD"/>
    <w:rsid w:val="1FA47700"/>
    <w:rsid w:val="1FA92F69"/>
    <w:rsid w:val="1FA94D17"/>
    <w:rsid w:val="1FBE4C66"/>
    <w:rsid w:val="1FD2096F"/>
    <w:rsid w:val="1FE6617D"/>
    <w:rsid w:val="2014095F"/>
    <w:rsid w:val="203A616A"/>
    <w:rsid w:val="20515ADA"/>
    <w:rsid w:val="205B4D92"/>
    <w:rsid w:val="208F145D"/>
    <w:rsid w:val="20E64474"/>
    <w:rsid w:val="21025026"/>
    <w:rsid w:val="2124660D"/>
    <w:rsid w:val="213276BA"/>
    <w:rsid w:val="215018EE"/>
    <w:rsid w:val="21823C0B"/>
    <w:rsid w:val="21DF2C72"/>
    <w:rsid w:val="21FB7C8E"/>
    <w:rsid w:val="21FE4862"/>
    <w:rsid w:val="222F1E4B"/>
    <w:rsid w:val="22807704"/>
    <w:rsid w:val="232E3EB1"/>
    <w:rsid w:val="235D7FA7"/>
    <w:rsid w:val="23867849"/>
    <w:rsid w:val="23DD32F6"/>
    <w:rsid w:val="24066BDB"/>
    <w:rsid w:val="24242183"/>
    <w:rsid w:val="244020ED"/>
    <w:rsid w:val="246456B0"/>
    <w:rsid w:val="247F1E50"/>
    <w:rsid w:val="2496286C"/>
    <w:rsid w:val="24BB5C18"/>
    <w:rsid w:val="25070E5D"/>
    <w:rsid w:val="253D487F"/>
    <w:rsid w:val="25476E30"/>
    <w:rsid w:val="257162D7"/>
    <w:rsid w:val="25891351"/>
    <w:rsid w:val="25DC7319"/>
    <w:rsid w:val="25EF0DD5"/>
    <w:rsid w:val="26285567"/>
    <w:rsid w:val="263A2B6C"/>
    <w:rsid w:val="2654589A"/>
    <w:rsid w:val="267829F8"/>
    <w:rsid w:val="26995227"/>
    <w:rsid w:val="26CD39E1"/>
    <w:rsid w:val="26DA7CC8"/>
    <w:rsid w:val="273E043A"/>
    <w:rsid w:val="27545CBD"/>
    <w:rsid w:val="2777374E"/>
    <w:rsid w:val="27856069"/>
    <w:rsid w:val="27C9610F"/>
    <w:rsid w:val="27EB0254"/>
    <w:rsid w:val="27F06652"/>
    <w:rsid w:val="27F76AAA"/>
    <w:rsid w:val="28785539"/>
    <w:rsid w:val="28A66EF9"/>
    <w:rsid w:val="28AA6B52"/>
    <w:rsid w:val="28E06A1B"/>
    <w:rsid w:val="28E86F22"/>
    <w:rsid w:val="290336EA"/>
    <w:rsid w:val="290832A9"/>
    <w:rsid w:val="293124F7"/>
    <w:rsid w:val="29425C50"/>
    <w:rsid w:val="29662955"/>
    <w:rsid w:val="297F369E"/>
    <w:rsid w:val="298962E5"/>
    <w:rsid w:val="299407E6"/>
    <w:rsid w:val="29A37D6F"/>
    <w:rsid w:val="29C42E79"/>
    <w:rsid w:val="29D6334A"/>
    <w:rsid w:val="2A11425D"/>
    <w:rsid w:val="2A173322"/>
    <w:rsid w:val="2A862448"/>
    <w:rsid w:val="2ACA513E"/>
    <w:rsid w:val="2B1111F7"/>
    <w:rsid w:val="2B45448D"/>
    <w:rsid w:val="2B454F0B"/>
    <w:rsid w:val="2B5905BB"/>
    <w:rsid w:val="2B9E76FA"/>
    <w:rsid w:val="2BCA6741"/>
    <w:rsid w:val="2BF8505C"/>
    <w:rsid w:val="2C132596"/>
    <w:rsid w:val="2C1B1B52"/>
    <w:rsid w:val="2C412EA7"/>
    <w:rsid w:val="2C4265F2"/>
    <w:rsid w:val="2CF5705C"/>
    <w:rsid w:val="2D1C2FCC"/>
    <w:rsid w:val="2D247643"/>
    <w:rsid w:val="2D41649D"/>
    <w:rsid w:val="2DAB32A3"/>
    <w:rsid w:val="2DBD655D"/>
    <w:rsid w:val="2DE0224B"/>
    <w:rsid w:val="2DE67B11"/>
    <w:rsid w:val="2E0F43E2"/>
    <w:rsid w:val="2E390E23"/>
    <w:rsid w:val="2E513149"/>
    <w:rsid w:val="2E756091"/>
    <w:rsid w:val="2E7D7A9A"/>
    <w:rsid w:val="2EB931C8"/>
    <w:rsid w:val="2EBA2A9C"/>
    <w:rsid w:val="2EEF764D"/>
    <w:rsid w:val="2EF30CD1"/>
    <w:rsid w:val="2EF53AD4"/>
    <w:rsid w:val="2F0024B0"/>
    <w:rsid w:val="2F066B9C"/>
    <w:rsid w:val="2F2C5070"/>
    <w:rsid w:val="2F5C391C"/>
    <w:rsid w:val="2F5E00D7"/>
    <w:rsid w:val="2F5F53F2"/>
    <w:rsid w:val="2FA23C5C"/>
    <w:rsid w:val="2FE33A3E"/>
    <w:rsid w:val="30006BD5"/>
    <w:rsid w:val="303932F1"/>
    <w:rsid w:val="307750E9"/>
    <w:rsid w:val="307B14CA"/>
    <w:rsid w:val="308C0468"/>
    <w:rsid w:val="30B5761C"/>
    <w:rsid w:val="30D2231F"/>
    <w:rsid w:val="30D54712"/>
    <w:rsid w:val="310658A8"/>
    <w:rsid w:val="312F0460"/>
    <w:rsid w:val="31374F07"/>
    <w:rsid w:val="313C59EB"/>
    <w:rsid w:val="31937CDE"/>
    <w:rsid w:val="31B25CE8"/>
    <w:rsid w:val="31BB7257"/>
    <w:rsid w:val="31D9377A"/>
    <w:rsid w:val="31DF6550"/>
    <w:rsid w:val="31E64538"/>
    <w:rsid w:val="31F41019"/>
    <w:rsid w:val="31F44517"/>
    <w:rsid w:val="31F90CFA"/>
    <w:rsid w:val="32222E32"/>
    <w:rsid w:val="322E5C7B"/>
    <w:rsid w:val="32360566"/>
    <w:rsid w:val="324D7C39"/>
    <w:rsid w:val="32537490"/>
    <w:rsid w:val="325E4C4C"/>
    <w:rsid w:val="327D3308"/>
    <w:rsid w:val="32B35E00"/>
    <w:rsid w:val="32ED6C2C"/>
    <w:rsid w:val="32F176DE"/>
    <w:rsid w:val="33244988"/>
    <w:rsid w:val="33430E83"/>
    <w:rsid w:val="337F21AD"/>
    <w:rsid w:val="33AB6B62"/>
    <w:rsid w:val="33E31994"/>
    <w:rsid w:val="33EF0A87"/>
    <w:rsid w:val="346C07FD"/>
    <w:rsid w:val="34825181"/>
    <w:rsid w:val="34C83598"/>
    <w:rsid w:val="34CA6D0D"/>
    <w:rsid w:val="34CF6B76"/>
    <w:rsid w:val="34FB5BBD"/>
    <w:rsid w:val="351B730E"/>
    <w:rsid w:val="353077F4"/>
    <w:rsid w:val="354C23CF"/>
    <w:rsid w:val="35B51550"/>
    <w:rsid w:val="35B77D36"/>
    <w:rsid w:val="35DF5E07"/>
    <w:rsid w:val="362D7FF8"/>
    <w:rsid w:val="36624145"/>
    <w:rsid w:val="367E2601"/>
    <w:rsid w:val="368074B5"/>
    <w:rsid w:val="368A71F8"/>
    <w:rsid w:val="36BD5820"/>
    <w:rsid w:val="36D36DF1"/>
    <w:rsid w:val="36E96615"/>
    <w:rsid w:val="36F47750"/>
    <w:rsid w:val="36F9612C"/>
    <w:rsid w:val="36FF3FA5"/>
    <w:rsid w:val="371E6084"/>
    <w:rsid w:val="37412CD5"/>
    <w:rsid w:val="374F0D9D"/>
    <w:rsid w:val="37555A58"/>
    <w:rsid w:val="37CA2C1C"/>
    <w:rsid w:val="37E92DD0"/>
    <w:rsid w:val="38625327"/>
    <w:rsid w:val="38A66669"/>
    <w:rsid w:val="38AC16A8"/>
    <w:rsid w:val="38C34C43"/>
    <w:rsid w:val="38DB3D3B"/>
    <w:rsid w:val="38F83426"/>
    <w:rsid w:val="39340DAC"/>
    <w:rsid w:val="39755F3E"/>
    <w:rsid w:val="39825984"/>
    <w:rsid w:val="39AA4B00"/>
    <w:rsid w:val="39C06C2C"/>
    <w:rsid w:val="3A180F3D"/>
    <w:rsid w:val="3A7A63AA"/>
    <w:rsid w:val="3A9A0B8B"/>
    <w:rsid w:val="3AF400E5"/>
    <w:rsid w:val="3AFD7283"/>
    <w:rsid w:val="3B0C45C7"/>
    <w:rsid w:val="3B295232"/>
    <w:rsid w:val="3B5B5607"/>
    <w:rsid w:val="3B7F4E62"/>
    <w:rsid w:val="3B903503"/>
    <w:rsid w:val="3BA50AE5"/>
    <w:rsid w:val="3BB65FE2"/>
    <w:rsid w:val="3BBB2F06"/>
    <w:rsid w:val="3BD03145"/>
    <w:rsid w:val="3C005556"/>
    <w:rsid w:val="3C277297"/>
    <w:rsid w:val="3C42348F"/>
    <w:rsid w:val="3C6A5B02"/>
    <w:rsid w:val="3CB53363"/>
    <w:rsid w:val="3CCF4271"/>
    <w:rsid w:val="3CEC2801"/>
    <w:rsid w:val="3D0A16C6"/>
    <w:rsid w:val="3D0C5BF5"/>
    <w:rsid w:val="3D17730C"/>
    <w:rsid w:val="3D1B27B8"/>
    <w:rsid w:val="3D4A148F"/>
    <w:rsid w:val="3D583341"/>
    <w:rsid w:val="3D5B544A"/>
    <w:rsid w:val="3D5C4304"/>
    <w:rsid w:val="3D791099"/>
    <w:rsid w:val="3D8C4848"/>
    <w:rsid w:val="3D9D5A63"/>
    <w:rsid w:val="3DD2289E"/>
    <w:rsid w:val="3E1E2BFE"/>
    <w:rsid w:val="3E522CF1"/>
    <w:rsid w:val="3E7A5925"/>
    <w:rsid w:val="3E810E14"/>
    <w:rsid w:val="3E88226F"/>
    <w:rsid w:val="3EE659E3"/>
    <w:rsid w:val="3F012022"/>
    <w:rsid w:val="3F0833B0"/>
    <w:rsid w:val="3F180741"/>
    <w:rsid w:val="3F220916"/>
    <w:rsid w:val="3FC37CBE"/>
    <w:rsid w:val="3FEC6175"/>
    <w:rsid w:val="402B55A8"/>
    <w:rsid w:val="40362E5F"/>
    <w:rsid w:val="403722C4"/>
    <w:rsid w:val="406D585F"/>
    <w:rsid w:val="40CF0629"/>
    <w:rsid w:val="40DB2B19"/>
    <w:rsid w:val="416D098E"/>
    <w:rsid w:val="41746775"/>
    <w:rsid w:val="41754076"/>
    <w:rsid w:val="41840A17"/>
    <w:rsid w:val="41A62506"/>
    <w:rsid w:val="41D27521"/>
    <w:rsid w:val="41EE7738"/>
    <w:rsid w:val="41F45E6E"/>
    <w:rsid w:val="422B5D33"/>
    <w:rsid w:val="4293404B"/>
    <w:rsid w:val="42C21874"/>
    <w:rsid w:val="42E93066"/>
    <w:rsid w:val="43000F6E"/>
    <w:rsid w:val="43174EA2"/>
    <w:rsid w:val="43321EBF"/>
    <w:rsid w:val="43987951"/>
    <w:rsid w:val="43CE0943"/>
    <w:rsid w:val="43E26547"/>
    <w:rsid w:val="4425424B"/>
    <w:rsid w:val="44585C00"/>
    <w:rsid w:val="447500EF"/>
    <w:rsid w:val="448801BF"/>
    <w:rsid w:val="44935E12"/>
    <w:rsid w:val="44A816D7"/>
    <w:rsid w:val="44B75E57"/>
    <w:rsid w:val="44D53D34"/>
    <w:rsid w:val="44E35051"/>
    <w:rsid w:val="45097968"/>
    <w:rsid w:val="452E275D"/>
    <w:rsid w:val="453155CF"/>
    <w:rsid w:val="45444653"/>
    <w:rsid w:val="457605E2"/>
    <w:rsid w:val="458D771D"/>
    <w:rsid w:val="45930526"/>
    <w:rsid w:val="45A8769B"/>
    <w:rsid w:val="45AA02FB"/>
    <w:rsid w:val="45C63752"/>
    <w:rsid w:val="45E537B9"/>
    <w:rsid w:val="46332E6A"/>
    <w:rsid w:val="4646310A"/>
    <w:rsid w:val="46717A8D"/>
    <w:rsid w:val="46933EA7"/>
    <w:rsid w:val="469D6BFF"/>
    <w:rsid w:val="46B16111"/>
    <w:rsid w:val="46E666CD"/>
    <w:rsid w:val="46ED6394"/>
    <w:rsid w:val="46F11B84"/>
    <w:rsid w:val="46F54A94"/>
    <w:rsid w:val="46FD6269"/>
    <w:rsid w:val="474B498C"/>
    <w:rsid w:val="474E7CAE"/>
    <w:rsid w:val="47552F18"/>
    <w:rsid w:val="475A5D99"/>
    <w:rsid w:val="478163F5"/>
    <w:rsid w:val="47947ED7"/>
    <w:rsid w:val="47F44E19"/>
    <w:rsid w:val="4806696C"/>
    <w:rsid w:val="482A25E9"/>
    <w:rsid w:val="48594C7C"/>
    <w:rsid w:val="489363E0"/>
    <w:rsid w:val="48DC7235"/>
    <w:rsid w:val="49117C21"/>
    <w:rsid w:val="49174CF3"/>
    <w:rsid w:val="493327A5"/>
    <w:rsid w:val="494E7655"/>
    <w:rsid w:val="4968786D"/>
    <w:rsid w:val="49B4660E"/>
    <w:rsid w:val="4A4553AE"/>
    <w:rsid w:val="4A5006EC"/>
    <w:rsid w:val="4A86659B"/>
    <w:rsid w:val="4A894E0B"/>
    <w:rsid w:val="4AB205E4"/>
    <w:rsid w:val="4AD10481"/>
    <w:rsid w:val="4AE50A49"/>
    <w:rsid w:val="4B38326F"/>
    <w:rsid w:val="4B686CC4"/>
    <w:rsid w:val="4BA406A7"/>
    <w:rsid w:val="4BBD5D5F"/>
    <w:rsid w:val="4BEC5109"/>
    <w:rsid w:val="4C661901"/>
    <w:rsid w:val="4C664580"/>
    <w:rsid w:val="4C995832"/>
    <w:rsid w:val="4CB242B5"/>
    <w:rsid w:val="4CB6269D"/>
    <w:rsid w:val="4CCE2137"/>
    <w:rsid w:val="4D291319"/>
    <w:rsid w:val="4D327620"/>
    <w:rsid w:val="4D357A66"/>
    <w:rsid w:val="4D3D7F0E"/>
    <w:rsid w:val="4D8A2EBD"/>
    <w:rsid w:val="4DB04BB4"/>
    <w:rsid w:val="4DDA13F5"/>
    <w:rsid w:val="4DF27705"/>
    <w:rsid w:val="4E085F12"/>
    <w:rsid w:val="4E2B0E50"/>
    <w:rsid w:val="4E3046D1"/>
    <w:rsid w:val="4E435DED"/>
    <w:rsid w:val="4E45017D"/>
    <w:rsid w:val="4E5E5567"/>
    <w:rsid w:val="4E624465"/>
    <w:rsid w:val="4EB765EE"/>
    <w:rsid w:val="4EF32CBD"/>
    <w:rsid w:val="4EF830E7"/>
    <w:rsid w:val="4F0A7BF2"/>
    <w:rsid w:val="4F0D0A8C"/>
    <w:rsid w:val="4F237ACF"/>
    <w:rsid w:val="4F4930DF"/>
    <w:rsid w:val="4F4E3061"/>
    <w:rsid w:val="4F5236C4"/>
    <w:rsid w:val="4F72619B"/>
    <w:rsid w:val="4F737920"/>
    <w:rsid w:val="4FBC3D0F"/>
    <w:rsid w:val="4FC54DE6"/>
    <w:rsid w:val="4FC92959"/>
    <w:rsid w:val="4FEB4D54"/>
    <w:rsid w:val="501C315F"/>
    <w:rsid w:val="50670C63"/>
    <w:rsid w:val="507E7A1A"/>
    <w:rsid w:val="50947199"/>
    <w:rsid w:val="50995AFC"/>
    <w:rsid w:val="50CF3D2E"/>
    <w:rsid w:val="50D21B35"/>
    <w:rsid w:val="51273B6A"/>
    <w:rsid w:val="512C3038"/>
    <w:rsid w:val="51324B8C"/>
    <w:rsid w:val="515B1A65"/>
    <w:rsid w:val="51646B6C"/>
    <w:rsid w:val="51833C10"/>
    <w:rsid w:val="51A1629D"/>
    <w:rsid w:val="51F36142"/>
    <w:rsid w:val="52304CF0"/>
    <w:rsid w:val="52350C09"/>
    <w:rsid w:val="52612E3D"/>
    <w:rsid w:val="528F0FF9"/>
    <w:rsid w:val="52BA5EAA"/>
    <w:rsid w:val="52BE405A"/>
    <w:rsid w:val="52C27FEE"/>
    <w:rsid w:val="52CC1B99"/>
    <w:rsid w:val="53244790"/>
    <w:rsid w:val="539478C8"/>
    <w:rsid w:val="53A05E55"/>
    <w:rsid w:val="53E652DB"/>
    <w:rsid w:val="54213643"/>
    <w:rsid w:val="54302D35"/>
    <w:rsid w:val="5443245D"/>
    <w:rsid w:val="54712ACE"/>
    <w:rsid w:val="547869B3"/>
    <w:rsid w:val="5494097E"/>
    <w:rsid w:val="54A13C33"/>
    <w:rsid w:val="55244849"/>
    <w:rsid w:val="5525381E"/>
    <w:rsid w:val="554621BA"/>
    <w:rsid w:val="55676C2B"/>
    <w:rsid w:val="55850EFA"/>
    <w:rsid w:val="558857F9"/>
    <w:rsid w:val="559127F9"/>
    <w:rsid w:val="55991528"/>
    <w:rsid w:val="55A25260"/>
    <w:rsid w:val="55C71477"/>
    <w:rsid w:val="560D00C2"/>
    <w:rsid w:val="563A60ED"/>
    <w:rsid w:val="56D4209E"/>
    <w:rsid w:val="570C445A"/>
    <w:rsid w:val="572676BB"/>
    <w:rsid w:val="573974DD"/>
    <w:rsid w:val="574865E8"/>
    <w:rsid w:val="574B60D8"/>
    <w:rsid w:val="57622102"/>
    <w:rsid w:val="576961C6"/>
    <w:rsid w:val="57790CA6"/>
    <w:rsid w:val="57803FD4"/>
    <w:rsid w:val="57B51D71"/>
    <w:rsid w:val="57B60ADC"/>
    <w:rsid w:val="57C472EF"/>
    <w:rsid w:val="57C9587D"/>
    <w:rsid w:val="57FF139C"/>
    <w:rsid w:val="581D7A74"/>
    <w:rsid w:val="5851771E"/>
    <w:rsid w:val="58711B6E"/>
    <w:rsid w:val="5875340D"/>
    <w:rsid w:val="58A27F7A"/>
    <w:rsid w:val="58B8779D"/>
    <w:rsid w:val="58D74620"/>
    <w:rsid w:val="59103135"/>
    <w:rsid w:val="59136CF0"/>
    <w:rsid w:val="593F5781"/>
    <w:rsid w:val="595A2602"/>
    <w:rsid w:val="59897464"/>
    <w:rsid w:val="59C53D4A"/>
    <w:rsid w:val="59D2488F"/>
    <w:rsid w:val="59F24535"/>
    <w:rsid w:val="5A0A227A"/>
    <w:rsid w:val="5A294C56"/>
    <w:rsid w:val="5A3F7BAF"/>
    <w:rsid w:val="5A9D4E9D"/>
    <w:rsid w:val="5A9F72E5"/>
    <w:rsid w:val="5AC42E7D"/>
    <w:rsid w:val="5ADB3FD8"/>
    <w:rsid w:val="5AE7736B"/>
    <w:rsid w:val="5AE96B71"/>
    <w:rsid w:val="5AEE385B"/>
    <w:rsid w:val="5AFF6A4B"/>
    <w:rsid w:val="5B2D4472"/>
    <w:rsid w:val="5B55668C"/>
    <w:rsid w:val="5B7D4360"/>
    <w:rsid w:val="5B873FBF"/>
    <w:rsid w:val="5B975201"/>
    <w:rsid w:val="5BBC3D86"/>
    <w:rsid w:val="5BC85F49"/>
    <w:rsid w:val="5C2B156D"/>
    <w:rsid w:val="5C474011"/>
    <w:rsid w:val="5C4749E1"/>
    <w:rsid w:val="5CAC56F3"/>
    <w:rsid w:val="5CBD6817"/>
    <w:rsid w:val="5CC52B17"/>
    <w:rsid w:val="5CD45E4D"/>
    <w:rsid w:val="5CEF649D"/>
    <w:rsid w:val="5D1F7DEB"/>
    <w:rsid w:val="5D4B5084"/>
    <w:rsid w:val="5D575C2A"/>
    <w:rsid w:val="5D5A0E23"/>
    <w:rsid w:val="5D6A3548"/>
    <w:rsid w:val="5D8660BC"/>
    <w:rsid w:val="5E1331D5"/>
    <w:rsid w:val="5E7C3C76"/>
    <w:rsid w:val="5E875B3A"/>
    <w:rsid w:val="5EAA6DDD"/>
    <w:rsid w:val="5EDB6A04"/>
    <w:rsid w:val="5EE945D7"/>
    <w:rsid w:val="5F0B6879"/>
    <w:rsid w:val="5F2979F3"/>
    <w:rsid w:val="5F2D100D"/>
    <w:rsid w:val="5F87573B"/>
    <w:rsid w:val="5FF643C0"/>
    <w:rsid w:val="600F690F"/>
    <w:rsid w:val="6037278F"/>
    <w:rsid w:val="60624BBE"/>
    <w:rsid w:val="609C752C"/>
    <w:rsid w:val="60DD4245"/>
    <w:rsid w:val="60F02312"/>
    <w:rsid w:val="613E042E"/>
    <w:rsid w:val="620F042E"/>
    <w:rsid w:val="6223037D"/>
    <w:rsid w:val="6229397E"/>
    <w:rsid w:val="62343BDC"/>
    <w:rsid w:val="62425328"/>
    <w:rsid w:val="624258F8"/>
    <w:rsid w:val="626369CC"/>
    <w:rsid w:val="62CF4061"/>
    <w:rsid w:val="63134E68"/>
    <w:rsid w:val="63296167"/>
    <w:rsid w:val="63392C9B"/>
    <w:rsid w:val="63A72A6F"/>
    <w:rsid w:val="63AC11BD"/>
    <w:rsid w:val="63AE6051"/>
    <w:rsid w:val="63B079F2"/>
    <w:rsid w:val="63CE5391"/>
    <w:rsid w:val="63DE187D"/>
    <w:rsid w:val="64072270"/>
    <w:rsid w:val="64145061"/>
    <w:rsid w:val="642531F0"/>
    <w:rsid w:val="642E6E8E"/>
    <w:rsid w:val="644B0BC3"/>
    <w:rsid w:val="64615110"/>
    <w:rsid w:val="64656A2B"/>
    <w:rsid w:val="646A68E9"/>
    <w:rsid w:val="646F32C2"/>
    <w:rsid w:val="648D7D30"/>
    <w:rsid w:val="64942E6C"/>
    <w:rsid w:val="64D423E2"/>
    <w:rsid w:val="65C37EAD"/>
    <w:rsid w:val="65D774B5"/>
    <w:rsid w:val="660C2B7A"/>
    <w:rsid w:val="662B37A0"/>
    <w:rsid w:val="663C74B6"/>
    <w:rsid w:val="66A31A8D"/>
    <w:rsid w:val="66AF21DF"/>
    <w:rsid w:val="66C832A1"/>
    <w:rsid w:val="66C84AFF"/>
    <w:rsid w:val="66D460EA"/>
    <w:rsid w:val="66F82DC2"/>
    <w:rsid w:val="674F359D"/>
    <w:rsid w:val="67622A7F"/>
    <w:rsid w:val="67654F1A"/>
    <w:rsid w:val="67860FF7"/>
    <w:rsid w:val="678D79C8"/>
    <w:rsid w:val="67A8707C"/>
    <w:rsid w:val="67A91325"/>
    <w:rsid w:val="67AF7FBD"/>
    <w:rsid w:val="67CB129B"/>
    <w:rsid w:val="67D4755D"/>
    <w:rsid w:val="67D7258B"/>
    <w:rsid w:val="67FC76A6"/>
    <w:rsid w:val="681E3285"/>
    <w:rsid w:val="683C009B"/>
    <w:rsid w:val="689D6ADA"/>
    <w:rsid w:val="68BA171A"/>
    <w:rsid w:val="68DD72DD"/>
    <w:rsid w:val="68DF3E21"/>
    <w:rsid w:val="68E9247A"/>
    <w:rsid w:val="69230C63"/>
    <w:rsid w:val="692E7796"/>
    <w:rsid w:val="69304D96"/>
    <w:rsid w:val="693076BD"/>
    <w:rsid w:val="69377459"/>
    <w:rsid w:val="69406C8B"/>
    <w:rsid w:val="69580F25"/>
    <w:rsid w:val="69714C08"/>
    <w:rsid w:val="69D80917"/>
    <w:rsid w:val="69D95D98"/>
    <w:rsid w:val="69F54873"/>
    <w:rsid w:val="69F55085"/>
    <w:rsid w:val="6A042842"/>
    <w:rsid w:val="6A0842BB"/>
    <w:rsid w:val="6A536DBB"/>
    <w:rsid w:val="6A7F64C9"/>
    <w:rsid w:val="6B0E31D8"/>
    <w:rsid w:val="6B103874"/>
    <w:rsid w:val="6B211C67"/>
    <w:rsid w:val="6B347990"/>
    <w:rsid w:val="6B540550"/>
    <w:rsid w:val="6B611204"/>
    <w:rsid w:val="6B76046A"/>
    <w:rsid w:val="6B7D7CB3"/>
    <w:rsid w:val="6B811C71"/>
    <w:rsid w:val="6BA02D93"/>
    <w:rsid w:val="6BF568E6"/>
    <w:rsid w:val="6BFD532C"/>
    <w:rsid w:val="6C31349F"/>
    <w:rsid w:val="6C4120C8"/>
    <w:rsid w:val="6C501D6F"/>
    <w:rsid w:val="6C506213"/>
    <w:rsid w:val="6CC84627"/>
    <w:rsid w:val="6CC86A11"/>
    <w:rsid w:val="6CF77892"/>
    <w:rsid w:val="6D01750D"/>
    <w:rsid w:val="6D30394E"/>
    <w:rsid w:val="6D543AE1"/>
    <w:rsid w:val="6D6F091A"/>
    <w:rsid w:val="6D964E82"/>
    <w:rsid w:val="6DA62C6F"/>
    <w:rsid w:val="6DBD2011"/>
    <w:rsid w:val="6DE74196"/>
    <w:rsid w:val="6EBE3907"/>
    <w:rsid w:val="6EDA1DC4"/>
    <w:rsid w:val="6EDD0ED1"/>
    <w:rsid w:val="6EFB697D"/>
    <w:rsid w:val="6F4C01A0"/>
    <w:rsid w:val="6F5C2EC1"/>
    <w:rsid w:val="700A7EA9"/>
    <w:rsid w:val="707F4553"/>
    <w:rsid w:val="70977786"/>
    <w:rsid w:val="70A24B63"/>
    <w:rsid w:val="70E96194"/>
    <w:rsid w:val="71597917"/>
    <w:rsid w:val="716F59BA"/>
    <w:rsid w:val="71A16BC9"/>
    <w:rsid w:val="72253C9E"/>
    <w:rsid w:val="722A4E10"/>
    <w:rsid w:val="72677E12"/>
    <w:rsid w:val="726E2C6A"/>
    <w:rsid w:val="727E6F0A"/>
    <w:rsid w:val="728E43C7"/>
    <w:rsid w:val="72986AFA"/>
    <w:rsid w:val="72AF6F9A"/>
    <w:rsid w:val="72BF4565"/>
    <w:rsid w:val="72BF574A"/>
    <w:rsid w:val="72DB17AA"/>
    <w:rsid w:val="72DE1996"/>
    <w:rsid w:val="72E61EA5"/>
    <w:rsid w:val="73005A59"/>
    <w:rsid w:val="738D1D56"/>
    <w:rsid w:val="73EE2ABF"/>
    <w:rsid w:val="73FE369D"/>
    <w:rsid w:val="73FE6554"/>
    <w:rsid w:val="74420ABE"/>
    <w:rsid w:val="74525BA4"/>
    <w:rsid w:val="745B6928"/>
    <w:rsid w:val="74736F42"/>
    <w:rsid w:val="74B74445"/>
    <w:rsid w:val="74D96450"/>
    <w:rsid w:val="751706C1"/>
    <w:rsid w:val="754643C6"/>
    <w:rsid w:val="756248C1"/>
    <w:rsid w:val="75700F35"/>
    <w:rsid w:val="75714B4A"/>
    <w:rsid w:val="75B30881"/>
    <w:rsid w:val="75B726F1"/>
    <w:rsid w:val="761372D2"/>
    <w:rsid w:val="761E748A"/>
    <w:rsid w:val="764E1FE1"/>
    <w:rsid w:val="769A6B13"/>
    <w:rsid w:val="76D652E1"/>
    <w:rsid w:val="76F375E0"/>
    <w:rsid w:val="77214D29"/>
    <w:rsid w:val="773A78A3"/>
    <w:rsid w:val="775448D8"/>
    <w:rsid w:val="777A7420"/>
    <w:rsid w:val="778925D9"/>
    <w:rsid w:val="778A0233"/>
    <w:rsid w:val="77A256AB"/>
    <w:rsid w:val="77A45665"/>
    <w:rsid w:val="77D5581E"/>
    <w:rsid w:val="77DB67A7"/>
    <w:rsid w:val="77F44BF7"/>
    <w:rsid w:val="780E6F88"/>
    <w:rsid w:val="781A0B29"/>
    <w:rsid w:val="7831514A"/>
    <w:rsid w:val="78351976"/>
    <w:rsid w:val="78464DBB"/>
    <w:rsid w:val="78782D79"/>
    <w:rsid w:val="78BD2F65"/>
    <w:rsid w:val="78DB02B6"/>
    <w:rsid w:val="78EE57EB"/>
    <w:rsid w:val="791D747D"/>
    <w:rsid w:val="79827ED0"/>
    <w:rsid w:val="79A3198F"/>
    <w:rsid w:val="79C42887"/>
    <w:rsid w:val="79D1053A"/>
    <w:rsid w:val="79DF07F9"/>
    <w:rsid w:val="79E61F64"/>
    <w:rsid w:val="79E72641"/>
    <w:rsid w:val="79FB5304"/>
    <w:rsid w:val="79FF26FF"/>
    <w:rsid w:val="7A102B3D"/>
    <w:rsid w:val="7A173ECC"/>
    <w:rsid w:val="7A2E2C70"/>
    <w:rsid w:val="7A3409F8"/>
    <w:rsid w:val="7A340F22"/>
    <w:rsid w:val="7A427A48"/>
    <w:rsid w:val="7A7A2AED"/>
    <w:rsid w:val="7AA75179"/>
    <w:rsid w:val="7B2E72FB"/>
    <w:rsid w:val="7B5B0B4B"/>
    <w:rsid w:val="7B777FF9"/>
    <w:rsid w:val="7B8722C2"/>
    <w:rsid w:val="7BA31958"/>
    <w:rsid w:val="7BB8348D"/>
    <w:rsid w:val="7BBC46B6"/>
    <w:rsid w:val="7C2470D1"/>
    <w:rsid w:val="7C3F770A"/>
    <w:rsid w:val="7C5533D1"/>
    <w:rsid w:val="7C672E47"/>
    <w:rsid w:val="7C684EB3"/>
    <w:rsid w:val="7C887FC5"/>
    <w:rsid w:val="7CAF5249"/>
    <w:rsid w:val="7CBB76D8"/>
    <w:rsid w:val="7CF91FAF"/>
    <w:rsid w:val="7D004396"/>
    <w:rsid w:val="7D1B0177"/>
    <w:rsid w:val="7D237A6B"/>
    <w:rsid w:val="7D53129F"/>
    <w:rsid w:val="7D5611AF"/>
    <w:rsid w:val="7D660289"/>
    <w:rsid w:val="7D843A55"/>
    <w:rsid w:val="7D8E0949"/>
    <w:rsid w:val="7D8E26F7"/>
    <w:rsid w:val="7DA751E9"/>
    <w:rsid w:val="7DB7511E"/>
    <w:rsid w:val="7DCA2988"/>
    <w:rsid w:val="7DD6409E"/>
    <w:rsid w:val="7DDE1ECD"/>
    <w:rsid w:val="7DF911F8"/>
    <w:rsid w:val="7E1A2ED4"/>
    <w:rsid w:val="7E4F2239"/>
    <w:rsid w:val="7E755B18"/>
    <w:rsid w:val="7E7F40E9"/>
    <w:rsid w:val="7E8E5CFB"/>
    <w:rsid w:val="7EE451DE"/>
    <w:rsid w:val="7F000F2E"/>
    <w:rsid w:val="7F6D458E"/>
    <w:rsid w:val="7F7B4156"/>
    <w:rsid w:val="7FA93818"/>
    <w:rsid w:val="7FB65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602" w:firstLineChars="200"/>
      <w:jc w:val="both"/>
    </w:pPr>
    <w:rPr>
      <w:rFonts w:ascii="Times New Roman" w:hAnsi="Times New Roman" w:eastAsia="宋体" w:cs="黑体"/>
      <w:kern w:val="2"/>
      <w:sz w:val="24"/>
      <w:szCs w:val="24"/>
      <w:lang w:val="en-US" w:eastAsia="zh-CN" w:bidi="ar-SA"/>
    </w:rPr>
  </w:style>
  <w:style w:type="paragraph" w:styleId="2">
    <w:name w:val="heading 1"/>
    <w:basedOn w:val="1"/>
    <w:next w:val="1"/>
    <w:link w:val="87"/>
    <w:autoRedefine/>
    <w:qFormat/>
    <w:uiPriority w:val="0"/>
    <w:pPr>
      <w:keepNext/>
      <w:pageBreakBefore/>
      <w:ind w:firstLine="0" w:firstLineChars="0"/>
      <w:jc w:val="left"/>
      <w:outlineLvl w:val="0"/>
    </w:pPr>
    <w:rPr>
      <w:b/>
      <w:kern w:val="44"/>
      <w:sz w:val="28"/>
    </w:rPr>
  </w:style>
  <w:style w:type="paragraph" w:styleId="3">
    <w:name w:val="heading 2"/>
    <w:basedOn w:val="1"/>
    <w:next w:val="1"/>
    <w:link w:val="74"/>
    <w:autoRedefine/>
    <w:unhideWhenUsed/>
    <w:qFormat/>
    <w:uiPriority w:val="0"/>
    <w:pPr>
      <w:snapToGrid w:val="0"/>
      <w:ind w:firstLine="0" w:firstLineChars="0"/>
      <w:jc w:val="left"/>
      <w:outlineLvl w:val="1"/>
    </w:pPr>
    <w:rPr>
      <w:rFonts w:hint="eastAsia" w:cs="Times New Roman"/>
      <w:b/>
      <w:bCs/>
      <w:kern w:val="0"/>
    </w:rPr>
  </w:style>
  <w:style w:type="paragraph" w:styleId="4">
    <w:name w:val="heading 3"/>
    <w:basedOn w:val="1"/>
    <w:next w:val="1"/>
    <w:link w:val="79"/>
    <w:autoRedefine/>
    <w:unhideWhenUsed/>
    <w:qFormat/>
    <w:uiPriority w:val="0"/>
    <w:pPr>
      <w:keepNext/>
      <w:keepLines/>
      <w:spacing w:before="260" w:after="260" w:line="413" w:lineRule="auto"/>
      <w:outlineLvl w:val="2"/>
    </w:pPr>
    <w:rPr>
      <w:b/>
      <w:sz w:val="32"/>
    </w:rPr>
  </w:style>
  <w:style w:type="paragraph" w:styleId="5">
    <w:name w:val="heading 4"/>
    <w:basedOn w:val="1"/>
    <w:next w:val="1"/>
    <w:autoRedefine/>
    <w:unhideWhenUsed/>
    <w:qFormat/>
    <w:uiPriority w:val="0"/>
    <w:pPr>
      <w:keepNext/>
      <w:keepLines/>
      <w:spacing w:before="280" w:after="290" w:line="372" w:lineRule="auto"/>
      <w:outlineLvl w:val="3"/>
    </w:pPr>
    <w:rPr>
      <w:rFonts w:ascii="Arial" w:hAnsi="Arial" w:eastAsia="黑体"/>
      <w:b/>
      <w:sz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6">
    <w:name w:val="List 3"/>
    <w:basedOn w:val="1"/>
    <w:autoRedefine/>
    <w:unhideWhenUsed/>
    <w:qFormat/>
    <w:uiPriority w:val="99"/>
    <w:pPr>
      <w:ind w:left="1260" w:hanging="420"/>
    </w:pPr>
  </w:style>
  <w:style w:type="paragraph" w:styleId="7">
    <w:name w:val="index 8"/>
    <w:basedOn w:val="1"/>
    <w:next w:val="1"/>
    <w:autoRedefine/>
    <w:qFormat/>
    <w:uiPriority w:val="0"/>
    <w:pPr>
      <w:shd w:val="clear" w:color="auto" w:fill="FFFFFF"/>
    </w:pPr>
  </w:style>
  <w:style w:type="paragraph" w:styleId="8">
    <w:name w:val="Normal Indent"/>
    <w:basedOn w:val="1"/>
    <w:next w:val="1"/>
    <w:autoRedefine/>
    <w:qFormat/>
    <w:uiPriority w:val="0"/>
    <w:pPr>
      <w:ind w:firstLine="420"/>
    </w:pPr>
  </w:style>
  <w:style w:type="paragraph" w:styleId="9">
    <w:name w:val="caption"/>
    <w:basedOn w:val="1"/>
    <w:next w:val="1"/>
    <w:unhideWhenUsed/>
    <w:qFormat/>
    <w:uiPriority w:val="35"/>
    <w:rPr>
      <w:rFonts w:ascii="Arial" w:hAnsi="Arial" w:eastAsia="黑体"/>
      <w:sz w:val="20"/>
    </w:rPr>
  </w:style>
  <w:style w:type="paragraph" w:styleId="10">
    <w:name w:val="Document Map"/>
    <w:basedOn w:val="1"/>
    <w:link w:val="69"/>
    <w:autoRedefine/>
    <w:qFormat/>
    <w:uiPriority w:val="0"/>
    <w:rPr>
      <w:rFonts w:ascii="宋体"/>
      <w:sz w:val="18"/>
      <w:szCs w:val="18"/>
    </w:rPr>
  </w:style>
  <w:style w:type="paragraph" w:styleId="11">
    <w:name w:val="annotation text"/>
    <w:basedOn w:val="1"/>
    <w:link w:val="70"/>
    <w:autoRedefine/>
    <w:qFormat/>
    <w:uiPriority w:val="0"/>
    <w:pPr>
      <w:jc w:val="left"/>
    </w:pPr>
  </w:style>
  <w:style w:type="paragraph" w:styleId="12">
    <w:name w:val="Salutation"/>
    <w:basedOn w:val="1"/>
    <w:next w:val="1"/>
    <w:autoRedefine/>
    <w:qFormat/>
    <w:uiPriority w:val="0"/>
    <w:pPr>
      <w:widowControl/>
    </w:pPr>
    <w:rPr>
      <w:kern w:val="0"/>
      <w:szCs w:val="20"/>
    </w:rPr>
  </w:style>
  <w:style w:type="paragraph" w:styleId="13">
    <w:name w:val="Body Text"/>
    <w:basedOn w:val="1"/>
    <w:next w:val="14"/>
    <w:autoRedefine/>
    <w:qFormat/>
    <w:uiPriority w:val="0"/>
    <w:pPr>
      <w:widowControl/>
      <w:snapToGrid w:val="0"/>
    </w:pPr>
    <w:rPr>
      <w:rFonts w:ascii="宋体" w:hAnsi="宋体"/>
      <w:i/>
    </w:rPr>
  </w:style>
  <w:style w:type="paragraph" w:styleId="14">
    <w:name w:val="List Bullet 5"/>
    <w:basedOn w:val="1"/>
    <w:autoRedefine/>
    <w:qFormat/>
    <w:uiPriority w:val="0"/>
    <w:pPr>
      <w:numPr>
        <w:ilvl w:val="0"/>
        <w:numId w:val="1"/>
      </w:numPr>
    </w:pPr>
  </w:style>
  <w:style w:type="paragraph" w:styleId="15">
    <w:name w:val="Body Text Indent"/>
    <w:basedOn w:val="1"/>
    <w:next w:val="16"/>
    <w:autoRedefine/>
    <w:qFormat/>
    <w:uiPriority w:val="0"/>
    <w:pPr>
      <w:spacing w:after="120"/>
      <w:ind w:left="420" w:leftChars="200"/>
    </w:pPr>
  </w:style>
  <w:style w:type="paragraph" w:styleId="16">
    <w:name w:val="Body Text Indent 2"/>
    <w:basedOn w:val="1"/>
    <w:unhideWhenUsed/>
    <w:qFormat/>
    <w:uiPriority w:val="99"/>
    <w:pPr>
      <w:ind w:firstLine="560" w:firstLineChars="200"/>
    </w:pPr>
    <w:rPr>
      <w:rFonts w:ascii="宋体" w:hAnsi="宋体"/>
      <w:color w:val="FF0000"/>
      <w:sz w:val="28"/>
    </w:rPr>
  </w:style>
  <w:style w:type="paragraph" w:styleId="17">
    <w:name w:val="Plain Text"/>
    <w:basedOn w:val="1"/>
    <w:next w:val="1"/>
    <w:autoRedefine/>
    <w:unhideWhenUsed/>
    <w:qFormat/>
    <w:uiPriority w:val="99"/>
    <w:pPr>
      <w:spacing w:beforeLines="0" w:afterLines="0" w:line="240" w:lineRule="atLeast"/>
    </w:pPr>
    <w:rPr>
      <w:rFonts w:hint="eastAsia" w:ascii="宋体" w:hAnsi="Courier New" w:eastAsia="宋体"/>
      <w:sz w:val="28"/>
      <w:szCs w:val="20"/>
    </w:rPr>
  </w:style>
  <w:style w:type="paragraph" w:styleId="18">
    <w:name w:val="Balloon Text"/>
    <w:basedOn w:val="1"/>
    <w:link w:val="72"/>
    <w:autoRedefine/>
    <w:qFormat/>
    <w:uiPriority w:val="0"/>
    <w:pPr>
      <w:spacing w:line="240" w:lineRule="auto"/>
    </w:pPr>
    <w:rPr>
      <w:sz w:val="18"/>
      <w:szCs w:val="18"/>
    </w:rPr>
  </w:style>
  <w:style w:type="paragraph" w:styleId="19">
    <w:name w:val="footer"/>
    <w:basedOn w:val="1"/>
    <w:link w:val="85"/>
    <w:autoRedefine/>
    <w:qFormat/>
    <w:uiPriority w:val="0"/>
    <w:pPr>
      <w:tabs>
        <w:tab w:val="center" w:pos="4153"/>
        <w:tab w:val="right" w:pos="8306"/>
      </w:tabs>
      <w:snapToGrid w:val="0"/>
      <w:jc w:val="left"/>
    </w:pPr>
    <w:rPr>
      <w:sz w:val="18"/>
    </w:rPr>
  </w:style>
  <w:style w:type="paragraph" w:styleId="20">
    <w:name w:val="header"/>
    <w:basedOn w:val="1"/>
    <w:next w:val="9"/>
    <w:link w:val="8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1">
    <w:name w:val="toc 1"/>
    <w:basedOn w:val="1"/>
    <w:next w:val="1"/>
    <w:autoRedefine/>
    <w:qFormat/>
    <w:uiPriority w:val="0"/>
  </w:style>
  <w:style w:type="paragraph" w:styleId="22">
    <w:name w:val="index heading"/>
    <w:basedOn w:val="1"/>
    <w:next w:val="23"/>
    <w:autoRedefine/>
    <w:qFormat/>
    <w:uiPriority w:val="0"/>
    <w:rPr>
      <w:rFonts w:ascii="Arial" w:hAnsi="Arial"/>
      <w:b/>
    </w:rPr>
  </w:style>
  <w:style w:type="paragraph" w:styleId="23">
    <w:name w:val="index 1"/>
    <w:basedOn w:val="1"/>
    <w:next w:val="1"/>
    <w:autoRedefine/>
    <w:qFormat/>
    <w:uiPriority w:val="0"/>
    <w:pPr>
      <w:spacing w:line="240" w:lineRule="exact"/>
      <w:jc w:val="left"/>
    </w:pPr>
    <w:rPr>
      <w:b/>
      <w:kern w:val="0"/>
      <w:szCs w:val="21"/>
    </w:rPr>
  </w:style>
  <w:style w:type="paragraph" w:styleId="24">
    <w:name w:val="Normal (Web)"/>
    <w:basedOn w:val="1"/>
    <w:autoRedefine/>
    <w:qFormat/>
    <w:uiPriority w:val="0"/>
    <w:pPr>
      <w:spacing w:beforeAutospacing="1" w:afterAutospacing="1"/>
      <w:jc w:val="left"/>
    </w:pPr>
    <w:rPr>
      <w:rFonts w:cs="Times New Roman"/>
      <w:kern w:val="0"/>
    </w:rPr>
  </w:style>
  <w:style w:type="paragraph" w:styleId="25">
    <w:name w:val="annotation subject"/>
    <w:basedOn w:val="11"/>
    <w:next w:val="11"/>
    <w:link w:val="71"/>
    <w:autoRedefine/>
    <w:qFormat/>
    <w:uiPriority w:val="0"/>
    <w:rPr>
      <w:b/>
      <w:bCs/>
    </w:rPr>
  </w:style>
  <w:style w:type="paragraph" w:styleId="26">
    <w:name w:val="Body Text First Indent"/>
    <w:basedOn w:val="13"/>
    <w:next w:val="1"/>
    <w:autoRedefine/>
    <w:qFormat/>
    <w:uiPriority w:val="0"/>
    <w:pPr>
      <w:ind w:firstLine="420" w:firstLineChars="100"/>
    </w:pPr>
  </w:style>
  <w:style w:type="paragraph" w:styleId="27">
    <w:name w:val="Body Text First Indent 2"/>
    <w:basedOn w:val="1"/>
    <w:next w:val="26"/>
    <w:autoRedefine/>
    <w:qFormat/>
    <w:uiPriority w:val="0"/>
    <w:pPr>
      <w:ind w:firstLine="420"/>
    </w:p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0"/>
    <w:rPr>
      <w:b/>
    </w:rPr>
  </w:style>
  <w:style w:type="character" w:styleId="32">
    <w:name w:val="FollowedHyperlink"/>
    <w:basedOn w:val="30"/>
    <w:autoRedefine/>
    <w:qFormat/>
    <w:uiPriority w:val="0"/>
    <w:rPr>
      <w:color w:val="900B09"/>
      <w:u w:val="none"/>
    </w:rPr>
  </w:style>
  <w:style w:type="character" w:styleId="33">
    <w:name w:val="Hyperlink"/>
    <w:basedOn w:val="30"/>
    <w:autoRedefine/>
    <w:qFormat/>
    <w:uiPriority w:val="0"/>
    <w:rPr>
      <w:color w:val="0000FF"/>
      <w:u w:val="single"/>
    </w:rPr>
  </w:style>
  <w:style w:type="character" w:styleId="34">
    <w:name w:val="annotation reference"/>
    <w:basedOn w:val="30"/>
    <w:autoRedefine/>
    <w:qFormat/>
    <w:uiPriority w:val="0"/>
    <w:rPr>
      <w:sz w:val="21"/>
      <w:szCs w:val="21"/>
    </w:rPr>
  </w:style>
  <w:style w:type="paragraph" w:customStyle="1" w:styleId="35">
    <w:name w:val="明显引用1"/>
    <w:next w:val="1"/>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customStyle="1" w:styleId="36">
    <w:name w:val="0正文"/>
    <w:basedOn w:val="15"/>
    <w:autoRedefine/>
    <w:semiHidden/>
    <w:qFormat/>
    <w:uiPriority w:val="0"/>
    <w:pPr>
      <w:ind w:firstLine="720" w:firstLineChars="200"/>
    </w:pPr>
    <w:rPr>
      <w:sz w:val="24"/>
    </w:rPr>
  </w:style>
  <w:style w:type="paragraph" w:customStyle="1" w:styleId="37">
    <w:name w:val="正文1"/>
    <w:basedOn w:val="26"/>
    <w:autoRedefine/>
    <w:qFormat/>
    <w:uiPriority w:val="0"/>
    <w:pPr>
      <w:spacing w:line="240" w:lineRule="auto"/>
      <w:ind w:firstLine="0" w:firstLineChars="0"/>
      <w:jc w:val="center"/>
    </w:pPr>
  </w:style>
  <w:style w:type="paragraph" w:customStyle="1" w:styleId="38">
    <w:name w:val="xl27"/>
    <w:basedOn w:val="1"/>
    <w:autoRedefine/>
    <w:qFormat/>
    <w:uiPriority w:val="0"/>
    <w:pPr>
      <w:widowControl/>
      <w:pBdr>
        <w:bottom w:val="single" w:color="auto" w:sz="12" w:space="0"/>
      </w:pBdr>
      <w:spacing w:before="100" w:after="100"/>
      <w:jc w:val="center"/>
    </w:pPr>
    <w:rPr>
      <w:rFonts w:ascii="宋体"/>
      <w:kern w:val="0"/>
      <w:sz w:val="20"/>
      <w:szCs w:val="20"/>
    </w:rPr>
  </w:style>
  <w:style w:type="paragraph" w:customStyle="1" w:styleId="39">
    <w:name w:val="样式 标题 1 + 四号 段前: 0 磅 段后: 0 磅 行距: 1.5 倍行距"/>
    <w:basedOn w:val="40"/>
    <w:autoRedefine/>
    <w:qFormat/>
    <w:uiPriority w:val="0"/>
    <w:pPr>
      <w:spacing w:line="360" w:lineRule="auto"/>
      <w:jc w:val="center"/>
    </w:pPr>
  </w:style>
  <w:style w:type="paragraph" w:customStyle="1" w:styleId="40">
    <w:name w:val="1正文"/>
    <w:basedOn w:val="1"/>
    <w:autoRedefine/>
    <w:qFormat/>
    <w:uiPriority w:val="0"/>
    <w:pPr>
      <w:ind w:firstLine="200"/>
    </w:pPr>
  </w:style>
  <w:style w:type="paragraph" w:customStyle="1" w:styleId="41">
    <w:name w:val="样式 正文文本缩进 + 行距: 1.5 倍行距"/>
    <w:basedOn w:val="15"/>
    <w:autoRedefine/>
    <w:qFormat/>
    <w:uiPriority w:val="0"/>
    <w:pPr>
      <w:spacing w:line="360" w:lineRule="auto"/>
      <w:ind w:left="0" w:leftChars="0" w:firstLine="560" w:firstLineChars="200"/>
    </w:pPr>
    <w:rPr>
      <w:rFonts w:cs="宋体"/>
      <w:b/>
      <w:bCs/>
      <w:sz w:val="28"/>
      <w:szCs w:val="20"/>
    </w:rPr>
  </w:style>
  <w:style w:type="paragraph" w:customStyle="1" w:styleId="42">
    <w:name w:val="Default1"/>
    <w:autoRedefine/>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paragraph" w:customStyle="1" w:styleId="43">
    <w:name w:val="Default"/>
    <w:basedOn w:val="44"/>
    <w:next w:val="45"/>
    <w:autoRedefine/>
    <w:unhideWhenUsed/>
    <w:qFormat/>
    <w:uiPriority w:val="99"/>
    <w:pPr>
      <w:autoSpaceDE w:val="0"/>
      <w:autoSpaceDN w:val="0"/>
    </w:pPr>
    <w:rPr>
      <w:rFonts w:hint="eastAsia" w:hAnsi="宋体" w:cs="Times New Roman"/>
      <w:color w:val="000000"/>
    </w:rPr>
  </w:style>
  <w:style w:type="paragraph" w:customStyle="1" w:styleId="44">
    <w:name w:val="纯文本1"/>
    <w:basedOn w:val="1"/>
    <w:autoRedefine/>
    <w:qFormat/>
    <w:uiPriority w:val="0"/>
    <w:pPr>
      <w:adjustRightInd w:val="0"/>
    </w:pPr>
    <w:rPr>
      <w:rFonts w:ascii="宋体" w:hAnsi="Courier New"/>
    </w:rPr>
  </w:style>
  <w:style w:type="paragraph" w:customStyle="1" w:styleId="45">
    <w:name w:val="样式35"/>
    <w:basedOn w:val="1"/>
    <w:next w:val="1"/>
    <w:qFormat/>
    <w:uiPriority w:val="0"/>
    <w:pPr>
      <w:spacing w:line="312" w:lineRule="auto"/>
      <w:ind w:firstLine="567"/>
    </w:pPr>
    <w:rPr>
      <w:rFonts w:ascii="宋体"/>
      <w:sz w:val="28"/>
    </w:rPr>
  </w:style>
  <w:style w:type="paragraph" w:customStyle="1" w:styleId="46">
    <w:name w:val="标题2"/>
    <w:basedOn w:val="1"/>
    <w:next w:val="1"/>
    <w:autoRedefine/>
    <w:qFormat/>
    <w:uiPriority w:val="0"/>
    <w:pPr>
      <w:snapToGrid w:val="0"/>
      <w:spacing w:line="590" w:lineRule="atLeast"/>
      <w:jc w:val="center"/>
    </w:pPr>
    <w:rPr>
      <w:rFonts w:eastAsia="方正楷体_GBK"/>
      <w:snapToGrid/>
      <w:sz w:val="32"/>
    </w:rPr>
  </w:style>
  <w:style w:type="paragraph" w:customStyle="1" w:styleId="47">
    <w:name w:val="表格"/>
    <w:basedOn w:val="13"/>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8">
    <w:name w:val="表格内容"/>
    <w:basedOn w:val="49"/>
    <w:next w:val="2"/>
    <w:link w:val="86"/>
    <w:autoRedefine/>
    <w:qFormat/>
    <w:uiPriority w:val="0"/>
    <w:pPr>
      <w:spacing w:line="240" w:lineRule="auto"/>
    </w:pPr>
    <w:rPr>
      <w:b w:val="0"/>
    </w:rPr>
  </w:style>
  <w:style w:type="paragraph" w:customStyle="1" w:styleId="49">
    <w:name w:val="表格标题"/>
    <w:basedOn w:val="1"/>
    <w:next w:val="1"/>
    <w:link w:val="64"/>
    <w:autoRedefine/>
    <w:qFormat/>
    <w:uiPriority w:val="0"/>
    <w:pPr>
      <w:ind w:firstLine="0" w:firstLineChars="0"/>
      <w:jc w:val="center"/>
    </w:pPr>
    <w:rPr>
      <w:rFonts w:hint="eastAsia" w:ascii="Times New Roman" w:hAnsi="Times New Roman" w:eastAsia="宋体"/>
      <w:b/>
      <w:sz w:val="21"/>
    </w:rPr>
  </w:style>
  <w:style w:type="paragraph" w:customStyle="1" w:styleId="50">
    <w:name w:val="加粗标题"/>
    <w:basedOn w:val="1"/>
    <w:autoRedefine/>
    <w:qFormat/>
    <w:uiPriority w:val="0"/>
    <w:pPr>
      <w:ind w:firstLine="0" w:firstLineChars="0"/>
      <w:jc w:val="left"/>
    </w:pPr>
    <w:rPr>
      <w:rFonts w:hint="eastAsia"/>
      <w:b/>
    </w:rPr>
  </w:style>
  <w:style w:type="paragraph" w:customStyle="1" w:styleId="51">
    <w:name w:val="小标题"/>
    <w:basedOn w:val="1"/>
    <w:autoRedefine/>
    <w:qFormat/>
    <w:uiPriority w:val="0"/>
    <w:pPr>
      <w:ind w:firstLine="0" w:firstLineChars="0"/>
    </w:pPr>
    <w:rPr>
      <w:rFonts w:hint="eastAsia"/>
      <w:b/>
    </w:rPr>
  </w:style>
  <w:style w:type="paragraph" w:customStyle="1" w:styleId="52">
    <w:name w:val="表格（修）"/>
    <w:basedOn w:val="1"/>
    <w:autoRedefine/>
    <w:qFormat/>
    <w:uiPriority w:val="0"/>
    <w:pPr>
      <w:snapToGrid w:val="0"/>
      <w:jc w:val="center"/>
    </w:pPr>
    <w:rPr>
      <w:rFonts w:ascii="宋体" w:hAnsi="宋体" w:cs="Times New Roman"/>
      <w:kern w:val="0"/>
      <w:sz w:val="20"/>
      <w:szCs w:val="20"/>
    </w:rPr>
  </w:style>
  <w:style w:type="paragraph" w:customStyle="1" w:styleId="53">
    <w:name w:val="111正文"/>
    <w:basedOn w:val="1"/>
    <w:autoRedefine/>
    <w:qFormat/>
    <w:uiPriority w:val="0"/>
    <w:pPr>
      <w:jc w:val="left"/>
    </w:pPr>
    <w:rPr>
      <w:rFonts w:ascii="Calibri" w:hAnsi="Calibri"/>
    </w:rPr>
  </w:style>
  <w:style w:type="paragraph" w:customStyle="1" w:styleId="54">
    <w:name w:val="ZH正文"/>
    <w:basedOn w:val="1"/>
    <w:autoRedefine/>
    <w:qFormat/>
    <w:uiPriority w:val="0"/>
  </w:style>
  <w:style w:type="paragraph" w:customStyle="1" w:styleId="55">
    <w:name w:val="WPSOffice手动目录 1"/>
    <w:autoRedefine/>
    <w:qFormat/>
    <w:uiPriority w:val="0"/>
    <w:rPr>
      <w:rFonts w:ascii="Calibri" w:hAnsi="Calibri" w:eastAsia="宋体" w:cs="黑体"/>
      <w:lang w:val="en-US" w:eastAsia="zh-CN" w:bidi="ar-SA"/>
    </w:rPr>
  </w:style>
  <w:style w:type="paragraph" w:customStyle="1" w:styleId="56">
    <w:name w:val="表头"/>
    <w:basedOn w:val="57"/>
    <w:next w:val="1"/>
    <w:autoRedefine/>
    <w:qFormat/>
    <w:uiPriority w:val="0"/>
    <w:pPr>
      <w:tabs>
        <w:tab w:val="left" w:pos="3780"/>
      </w:tabs>
      <w:adjustRightInd w:val="0"/>
      <w:spacing w:line="360" w:lineRule="auto"/>
      <w:textAlignment w:val="baseline"/>
    </w:pPr>
    <w:rPr>
      <w:b/>
      <w:szCs w:val="20"/>
    </w:rPr>
  </w:style>
  <w:style w:type="paragraph" w:customStyle="1" w:styleId="57">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8">
    <w:name w:val="表格文字"/>
    <w:basedOn w:val="8"/>
    <w:next w:val="1"/>
    <w:autoRedefine/>
    <w:qFormat/>
    <w:uiPriority w:val="1"/>
    <w:pPr>
      <w:tabs>
        <w:tab w:val="left" w:pos="3780"/>
      </w:tabs>
      <w:spacing w:line="240" w:lineRule="auto"/>
      <w:ind w:firstLine="0" w:firstLineChars="0"/>
      <w:jc w:val="center"/>
    </w:pPr>
    <w:rPr>
      <w:sz w:val="21"/>
      <w:szCs w:val="22"/>
    </w:rPr>
  </w:style>
  <w:style w:type="paragraph" w:customStyle="1" w:styleId="59">
    <w:name w:val="样式1"/>
    <w:basedOn w:val="1"/>
    <w:autoRedefine/>
    <w:qFormat/>
    <w:uiPriority w:val="0"/>
    <w:pPr>
      <w:ind w:firstLine="510"/>
    </w:pPr>
    <w:rPr>
      <w:rFonts w:cs="Times New Roman"/>
      <w:szCs w:val="20"/>
    </w:rPr>
  </w:style>
  <w:style w:type="paragraph" w:customStyle="1" w:styleId="60">
    <w:name w:val="表格居中"/>
    <w:basedOn w:val="1"/>
    <w:autoRedefine/>
    <w:qFormat/>
    <w:uiPriority w:val="0"/>
    <w:pPr>
      <w:spacing w:line="0" w:lineRule="atLeast"/>
      <w:jc w:val="center"/>
    </w:pPr>
    <w:rPr>
      <w:rFonts w:ascii="Calibri" w:hAnsi="Calibri" w:cs="Arial"/>
      <w:kern w:val="0"/>
      <w:sz w:val="21"/>
      <w:szCs w:val="21"/>
    </w:rPr>
  </w:style>
  <w:style w:type="paragraph" w:customStyle="1" w:styleId="61">
    <w:name w:val="表格内序号"/>
    <w:basedOn w:val="60"/>
    <w:autoRedefine/>
    <w:qFormat/>
    <w:uiPriority w:val="0"/>
    <w:pPr>
      <w:numPr>
        <w:ilvl w:val="0"/>
        <w:numId w:val="2"/>
      </w:numPr>
    </w:pPr>
    <w:rPr>
      <w:rFonts w:cs="Times New Roman"/>
    </w:rPr>
  </w:style>
  <w:style w:type="paragraph" w:customStyle="1" w:styleId="62">
    <w:name w:val="加粗"/>
    <w:basedOn w:val="47"/>
    <w:autoRedefine/>
    <w:qFormat/>
    <w:uiPriority w:val="0"/>
    <w:pPr>
      <w:spacing w:line="360" w:lineRule="auto"/>
      <w:jc w:val="left"/>
    </w:pPr>
    <w:rPr>
      <w:rFonts w:cs="宋体"/>
      <w:b/>
      <w:color w:val="000000"/>
      <w:kern w:val="21"/>
    </w:rPr>
  </w:style>
  <w:style w:type="paragraph" w:customStyle="1" w:styleId="63">
    <w:name w:val="hp正文"/>
    <w:basedOn w:val="1"/>
    <w:autoRedefine/>
    <w:qFormat/>
    <w:uiPriority w:val="0"/>
    <w:pPr>
      <w:adjustRightInd w:val="0"/>
      <w:jc w:val="left"/>
      <w:textAlignment w:val="baseline"/>
    </w:pPr>
    <w:rPr>
      <w:kern w:val="21"/>
      <w:szCs w:val="20"/>
    </w:rPr>
  </w:style>
  <w:style w:type="character" w:customStyle="1" w:styleId="64">
    <w:name w:val="表格标题 Char Char"/>
    <w:link w:val="49"/>
    <w:autoRedefine/>
    <w:qFormat/>
    <w:uiPriority w:val="0"/>
    <w:rPr>
      <w:rFonts w:hint="eastAsia" w:ascii="Times New Roman" w:hAnsi="Times New Roman" w:eastAsia="宋体"/>
      <w:b/>
      <w:sz w:val="21"/>
    </w:rPr>
  </w:style>
  <w:style w:type="paragraph" w:customStyle="1" w:styleId="65">
    <w:name w:val="表头文字"/>
    <w:basedOn w:val="66"/>
    <w:autoRedefine/>
    <w:qFormat/>
    <w:uiPriority w:val="0"/>
    <w:rPr>
      <w:b/>
    </w:rPr>
  </w:style>
  <w:style w:type="paragraph" w:customStyle="1" w:styleId="66">
    <w:name w:val="表文字"/>
    <w:basedOn w:val="1"/>
    <w:autoRedefine/>
    <w:qFormat/>
    <w:uiPriority w:val="0"/>
    <w:pPr>
      <w:spacing w:line="240" w:lineRule="auto"/>
      <w:ind w:firstLine="0" w:firstLineChars="0"/>
      <w:jc w:val="center"/>
    </w:pPr>
    <w:rPr>
      <w:rFonts w:cs="Times New Roman"/>
      <w:sz w:val="21"/>
      <w:szCs w:val="20"/>
    </w:rPr>
  </w:style>
  <w:style w:type="paragraph" w:customStyle="1" w:styleId="67">
    <w:name w:val="表内容"/>
    <w:autoRedefine/>
    <w:qFormat/>
    <w:uiPriority w:val="0"/>
    <w:pPr>
      <w:widowControl w:val="0"/>
      <w:adjustRightInd w:val="0"/>
      <w:snapToGrid w:val="0"/>
      <w:spacing w:line="288" w:lineRule="auto"/>
      <w:jc w:val="center"/>
    </w:pPr>
    <w:rPr>
      <w:rFonts w:ascii="Times New Roman" w:hAnsi="Times New Roman" w:eastAsia="仿宋" w:cs="Times New Roman"/>
      <w:color w:val="000000"/>
      <w:sz w:val="24"/>
      <w:szCs w:val="24"/>
      <w:lang w:val="en-US" w:eastAsia="zh-CN" w:bidi="ar-SA"/>
    </w:rPr>
  </w:style>
  <w:style w:type="paragraph" w:customStyle="1" w:styleId="68">
    <w:name w:val="Table Paragraph"/>
    <w:basedOn w:val="1"/>
    <w:autoRedefine/>
    <w:qFormat/>
    <w:uiPriority w:val="1"/>
    <w:rPr>
      <w:rFonts w:ascii="宋体" w:hAnsi="宋体" w:cs="宋体"/>
      <w:lang w:val="zh-CN" w:bidi="zh-CN"/>
    </w:rPr>
  </w:style>
  <w:style w:type="character" w:customStyle="1" w:styleId="69">
    <w:name w:val="文档结构图 字符"/>
    <w:basedOn w:val="30"/>
    <w:link w:val="10"/>
    <w:autoRedefine/>
    <w:qFormat/>
    <w:uiPriority w:val="0"/>
    <w:rPr>
      <w:rFonts w:ascii="宋体" w:cs="黑体"/>
      <w:kern w:val="2"/>
      <w:sz w:val="18"/>
      <w:szCs w:val="18"/>
    </w:rPr>
  </w:style>
  <w:style w:type="character" w:customStyle="1" w:styleId="70">
    <w:name w:val="批注文字 字符"/>
    <w:basedOn w:val="30"/>
    <w:link w:val="11"/>
    <w:autoRedefine/>
    <w:qFormat/>
    <w:uiPriority w:val="0"/>
    <w:rPr>
      <w:rFonts w:cs="黑体"/>
      <w:kern w:val="2"/>
      <w:sz w:val="24"/>
      <w:szCs w:val="24"/>
    </w:rPr>
  </w:style>
  <w:style w:type="character" w:customStyle="1" w:styleId="71">
    <w:name w:val="批注主题 字符"/>
    <w:basedOn w:val="70"/>
    <w:link w:val="25"/>
    <w:autoRedefine/>
    <w:qFormat/>
    <w:uiPriority w:val="0"/>
    <w:rPr>
      <w:rFonts w:cs="黑体"/>
      <w:kern w:val="2"/>
      <w:sz w:val="24"/>
      <w:szCs w:val="24"/>
    </w:rPr>
  </w:style>
  <w:style w:type="character" w:customStyle="1" w:styleId="72">
    <w:name w:val="批注框文本 字符"/>
    <w:basedOn w:val="30"/>
    <w:link w:val="18"/>
    <w:autoRedefine/>
    <w:qFormat/>
    <w:uiPriority w:val="0"/>
    <w:rPr>
      <w:rFonts w:cs="黑体"/>
      <w:kern w:val="2"/>
      <w:sz w:val="18"/>
      <w:szCs w:val="18"/>
    </w:rPr>
  </w:style>
  <w:style w:type="paragraph" w:customStyle="1" w:styleId="73">
    <w:name w:val="修订1"/>
    <w:autoRedefine/>
    <w:hidden/>
    <w:unhideWhenUsed/>
    <w:qFormat/>
    <w:uiPriority w:val="99"/>
    <w:rPr>
      <w:rFonts w:ascii="Times New Roman" w:hAnsi="Times New Roman" w:eastAsia="宋体" w:cs="黑体"/>
      <w:kern w:val="2"/>
      <w:sz w:val="24"/>
      <w:szCs w:val="24"/>
      <w:lang w:val="en-US" w:eastAsia="zh-CN" w:bidi="ar-SA"/>
    </w:rPr>
  </w:style>
  <w:style w:type="character" w:customStyle="1" w:styleId="74">
    <w:name w:val="标题 2 字符"/>
    <w:link w:val="3"/>
    <w:autoRedefine/>
    <w:qFormat/>
    <w:uiPriority w:val="0"/>
    <w:rPr>
      <w:rFonts w:hint="eastAsia" w:ascii="Times New Roman" w:hAnsi="Times New Roman" w:eastAsia="宋体" w:cs="Times New Roman"/>
      <w:b/>
      <w:bCs/>
      <w:kern w:val="0"/>
    </w:rPr>
  </w:style>
  <w:style w:type="character" w:customStyle="1" w:styleId="75">
    <w:name w:val="font21"/>
    <w:basedOn w:val="30"/>
    <w:autoRedefine/>
    <w:qFormat/>
    <w:uiPriority w:val="0"/>
    <w:rPr>
      <w:rFonts w:hint="default" w:ascii="Times New Roman" w:hAnsi="Times New Roman" w:cs="Times New Roman"/>
      <w:color w:val="000000"/>
      <w:sz w:val="21"/>
      <w:szCs w:val="21"/>
      <w:u w:val="none"/>
    </w:rPr>
  </w:style>
  <w:style w:type="character" w:customStyle="1" w:styleId="76">
    <w:name w:val="font01"/>
    <w:basedOn w:val="30"/>
    <w:autoRedefine/>
    <w:qFormat/>
    <w:uiPriority w:val="0"/>
    <w:rPr>
      <w:rFonts w:hint="eastAsia" w:ascii="宋体" w:hAnsi="宋体" w:eastAsia="宋体" w:cs="宋体"/>
      <w:color w:val="000000"/>
      <w:sz w:val="21"/>
      <w:szCs w:val="21"/>
      <w:u w:val="none"/>
    </w:rPr>
  </w:style>
  <w:style w:type="character" w:customStyle="1" w:styleId="77">
    <w:name w:val="font31"/>
    <w:basedOn w:val="30"/>
    <w:autoRedefine/>
    <w:qFormat/>
    <w:uiPriority w:val="0"/>
    <w:rPr>
      <w:rFonts w:hint="default" w:ascii="Times New Roman" w:hAnsi="Times New Roman" w:cs="Times New Roman"/>
      <w:color w:val="000000"/>
      <w:sz w:val="20"/>
      <w:szCs w:val="20"/>
      <w:u w:val="none"/>
    </w:rPr>
  </w:style>
  <w:style w:type="character" w:customStyle="1" w:styleId="78">
    <w:name w:val="font11"/>
    <w:basedOn w:val="30"/>
    <w:autoRedefine/>
    <w:qFormat/>
    <w:uiPriority w:val="0"/>
    <w:rPr>
      <w:rFonts w:hint="eastAsia" w:ascii="宋体" w:hAnsi="宋体" w:eastAsia="宋体" w:cs="宋体"/>
      <w:color w:val="000000"/>
      <w:sz w:val="21"/>
      <w:szCs w:val="21"/>
      <w:u w:val="none"/>
    </w:rPr>
  </w:style>
  <w:style w:type="character" w:customStyle="1" w:styleId="79">
    <w:name w:val="标题 3 字符"/>
    <w:link w:val="4"/>
    <w:autoRedefine/>
    <w:qFormat/>
    <w:uiPriority w:val="0"/>
    <w:rPr>
      <w:b/>
      <w:sz w:val="32"/>
    </w:rPr>
  </w:style>
  <w:style w:type="character" w:customStyle="1" w:styleId="80">
    <w:name w:val="页眉 字符"/>
    <w:basedOn w:val="30"/>
    <w:link w:val="20"/>
    <w:autoRedefine/>
    <w:qFormat/>
    <w:uiPriority w:val="0"/>
    <w:rPr>
      <w:rFonts w:hint="default" w:ascii="Calibri" w:hAnsi="Calibri" w:cs="Calibri"/>
    </w:rPr>
  </w:style>
  <w:style w:type="character" w:customStyle="1" w:styleId="81">
    <w:name w:val="radio-btn"/>
    <w:basedOn w:val="30"/>
    <w:autoRedefine/>
    <w:qFormat/>
    <w:uiPriority w:val="0"/>
  </w:style>
  <w:style w:type="character" w:customStyle="1" w:styleId="82">
    <w:name w:val="lable"/>
    <w:basedOn w:val="30"/>
    <w:autoRedefine/>
    <w:qFormat/>
    <w:uiPriority w:val="0"/>
  </w:style>
  <w:style w:type="character" w:customStyle="1" w:styleId="83">
    <w:name w:val="hover28"/>
    <w:basedOn w:val="30"/>
    <w:autoRedefine/>
    <w:qFormat/>
    <w:uiPriority w:val="0"/>
  </w:style>
  <w:style w:type="character" w:customStyle="1" w:styleId="84">
    <w:name w:val="cur1"/>
    <w:basedOn w:val="30"/>
    <w:autoRedefine/>
    <w:qFormat/>
    <w:uiPriority w:val="0"/>
    <w:rPr>
      <w:color w:val="FFFFFF"/>
      <w:shd w:val="clear" w:color="auto" w:fill="0C79CC"/>
    </w:rPr>
  </w:style>
  <w:style w:type="character" w:customStyle="1" w:styleId="85">
    <w:name w:val="页脚 字符"/>
    <w:basedOn w:val="30"/>
    <w:link w:val="19"/>
    <w:autoRedefine/>
    <w:qFormat/>
    <w:uiPriority w:val="0"/>
    <w:rPr>
      <w:rFonts w:hint="default" w:ascii="Calibri" w:hAnsi="Calibri" w:cs="Calibri"/>
    </w:rPr>
  </w:style>
  <w:style w:type="character" w:customStyle="1" w:styleId="86">
    <w:name w:val="表格内容 Char"/>
    <w:link w:val="48"/>
    <w:autoRedefine/>
    <w:qFormat/>
    <w:uiPriority w:val="0"/>
  </w:style>
  <w:style w:type="character" w:customStyle="1" w:styleId="87">
    <w:name w:val="标题 1 Char"/>
    <w:link w:val="2"/>
    <w:autoRedefine/>
    <w:qFormat/>
    <w:uiPriority w:val="0"/>
    <w:rPr>
      <w:b/>
      <w:kern w:val="44"/>
      <w:sz w:val="28"/>
    </w:rPr>
  </w:style>
  <w:style w:type="paragraph" w:customStyle="1" w:styleId="88">
    <w:name w:val="1正文-报告表"/>
    <w:basedOn w:val="1"/>
    <w:autoRedefine/>
    <w:qFormat/>
    <w:uiPriority w:val="0"/>
    <w:pPr>
      <w:ind w:firstLine="480" w:firstLineChars="200"/>
    </w:pPr>
    <w:rPr>
      <w:kern w:val="0"/>
      <w:sz w:val="24"/>
    </w:rPr>
  </w:style>
  <w:style w:type="paragraph" w:customStyle="1" w:styleId="89">
    <w:name w:val="无间隔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表图"/>
    <w:basedOn w:val="1"/>
    <w:autoRedefine/>
    <w:qFormat/>
    <w:uiPriority w:val="0"/>
    <w:pPr>
      <w:spacing w:line="320" w:lineRule="exact"/>
      <w:jc w:val="center"/>
    </w:pPr>
    <w:rPr>
      <w:szCs w:val="20"/>
    </w:rPr>
  </w:style>
  <w:style w:type="paragraph" w:customStyle="1" w:styleId="91">
    <w:name w:val="Normal Indent1"/>
    <w:basedOn w:val="1"/>
    <w:autoRedefine/>
    <w:qFormat/>
    <w:uiPriority w:val="0"/>
    <w:pPr>
      <w:ind w:firstLine="420" w:firstLineChars="200"/>
    </w:pPr>
  </w:style>
  <w:style w:type="paragraph" w:customStyle="1" w:styleId="92">
    <w:name w:val="5表名3"/>
    <w:basedOn w:val="1"/>
    <w:autoRedefine/>
    <w:qFormat/>
    <w:uiPriority w:val="0"/>
    <w:pPr>
      <w:numPr>
        <w:ilvl w:val="1"/>
        <w:numId w:val="3"/>
      </w:numPr>
      <w:jc w:val="center"/>
    </w:pPr>
    <w:rPr>
      <w:rFonts w:hint="eastAsia"/>
      <w:b/>
      <w:sz w:val="24"/>
    </w:rPr>
  </w:style>
  <w:style w:type="paragraph" w:customStyle="1" w:styleId="93">
    <w:name w:val="7表格文字"/>
    <w:basedOn w:val="1"/>
    <w:next w:val="1"/>
    <w:autoRedefine/>
    <w:qFormat/>
    <w:uiPriority w:val="0"/>
    <w:pPr>
      <w:adjustRightInd w:val="0"/>
      <w:snapToGrid w:val="0"/>
      <w:spacing w:before="10" w:beforeLines="10" w:after="10" w:afterLines="10" w:line="259" w:lineRule="auto"/>
      <w:jc w:val="center"/>
    </w:pPr>
    <w:rPr>
      <w:kern w:val="0"/>
      <w:szCs w:val="20"/>
    </w:rPr>
  </w:style>
  <w:style w:type="paragraph" w:customStyle="1" w:styleId="94">
    <w:name w:val="正文LTT"/>
    <w:basedOn w:val="1"/>
    <w:autoRedefine/>
    <w:qFormat/>
    <w:uiPriority w:val="0"/>
    <w:pPr>
      <w:spacing w:line="360" w:lineRule="auto"/>
      <w:ind w:firstLine="440" w:firstLineChars="200"/>
    </w:pPr>
    <w:rPr>
      <w:sz w:val="24"/>
    </w:rPr>
  </w:style>
  <w:style w:type="paragraph" w:customStyle="1" w:styleId="95">
    <w:name w:val="正文（首行缩进两字）m"/>
    <w:basedOn w:val="8"/>
    <w:autoRedefine/>
    <w:qFormat/>
    <w:uiPriority w:val="0"/>
    <w:pPr>
      <w:tabs>
        <w:tab w:val="left" w:pos="1848"/>
        <w:tab w:val="left" w:pos="6061"/>
        <w:tab w:val="left" w:pos="8665"/>
      </w:tabs>
      <w:adjustRightInd w:val="0"/>
      <w:snapToGrid w:val="0"/>
      <w:spacing w:before="156" w:beforeLines="50" w:line="460" w:lineRule="exact"/>
      <w:ind w:firstLine="480"/>
    </w:pPr>
    <w:rPr>
      <w:color w:val="339966"/>
    </w:rPr>
  </w:style>
  <w:style w:type="paragraph" w:customStyle="1" w:styleId="96">
    <w:name w:val="正文环评"/>
    <w:basedOn w:val="1"/>
    <w:autoRedefine/>
    <w:qFormat/>
    <w:uiPriority w:val="0"/>
    <w:pPr>
      <w:spacing w:line="360" w:lineRule="auto"/>
      <w:ind w:firstLine="200" w:firstLineChars="200"/>
    </w:pPr>
    <w:rPr>
      <w:sz w:val="24"/>
      <w:szCs w:val="22"/>
    </w:rPr>
  </w:style>
  <w:style w:type="paragraph" w:customStyle="1" w:styleId="97">
    <w:name w:val="AA正文"/>
    <w:basedOn w:val="1"/>
    <w:autoRedefine/>
    <w:qFormat/>
    <w:uiPriority w:val="0"/>
    <w:pPr>
      <w:ind w:firstLine="800"/>
    </w:pPr>
    <w:rPr>
      <w:sz w:val="28"/>
    </w:rPr>
  </w:style>
  <w:style w:type="paragraph" w:customStyle="1" w:styleId="98">
    <w:name w:val="样式 正文缩进正文缩进2正文缩进 Char Char正文缩进 Char Char Char Char正文缩进 Char ..."/>
    <w:basedOn w:val="8"/>
    <w:autoRedefine/>
    <w:qFormat/>
    <w:uiPriority w:val="0"/>
    <w:pPr>
      <w:spacing w:line="360" w:lineRule="auto"/>
      <w:ind w:firstLine="200"/>
    </w:pPr>
    <w:rPr>
      <w:rFonts w:cs="宋体"/>
    </w:rPr>
  </w:style>
  <w:style w:type="paragraph" w:customStyle="1" w:styleId="99">
    <w:name w:val="123456"/>
    <w:basedOn w:val="1"/>
    <w:autoRedefine/>
    <w:qFormat/>
    <w:uiPriority w:val="0"/>
  </w:style>
  <w:style w:type="paragraph" w:styleId="100">
    <w:name w:val="List Paragraph"/>
    <w:basedOn w:val="1"/>
    <w:autoRedefine/>
    <w:qFormat/>
    <w:uiPriority w:val="1"/>
    <w:pPr>
      <w:ind w:left="1602" w:hanging="527"/>
    </w:pPr>
    <w:rPr>
      <w:rFonts w:ascii="宋体" w:hAnsi="宋体" w:eastAsia="宋体" w:cs="宋体"/>
      <w:lang w:val="zh-CN" w:eastAsia="zh-CN" w:bidi="zh-CN"/>
    </w:rPr>
  </w:style>
  <w:style w:type="paragraph" w:customStyle="1" w:styleId="101">
    <w:name w:val="正文文本 (2)1"/>
    <w:basedOn w:val="1"/>
    <w:autoRedefine/>
    <w:qFormat/>
    <w:uiPriority w:val="0"/>
    <w:pPr>
      <w:shd w:val="clear" w:color="auto" w:fill="FFFFFF"/>
      <w:spacing w:line="240" w:lineRule="atLeast"/>
      <w:ind w:hanging="600"/>
      <w:jc w:val="left"/>
    </w:pPr>
    <w:rPr>
      <w:rFonts w:ascii="宋体" w:hAnsi="宋体"/>
      <w:kern w:val="0"/>
      <w:sz w:val="26"/>
      <w:szCs w:val="26"/>
    </w:rPr>
  </w:style>
  <w:style w:type="character" w:customStyle="1" w:styleId="102">
    <w:name w:val="正文文本 (2)2"/>
    <w:autoRedefine/>
    <w:qFormat/>
    <w:uiPriority w:val="0"/>
    <w:rPr>
      <w:rFonts w:ascii="宋体" w:hAnsi="宋体" w:eastAsia="宋体" w:cs="宋体"/>
      <w:spacing w:val="10"/>
      <w:kern w:val="2"/>
      <w:sz w:val="26"/>
      <w:szCs w:val="26"/>
      <w:u w:val="none"/>
      <w:lang w:val="en-US" w:eastAsia="zh-CN" w:bidi="ar-SA"/>
    </w:rPr>
  </w:style>
  <w:style w:type="table" w:customStyle="1" w:styleId="103">
    <w:name w:val="Table Normal"/>
    <w:autoRedefine/>
    <w:unhideWhenUsed/>
    <w:qFormat/>
    <w:uiPriority w:val="0"/>
    <w:tblPr>
      <w:tblCellMar>
        <w:top w:w="0" w:type="dxa"/>
        <w:left w:w="0" w:type="dxa"/>
        <w:bottom w:w="0" w:type="dxa"/>
        <w:right w:w="0" w:type="dxa"/>
      </w:tblCellMar>
    </w:tblPr>
  </w:style>
  <w:style w:type="paragraph" w:customStyle="1" w:styleId="104">
    <w:name w:val="Table Text"/>
    <w:basedOn w:val="1"/>
    <w:autoRedefine/>
    <w:semiHidden/>
    <w:qFormat/>
    <w:uiPriority w:val="0"/>
    <w:rPr>
      <w:rFonts w:ascii="宋体" w:hAnsi="宋体" w:eastAsia="宋体" w:cs="宋体"/>
      <w:sz w:val="20"/>
      <w:szCs w:val="20"/>
      <w:lang w:val="en-US" w:eastAsia="en-US" w:bidi="ar-SA"/>
    </w:rPr>
  </w:style>
  <w:style w:type="paragraph" w:customStyle="1" w:styleId="105">
    <w:name w:val="段落"/>
    <w:basedOn w:val="1"/>
    <w:qFormat/>
    <w:uiPriority w:val="0"/>
    <w:pPr>
      <w:snapToGrid w:val="0"/>
      <w:spacing w:line="500" w:lineRule="atLeast"/>
      <w:ind w:firstLine="600" w:firstLineChars="200"/>
    </w:pPr>
    <w:rPr>
      <w:spacing w:val="10"/>
      <w:sz w:val="28"/>
    </w:rPr>
  </w:style>
  <w:style w:type="character" w:customStyle="1" w:styleId="106">
    <w:name w:val="NormalCharacter"/>
    <w:qFormat/>
    <w:uiPriority w:val="0"/>
  </w:style>
  <w:style w:type="paragraph" w:customStyle="1" w:styleId="107">
    <w:name w:val="表格中文字"/>
    <w:basedOn w:val="1"/>
    <w:qFormat/>
    <w:uiPriority w:val="0"/>
    <w:pPr>
      <w:adjustRightInd w:val="0"/>
      <w:snapToGrid w:val="0"/>
      <w:spacing w:line="240" w:lineRule="exact"/>
      <w:jc w:val="center"/>
    </w:pPr>
    <w:rPr>
      <w:kern w:val="18"/>
      <w:sz w:val="21"/>
      <w:szCs w:val="21"/>
    </w:rPr>
  </w:style>
  <w:style w:type="paragraph" w:customStyle="1" w:styleId="108">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09">
    <w:name w:val="p0"/>
    <w:basedOn w:val="1"/>
    <w:qFormat/>
    <w:uiPriority w:val="0"/>
    <w:pPr>
      <w:widowControl/>
      <w:adjustRightInd/>
      <w:snapToGrid/>
      <w:spacing w:line="240" w:lineRule="auto"/>
    </w:pPr>
    <w:rPr>
      <w:rFonts w:ascii="宋体" w:hAnsi="宋体" w:cs="宋体"/>
      <w:kern w:val="0"/>
    </w:rPr>
  </w:style>
  <w:style w:type="paragraph" w:customStyle="1" w:styleId="110">
    <w:name w:val="报告表格内中"/>
    <w:basedOn w:val="1"/>
    <w:qFormat/>
    <w:uiPriority w:val="0"/>
    <w:pPr>
      <w:spacing w:before="100" w:beforeAutospacing="1"/>
      <w:ind w:firstLine="1440" w:firstLineChars="200"/>
      <w:jc w:val="center"/>
    </w:pPr>
    <w:rPr>
      <w:bCs/>
      <w:sz w:val="24"/>
    </w:rPr>
  </w:style>
  <w:style w:type="paragraph" w:customStyle="1" w:styleId="111">
    <w:name w:val="文本内容"/>
    <w:basedOn w:val="1"/>
    <w:qFormat/>
    <w:uiPriority w:val="0"/>
    <w:pPr>
      <w:ind w:firstLine="480"/>
    </w:pPr>
    <w:rPr>
      <w:rFonts w:cs="宋体"/>
    </w:rPr>
  </w:style>
  <w:style w:type="paragraph" w:customStyle="1" w:styleId="112">
    <w:name w:val="环科院正文"/>
    <w:basedOn w:val="1"/>
    <w:qFormat/>
    <w:uiPriority w:val="0"/>
    <w:pPr>
      <w:spacing w:line="480" w:lineRule="exact"/>
      <w:ind w:firstLine="480" w:firstLineChars="200"/>
      <w:jc w:val="left"/>
    </w:pPr>
    <w:rPr>
      <w:rFonts w:ascii="宋体" w:hAnsi="宋体"/>
      <w:color w:val="000000"/>
      <w:kern w:val="0"/>
      <w:sz w:val="24"/>
      <w:szCs w:val="24"/>
    </w:rPr>
  </w:style>
  <w:style w:type="paragraph" w:customStyle="1" w:styleId="113">
    <w:name w:val="zxj正文z"/>
    <w:basedOn w:val="1"/>
    <w:qFormat/>
    <w:uiPriority w:val="0"/>
    <w:pPr>
      <w:keepNext w:val="0"/>
      <w:wordWrap/>
      <w:spacing w:line="360" w:lineRule="auto"/>
      <w:ind w:firstLine="420" w:firstLineChars="200"/>
      <w:textAlignment w:val="top"/>
    </w:pPr>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7.jpe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header" Target="header1.xml"/><Relationship Id="rId49" Type="http://schemas.openxmlformats.org/officeDocument/2006/relationships/image" Target="media/image21.png"/><Relationship Id="rId48" Type="http://schemas.openxmlformats.org/officeDocument/2006/relationships/image" Target="media/image20.wmf"/><Relationship Id="rId47" Type="http://schemas.openxmlformats.org/officeDocument/2006/relationships/oleObject" Target="embeddings/oleObject19.bin"/><Relationship Id="rId46" Type="http://schemas.openxmlformats.org/officeDocument/2006/relationships/image" Target="media/image19.wmf"/><Relationship Id="rId45" Type="http://schemas.openxmlformats.org/officeDocument/2006/relationships/oleObject" Target="embeddings/oleObject18.bin"/><Relationship Id="rId44" Type="http://schemas.openxmlformats.org/officeDocument/2006/relationships/image" Target="media/image18.wmf"/><Relationship Id="rId43" Type="http://schemas.openxmlformats.org/officeDocument/2006/relationships/oleObject" Target="embeddings/oleObject17.bin"/><Relationship Id="rId42" Type="http://schemas.openxmlformats.org/officeDocument/2006/relationships/image" Target="media/image17.wmf"/><Relationship Id="rId41" Type="http://schemas.openxmlformats.org/officeDocument/2006/relationships/oleObject" Target="embeddings/oleObject16.bin"/><Relationship Id="rId40" Type="http://schemas.openxmlformats.org/officeDocument/2006/relationships/image" Target="media/image16.wmf"/><Relationship Id="rId4" Type="http://schemas.openxmlformats.org/officeDocument/2006/relationships/endnotes" Target="endnotes.xml"/><Relationship Id="rId39" Type="http://schemas.openxmlformats.org/officeDocument/2006/relationships/oleObject" Target="embeddings/oleObject15.bin"/><Relationship Id="rId38" Type="http://schemas.openxmlformats.org/officeDocument/2006/relationships/image" Target="media/image15.wmf"/><Relationship Id="rId37" Type="http://schemas.openxmlformats.org/officeDocument/2006/relationships/oleObject" Target="embeddings/oleObject14.bin"/><Relationship Id="rId36" Type="http://schemas.openxmlformats.org/officeDocument/2006/relationships/image" Target="media/image14.emf"/><Relationship Id="rId35" Type="http://schemas.openxmlformats.org/officeDocument/2006/relationships/oleObject" Target="embeddings/oleObject13.bin"/><Relationship Id="rId34" Type="http://schemas.openxmlformats.org/officeDocument/2006/relationships/oleObject" Target="embeddings/oleObject12.bin"/><Relationship Id="rId33" Type="http://schemas.openxmlformats.org/officeDocument/2006/relationships/oleObject" Target="embeddings/oleObject11.bin"/><Relationship Id="rId32" Type="http://schemas.openxmlformats.org/officeDocument/2006/relationships/image" Target="media/image13.wmf"/><Relationship Id="rId31" Type="http://schemas.openxmlformats.org/officeDocument/2006/relationships/oleObject" Target="embeddings/oleObject10.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emf"/><Relationship Id="rId24" Type="http://schemas.openxmlformats.org/officeDocument/2006/relationships/oleObject" Target="embeddings/oleObject8.bin"/><Relationship Id="rId23" Type="http://schemas.openxmlformats.org/officeDocument/2006/relationships/image" Target="media/image7.emf"/><Relationship Id="rId22" Type="http://schemas.openxmlformats.org/officeDocument/2006/relationships/oleObject" Target="embeddings/oleObject7.bin"/><Relationship Id="rId21" Type="http://schemas.openxmlformats.org/officeDocument/2006/relationships/oleObject" Target="embeddings/oleObject6.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w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17686</Words>
  <Characters>18159</Characters>
  <Lines>1</Lines>
  <Paragraphs>1</Paragraphs>
  <TotalTime>4</TotalTime>
  <ScaleCrop>false</ScaleCrop>
  <LinksUpToDate>false</LinksUpToDate>
  <CharactersWithSpaces>18333</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2021-05-24T03:38:00Z</dcterms:created>
  <dc:creator>Administrator</dc:creator>
  <cp:lastModifiedBy>丫头</cp:lastModifiedBy>
  <cp:lastPrinted>2021-08-25T06:08:00Z</cp:lastPrinted>
  <dcterms:modified xsi:type="dcterms:W3CDTF">2026-06-08T03:45:59Z</dcterms:modified>
  <dc:title>前言</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4B525C557A7445B491E87FEB0CA47336_13</vt:lpwstr>
  </property>
  <property fmtid="{D5CDD505-2E9C-101B-9397-08002B2CF9AE}" pid="4" name="KSOTemplateDocerSaveRecord">
    <vt:lpwstr>eyJoZGlkIjoiOTlmYTRhNzQxMWQ5MmRlYTkzMzcyNjZhMTVjNmRjYTQiLCJ1c2VySWQiOiI0MjQyOTAxNDMifQ==</vt:lpwstr>
  </property>
</Properties>
</file>